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20"/>
        <w:rPr>
          <w:rFonts w:eastAsia="仿宋_GB2312"/>
          <w:color w:val="000000" w:themeColor="text1"/>
          <w:sz w:val="36"/>
          <w:szCs w:val="36"/>
          <w14:textFill>
            <w14:solidFill>
              <w14:schemeClr w14:val="tx1"/>
            </w14:solidFill>
          </w14:textFill>
        </w:rPr>
      </w:pPr>
    </w:p>
    <w:p>
      <w:pPr>
        <w:rPr>
          <w:rFonts w:eastAsia="仿宋_GB2312"/>
          <w:color w:val="000000" w:themeColor="text1"/>
          <w:sz w:val="36"/>
          <w:szCs w:val="36"/>
          <w14:textFill>
            <w14:solidFill>
              <w14:schemeClr w14:val="tx1"/>
            </w14:solidFill>
          </w14:textFill>
        </w:rPr>
      </w:pPr>
    </w:p>
    <w:p>
      <w:pPr>
        <w:rPr>
          <w:rFonts w:eastAsia="仿宋_GB2312"/>
          <w:color w:val="000000" w:themeColor="text1"/>
          <w:sz w:val="36"/>
          <w:szCs w:val="36"/>
          <w14:textFill>
            <w14:solidFill>
              <w14:schemeClr w14:val="tx1"/>
            </w14:solidFill>
          </w14:textFill>
        </w:rPr>
      </w:pPr>
    </w:p>
    <w:p>
      <w:pPr>
        <w:rPr>
          <w:rFonts w:eastAsia="仿宋_GB2312"/>
          <w:color w:val="000000" w:themeColor="text1"/>
          <w:sz w:val="36"/>
          <w:szCs w:val="36"/>
          <w14:textFill>
            <w14:solidFill>
              <w14:schemeClr w14:val="tx1"/>
            </w14:solidFill>
          </w14:textFill>
        </w:rPr>
      </w:pPr>
    </w:p>
    <w:p>
      <w:pPr>
        <w:rPr>
          <w:rFonts w:eastAsia="仿宋_GB2312"/>
          <w:color w:val="000000" w:themeColor="text1"/>
          <w:sz w:val="36"/>
          <w:szCs w:val="36"/>
          <w14:textFill>
            <w14:solidFill>
              <w14:schemeClr w14:val="tx1"/>
            </w14:solidFill>
          </w14:textFill>
        </w:rPr>
      </w:pPr>
    </w:p>
    <w:p>
      <w:pPr>
        <w:adjustRightInd w:val="0"/>
        <w:snapToGrid w:val="0"/>
        <w:jc w:val="center"/>
        <w:outlineLvl w:val="0"/>
        <w:rPr>
          <w:rFonts w:eastAsia="方正小标宋_GBK"/>
          <w:bCs/>
          <w:color w:val="000000" w:themeColor="text1"/>
          <w:sz w:val="72"/>
          <w:szCs w:val="72"/>
          <w14:textFill>
            <w14:solidFill>
              <w14:schemeClr w14:val="tx1"/>
            </w14:solidFill>
          </w14:textFill>
        </w:rPr>
      </w:pPr>
      <w:r>
        <w:rPr>
          <w:rFonts w:eastAsia="方正小标宋_GBK"/>
          <w:bCs/>
          <w:color w:val="000000" w:themeColor="text1"/>
          <w:sz w:val="72"/>
          <w:szCs w:val="72"/>
          <w14:textFill>
            <w14:solidFill>
              <w14:schemeClr w14:val="tx1"/>
            </w14:solidFill>
          </w14:textFill>
        </w:rPr>
        <w:t>建设项目环境影响报告表</w:t>
      </w:r>
    </w:p>
    <w:p>
      <w:pPr>
        <w:adjustRightInd w:val="0"/>
        <w:snapToGrid w:val="0"/>
        <w:spacing w:before="192" w:beforeLines="80"/>
        <w:jc w:val="center"/>
        <w:rPr>
          <w:rFonts w:eastAsia="楷体_GB2312"/>
          <w:bCs/>
          <w:color w:val="000000" w:themeColor="text1"/>
          <w:sz w:val="48"/>
          <w:szCs w:val="48"/>
          <w14:textFill>
            <w14:solidFill>
              <w14:schemeClr w14:val="tx1"/>
            </w14:solidFill>
          </w14:textFill>
        </w:rPr>
      </w:pPr>
      <w:r>
        <w:rPr>
          <w:rFonts w:eastAsia="楷体_GB2312"/>
          <w:bCs/>
          <w:color w:val="000000" w:themeColor="text1"/>
          <w:sz w:val="48"/>
          <w:szCs w:val="48"/>
          <w14:textFill>
            <w14:solidFill>
              <w14:schemeClr w14:val="tx1"/>
            </w14:solidFill>
          </w14:textFill>
        </w:rPr>
        <w:t>（污染影响类）</w:t>
      </w:r>
    </w:p>
    <w:p>
      <w:pPr>
        <w:jc w:val="center"/>
        <w:rPr>
          <w:rFonts w:eastAsia="仿宋"/>
          <w:color w:val="000000" w:themeColor="text1"/>
          <w:sz w:val="52"/>
          <w:szCs w:val="52"/>
          <w14:textFill>
            <w14:solidFill>
              <w14:schemeClr w14:val="tx1"/>
            </w14:solidFill>
          </w14:textFill>
        </w:rPr>
      </w:pPr>
    </w:p>
    <w:p>
      <w:pPr>
        <w:ind w:firstLine="1040"/>
        <w:rPr>
          <w:rFonts w:eastAsia="仿宋"/>
          <w:color w:val="000000" w:themeColor="text1"/>
          <w:sz w:val="44"/>
          <w:szCs w:val="44"/>
          <w14:textFill>
            <w14:solidFill>
              <w14:schemeClr w14:val="tx1"/>
            </w14:solidFill>
          </w14:textFill>
        </w:rPr>
      </w:pPr>
    </w:p>
    <w:p>
      <w:pPr>
        <w:ind w:firstLine="1040"/>
        <w:rPr>
          <w:rFonts w:eastAsia="仿宋"/>
          <w:color w:val="000000" w:themeColor="text1"/>
          <w:sz w:val="44"/>
          <w:szCs w:val="44"/>
          <w14:textFill>
            <w14:solidFill>
              <w14:schemeClr w14:val="tx1"/>
            </w14:solidFill>
          </w14:textFill>
        </w:rPr>
      </w:pPr>
    </w:p>
    <w:p>
      <w:pPr>
        <w:ind w:firstLine="1040"/>
        <w:rPr>
          <w:rFonts w:eastAsia="仿宋"/>
          <w:color w:val="000000" w:themeColor="text1"/>
          <w:sz w:val="44"/>
          <w:szCs w:val="44"/>
          <w14:textFill>
            <w14:solidFill>
              <w14:schemeClr w14:val="tx1"/>
            </w14:solidFill>
          </w14:textFill>
        </w:rPr>
      </w:pPr>
    </w:p>
    <w:p>
      <w:pPr>
        <w:ind w:firstLine="1040"/>
        <w:rPr>
          <w:rFonts w:eastAsia="仿宋"/>
          <w:color w:val="000000" w:themeColor="text1"/>
          <w:sz w:val="44"/>
          <w:szCs w:val="44"/>
          <w14:textFill>
            <w14:solidFill>
              <w14:schemeClr w14:val="tx1"/>
            </w14:solidFill>
          </w14:textFill>
        </w:rPr>
      </w:pPr>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r>
        <w:rPr>
          <w:rFonts w:eastAsia="仿宋_GB2312"/>
          <w:color w:val="000000" w:themeColor="text1"/>
          <w:sz w:val="36"/>
          <w:szCs w:val="36"/>
          <w14:textFill>
            <w14:solidFill>
              <w14:schemeClr w14:val="tx1"/>
            </w14:solidFill>
          </w14:textFill>
        </w:rPr>
        <w:t>项目名称：</w:t>
      </w:r>
      <w:r>
        <w:rPr>
          <w:rFonts w:eastAsia="仿宋_GB2312"/>
          <w:color w:val="000000" w:themeColor="text1"/>
          <w:sz w:val="36"/>
          <w:szCs w:val="36"/>
          <w:u w:val="single"/>
          <w14:textFill>
            <w14:solidFill>
              <w14:schemeClr w14:val="tx1"/>
            </w14:solidFill>
          </w14:textFill>
        </w:rPr>
        <w:t xml:space="preserve">  </w:t>
      </w:r>
      <w:r>
        <w:rPr>
          <w:b/>
          <w:color w:val="000000" w:themeColor="text1"/>
          <w:sz w:val="30"/>
          <w:szCs w:val="30"/>
          <w:u w:val="single"/>
          <w14:textFill>
            <w14:solidFill>
              <w14:schemeClr w14:val="tx1"/>
            </w14:solidFill>
          </w14:textFill>
        </w:rPr>
        <w:t>液压阀块及精密液压组件总成</w:t>
      </w:r>
      <w:r>
        <w:rPr>
          <w:rFonts w:hint="eastAsia"/>
          <w:b/>
          <w:color w:val="000000" w:themeColor="text1"/>
          <w:sz w:val="30"/>
          <w:szCs w:val="30"/>
          <w:u w:val="single"/>
          <w14:textFill>
            <w14:solidFill>
              <w14:schemeClr w14:val="tx1"/>
            </w14:solidFill>
          </w14:textFill>
        </w:rPr>
        <w:t>（4</w:t>
      </w:r>
      <w:r>
        <w:rPr>
          <w:rFonts w:hint="eastAsia"/>
          <w:b/>
          <w:color w:val="000000" w:themeColor="text1"/>
          <w:sz w:val="30"/>
          <w:szCs w:val="30"/>
          <w:u w:val="single"/>
          <w:lang w:val="en-US" w:eastAsia="zh-CN"/>
          <w14:textFill>
            <w14:solidFill>
              <w14:schemeClr w14:val="tx1"/>
            </w14:solidFill>
          </w14:textFill>
        </w:rPr>
        <w:t>4</w:t>
      </w:r>
      <w:r>
        <w:rPr>
          <w:b/>
          <w:color w:val="000000" w:themeColor="text1"/>
          <w:sz w:val="30"/>
          <w:szCs w:val="30"/>
          <w:u w:val="single"/>
          <w14:textFill>
            <w14:solidFill>
              <w14:schemeClr w14:val="tx1"/>
            </w14:solidFill>
          </w14:textFill>
        </w:rPr>
        <w:t>.5</w:t>
      </w:r>
      <w:r>
        <w:rPr>
          <w:rFonts w:hint="eastAsia"/>
          <w:b/>
          <w:color w:val="000000" w:themeColor="text1"/>
          <w:sz w:val="30"/>
          <w:szCs w:val="30"/>
          <w:u w:val="single"/>
          <w14:textFill>
            <w14:solidFill>
              <w14:schemeClr w14:val="tx1"/>
            </w14:solidFill>
          </w14:textFill>
        </w:rPr>
        <w:t>万件/年）</w:t>
      </w:r>
      <w:r>
        <w:rPr>
          <w:b/>
          <w:color w:val="000000" w:themeColor="text1"/>
          <w:sz w:val="30"/>
          <w:szCs w:val="30"/>
          <w:u w:val="single"/>
          <w14:textFill>
            <w14:solidFill>
              <w14:schemeClr w14:val="tx1"/>
            </w14:solidFill>
          </w14:textFill>
        </w:rPr>
        <w:t>产业化项目</w:t>
      </w:r>
      <w:r>
        <w:rPr>
          <w:rFonts w:eastAsia="仿宋_GB2312"/>
          <w:color w:val="000000" w:themeColor="text1"/>
          <w:sz w:val="36"/>
          <w:szCs w:val="36"/>
          <w:u w:val="single"/>
          <w14:textFill>
            <w14:solidFill>
              <w14:schemeClr w14:val="tx1"/>
            </w14:solidFill>
          </w14:textFill>
        </w:rPr>
        <w:t xml:space="preserve"> </w:t>
      </w:r>
      <w:r>
        <w:rPr>
          <w:rFonts w:eastAsia="仿宋_GB2312"/>
          <w:color w:val="000000" w:themeColor="text1"/>
          <w:sz w:val="36"/>
          <w:szCs w:val="36"/>
          <w14:textFill>
            <w14:solidFill>
              <w14:schemeClr w14:val="tx1"/>
            </w14:solidFill>
          </w14:textFill>
        </w:rPr>
        <w:t xml:space="preserve">                        </w:t>
      </w:r>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r>
        <w:rPr>
          <w:rFonts w:eastAsia="仿宋_GB2312"/>
          <w:color w:val="000000" w:themeColor="text1"/>
          <w:sz w:val="36"/>
          <w:szCs w:val="36"/>
          <w14:textFill>
            <w14:solidFill>
              <w14:schemeClr w14:val="tx1"/>
            </w14:solidFill>
          </w14:textFill>
        </w:rPr>
        <w:t>建设单位（盖章）：</w:t>
      </w:r>
      <w:r>
        <w:rPr>
          <w:b/>
          <w:color w:val="000000" w:themeColor="text1"/>
          <w:sz w:val="30"/>
          <w:szCs w:val="30"/>
          <w:u w:val="single"/>
          <w14:textFill>
            <w14:solidFill>
              <w14:schemeClr w14:val="tx1"/>
            </w14:solidFill>
          </w14:textFill>
        </w:rPr>
        <w:t xml:space="preserve"> 湖南云川科技有限公司  </w:t>
      </w:r>
      <w:r>
        <w:rPr>
          <w:rFonts w:eastAsia="仿宋_GB2312"/>
          <w:color w:val="000000" w:themeColor="text1"/>
          <w:sz w:val="36"/>
          <w:szCs w:val="36"/>
          <w:u w:val="single"/>
          <w14:textFill>
            <w14:solidFill>
              <w14:schemeClr w14:val="tx1"/>
            </w14:solidFill>
          </w14:textFill>
        </w:rPr>
        <w:t xml:space="preserve">      </w:t>
      </w:r>
      <w:r>
        <w:rPr>
          <w:rFonts w:eastAsia="仿宋_GB2312"/>
          <w:color w:val="000000" w:themeColor="text1"/>
          <w:sz w:val="36"/>
          <w:szCs w:val="36"/>
          <w14:textFill>
            <w14:solidFill>
              <w14:schemeClr w14:val="tx1"/>
            </w14:solidFill>
          </w14:textFill>
        </w:rPr>
        <w:t xml:space="preserve">           </w:t>
      </w:r>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r>
        <w:rPr>
          <w:rFonts w:eastAsia="仿宋_GB2312"/>
          <w:color w:val="000000" w:themeColor="text1"/>
          <w:sz w:val="36"/>
          <w:szCs w:val="36"/>
          <w14:textFill>
            <w14:solidFill>
              <w14:schemeClr w14:val="tx1"/>
            </w14:solidFill>
          </w14:textFill>
        </w:rPr>
        <w:t>编制日期：</w:t>
      </w:r>
      <w:r>
        <w:rPr>
          <w:b/>
          <w:color w:val="000000" w:themeColor="text1"/>
          <w:sz w:val="30"/>
          <w:szCs w:val="30"/>
          <w:u w:val="single"/>
          <w14:textFill>
            <w14:solidFill>
              <w14:schemeClr w14:val="tx1"/>
            </w14:solidFill>
          </w14:textFill>
        </w:rPr>
        <w:t xml:space="preserve"> 2021年6月    </w:t>
      </w:r>
      <w:r>
        <w:rPr>
          <w:rFonts w:eastAsia="仿宋_GB2312"/>
          <w:color w:val="000000" w:themeColor="text1"/>
          <w:sz w:val="36"/>
          <w:szCs w:val="36"/>
          <w:u w:val="single"/>
          <w14:textFill>
            <w14:solidFill>
              <w14:schemeClr w14:val="tx1"/>
            </w14:solidFill>
          </w14:textFill>
        </w:rPr>
        <w:t xml:space="preserve">          </w:t>
      </w:r>
      <w:r>
        <w:rPr>
          <w:rFonts w:eastAsia="仿宋_GB2312"/>
          <w:color w:val="000000" w:themeColor="text1"/>
          <w:sz w:val="36"/>
          <w:szCs w:val="36"/>
          <w14:textFill>
            <w14:solidFill>
              <w14:schemeClr w14:val="tx1"/>
            </w14:solidFill>
          </w14:textFill>
        </w:rPr>
        <w:t xml:space="preserve">            </w:t>
      </w:r>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bookmarkStart w:id="0" w:name="_Hlk57884087"/>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bookmarkEnd w:id="0"/>
    <w:p>
      <w:pPr>
        <w:adjustRightInd w:val="0"/>
        <w:snapToGrid w:val="0"/>
        <w:spacing w:line="288" w:lineRule="auto"/>
        <w:jc w:val="center"/>
        <w:rPr>
          <w:rFonts w:eastAsia="楷体_GB2312"/>
          <w:color w:val="000000" w:themeColor="text1"/>
          <w:sz w:val="36"/>
          <w:szCs w:val="36"/>
          <w14:textFill>
            <w14:solidFill>
              <w14:schemeClr w14:val="tx1"/>
            </w14:solidFill>
          </w14:textFill>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r>
        <w:rPr>
          <w:rFonts w:eastAsia="楷体_GB2312"/>
          <w:color w:val="000000" w:themeColor="text1"/>
          <w:sz w:val="36"/>
          <w:szCs w:val="36"/>
          <w14:textFill>
            <w14:solidFill>
              <w14:schemeClr w14:val="tx1"/>
            </w14:solidFill>
          </w14:textFill>
        </w:rPr>
        <w:t>中华人民共和国生态环境部制</w:t>
      </w:r>
    </w:p>
    <w:p>
      <w:pPr>
        <w:pStyle w:val="2"/>
      </w:pPr>
      <w:r>
        <w:drawing>
          <wp:inline distT="0" distB="0" distL="114300" distR="114300">
            <wp:extent cx="5612765" cy="7949565"/>
            <wp:effectExtent l="0" t="0" r="6985" b="13335"/>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9"/>
                    <a:stretch>
                      <a:fillRect/>
                    </a:stretch>
                  </pic:blipFill>
                  <pic:spPr>
                    <a:xfrm>
                      <a:off x="0" y="0"/>
                      <a:ext cx="5612765" cy="7949565"/>
                    </a:xfrm>
                    <a:prstGeom prst="rect">
                      <a:avLst/>
                    </a:prstGeom>
                    <a:noFill/>
                    <a:ln>
                      <a:noFill/>
                    </a:ln>
                  </pic:spPr>
                </pic:pic>
              </a:graphicData>
            </a:graphic>
          </wp:inline>
        </w:drawing>
      </w:r>
      <w:r>
        <w:drawing>
          <wp:inline distT="0" distB="0" distL="114300" distR="114300">
            <wp:extent cx="5038725" cy="7134225"/>
            <wp:effectExtent l="0" t="0" r="9525" b="952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10"/>
                    <a:stretch>
                      <a:fillRect/>
                    </a:stretch>
                  </pic:blipFill>
                  <pic:spPr>
                    <a:xfrm>
                      <a:off x="0" y="0"/>
                      <a:ext cx="5038725" cy="7134225"/>
                    </a:xfrm>
                    <a:prstGeom prst="rect">
                      <a:avLst/>
                    </a:prstGeom>
                    <a:noFill/>
                    <a:ln>
                      <a:noFill/>
                    </a:ln>
                  </pic:spPr>
                </pic:pic>
              </a:graphicData>
            </a:graphic>
          </wp:inline>
        </w:drawing>
      </w:r>
      <w:r>
        <w:drawing>
          <wp:inline distT="0" distB="0" distL="114300" distR="114300">
            <wp:extent cx="5613400" cy="7924800"/>
            <wp:effectExtent l="0" t="0" r="6350" b="0"/>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11"/>
                    <a:stretch>
                      <a:fillRect/>
                    </a:stretch>
                  </pic:blipFill>
                  <pic:spPr>
                    <a:xfrm>
                      <a:off x="0" y="0"/>
                      <a:ext cx="5613400" cy="7924800"/>
                    </a:xfrm>
                    <a:prstGeom prst="rect">
                      <a:avLst/>
                    </a:prstGeom>
                    <a:noFill/>
                    <a:ln>
                      <a:noFill/>
                    </a:ln>
                  </pic:spPr>
                </pic:pic>
              </a:graphicData>
            </a:graphic>
          </wp:inline>
        </w:drawing>
      </w:r>
      <w:r>
        <w:drawing>
          <wp:inline distT="0" distB="0" distL="114300" distR="114300">
            <wp:extent cx="5019675" cy="7115175"/>
            <wp:effectExtent l="0" t="0" r="9525" b="952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12"/>
                    <a:stretch>
                      <a:fillRect/>
                    </a:stretch>
                  </pic:blipFill>
                  <pic:spPr>
                    <a:xfrm>
                      <a:off x="0" y="0"/>
                      <a:ext cx="5019675" cy="7115175"/>
                    </a:xfrm>
                    <a:prstGeom prst="rect">
                      <a:avLst/>
                    </a:prstGeom>
                    <a:noFill/>
                    <a:ln>
                      <a:noFill/>
                    </a:ln>
                  </pic:spPr>
                </pic:pic>
              </a:graphicData>
            </a:graphic>
          </wp:inline>
        </w:drawing>
      </w:r>
    </w:p>
    <w:p>
      <w:pPr>
        <w:adjustRightInd w:val="0"/>
        <w:snapToGrid w:val="0"/>
        <w:spacing w:line="288" w:lineRule="auto"/>
        <w:ind w:firstLine="1040"/>
        <w:rPr>
          <w:rFonts w:hint="eastAsia" w:eastAsia="宋体"/>
          <w:color w:val="000000" w:themeColor="text1"/>
          <w:sz w:val="36"/>
          <w:szCs w:val="36"/>
          <w:lang w:eastAsia="zh-CN"/>
          <w14:textFill>
            <w14:solidFill>
              <w14:schemeClr w14:val="tx1"/>
            </w14:solidFill>
          </w14:textFill>
        </w:rPr>
      </w:pPr>
      <w:r>
        <w:drawing>
          <wp:inline distT="0" distB="0" distL="114300" distR="114300">
            <wp:extent cx="5038725" cy="7134225"/>
            <wp:effectExtent l="0" t="0" r="9525" b="9525"/>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3"/>
                    <a:stretch>
                      <a:fillRect/>
                    </a:stretch>
                  </pic:blipFill>
                  <pic:spPr>
                    <a:xfrm>
                      <a:off x="0" y="0"/>
                      <a:ext cx="5038725" cy="7134225"/>
                    </a:xfrm>
                    <a:prstGeom prst="rect">
                      <a:avLst/>
                    </a:prstGeom>
                    <a:noFill/>
                    <a:ln>
                      <a:noFill/>
                    </a:ln>
                  </pic:spPr>
                </pic:pic>
              </a:graphicData>
            </a:graphic>
          </wp:inline>
        </w:drawing>
      </w:r>
      <w:r>
        <w:drawing>
          <wp:inline distT="0" distB="0" distL="114300" distR="114300">
            <wp:extent cx="5067300" cy="7143750"/>
            <wp:effectExtent l="0" t="0" r="0" b="0"/>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14"/>
                    <a:stretch>
                      <a:fillRect/>
                    </a:stretch>
                  </pic:blipFill>
                  <pic:spPr>
                    <a:xfrm>
                      <a:off x="0" y="0"/>
                      <a:ext cx="5067300" cy="7143750"/>
                    </a:xfrm>
                    <a:prstGeom prst="rect">
                      <a:avLst/>
                    </a:prstGeom>
                    <a:noFill/>
                    <a:ln>
                      <a:noFill/>
                    </a:ln>
                  </pic:spPr>
                </pic:pic>
              </a:graphicData>
            </a:graphic>
          </wp:inline>
        </w:drawing>
      </w:r>
      <w:r>
        <w:rPr>
          <w:rFonts w:hint="eastAsia" w:eastAsia="宋体"/>
          <w:color w:val="000000" w:themeColor="text1"/>
          <w:sz w:val="36"/>
          <w:szCs w:val="36"/>
          <w:lang w:eastAsia="zh-CN"/>
          <w14:textFill>
            <w14:solidFill>
              <w14:schemeClr w14:val="tx1"/>
            </w14:solidFill>
          </w14:textFill>
        </w:rPr>
        <w:drawing>
          <wp:inline distT="0" distB="0" distL="114300" distR="114300">
            <wp:extent cx="5615305" cy="8238490"/>
            <wp:effectExtent l="0" t="0" r="4445" b="10160"/>
            <wp:docPr id="57" name="图片 57" descr="e019ec871827c98885d69380abe2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e019ec871827c98885d69380abe2b5c"/>
                    <pic:cNvPicPr>
                      <a:picLocks noChangeAspect="1"/>
                    </pic:cNvPicPr>
                  </pic:nvPicPr>
                  <pic:blipFill>
                    <a:blip r:embed="rId15"/>
                    <a:stretch>
                      <a:fillRect/>
                    </a:stretch>
                  </pic:blipFill>
                  <pic:spPr>
                    <a:xfrm>
                      <a:off x="0" y="0"/>
                      <a:ext cx="5615305" cy="8238490"/>
                    </a:xfrm>
                    <a:prstGeom prst="rect">
                      <a:avLst/>
                    </a:prstGeom>
                  </pic:spPr>
                </pic:pic>
              </a:graphicData>
            </a:graphic>
          </wp:inline>
        </w:drawing>
      </w:r>
      <w:r>
        <w:rPr>
          <w:rFonts w:hint="eastAsia" w:eastAsia="宋体"/>
          <w:color w:val="000000" w:themeColor="text1"/>
          <w:sz w:val="36"/>
          <w:szCs w:val="36"/>
          <w:lang w:eastAsia="zh-CN"/>
          <w14:textFill>
            <w14:solidFill>
              <w14:schemeClr w14:val="tx1"/>
            </w14:solidFill>
          </w14:textFill>
        </w:rPr>
        <w:drawing>
          <wp:inline distT="0" distB="0" distL="114300" distR="114300">
            <wp:extent cx="5606415" cy="7724140"/>
            <wp:effectExtent l="0" t="0" r="13335" b="10160"/>
            <wp:docPr id="60" name="图片 60" descr="2e12f0bf7c4d52f323fd6424af3ed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e12f0bf7c4d52f323fd6424af3ed0d"/>
                    <pic:cNvPicPr>
                      <a:picLocks noChangeAspect="1"/>
                    </pic:cNvPicPr>
                  </pic:nvPicPr>
                  <pic:blipFill>
                    <a:blip r:embed="rId16"/>
                    <a:stretch>
                      <a:fillRect/>
                    </a:stretch>
                  </pic:blipFill>
                  <pic:spPr>
                    <a:xfrm>
                      <a:off x="0" y="0"/>
                      <a:ext cx="5606415" cy="7724140"/>
                    </a:xfrm>
                    <a:prstGeom prst="rect">
                      <a:avLst/>
                    </a:prstGeom>
                  </pic:spPr>
                </pic:pic>
              </a:graphicData>
            </a:graphic>
          </wp:inline>
        </w:drawing>
      </w:r>
    </w:p>
    <w:p>
      <w:pPr>
        <w:adjustRightInd w:val="0"/>
        <w:snapToGrid w:val="0"/>
        <w:spacing w:line="288" w:lineRule="auto"/>
        <w:ind w:firstLine="1040"/>
        <w:jc w:val="center"/>
        <w:rPr>
          <w:rFonts w:hint="eastAsia"/>
          <w:color w:val="000000" w:themeColor="text1"/>
          <w:sz w:val="36"/>
          <w:szCs w:val="36"/>
          <w:lang w:val="en-US" w:eastAsia="zh-CN"/>
          <w14:textFill>
            <w14:solidFill>
              <w14:schemeClr w14:val="tx1"/>
            </w14:solidFill>
          </w14:textFill>
        </w:rPr>
      </w:pPr>
    </w:p>
    <w:p>
      <w:pPr>
        <w:adjustRightInd w:val="0"/>
        <w:snapToGrid w:val="0"/>
        <w:spacing w:line="288" w:lineRule="auto"/>
        <w:ind w:firstLine="1040"/>
        <w:jc w:val="center"/>
        <w:rPr>
          <w:rFonts w:hint="eastAsia"/>
          <w:color w:val="000000" w:themeColor="text1"/>
          <w:sz w:val="36"/>
          <w:szCs w:val="36"/>
          <w:lang w:val="en-US" w:eastAsia="zh-CN"/>
          <w14:textFill>
            <w14:solidFill>
              <w14:schemeClr w14:val="tx1"/>
            </w14:solidFill>
          </w14:textFill>
        </w:rPr>
      </w:pPr>
    </w:p>
    <w:p>
      <w:pPr>
        <w:adjustRightInd w:val="0"/>
        <w:snapToGrid w:val="0"/>
        <w:spacing w:line="288" w:lineRule="auto"/>
        <w:ind w:firstLine="1040"/>
        <w:jc w:val="center"/>
        <w:rPr>
          <w:rFonts w:hint="default" w:eastAsia="宋体"/>
          <w:color w:val="000000" w:themeColor="text1"/>
          <w:sz w:val="36"/>
          <w:szCs w:val="36"/>
          <w:lang w:val="en-US" w:eastAsia="zh-CN"/>
          <w14:textFill>
            <w14:solidFill>
              <w14:schemeClr w14:val="tx1"/>
            </w14:solidFill>
          </w14:textFill>
        </w:rPr>
      </w:pPr>
      <w:r>
        <w:rPr>
          <w:rFonts w:hint="eastAsia"/>
          <w:color w:val="000000" w:themeColor="text1"/>
          <w:sz w:val="36"/>
          <w:szCs w:val="36"/>
          <w:lang w:val="en-US" w:eastAsia="zh-CN"/>
          <w14:textFill>
            <w14:solidFill>
              <w14:schemeClr w14:val="tx1"/>
            </w14:solidFill>
          </w14:textFill>
        </w:rPr>
        <w:t>工程师现场勘查</w:t>
      </w:r>
    </w:p>
    <w:p>
      <w:pPr>
        <w:adjustRightInd w:val="0"/>
        <w:snapToGrid w:val="0"/>
        <w:spacing w:line="288" w:lineRule="auto"/>
        <w:rPr>
          <w:rFonts w:hint="eastAsia" w:eastAsia="宋体"/>
          <w:color w:val="000000" w:themeColor="text1"/>
          <w:sz w:val="36"/>
          <w:szCs w:val="36"/>
          <w:lang w:eastAsia="zh-CN"/>
          <w14:textFill>
            <w14:solidFill>
              <w14:schemeClr w14:val="tx1"/>
            </w14:solidFill>
          </w14:textFill>
        </w:rPr>
        <w:sectPr>
          <w:pgSz w:w="11906" w:h="16838"/>
          <w:pgMar w:top="1701" w:right="1531" w:bottom="1701" w:left="1531" w:header="851" w:footer="1077" w:gutter="0"/>
          <w:pgNumType w:start="3"/>
          <w:cols w:space="720" w:num="1"/>
          <w:docGrid w:linePitch="312" w:charSpace="0"/>
        </w:sectPr>
      </w:pPr>
      <w:r>
        <w:rPr>
          <w:rFonts w:hint="eastAsia" w:eastAsia="宋体"/>
          <w:color w:val="000000" w:themeColor="text1"/>
          <w:sz w:val="36"/>
          <w:szCs w:val="36"/>
          <w:lang w:eastAsia="zh-CN"/>
          <w14:textFill>
            <w14:solidFill>
              <w14:schemeClr w14:val="tx1"/>
            </w14:solidFill>
          </w14:textFill>
        </w:rPr>
        <w:drawing>
          <wp:inline distT="0" distB="0" distL="114300" distR="114300">
            <wp:extent cx="5614670" cy="4210685"/>
            <wp:effectExtent l="0" t="0" r="5080" b="18415"/>
            <wp:docPr id="58" name="图片 58" descr="da76907d9f886bb50db716594ae4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a76907d9f886bb50db716594ae4a6d"/>
                    <pic:cNvPicPr>
                      <a:picLocks noChangeAspect="1"/>
                    </pic:cNvPicPr>
                  </pic:nvPicPr>
                  <pic:blipFill>
                    <a:blip r:embed="rId17"/>
                    <a:stretch>
                      <a:fillRect/>
                    </a:stretch>
                  </pic:blipFill>
                  <pic:spPr>
                    <a:xfrm>
                      <a:off x="0" y="0"/>
                      <a:ext cx="5614670" cy="4210685"/>
                    </a:xfrm>
                    <a:prstGeom prst="rect">
                      <a:avLst/>
                    </a:prstGeom>
                  </pic:spPr>
                </pic:pic>
              </a:graphicData>
            </a:graphic>
          </wp:inline>
        </w:drawing>
      </w:r>
    </w:p>
    <w:p>
      <w:pPr>
        <w:pStyle w:val="2"/>
        <w:rPr>
          <w:color w:val="000000" w:themeColor="text1"/>
          <w14:textFill>
            <w14:solidFill>
              <w14:schemeClr w14:val="tx1"/>
            </w14:solidFill>
          </w14:textFill>
        </w:rPr>
        <w:sectPr>
          <w:type w:val="continuous"/>
          <w:pgSz w:w="11906" w:h="16838"/>
          <w:pgMar w:top="1701" w:right="1531" w:bottom="1701" w:left="1531" w:header="851" w:footer="1077" w:gutter="0"/>
          <w:pgNumType w:start="3"/>
          <w:cols w:space="720" w:num="1"/>
          <w:docGrid w:linePitch="312" w:charSpace="0"/>
        </w:sectPr>
      </w:pPr>
    </w:p>
    <w:p>
      <w:pPr>
        <w:pStyle w:val="2"/>
        <w:rPr>
          <w:color w:val="000000" w:themeColor="text1"/>
          <w14:textFill>
            <w14:solidFill>
              <w14:schemeClr w14:val="tx1"/>
            </w14:solidFill>
          </w14:textFill>
        </w:rPr>
        <w:sectPr>
          <w:pgSz w:w="11906" w:h="16838"/>
          <w:pgMar w:top="1701" w:right="1531" w:bottom="1701" w:left="1531" w:header="851" w:footer="1077" w:gutter="0"/>
          <w:pgNumType w:start="3"/>
          <w:cols w:space="720" w:num="1"/>
          <w:docGrid w:linePitch="312" w:charSpace="0"/>
        </w:sectPr>
      </w:pPr>
      <w:r>
        <w:rPr>
          <w:rFonts w:hint="eastAsia" w:eastAsia="宋体"/>
          <w:color w:val="000000" w:themeColor="text1"/>
          <w:sz w:val="36"/>
          <w:szCs w:val="36"/>
          <w:lang w:eastAsia="zh-CN"/>
          <w14:textFill>
            <w14:solidFill>
              <w14:schemeClr w14:val="tx1"/>
            </w14:solidFill>
          </w14:textFill>
        </w:rPr>
        <w:drawing>
          <wp:inline distT="0" distB="0" distL="114300" distR="114300">
            <wp:extent cx="5614670" cy="8168640"/>
            <wp:effectExtent l="0" t="0" r="5080" b="3810"/>
            <wp:docPr id="59" name="图片 59" descr="cfe8a7aea4267e275b1eecfcfd9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fe8a7aea4267e275b1eecfcfd94017"/>
                    <pic:cNvPicPr>
                      <a:picLocks noChangeAspect="1"/>
                    </pic:cNvPicPr>
                  </pic:nvPicPr>
                  <pic:blipFill>
                    <a:blip r:embed="rId18"/>
                    <a:stretch>
                      <a:fillRect/>
                    </a:stretch>
                  </pic:blipFill>
                  <pic:spPr>
                    <a:xfrm>
                      <a:off x="0" y="0"/>
                      <a:ext cx="5614670" cy="8168640"/>
                    </a:xfrm>
                    <a:prstGeom prst="rect">
                      <a:avLst/>
                    </a:prstGeom>
                  </pic:spPr>
                </pic:pic>
              </a:graphicData>
            </a:graphic>
          </wp:inline>
        </w:drawing>
      </w:r>
    </w:p>
    <w:p>
      <w:pPr>
        <w:pStyle w:val="19"/>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0"/>
          <w:szCs w:val="30"/>
          <w14:textFill>
            <w14:solidFill>
              <w14:schemeClr w14:val="tx1"/>
            </w14:solidFill>
          </w14:textFill>
        </w:rPr>
        <w:t>一、建设项目基本情况</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188"/>
        <w:gridCol w:w="1739"/>
        <w:gridCol w:w="1971"/>
        <w:gridCol w:w="297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建设项目名称</w:t>
            </w:r>
          </w:p>
        </w:tc>
        <w:tc>
          <w:tcPr>
            <w:tcW w:w="6682" w:type="dxa"/>
            <w:gridSpan w:val="3"/>
            <w:noWrap w:val="0"/>
            <w:vAlign w:val="center"/>
          </w:tcPr>
          <w:p>
            <w:pPr>
              <w:adjustRightInd w:val="0"/>
              <w:snapToGrid w:val="0"/>
              <w:jc w:val="center"/>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液压阀块及精密液压组件总成（44.5万件/年）产业化项目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项目代码</w:t>
            </w:r>
          </w:p>
        </w:tc>
        <w:tc>
          <w:tcPr>
            <w:tcW w:w="6682" w:type="dxa"/>
            <w:gridSpan w:val="3"/>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2106-430624-04-01-647565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建设单位联系人</w:t>
            </w:r>
          </w:p>
        </w:tc>
        <w:tc>
          <w:tcPr>
            <w:tcW w:w="1739"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马新明</w:t>
            </w:r>
          </w:p>
        </w:tc>
        <w:tc>
          <w:tcPr>
            <w:tcW w:w="1971"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联系方式</w:t>
            </w:r>
          </w:p>
        </w:tc>
        <w:tc>
          <w:tcPr>
            <w:tcW w:w="2972"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13974873107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建设地点</w:t>
            </w:r>
          </w:p>
        </w:tc>
        <w:tc>
          <w:tcPr>
            <w:tcW w:w="6682" w:type="dxa"/>
            <w:gridSpan w:val="3"/>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湖南省湘阴县高新区金龙片区安康路以东燎原路以北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地理坐标</w:t>
            </w:r>
          </w:p>
        </w:tc>
        <w:tc>
          <w:tcPr>
            <w:tcW w:w="6682" w:type="dxa"/>
            <w:gridSpan w:val="3"/>
            <w:noWrap w:val="0"/>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（东经 112°55′56.418″，北纬 28°32′0.54431″）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国民经济</w:t>
            </w:r>
          </w:p>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行业类别</w:t>
            </w:r>
          </w:p>
        </w:tc>
        <w:tc>
          <w:tcPr>
            <w:tcW w:w="1739"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C</w:t>
            </w:r>
            <w:r>
              <w:rPr>
                <w:color w:val="000000" w:themeColor="text1"/>
                <w:sz w:val="24"/>
                <w:highlight w:val="yellow"/>
                <w14:textFill>
                  <w14:solidFill>
                    <w14:schemeClr w14:val="tx1"/>
                  </w14:solidFill>
                </w14:textFill>
              </w:rPr>
              <w:t>344</w:t>
            </w:r>
            <w:r>
              <w:rPr>
                <w:color w:val="000000" w:themeColor="text1"/>
                <w:sz w:val="24"/>
                <w14:textFill>
                  <w14:solidFill>
                    <w14:schemeClr w14:val="tx1"/>
                  </w14:solidFill>
                </w14:textFill>
              </w:rPr>
              <w:t>4液压动力机械及元件制造</w:t>
            </w:r>
          </w:p>
        </w:tc>
        <w:tc>
          <w:tcPr>
            <w:tcW w:w="1971" w:type="dxa"/>
            <w:noWrap w:val="0"/>
            <w:vAlign w:val="center"/>
          </w:tcPr>
          <w:p>
            <w:pPr>
              <w:adjustRightInd w:val="0"/>
              <w:snapToGrid w:val="0"/>
              <w:jc w:val="center"/>
              <w:rPr>
                <w:color w:val="000000" w:themeColor="text1"/>
                <w:sz w:val="24"/>
                <w14:textFill>
                  <w14:solidFill>
                    <w14:schemeClr w14:val="tx1"/>
                  </w14:solidFill>
                </w14:textFill>
              </w:rPr>
            </w:pPr>
            <w:bookmarkStart w:id="1" w:name="_Hlk49843745"/>
            <w:r>
              <w:rPr>
                <w:color w:val="000000" w:themeColor="text1"/>
                <w:sz w:val="24"/>
                <w14:textFill>
                  <w14:solidFill>
                    <w14:schemeClr w14:val="tx1"/>
                  </w14:solidFill>
                </w14:textFill>
              </w:rPr>
              <w:t>建设项目</w:t>
            </w:r>
          </w:p>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行业类别</w:t>
            </w:r>
            <w:bookmarkEnd w:id="1"/>
          </w:p>
        </w:tc>
        <w:tc>
          <w:tcPr>
            <w:tcW w:w="2972"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三十一、通用设备制造业、</w:t>
            </w:r>
            <w:r>
              <w:rPr>
                <w:rFonts w:hint="eastAsia" w:ascii="Times New Roman" w:hAnsi="Times New Roman" w:eastAsia="宋体" w:cs="Times New Roman"/>
                <w:color w:val="000000" w:themeColor="text1"/>
                <w:sz w:val="24"/>
                <w14:textFill>
                  <w14:solidFill>
                    <w14:schemeClr w14:val="tx1"/>
                  </w14:solidFill>
                </w14:textFill>
              </w:rPr>
              <w:t>泵、阀门、压缩机及类似机械制造 344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建设性质</w:t>
            </w:r>
          </w:p>
        </w:tc>
        <w:tc>
          <w:tcPr>
            <w:tcW w:w="1739" w:type="dxa"/>
            <w:noWrap w:val="0"/>
            <w:vAlign w:val="center"/>
          </w:tcPr>
          <w:p>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2" w:char="0052"/>
            </w:r>
            <w:r>
              <w:rPr>
                <w:color w:val="000000" w:themeColor="text1"/>
                <w:sz w:val="24"/>
                <w14:textFill>
                  <w14:solidFill>
                    <w14:schemeClr w14:val="tx1"/>
                  </w14:solidFill>
                </w14:textFill>
              </w:rPr>
              <w:t>（新建（迁建）</w:t>
            </w:r>
          </w:p>
          <w:p>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2" w:char="00A3"/>
            </w:r>
            <w:r>
              <w:rPr>
                <w:color w:val="000000" w:themeColor="text1"/>
                <w:sz w:val="24"/>
                <w14:textFill>
                  <w14:solidFill>
                    <w14:schemeClr w14:val="tx1"/>
                  </w14:solidFill>
                </w14:textFill>
              </w:rPr>
              <w:t>改建</w:t>
            </w:r>
          </w:p>
          <w:p>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□扩建</w:t>
            </w:r>
          </w:p>
          <w:p>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□技术改造</w:t>
            </w:r>
          </w:p>
        </w:tc>
        <w:tc>
          <w:tcPr>
            <w:tcW w:w="1971"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建设项目</w:t>
            </w:r>
          </w:p>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申报情形</w:t>
            </w:r>
          </w:p>
        </w:tc>
        <w:tc>
          <w:tcPr>
            <w:tcW w:w="2972" w:type="dxa"/>
            <w:noWrap w:val="0"/>
            <w:vAlign w:val="center"/>
          </w:tcPr>
          <w:p>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2" w:char="0052"/>
            </w:r>
            <w:r>
              <w:rPr>
                <w:color w:val="000000" w:themeColor="text1"/>
                <w:sz w:val="24"/>
                <w14:textFill>
                  <w14:solidFill>
                    <w14:schemeClr w14:val="tx1"/>
                  </w14:solidFill>
                </w14:textFill>
              </w:rPr>
              <w:t xml:space="preserve">（首次申报项目             </w:t>
            </w:r>
          </w:p>
          <w:p>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□不予批准后再次申报项目</w:t>
            </w:r>
          </w:p>
          <w:p>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□超五年重新审核项目     </w:t>
            </w:r>
          </w:p>
          <w:p>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项目审批（核准/</w:t>
            </w:r>
          </w:p>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备案）部门（选填）</w:t>
            </w:r>
          </w:p>
        </w:tc>
        <w:tc>
          <w:tcPr>
            <w:tcW w:w="1739"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湘阴县发展和改革局</w:t>
            </w:r>
          </w:p>
        </w:tc>
        <w:tc>
          <w:tcPr>
            <w:tcW w:w="1971"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项目审批（核准/</w:t>
            </w:r>
          </w:p>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备案）文号（选填）</w:t>
            </w:r>
          </w:p>
        </w:tc>
        <w:tc>
          <w:tcPr>
            <w:tcW w:w="2972"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湘阴发改审【2021】50号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总投资（万元）</w:t>
            </w:r>
          </w:p>
        </w:tc>
        <w:tc>
          <w:tcPr>
            <w:tcW w:w="1739"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15000</w:t>
            </w:r>
          </w:p>
        </w:tc>
        <w:tc>
          <w:tcPr>
            <w:tcW w:w="1971"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环保投资（万元）</w:t>
            </w:r>
          </w:p>
        </w:tc>
        <w:tc>
          <w:tcPr>
            <w:tcW w:w="2972" w:type="dxa"/>
            <w:noWrap w:val="0"/>
            <w:vAlign w:val="center"/>
          </w:tcPr>
          <w:p>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241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环保投资占比（%）</w:t>
            </w:r>
          </w:p>
        </w:tc>
        <w:tc>
          <w:tcPr>
            <w:tcW w:w="1739" w:type="dxa"/>
            <w:noWrap w:val="0"/>
            <w:vAlign w:val="center"/>
          </w:tcPr>
          <w:p>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1.61</w:t>
            </w:r>
          </w:p>
        </w:tc>
        <w:tc>
          <w:tcPr>
            <w:tcW w:w="1971"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施工工期</w:t>
            </w:r>
          </w:p>
        </w:tc>
        <w:tc>
          <w:tcPr>
            <w:tcW w:w="2972" w:type="dxa"/>
            <w:noWrap w:val="0"/>
            <w:vAlign w:val="center"/>
          </w:tcPr>
          <w:p>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88" w:type="dxa"/>
            <w:noWrap w:val="0"/>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是否开工建设</w:t>
            </w:r>
          </w:p>
        </w:tc>
        <w:tc>
          <w:tcPr>
            <w:tcW w:w="1739" w:type="dxa"/>
            <w:noWrap w:val="0"/>
            <w:vAlign w:val="center"/>
          </w:tcPr>
          <w:p>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☑否</w:t>
            </w:r>
          </w:p>
          <w:p>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□是：             </w:t>
            </w:r>
          </w:p>
        </w:tc>
        <w:tc>
          <w:tcPr>
            <w:tcW w:w="1971" w:type="dxa"/>
            <w:noWrap w:val="0"/>
            <w:tcMar>
              <w:top w:w="16" w:type="dxa"/>
              <w:left w:w="16" w:type="dxa"/>
              <w:right w:w="16" w:type="dxa"/>
            </w:tcMar>
            <w:vAlign w:val="center"/>
          </w:tcPr>
          <w:p>
            <w:pPr>
              <w:adjustRightInd w:val="0"/>
              <w:snapToGrid w:val="0"/>
              <w:jc w:val="center"/>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用地（用海）</w:t>
            </w:r>
          </w:p>
          <w:p>
            <w:pPr>
              <w:adjustRightInd w:val="0"/>
              <w:snapToGrid w:val="0"/>
              <w:jc w:val="center"/>
              <w:rPr>
                <w:color w:val="000000" w:themeColor="text1"/>
                <w:sz w:val="24"/>
                <w14:textFill>
                  <w14:solidFill>
                    <w14:schemeClr w14:val="tx1"/>
                  </w14:solidFill>
                </w14:textFill>
              </w:rPr>
            </w:pPr>
            <w:r>
              <w:rPr>
                <w:color w:val="000000" w:themeColor="text1"/>
                <w:spacing w:val="-6"/>
                <w:sz w:val="24"/>
                <w14:textFill>
                  <w14:solidFill>
                    <w14:schemeClr w14:val="tx1"/>
                  </w14:solidFill>
                </w14:textFill>
              </w:rPr>
              <w:t>面积（m</w:t>
            </w:r>
            <w:r>
              <w:rPr>
                <w:color w:val="000000" w:themeColor="text1"/>
                <w:spacing w:val="-6"/>
                <w:sz w:val="24"/>
                <w:vertAlign w:val="superscript"/>
                <w14:textFill>
                  <w14:solidFill>
                    <w14:schemeClr w14:val="tx1"/>
                  </w14:solidFill>
                </w14:textFill>
              </w:rPr>
              <w:t>2</w:t>
            </w:r>
            <w:r>
              <w:rPr>
                <w:color w:val="000000" w:themeColor="text1"/>
                <w:spacing w:val="-6"/>
                <w:sz w:val="24"/>
                <w14:textFill>
                  <w14:solidFill>
                    <w14:schemeClr w14:val="tx1"/>
                  </w14:solidFill>
                </w14:textFill>
              </w:rPr>
              <w:t>）</w:t>
            </w:r>
          </w:p>
        </w:tc>
        <w:tc>
          <w:tcPr>
            <w:tcW w:w="2972"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35170.8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88" w:type="dxa"/>
            <w:noWrap w:val="0"/>
            <w:vAlign w:val="center"/>
          </w:tcPr>
          <w:p>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专项评价设置情况</w:t>
            </w:r>
          </w:p>
        </w:tc>
        <w:tc>
          <w:tcPr>
            <w:tcW w:w="6682" w:type="dxa"/>
            <w:gridSpan w:val="3"/>
            <w:noWrap w:val="0"/>
            <w:vAlign w:val="center"/>
          </w:tcPr>
          <w:p>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88" w:type="dxa"/>
            <w:noWrap w:val="0"/>
            <w:vAlign w:val="center"/>
          </w:tcPr>
          <w:p>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规划情况</w:t>
            </w:r>
          </w:p>
        </w:tc>
        <w:tc>
          <w:tcPr>
            <w:tcW w:w="6682" w:type="dxa"/>
            <w:gridSpan w:val="3"/>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已批复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88"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规划环境影响</w:t>
            </w:r>
          </w:p>
          <w:p>
            <w:pPr>
              <w:adjustRightInd w:val="0"/>
              <w:snapToGrid w:val="0"/>
              <w:jc w:val="center"/>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评价情况</w:t>
            </w:r>
          </w:p>
        </w:tc>
        <w:tc>
          <w:tcPr>
            <w:tcW w:w="6682" w:type="dxa"/>
            <w:gridSpan w:val="3"/>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《湘阴县金龙新区工业区规划环境影响报告书》</w:t>
            </w:r>
            <w:r>
              <w:rPr>
                <w:color w:val="000000" w:themeColor="text1"/>
                <w:sz w:val="24"/>
                <w14:textFill>
                  <w14:solidFill>
                    <w14:schemeClr w14:val="tx1"/>
                  </w14:solidFill>
                </w14:textFill>
              </w:rPr>
              <w:t>已开展并通过岳阳市环境保护局审查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88" w:type="dxa"/>
            <w:noWrap w:val="0"/>
            <w:vAlign w:val="center"/>
          </w:tcPr>
          <w:p>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规划及规划环境</w:t>
            </w:r>
          </w:p>
          <w:p>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影响评价符合性分析</w:t>
            </w:r>
          </w:p>
        </w:tc>
        <w:tc>
          <w:tcPr>
            <w:tcW w:w="6682" w:type="dxa"/>
            <w:gridSpan w:val="3"/>
            <w:noWrap w:val="0"/>
            <w:vAlign w:val="center"/>
          </w:tcPr>
          <w:p>
            <w:pPr>
              <w:pStyle w:val="10"/>
              <w:widowControl w:val="0"/>
              <w:kinsoku w:val="0"/>
              <w:overflowPunct w:val="0"/>
              <w:autoSpaceDE w:val="0"/>
              <w:autoSpaceDN w:val="0"/>
              <w:adjustRightInd w:val="0"/>
              <w:spacing w:before="0" w:after="0" w:line="360" w:lineRule="auto"/>
              <w:ind w:right="0" w:firstLine="480" w:firstLineChars="200"/>
              <w:rPr>
                <w:color w:val="000000" w:themeColor="text1"/>
                <w:sz w:val="24"/>
                <w:szCs w:val="24"/>
                <w:u w:val="single"/>
                <w14:textFill>
                  <w14:solidFill>
                    <w14:schemeClr w14:val="tx1"/>
                  </w14:solidFill>
                </w14:textFill>
              </w:rPr>
            </w:pPr>
            <w:r>
              <w:rPr>
                <w:color w:val="000000" w:themeColor="text1"/>
                <w:sz w:val="24"/>
                <w:u w:val="single"/>
                <w14:textFill>
                  <w14:solidFill>
                    <w14:schemeClr w14:val="tx1"/>
                  </w14:solidFill>
                </w14:textFill>
              </w:rPr>
              <w:t>本项目不属于限制的三类工业，本项目实施雨污分流，外排废</w:t>
            </w:r>
            <w:r>
              <w:rPr>
                <w:color w:val="000000" w:themeColor="text1"/>
                <w:sz w:val="24"/>
                <w:szCs w:val="24"/>
                <w:u w:val="single"/>
                <w14:textFill>
                  <w14:solidFill>
                    <w14:schemeClr w14:val="tx1"/>
                  </w14:solidFill>
                </w14:textFill>
              </w:rPr>
              <w:t>水仅为员工生活污水，产生的废气经处理后达标排放、固体废物均得到有效处置；满足《湘阴县金龙新区工业区规划环境影响报告书》要求。</w:t>
            </w:r>
          </w:p>
          <w:p>
            <w:pPr>
              <w:pStyle w:val="10"/>
              <w:widowControl w:val="0"/>
              <w:kinsoku w:val="0"/>
              <w:overflowPunct w:val="0"/>
              <w:autoSpaceDE w:val="0"/>
              <w:autoSpaceDN w:val="0"/>
              <w:adjustRightInd w:val="0"/>
              <w:spacing w:before="0" w:after="0" w:line="360" w:lineRule="auto"/>
              <w:ind w:right="0" w:firstLine="480" w:firstLineChars="200"/>
              <w:rPr>
                <w:color w:val="000000" w:themeColor="text1"/>
                <w:sz w:val="24"/>
                <w:szCs w:val="24"/>
                <w:u w:val="single"/>
                <w14:textFill>
                  <w14:solidFill>
                    <w14:schemeClr w14:val="tx1"/>
                  </w14:solidFill>
                </w14:textFill>
              </w:rPr>
            </w:pPr>
            <w:r>
              <w:rPr>
                <w:color w:val="000000" w:themeColor="text1"/>
                <w:sz w:val="24"/>
                <w:szCs w:val="24"/>
                <w:u w:val="single"/>
                <w14:textFill>
                  <w14:solidFill>
                    <w14:schemeClr w14:val="tx1"/>
                  </w14:solidFill>
                </w14:textFill>
              </w:rPr>
              <w:t>根据岳阳市生态环境局关于《湘阴县金龙新区工业区规划环境影响报告书》的审查意见，及金龙新区准入一览表，本项目为液压动力机械及元件制造，属于允许类</w:t>
            </w:r>
            <w:r>
              <w:rPr>
                <w:rFonts w:hint="eastAsia"/>
                <w:color w:val="000000" w:themeColor="text1"/>
                <w:sz w:val="24"/>
                <w:szCs w:val="24"/>
                <w:u w:val="single"/>
                <w:lang w:eastAsia="zh-CN"/>
                <w14:textFill>
                  <w14:solidFill>
                    <w14:schemeClr w14:val="tx1"/>
                  </w14:solidFill>
                </w14:textFill>
              </w:rPr>
              <w:t>“</w:t>
            </w:r>
            <w:r>
              <w:rPr>
                <w:color w:val="000000" w:themeColor="text1"/>
                <w:sz w:val="24"/>
                <w:szCs w:val="24"/>
                <w:u w:val="single"/>
                <w14:textFill>
                  <w14:solidFill>
                    <w14:schemeClr w14:val="tx1"/>
                  </w14:solidFill>
                </w14:textFill>
              </w:rPr>
              <w:t>电工器材制造业</w:t>
            </w:r>
            <w:r>
              <w:rPr>
                <w:rFonts w:hint="eastAsia"/>
                <w:color w:val="000000" w:themeColor="text1"/>
                <w:sz w:val="24"/>
                <w:szCs w:val="24"/>
                <w:u w:val="single"/>
                <w:lang w:eastAsia="zh-CN"/>
                <w14:textFill>
                  <w14:solidFill>
                    <w14:schemeClr w14:val="tx1"/>
                  </w14:solidFill>
                </w14:textFill>
              </w:rPr>
              <w:t>”</w:t>
            </w:r>
            <w:r>
              <w:rPr>
                <w:color w:val="000000" w:themeColor="text1"/>
                <w:sz w:val="24"/>
                <w:szCs w:val="24"/>
                <w:u w:val="single"/>
                <w14:textFill>
                  <w14:solidFill>
                    <w14:schemeClr w14:val="tx1"/>
                  </w14:solidFill>
                </w14:textFill>
              </w:rPr>
              <w:t>范畴。</w:t>
            </w:r>
          </w:p>
          <w:p>
            <w:pPr>
              <w:pStyle w:val="6"/>
              <w:kinsoku w:val="0"/>
              <w:overflowPunct w:val="0"/>
              <w:adjustRightInd w:val="0"/>
              <w:snapToGrid w:val="0"/>
              <w:spacing w:line="303" w:lineRule="exact"/>
              <w:ind w:left="0"/>
              <w:jc w:val="center"/>
              <w:rPr>
                <w:rFonts w:ascii="Times New Roman" w:hAnsi="Times New Roman" w:eastAsia="宋体"/>
                <w:color w:val="000000" w:themeColor="text1"/>
                <w:kern w:val="0"/>
                <w:u w:val="single"/>
                <w14:textFill>
                  <w14:solidFill>
                    <w14:schemeClr w14:val="tx1"/>
                  </w14:solidFill>
                </w14:textFill>
              </w:rPr>
            </w:pPr>
            <w:r>
              <w:rPr>
                <w:rFonts w:ascii="Times New Roman" w:hAnsi="Times New Roman" w:eastAsia="宋体"/>
                <w:color w:val="000000" w:themeColor="text1"/>
                <w:kern w:val="0"/>
                <w:u w:val="single"/>
                <w14:textFill>
                  <w14:solidFill>
                    <w14:schemeClr w14:val="tx1"/>
                  </w14:solidFill>
                </w14:textFill>
              </w:rPr>
              <w:t>表1-1   工业区准入类别分类表</w:t>
            </w:r>
          </w:p>
          <w:tbl>
            <w:tblPr>
              <w:tblStyle w:val="23"/>
              <w:tblW w:w="4999" w:type="pct"/>
              <w:tblInd w:w="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5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33"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类型</w:t>
                  </w:r>
                </w:p>
              </w:tc>
              <w:tc>
                <w:tcPr>
                  <w:tcW w:w="4366"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行业类别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33"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鼓励类</w:t>
                  </w:r>
                </w:p>
              </w:tc>
              <w:tc>
                <w:tcPr>
                  <w:tcW w:w="4366"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与本园产业定位相关的企业技术研发机构；先进机械制造、电子信息产业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33"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允许类</w:t>
                  </w:r>
                </w:p>
              </w:tc>
              <w:tc>
                <w:tcPr>
                  <w:tcW w:w="4366"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低污染新型材料业、医用材料及医疗制品业、电工器材制造业，重轻型钢结构等低耗水项目。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33"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限制类</w:t>
                  </w:r>
                </w:p>
              </w:tc>
              <w:tc>
                <w:tcPr>
                  <w:tcW w:w="4366"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食品制造（发酵类）、饲料加工行业。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33"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p>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禁止类</w:t>
                  </w:r>
                </w:p>
              </w:tc>
              <w:tc>
                <w:tcPr>
                  <w:tcW w:w="4366" w:type="pct"/>
                  <w:noWrap w:val="0"/>
                  <w:vAlign w:val="center"/>
                </w:tcPr>
                <w:p>
                  <w:pPr>
                    <w:pStyle w:val="58"/>
                    <w:kinsoku w:val="0"/>
                    <w:overflowPunct w:val="0"/>
                    <w:autoSpaceDE w:val="0"/>
                    <w:autoSpaceDN w:val="0"/>
                    <w:adjustRightInd w:val="0"/>
                    <w:snapToGrid w:val="0"/>
                    <w:rPr>
                      <w:rFonts w:ascii="Times New Roman" w:hAnsi="Times New Roman" w:cs="Times New Roman"/>
                      <w:color w:val="000000" w:themeColor="text1"/>
                      <w:kern w:val="0"/>
                      <w:szCs w:val="21"/>
                      <w:u w:val="single"/>
                      <w:lang w:val="en-US" w:bidi="ar-SA"/>
                      <w14:textFill>
                        <w14:solidFill>
                          <w14:schemeClr w14:val="tx1"/>
                        </w14:solidFill>
                      </w14:textFill>
                    </w:rPr>
                  </w:pPr>
                  <w:r>
                    <w:rPr>
                      <w:rFonts w:ascii="Times New Roman" w:hAnsi="Times New Roman" w:cs="Times New Roman"/>
                      <w:color w:val="000000" w:themeColor="text1"/>
                      <w:kern w:val="0"/>
                      <w:szCs w:val="21"/>
                      <w:u w:val="single"/>
                      <w:lang w:val="en-US" w:bidi="ar-SA"/>
                      <w14:textFill>
                        <w14:solidFill>
                          <w14:schemeClr w14:val="tx1"/>
                        </w14:solidFill>
                      </w14:textFill>
                    </w:rPr>
                    <w:t>有重金属废水外排的所有项目；食品工业的禽畜初加工（包括屠宰）；酒类酿造；冶金、石化化工、造纸、皮革、纺织印染、电镀等工业；火力发电。</w:t>
                  </w:r>
                </w:p>
              </w:tc>
            </w:tr>
          </w:tbl>
          <w:p>
            <w:pPr>
              <w:pStyle w:val="2"/>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88" w:type="dxa"/>
            <w:noWrap w:val="0"/>
            <w:vAlign w:val="center"/>
          </w:tcPr>
          <w:p>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其他符合性分析</w:t>
            </w:r>
          </w:p>
        </w:tc>
        <w:tc>
          <w:tcPr>
            <w:tcW w:w="6682" w:type="dxa"/>
            <w:gridSpan w:val="3"/>
            <w:noWrap w:val="0"/>
            <w:vAlign w:val="center"/>
          </w:tcPr>
          <w:p>
            <w:pPr>
              <w:pStyle w:val="10"/>
              <w:widowControl w:val="0"/>
              <w:kinsoku w:val="0"/>
              <w:overflowPunct w:val="0"/>
              <w:autoSpaceDE w:val="0"/>
              <w:autoSpaceDN w:val="0"/>
              <w:adjustRightInd w:val="0"/>
              <w:spacing w:before="0" w:after="0" w:line="360" w:lineRule="auto"/>
              <w:ind w:right="0" w:firstLine="480" w:firstLineChars="200"/>
              <w:rPr>
                <w:color w:val="000000" w:themeColor="text1"/>
                <w:sz w:val="24"/>
                <w:szCs w:val="24"/>
                <w:u w:val="single"/>
                <w14:textFill>
                  <w14:solidFill>
                    <w14:schemeClr w14:val="tx1"/>
                  </w14:solidFill>
                </w14:textFill>
              </w:rPr>
            </w:pPr>
            <w:r>
              <w:rPr>
                <w:color w:val="000000" w:themeColor="text1"/>
                <w:sz w:val="24"/>
                <w:szCs w:val="24"/>
                <w:u w:val="single"/>
                <w14:textFill>
                  <w14:solidFill>
                    <w14:schemeClr w14:val="tx1"/>
                  </w14:solidFill>
                </w14:textFill>
              </w:rPr>
              <w:t>1、产业政策符合性分析</w:t>
            </w:r>
          </w:p>
          <w:p>
            <w:pPr>
              <w:pStyle w:val="10"/>
              <w:widowControl w:val="0"/>
              <w:kinsoku w:val="0"/>
              <w:overflowPunct w:val="0"/>
              <w:autoSpaceDE w:val="0"/>
              <w:autoSpaceDN w:val="0"/>
              <w:adjustRightInd w:val="0"/>
              <w:spacing w:before="0" w:after="0" w:line="360" w:lineRule="auto"/>
              <w:ind w:right="0" w:firstLine="480" w:firstLineChars="200"/>
              <w:rPr>
                <w:color w:val="000000" w:themeColor="text1"/>
                <w:sz w:val="24"/>
                <w:szCs w:val="24"/>
                <w:u w:val="single"/>
                <w14:textFill>
                  <w14:solidFill>
                    <w14:schemeClr w14:val="tx1"/>
                  </w14:solidFill>
                </w14:textFill>
              </w:rPr>
            </w:pPr>
            <w:r>
              <w:rPr>
                <w:color w:val="000000" w:themeColor="text1"/>
                <w:sz w:val="24"/>
                <w:szCs w:val="24"/>
                <w:u w:val="single"/>
                <w14:textFill>
                  <w14:solidFill>
                    <w14:schemeClr w14:val="tx1"/>
                  </w14:solidFill>
                </w14:textFill>
              </w:rPr>
              <w:t>本项目为液压动力机械及元件制造，其产品及使用的原辅材料、生产设备、生产工艺等均，不属于《产业结构调整指导目录》（2019 年）限制类和淘汰类。因此，项目建设符合国家的产业政策。</w:t>
            </w:r>
          </w:p>
          <w:p>
            <w:pPr>
              <w:pStyle w:val="10"/>
              <w:widowControl w:val="0"/>
              <w:kinsoku w:val="0"/>
              <w:overflowPunct w:val="0"/>
              <w:autoSpaceDE w:val="0"/>
              <w:autoSpaceDN w:val="0"/>
              <w:adjustRightInd w:val="0"/>
              <w:spacing w:before="0" w:after="0" w:line="434" w:lineRule="exact"/>
              <w:ind w:right="0" w:firstLine="480" w:firstLineChars="200"/>
              <w:rPr>
                <w:color w:val="000000" w:themeColor="text1"/>
                <w:sz w:val="24"/>
                <w:szCs w:val="24"/>
                <w:u w:val="single"/>
                <w14:textFill>
                  <w14:solidFill>
                    <w14:schemeClr w14:val="tx1"/>
                  </w14:solidFill>
                </w14:textFill>
              </w:rPr>
            </w:pPr>
            <w:r>
              <w:rPr>
                <w:color w:val="000000" w:themeColor="text1"/>
                <w:sz w:val="24"/>
                <w:szCs w:val="24"/>
                <w:u w:val="single"/>
                <w14:textFill>
                  <w14:solidFill>
                    <w14:schemeClr w14:val="tx1"/>
                  </w14:solidFill>
                </w14:textFill>
              </w:rPr>
              <w:t>2、项目环境可行性及选址合理性分析</w:t>
            </w:r>
          </w:p>
          <w:p>
            <w:pPr>
              <w:pStyle w:val="10"/>
              <w:widowControl w:val="0"/>
              <w:kinsoku w:val="0"/>
              <w:overflowPunct w:val="0"/>
              <w:autoSpaceDE w:val="0"/>
              <w:autoSpaceDN w:val="0"/>
              <w:adjustRightInd w:val="0"/>
              <w:spacing w:before="0" w:after="0" w:line="434" w:lineRule="exact"/>
              <w:ind w:right="0" w:firstLine="480" w:firstLineChars="200"/>
              <w:rPr>
                <w:color w:val="000000" w:themeColor="text1"/>
                <w:sz w:val="24"/>
                <w:szCs w:val="24"/>
                <w:u w:val="single"/>
                <w14:textFill>
                  <w14:solidFill>
                    <w14:schemeClr w14:val="tx1"/>
                  </w14:solidFill>
                </w14:textFill>
              </w:rPr>
            </w:pPr>
            <w:r>
              <w:rPr>
                <w:color w:val="000000" w:themeColor="text1"/>
                <w:sz w:val="24"/>
                <w:szCs w:val="24"/>
                <w:u w:val="single"/>
                <w14:textFill>
                  <w14:solidFill>
                    <w14:schemeClr w14:val="tx1"/>
                  </w14:solidFill>
                </w14:textFill>
              </w:rPr>
              <w:t>本项目位于</w:t>
            </w:r>
            <w:r>
              <w:rPr>
                <w:color w:val="000000" w:themeColor="text1"/>
                <w:sz w:val="24"/>
                <w:u w:val="single"/>
                <w14:textFill>
                  <w14:solidFill>
                    <w14:schemeClr w14:val="tx1"/>
                  </w14:solidFill>
                </w14:textFill>
              </w:rPr>
              <w:t>湘阴县金龙新区工业区</w:t>
            </w:r>
            <w:r>
              <w:rPr>
                <w:color w:val="000000" w:themeColor="text1"/>
                <w:sz w:val="24"/>
                <w:szCs w:val="24"/>
                <w:u w:val="single"/>
                <w14:textFill>
                  <w14:solidFill>
                    <w14:schemeClr w14:val="tx1"/>
                  </w14:solidFill>
                </w14:textFill>
              </w:rPr>
              <w:t>内，根据湖南湘阴工业园金龙新区总体规划，项目用地为二类工业用地。同时根据金龙新区的产业定位：本项目为液压动力机械及元件制造属于园区</w:t>
            </w:r>
            <w:r>
              <w:rPr>
                <w:rFonts w:hint="eastAsia"/>
                <w:color w:val="000000" w:themeColor="text1"/>
                <w:sz w:val="24"/>
                <w:szCs w:val="24"/>
                <w:u w:val="single"/>
                <w:lang w:val="en-US" w:eastAsia="zh-CN"/>
                <w14:textFill>
                  <w14:solidFill>
                    <w14:schemeClr w14:val="tx1"/>
                  </w14:solidFill>
                </w14:textFill>
              </w:rPr>
              <w:t>允许</w:t>
            </w:r>
            <w:r>
              <w:rPr>
                <w:color w:val="000000" w:themeColor="text1"/>
                <w:sz w:val="24"/>
                <w:szCs w:val="24"/>
                <w:u w:val="single"/>
                <w14:textFill>
                  <w14:solidFill>
                    <w14:schemeClr w14:val="tx1"/>
                  </w14:solidFill>
                </w14:textFill>
              </w:rPr>
              <w:t>类中的</w:t>
            </w:r>
            <w:r>
              <w:rPr>
                <w:rFonts w:hint="eastAsia"/>
                <w:color w:val="000000" w:themeColor="text1"/>
                <w:sz w:val="24"/>
                <w:szCs w:val="24"/>
                <w:u w:val="single"/>
                <w:lang w:eastAsia="zh-CN"/>
                <w14:textFill>
                  <w14:solidFill>
                    <w14:schemeClr w14:val="tx1"/>
                  </w14:solidFill>
                </w14:textFill>
              </w:rPr>
              <w:t>“</w:t>
            </w:r>
            <w:r>
              <w:rPr>
                <w:color w:val="000000" w:themeColor="text1"/>
                <w:sz w:val="24"/>
                <w:szCs w:val="24"/>
                <w:u w:val="single"/>
                <w14:textFill>
                  <w14:solidFill>
                    <w14:schemeClr w14:val="tx1"/>
                  </w14:solidFill>
                </w14:textFill>
              </w:rPr>
              <w:t>电工器材制造业</w:t>
            </w:r>
            <w:r>
              <w:rPr>
                <w:rFonts w:hint="eastAsia"/>
                <w:color w:val="000000" w:themeColor="text1"/>
                <w:sz w:val="24"/>
                <w:szCs w:val="24"/>
                <w:u w:val="single"/>
                <w:lang w:eastAsia="zh-CN"/>
                <w14:textFill>
                  <w14:solidFill>
                    <w14:schemeClr w14:val="tx1"/>
                  </w14:solidFill>
                </w14:textFill>
              </w:rPr>
              <w:t>”</w:t>
            </w:r>
            <w:r>
              <w:rPr>
                <w:color w:val="000000" w:themeColor="text1"/>
                <w:sz w:val="24"/>
                <w:szCs w:val="24"/>
                <w:u w:val="single"/>
                <w14:textFill>
                  <w14:solidFill>
                    <w14:schemeClr w14:val="tx1"/>
                  </w14:solidFill>
                </w14:textFill>
              </w:rPr>
              <w:t>；本项目不属于自然保护区、风景名胜区、森林公园、饮用水水源保护区、重要湖泊周边、文物古迹所在地、地质遗迹保护区、基本农田保护区等区域。</w:t>
            </w:r>
          </w:p>
          <w:p>
            <w:pPr>
              <w:pStyle w:val="10"/>
              <w:widowControl w:val="0"/>
              <w:kinsoku w:val="0"/>
              <w:overflowPunct w:val="0"/>
              <w:autoSpaceDE w:val="0"/>
              <w:autoSpaceDN w:val="0"/>
              <w:adjustRightInd w:val="0"/>
              <w:spacing w:before="0" w:after="0" w:line="434" w:lineRule="exact"/>
              <w:ind w:right="0" w:firstLine="480" w:firstLineChars="200"/>
              <w:rPr>
                <w:color w:val="000000" w:themeColor="text1"/>
                <w:sz w:val="24"/>
                <w:szCs w:val="24"/>
                <w:u w:val="single"/>
                <w14:textFill>
                  <w14:solidFill>
                    <w14:schemeClr w14:val="tx1"/>
                  </w14:solidFill>
                </w14:textFill>
              </w:rPr>
            </w:pPr>
            <w:r>
              <w:rPr>
                <w:color w:val="000000" w:themeColor="text1"/>
                <w:sz w:val="24"/>
                <w:szCs w:val="24"/>
                <w:u w:val="single"/>
                <w14:textFill>
                  <w14:solidFill>
                    <w14:schemeClr w14:val="tx1"/>
                  </w14:solidFill>
                </w14:textFill>
              </w:rPr>
              <w:t>项目投产后产生的废气、噪声、废水及固体废物，通过采取各项环保措施后，项目生产过程不会产生污染扰民（居民）的环境影响问题，项目建成后不会影响该区域的环境功能区划。</w:t>
            </w:r>
          </w:p>
          <w:p>
            <w:pPr>
              <w:pStyle w:val="10"/>
              <w:widowControl w:val="0"/>
              <w:kinsoku w:val="0"/>
              <w:overflowPunct w:val="0"/>
              <w:autoSpaceDE w:val="0"/>
              <w:autoSpaceDN w:val="0"/>
              <w:adjustRightInd w:val="0"/>
              <w:spacing w:before="0" w:after="0" w:line="434" w:lineRule="exact"/>
              <w:ind w:right="0" w:firstLine="480" w:firstLineChars="200"/>
              <w:rPr>
                <w:color w:val="000000" w:themeColor="text1"/>
                <w:sz w:val="24"/>
                <w:szCs w:val="24"/>
                <w:u w:val="single"/>
                <w14:textFill>
                  <w14:solidFill>
                    <w14:schemeClr w14:val="tx1"/>
                  </w14:solidFill>
                </w14:textFill>
              </w:rPr>
            </w:pPr>
            <w:r>
              <w:rPr>
                <w:color w:val="000000" w:themeColor="text1"/>
                <w:sz w:val="24"/>
                <w:szCs w:val="24"/>
                <w:u w:val="single"/>
                <w14:textFill>
                  <w14:solidFill>
                    <w14:schemeClr w14:val="tx1"/>
                  </w14:solidFill>
                </w14:textFill>
              </w:rPr>
              <w:t>本项目</w:t>
            </w:r>
            <w:r>
              <w:rPr>
                <w:color w:val="000000" w:themeColor="text1"/>
                <w:sz w:val="24"/>
                <w:u w:val="single"/>
                <w14:textFill>
                  <w14:solidFill>
                    <w14:schemeClr w14:val="tx1"/>
                  </w14:solidFill>
                </w14:textFill>
              </w:rPr>
              <w:t>湘阴县金龙新区工业区</w:t>
            </w:r>
            <w:r>
              <w:rPr>
                <w:color w:val="000000" w:themeColor="text1"/>
                <w:sz w:val="24"/>
                <w:szCs w:val="24"/>
                <w:u w:val="single"/>
                <w14:textFill>
                  <w14:solidFill>
                    <w14:schemeClr w14:val="tx1"/>
                  </w14:solidFill>
                </w14:textFill>
              </w:rPr>
              <w:t>内，园区均为轻污染型企业，不会对本项目产生影响，项目选址合理。</w:t>
            </w:r>
          </w:p>
          <w:p>
            <w:pPr>
              <w:pStyle w:val="10"/>
              <w:widowControl w:val="0"/>
              <w:kinsoku w:val="0"/>
              <w:overflowPunct w:val="0"/>
              <w:autoSpaceDE w:val="0"/>
              <w:autoSpaceDN w:val="0"/>
              <w:adjustRightInd w:val="0"/>
              <w:spacing w:before="0" w:after="0" w:line="434" w:lineRule="exact"/>
              <w:ind w:right="0" w:firstLine="480" w:firstLineChars="200"/>
              <w:rPr>
                <w:color w:val="000000" w:themeColor="text1"/>
                <w:sz w:val="24"/>
                <w:szCs w:val="24"/>
                <w:u w:val="single"/>
                <w14:textFill>
                  <w14:solidFill>
                    <w14:schemeClr w14:val="tx1"/>
                  </w14:solidFill>
                </w14:textFill>
              </w:rPr>
            </w:pPr>
            <w:r>
              <w:rPr>
                <w:color w:val="000000" w:themeColor="text1"/>
                <w:sz w:val="24"/>
                <w:szCs w:val="24"/>
                <w:u w:val="single"/>
                <w14:textFill>
                  <w14:solidFill>
                    <w14:schemeClr w14:val="tx1"/>
                  </w14:solidFill>
                </w14:textFill>
              </w:rPr>
              <w:t>综上所述，在落实各环保措施，搞好“三同时”的前提下，从环境保护角度考虑，该项目选址基本可行。</w:t>
            </w:r>
          </w:p>
          <w:p>
            <w:pPr>
              <w:pStyle w:val="62"/>
              <w:adjustRightInd w:val="0"/>
              <w:snapToGrid w:val="0"/>
              <w:ind w:firstLine="480" w:firstLineChars="200"/>
              <w:jc w:val="both"/>
              <w:outlineLvl w:val="9"/>
              <w:rPr>
                <w:b w:val="0"/>
                <w:color w:val="000000" w:themeColor="text1"/>
                <w:u w:val="single"/>
                <w14:textFill>
                  <w14:solidFill>
                    <w14:schemeClr w14:val="tx1"/>
                  </w14:solidFill>
                </w14:textFill>
              </w:rPr>
            </w:pPr>
            <w:r>
              <w:rPr>
                <w:b w:val="0"/>
                <w:color w:val="000000" w:themeColor="text1"/>
                <w:u w:val="single"/>
                <w14:textFill>
                  <w14:solidFill>
                    <w14:schemeClr w14:val="tx1"/>
                  </w14:solidFill>
                </w14:textFill>
              </w:rPr>
              <w:t>3、基础设施配套性分析</w:t>
            </w:r>
          </w:p>
          <w:p>
            <w:pPr>
              <w:pStyle w:val="19"/>
              <w:adjustRightInd w:val="0"/>
              <w:snapToGrid w:val="0"/>
              <w:spacing w:before="0" w:beforeAutospacing="0" w:after="0" w:afterAutospacing="0" w:line="360" w:lineRule="auto"/>
              <w:ind w:firstLine="480"/>
              <w:jc w:val="both"/>
              <w:rPr>
                <w:rFonts w:ascii="Times New Roman" w:hAnsi="Times New Roman"/>
                <w:color w:val="000000" w:themeColor="text1"/>
                <w:u w:val="single"/>
                <w14:textFill>
                  <w14:solidFill>
                    <w14:schemeClr w14:val="tx1"/>
                  </w14:solidFill>
                </w14:textFill>
              </w:rPr>
            </w:pPr>
            <w:r>
              <w:rPr>
                <w:rFonts w:ascii="Times New Roman" w:hAnsi="Times New Roman"/>
                <w:color w:val="000000" w:themeColor="text1"/>
                <w:u w:val="single"/>
                <w14:textFill>
                  <w14:solidFill>
                    <w14:schemeClr w14:val="tx1"/>
                  </w14:solidFill>
                </w14:textFill>
              </w:rPr>
              <w:t>本项目位于湘阴县金龙新区工业区内，区域内供水、供电充足，道路、市政污水管网配套设施基本完善，对项目生产造成制约较少。</w:t>
            </w:r>
          </w:p>
          <w:p>
            <w:pPr>
              <w:pStyle w:val="62"/>
              <w:adjustRightInd w:val="0"/>
              <w:snapToGrid w:val="0"/>
              <w:ind w:firstLine="480" w:firstLineChars="200"/>
              <w:jc w:val="both"/>
              <w:outlineLvl w:val="9"/>
              <w:rPr>
                <w:b w:val="0"/>
                <w:color w:val="000000" w:themeColor="text1"/>
                <w:u w:val="single"/>
                <w14:textFill>
                  <w14:solidFill>
                    <w14:schemeClr w14:val="tx1"/>
                  </w14:solidFill>
                </w14:textFill>
              </w:rPr>
            </w:pPr>
            <w:r>
              <w:rPr>
                <w:b w:val="0"/>
                <w:color w:val="000000" w:themeColor="text1"/>
                <w:u w:val="single"/>
                <w14:textFill>
                  <w14:solidFill>
                    <w14:schemeClr w14:val="tx1"/>
                  </w14:solidFill>
                </w14:textFill>
              </w:rPr>
              <w:t>4、环境容量</w:t>
            </w:r>
          </w:p>
          <w:p>
            <w:pPr>
              <w:adjustRightInd w:val="0"/>
              <w:snapToGrid w:val="0"/>
              <w:spacing w:line="360" w:lineRule="auto"/>
              <w:ind w:firstLine="480" w:firstLineChars="200"/>
              <w:outlineLvl w:val="0"/>
              <w:rPr>
                <w:color w:val="000000" w:themeColor="text1"/>
                <w:sz w:val="24"/>
                <w:u w:val="single"/>
                <w14:textFill>
                  <w14:solidFill>
                    <w14:schemeClr w14:val="tx1"/>
                  </w14:solidFill>
                </w14:textFill>
              </w:rPr>
            </w:pPr>
            <w:bookmarkStart w:id="2" w:name="_Toc437240974"/>
            <w:bookmarkStart w:id="3" w:name="_Toc1868"/>
            <w:bookmarkStart w:id="4" w:name="_Toc20300"/>
            <w:r>
              <w:rPr>
                <w:color w:val="000000" w:themeColor="text1"/>
                <w:sz w:val="24"/>
                <w:u w:val="single"/>
                <w14:textFill>
                  <w14:solidFill>
                    <w14:schemeClr w14:val="tx1"/>
                  </w14:solidFill>
                </w14:textFill>
              </w:rPr>
              <w:t>环境现状质量监测结果表明：环境空气、地表水及声环境质量现状均符合功能区划分要求，环境质量现状较好，有一定的环境容量。</w:t>
            </w:r>
            <w:bookmarkEnd w:id="2"/>
            <w:bookmarkEnd w:id="3"/>
            <w:bookmarkEnd w:id="4"/>
          </w:p>
          <w:p>
            <w:pPr>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5、对环境的影响</w:t>
            </w:r>
          </w:p>
          <w:p>
            <w:pPr>
              <w:adjustRightInd w:val="0"/>
              <w:snapToGrid w:val="0"/>
              <w:spacing w:line="360" w:lineRule="auto"/>
              <w:ind w:firstLine="480" w:firstLineChars="200"/>
              <w:rPr>
                <w:color w:val="000000" w:themeColor="text1"/>
                <w:sz w:val="24"/>
                <w:u w:val="single"/>
                <w14:textFill>
                  <w14:solidFill>
                    <w14:schemeClr w14:val="tx1"/>
                  </w14:solidFill>
                </w14:textFill>
              </w:rPr>
            </w:pPr>
            <w:bookmarkStart w:id="5" w:name="_Toc437240976"/>
            <w:r>
              <w:rPr>
                <w:color w:val="000000" w:themeColor="text1"/>
                <w:sz w:val="24"/>
                <w:u w:val="single"/>
                <w14:textFill>
                  <w14:solidFill>
                    <w14:schemeClr w14:val="tx1"/>
                  </w14:solidFill>
                </w14:textFill>
              </w:rPr>
              <w:t>本项目无生产废水</w:t>
            </w:r>
            <w:r>
              <w:rPr>
                <w:rFonts w:hint="eastAsia"/>
                <w:color w:val="000000" w:themeColor="text1"/>
                <w:sz w:val="24"/>
                <w:u w:val="single"/>
                <w14:textFill>
                  <w14:solidFill>
                    <w14:schemeClr w14:val="tx1"/>
                  </w14:solidFill>
                </w14:textFill>
              </w:rPr>
              <w:t>产生</w:t>
            </w:r>
            <w:r>
              <w:rPr>
                <w:color w:val="000000" w:themeColor="text1"/>
                <w:sz w:val="24"/>
                <w:u w:val="single"/>
                <w14:textFill>
                  <w14:solidFill>
                    <w14:schemeClr w14:val="tx1"/>
                  </w14:solidFill>
                </w14:textFill>
              </w:rPr>
              <w:t>，生活污水经</w:t>
            </w:r>
            <w:r>
              <w:rPr>
                <w:rFonts w:hint="eastAsia"/>
                <w:color w:val="000000" w:themeColor="text1"/>
                <w:sz w:val="24"/>
                <w:u w:val="single"/>
                <w14:textFill>
                  <w14:solidFill>
                    <w14:schemeClr w14:val="tx1"/>
                  </w14:solidFill>
                </w14:textFill>
              </w:rPr>
              <w:t>隔油池+化粪池</w:t>
            </w:r>
            <w:r>
              <w:rPr>
                <w:color w:val="000000" w:themeColor="text1"/>
                <w:sz w:val="24"/>
                <w:u w:val="single"/>
                <w14:textFill>
                  <w14:solidFill>
                    <w14:schemeClr w14:val="tx1"/>
                  </w14:solidFill>
                </w14:textFill>
              </w:rPr>
              <w:t>处理后排入市政污水管网；</w:t>
            </w:r>
            <w:r>
              <w:rPr>
                <w:rFonts w:hint="eastAsia"/>
                <w:color w:val="000000" w:themeColor="text1"/>
                <w:sz w:val="24"/>
                <w:u w:val="single"/>
                <w14:textFill>
                  <w14:solidFill>
                    <w14:schemeClr w14:val="tx1"/>
                  </w14:solidFill>
                </w14:textFill>
              </w:rPr>
              <w:t>项目</w:t>
            </w:r>
            <w:r>
              <w:rPr>
                <w:color w:val="000000" w:themeColor="text1"/>
                <w:sz w:val="24"/>
                <w:u w:val="single"/>
                <w14:textFill>
                  <w14:solidFill>
                    <w14:schemeClr w14:val="tx1"/>
                  </w14:solidFill>
                </w14:textFill>
              </w:rPr>
              <w:t>切割</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打磨粉尘经收集处理后达标排放，降低对周边环境的影响；选用低噪声设备，噪声可达到排放要求；职工生活垃圾交由环卫部门处理，危险废物委托有资质的单位处理。</w:t>
            </w:r>
            <w:bookmarkEnd w:id="5"/>
            <w:r>
              <w:rPr>
                <w:color w:val="000000" w:themeColor="text1"/>
                <w:sz w:val="24"/>
                <w:u w:val="single"/>
                <w14:textFill>
                  <w14:solidFill>
                    <w14:schemeClr w14:val="tx1"/>
                  </w14:solidFill>
                </w14:textFill>
              </w:rPr>
              <w:t>项目采取相应的措施后对周围环境影响较小。</w:t>
            </w:r>
          </w:p>
          <w:p>
            <w:pPr>
              <w:adjustRightInd w:val="0"/>
              <w:snapToGrid w:val="0"/>
              <w:spacing w:line="360" w:lineRule="auto"/>
              <w:ind w:firstLine="480" w:firstLineChars="200"/>
              <w:rPr>
                <w:rFonts w:ascii="Times New Roman" w:hAnsi="Times New Roman" w:eastAsia="宋体" w:cs="Times New Roman"/>
                <w:color w:val="000000" w:themeColor="text1"/>
                <w:sz w:val="24"/>
                <w:u w:val="single"/>
                <w14:textFill>
                  <w14:solidFill>
                    <w14:schemeClr w14:val="tx1"/>
                  </w14:solidFill>
                </w14:textFill>
              </w:rPr>
            </w:pPr>
            <w:r>
              <w:rPr>
                <w:rFonts w:hint="eastAsia" w:ascii="Times New Roman" w:hAnsi="Times New Roman" w:eastAsia="宋体" w:cs="Times New Roman"/>
                <w:color w:val="000000" w:themeColor="text1"/>
                <w:sz w:val="24"/>
                <w:u w:val="single"/>
                <w14:textFill>
                  <w14:solidFill>
                    <w14:schemeClr w14:val="tx1"/>
                  </w14:solidFill>
                </w14:textFill>
              </w:rPr>
              <w:t>6</w:t>
            </w:r>
            <w:r>
              <w:rPr>
                <w:rFonts w:ascii="Times New Roman" w:hAnsi="Times New Roman" w:eastAsia="宋体" w:cs="Times New Roman"/>
                <w:color w:val="000000" w:themeColor="text1"/>
                <w:sz w:val="24"/>
                <w:u w:val="single"/>
                <w14:textFill>
                  <w14:solidFill>
                    <w14:schemeClr w14:val="tx1"/>
                  </w14:solidFill>
                </w14:textFill>
              </w:rPr>
              <w:t>、与《</w:t>
            </w:r>
            <w:r>
              <w:rPr>
                <w:rFonts w:hint="eastAsia" w:ascii="Times New Roman" w:hAnsi="Times New Roman" w:eastAsia="宋体" w:cs="Times New Roman"/>
                <w:color w:val="000000" w:themeColor="text1"/>
                <w:sz w:val="24"/>
                <w:u w:val="single"/>
                <w14:textFill>
                  <w14:solidFill>
                    <w14:schemeClr w14:val="tx1"/>
                  </w14:solidFill>
                </w14:textFill>
              </w:rPr>
              <w:t>岳阳市人民政府关于实施岳阳市“三线一单”生态环境分区管控的意见（岳政发〔2021〕2号）</w:t>
            </w:r>
            <w:r>
              <w:rPr>
                <w:rFonts w:ascii="Times New Roman" w:hAnsi="Times New Roman" w:eastAsia="宋体" w:cs="Times New Roman"/>
                <w:color w:val="000000" w:themeColor="text1"/>
                <w:sz w:val="24"/>
                <w:u w:val="single"/>
                <w14:textFill>
                  <w14:solidFill>
                    <w14:schemeClr w14:val="tx1"/>
                  </w14:solidFill>
                </w14:textFill>
              </w:rPr>
              <w:t>》符合性分析</w:t>
            </w:r>
          </w:p>
          <w:p>
            <w:pPr>
              <w:adjustRightInd w:val="0"/>
              <w:snapToGrid w:val="0"/>
              <w:spacing w:line="360" w:lineRule="auto"/>
              <w:ind w:firstLine="480" w:firstLineChars="200"/>
              <w:rPr>
                <w:rFonts w:ascii="Times New Roman" w:hAnsi="Times New Roman" w:eastAsia="宋体" w:cs="Times New Roman"/>
                <w:color w:val="000000" w:themeColor="text1"/>
                <w:sz w:val="24"/>
                <w:u w:val="single"/>
                <w14:textFill>
                  <w14:solidFill>
                    <w14:schemeClr w14:val="tx1"/>
                  </w14:solidFill>
                </w14:textFill>
              </w:rPr>
            </w:pPr>
            <w:r>
              <w:rPr>
                <w:rFonts w:ascii="Times New Roman" w:hAnsi="Times New Roman" w:eastAsia="宋体" w:cs="Times New Roman"/>
                <w:color w:val="000000" w:themeColor="text1"/>
                <w:sz w:val="24"/>
                <w:u w:val="single"/>
                <w14:textFill>
                  <w14:solidFill>
                    <w14:schemeClr w14:val="tx1"/>
                  </w14:solidFill>
                </w14:textFill>
              </w:rPr>
              <w:t>本项目与《</w:t>
            </w:r>
            <w:r>
              <w:rPr>
                <w:rFonts w:hint="eastAsia" w:ascii="Times New Roman" w:hAnsi="Times New Roman" w:eastAsia="宋体" w:cs="Times New Roman"/>
                <w:color w:val="000000" w:themeColor="text1"/>
                <w:sz w:val="24"/>
                <w:u w:val="single"/>
                <w14:textFill>
                  <w14:solidFill>
                    <w14:schemeClr w14:val="tx1"/>
                  </w14:solidFill>
                </w14:textFill>
              </w:rPr>
              <w:t>岳阳市人民政府关于实施岳阳市“三线一单”生态环境分区管控的意见（岳政发〔2021〕2号）</w:t>
            </w:r>
            <w:r>
              <w:rPr>
                <w:rFonts w:ascii="Times New Roman" w:hAnsi="Times New Roman" w:eastAsia="宋体" w:cs="Times New Roman"/>
                <w:color w:val="000000" w:themeColor="text1"/>
                <w:sz w:val="24"/>
                <w:u w:val="single"/>
                <w14:textFill>
                  <w14:solidFill>
                    <w14:schemeClr w14:val="tx1"/>
                  </w14:solidFill>
                </w14:textFill>
              </w:rPr>
              <w:t>》中“</w:t>
            </w:r>
            <w:r>
              <w:rPr>
                <w:rFonts w:hint="eastAsia" w:ascii="Times New Roman" w:hAnsi="Times New Roman" w:eastAsia="宋体" w:cs="Times New Roman"/>
                <w:color w:val="000000" w:themeColor="text1"/>
                <w:sz w:val="24"/>
                <w:u w:val="single"/>
                <w:lang w:val="en-US" w:eastAsia="zh-CN"/>
                <w14:textFill>
                  <w14:solidFill>
                    <w14:schemeClr w14:val="tx1"/>
                  </w14:solidFill>
                </w14:textFill>
              </w:rPr>
              <w:t>金龙镇</w:t>
            </w:r>
            <w:r>
              <w:rPr>
                <w:rFonts w:ascii="Times New Roman" w:hAnsi="Times New Roman" w:eastAsia="宋体" w:cs="Times New Roman"/>
                <w:color w:val="000000" w:themeColor="text1"/>
                <w:sz w:val="24"/>
                <w:u w:val="single"/>
                <w14:textFill>
                  <w14:solidFill>
                    <w14:schemeClr w14:val="tx1"/>
                  </w14:solidFill>
                </w14:textFill>
              </w:rPr>
              <w:t>”准入清单符合性分析见表1-3。</w:t>
            </w:r>
          </w:p>
          <w:p>
            <w:pPr>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line="18" w:lineRule="atLeast"/>
              <w:ind w:left="0" w:firstLine="0"/>
              <w:jc w:val="center"/>
              <w:rPr>
                <w:rFonts w:ascii="Times New Roman" w:hAnsi="Times New Roman" w:eastAsia="宋体" w:cs="Times New Roman"/>
                <w:b/>
                <w:color w:val="000000" w:themeColor="text1"/>
                <w:u w:val="single"/>
                <w14:textFill>
                  <w14:solidFill>
                    <w14:schemeClr w14:val="tx1"/>
                  </w14:solidFill>
                </w14:textFill>
              </w:rPr>
            </w:pPr>
            <w:r>
              <w:rPr>
                <w:rFonts w:ascii="Times New Roman" w:hAnsi="Times New Roman" w:eastAsia="宋体" w:cs="Times New Roman"/>
                <w:b/>
                <w:color w:val="000000" w:themeColor="text1"/>
                <w:u w:val="single"/>
                <w14:textFill>
                  <w14:solidFill>
                    <w14:schemeClr w14:val="tx1"/>
                  </w14:solidFill>
                </w14:textFill>
              </w:rPr>
              <w:t>表1-2 项目与《</w:t>
            </w:r>
            <w:r>
              <w:rPr>
                <w:rFonts w:hint="eastAsia" w:ascii="Times New Roman" w:hAnsi="Times New Roman" w:eastAsia="宋体" w:cs="Times New Roman"/>
                <w:b/>
                <w:color w:val="000000" w:themeColor="text1"/>
                <w:u w:val="single"/>
                <w14:textFill>
                  <w14:solidFill>
                    <w14:schemeClr w14:val="tx1"/>
                  </w14:solidFill>
                </w14:textFill>
              </w:rPr>
              <w:t>岳阳市人民政府关于实施岳阳市“三线一单”生态环境分区管控的意见（岳政发〔2021〕2号）</w:t>
            </w:r>
            <w:r>
              <w:rPr>
                <w:rFonts w:ascii="Times New Roman" w:hAnsi="Times New Roman" w:eastAsia="宋体" w:cs="Times New Roman"/>
                <w:b/>
                <w:color w:val="000000" w:themeColor="text1"/>
                <w:u w:val="single"/>
                <w14:textFill>
                  <w14:solidFill>
                    <w14:schemeClr w14:val="tx1"/>
                  </w14:solidFill>
                </w14:textFill>
              </w:rPr>
              <w:t>》相符性分析</w:t>
            </w:r>
          </w:p>
          <w:tbl>
            <w:tblPr>
              <w:tblStyle w:val="23"/>
              <w:tblW w:w="4981"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487"/>
              <w:gridCol w:w="3971"/>
              <w:gridCol w:w="1189"/>
              <w:gridCol w:w="77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38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bidi w:val="0"/>
                    <w:adjustRightInd w:val="0"/>
                    <w:snapToGrid w:val="0"/>
                    <w:spacing w:line="240" w:lineRule="auto"/>
                    <w:ind w:right="0" w:firstLine="0" w:firstLineChars="0"/>
                    <w:jc w:val="left"/>
                    <w:textAlignment w:val="auto"/>
                    <w:rPr>
                      <w:b/>
                      <w:color w:val="000000" w:themeColor="text1"/>
                      <w:sz w:val="21"/>
                      <w:szCs w:val="21"/>
                      <w:u w:val="single"/>
                      <w14:textFill>
                        <w14:solidFill>
                          <w14:schemeClr w14:val="tx1"/>
                        </w14:solidFill>
                      </w14:textFill>
                    </w:rPr>
                  </w:pPr>
                  <w:r>
                    <w:rPr>
                      <w:b/>
                      <w:color w:val="000000" w:themeColor="text1"/>
                      <w:sz w:val="21"/>
                      <w:szCs w:val="21"/>
                      <w:u w:val="single"/>
                      <w14:textFill>
                        <w14:solidFill>
                          <w14:schemeClr w14:val="tx1"/>
                        </w14:solidFill>
                      </w14:textFill>
                    </w:rPr>
                    <w:t>内容</w:t>
                  </w:r>
                </w:p>
              </w:tc>
              <w:tc>
                <w:tcPr>
                  <w:tcW w:w="309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bidi w:val="0"/>
                    <w:adjustRightInd w:val="0"/>
                    <w:snapToGrid w:val="0"/>
                    <w:spacing w:line="240" w:lineRule="auto"/>
                    <w:ind w:left="0" w:right="0" w:firstLine="0" w:firstLineChars="0"/>
                    <w:textAlignment w:val="auto"/>
                    <w:rPr>
                      <w:b/>
                      <w:color w:val="000000" w:themeColor="text1"/>
                      <w:sz w:val="21"/>
                      <w:szCs w:val="21"/>
                      <w:u w:val="single"/>
                      <w14:textFill>
                        <w14:solidFill>
                          <w14:schemeClr w14:val="tx1"/>
                        </w14:solidFill>
                      </w14:textFill>
                    </w:rPr>
                  </w:pPr>
                  <w:r>
                    <w:rPr>
                      <w:b/>
                      <w:color w:val="000000" w:themeColor="text1"/>
                      <w:sz w:val="21"/>
                      <w:szCs w:val="21"/>
                      <w:u w:val="single"/>
                      <w14:textFill>
                        <w14:solidFill>
                          <w14:schemeClr w14:val="tx1"/>
                        </w14:solidFill>
                      </w14:textFill>
                    </w:rPr>
                    <w:t>文件要求</w:t>
                  </w:r>
                </w:p>
              </w:tc>
              <w:tc>
                <w:tcPr>
                  <w:tcW w:w="925"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bidi w:val="0"/>
                    <w:adjustRightInd w:val="0"/>
                    <w:snapToGrid w:val="0"/>
                    <w:spacing w:line="240" w:lineRule="auto"/>
                    <w:ind w:right="0" w:firstLine="0" w:firstLineChars="0"/>
                    <w:jc w:val="left"/>
                    <w:textAlignment w:val="auto"/>
                    <w:rPr>
                      <w:b/>
                      <w:color w:val="000000" w:themeColor="text1"/>
                      <w:sz w:val="21"/>
                      <w:szCs w:val="21"/>
                      <w:u w:val="single"/>
                      <w14:textFill>
                        <w14:solidFill>
                          <w14:schemeClr w14:val="tx1"/>
                        </w14:solidFill>
                      </w14:textFill>
                    </w:rPr>
                  </w:pPr>
                  <w:r>
                    <w:rPr>
                      <w:b/>
                      <w:color w:val="000000" w:themeColor="text1"/>
                      <w:sz w:val="21"/>
                      <w:szCs w:val="21"/>
                      <w:u w:val="single"/>
                      <w14:textFill>
                        <w14:solidFill>
                          <w14:schemeClr w14:val="tx1"/>
                        </w14:solidFill>
                      </w14:textFill>
                    </w:rPr>
                    <w:t>本项目情况</w:t>
                  </w:r>
                </w:p>
              </w:tc>
              <w:tc>
                <w:tcPr>
                  <w:tcW w:w="603"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bidi w:val="0"/>
                    <w:adjustRightInd w:val="0"/>
                    <w:snapToGrid w:val="0"/>
                    <w:spacing w:line="240" w:lineRule="auto"/>
                    <w:ind w:right="0" w:firstLine="0" w:firstLineChars="0"/>
                    <w:jc w:val="left"/>
                    <w:textAlignment w:val="auto"/>
                    <w:rPr>
                      <w:rFonts w:hint="eastAsia" w:eastAsia="宋体"/>
                      <w:b/>
                      <w:color w:val="000000" w:themeColor="text1"/>
                      <w:sz w:val="21"/>
                      <w:szCs w:val="21"/>
                      <w:u w:val="single"/>
                      <w:lang w:val="en-US" w:eastAsia="zh-CN"/>
                      <w14:textFill>
                        <w14:solidFill>
                          <w14:schemeClr w14:val="tx1"/>
                        </w14:solidFill>
                      </w14:textFill>
                    </w:rPr>
                  </w:pPr>
                  <w:r>
                    <w:rPr>
                      <w:rFonts w:hint="eastAsia"/>
                      <w:b/>
                      <w:color w:val="000000" w:themeColor="text1"/>
                      <w:sz w:val="21"/>
                      <w:szCs w:val="21"/>
                      <w:u w:val="single"/>
                      <w:lang w:val="en-US" w:eastAsia="zh-CN"/>
                      <w14:textFill>
                        <w14:solidFill>
                          <w14:schemeClr w14:val="tx1"/>
                        </w14:solidFill>
                      </w14:textFill>
                    </w:rPr>
                    <w:t>符合性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38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both"/>
                    <w:textAlignment w:val="auto"/>
                    <w:rPr>
                      <w:rFonts w:ascii="Times New Roman" w:hAnsi="Times New Roman" w:eastAsia="宋体" w:cs="Times New Roman"/>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经济产业布局</w:t>
                  </w:r>
                </w:p>
              </w:tc>
              <w:tc>
                <w:tcPr>
                  <w:tcW w:w="309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ascii="Times New Roman" w:hAnsi="Times New Roman" w:eastAsia="宋体" w:cs="Times New Roman"/>
                      <w:color w:val="000000" w:themeColor="text1"/>
                      <w:sz w:val="21"/>
                      <w:szCs w:val="21"/>
                      <w:u w:val="single"/>
                      <w14:textFill>
                        <w14:solidFill>
                          <w14:schemeClr w14:val="tx1"/>
                        </w14:solidFill>
                      </w14:textFill>
                    </w:rPr>
                  </w:pPr>
                  <w:r>
                    <w:rPr>
                      <w:rFonts w:ascii="Times New Roman" w:hAnsi="Times New Roman" w:eastAsia="宋体" w:cs="Times New Roman"/>
                      <w:color w:val="000000" w:themeColor="text1"/>
                      <w:sz w:val="21"/>
                      <w:szCs w:val="21"/>
                      <w:u w:val="single"/>
                      <w14:textFill>
                        <w14:solidFill>
                          <w14:schemeClr w14:val="tx1"/>
                        </w14:solidFill>
                      </w14:textFill>
                    </w:rPr>
                    <w:t>湘江新区新片区重要组成部分，县域次中心;以先进制造业、教育科研为主导，辅以山地康养旅游</w:t>
                  </w:r>
                </w:p>
              </w:tc>
              <w:tc>
                <w:tcPr>
                  <w:tcW w:w="925"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single"/>
                      <w:lang w:val="en-US" w:eastAsia="zh-CN"/>
                      <w14:textFill>
                        <w14:solidFill>
                          <w14:schemeClr w14:val="tx1"/>
                        </w14:solidFill>
                      </w14:textFill>
                    </w:rPr>
                    <w:t>本项目属于</w:t>
                  </w:r>
                  <w:r>
                    <w:rPr>
                      <w:rFonts w:ascii="Times New Roman" w:hAnsi="Times New Roman" w:eastAsia="宋体" w:cs="Times New Roman"/>
                      <w:color w:val="000000" w:themeColor="text1"/>
                      <w:sz w:val="21"/>
                      <w:szCs w:val="21"/>
                      <w:u w:val="single"/>
                      <w14:textFill>
                        <w14:solidFill>
                          <w14:schemeClr w14:val="tx1"/>
                        </w14:solidFill>
                      </w14:textFill>
                    </w:rPr>
                    <w:t>C3444液压动力机械及元件制造</w:t>
                  </w:r>
                  <w:r>
                    <w:rPr>
                      <w:rFonts w:hint="eastAsia" w:ascii="Times New Roman" w:hAnsi="Times New Roman" w:eastAsia="宋体" w:cs="Times New Roman"/>
                      <w:color w:val="000000" w:themeColor="text1"/>
                      <w:sz w:val="21"/>
                      <w:szCs w:val="21"/>
                      <w:u w:val="single"/>
                      <w:lang w:val="en-US" w:eastAsia="zh-CN"/>
                      <w14:textFill>
                        <w14:solidFill>
                          <w14:schemeClr w14:val="tx1"/>
                        </w14:solidFill>
                      </w14:textFill>
                    </w:rPr>
                    <w:t>为先进制造业</w:t>
                  </w:r>
                </w:p>
              </w:tc>
              <w:tc>
                <w:tcPr>
                  <w:tcW w:w="603"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single"/>
                      <w:lang w:val="en-US" w:eastAsia="zh-CN"/>
                      <w14:textFill>
                        <w14:solidFill>
                          <w14:schemeClr w14:val="tx1"/>
                        </w14:solidFill>
                      </w14:textFill>
                    </w:rPr>
                    <w:t>符合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38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both"/>
                    <w:textAlignment w:val="auto"/>
                    <w:rPr>
                      <w:rFonts w:ascii="Times New Roman" w:hAnsi="Times New Roman" w:eastAsia="宋体" w:cs="Times New Roman"/>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空间布局约束</w:t>
                  </w:r>
                </w:p>
              </w:tc>
              <w:tc>
                <w:tcPr>
                  <w:tcW w:w="309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ascii="Times New Roman" w:hAnsi="Times New Roman" w:eastAsia="宋体" w:cs="Times New Roman"/>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1.1严格执行养殖业禁养区、限养区、适养区的划分规定，严格把关养殖项目审批，不得在禁养区、限养区新批任何畜禽养殖项目1.2禁止露天焚烧垃圾和垃圾填埋，全面推行农村垃圾分类收集处理，逐步实现农村生活垃圾处理减量化、处置无害化、废物资源化1.3禁止造成饮用水源保护区污染的活动，包括投肥养鱼、珍珠养殖、游泳、破坏植被等</w:t>
                  </w:r>
                </w:p>
              </w:tc>
              <w:tc>
                <w:tcPr>
                  <w:tcW w:w="925"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single"/>
                      <w:lang w:val="en-US" w:eastAsia="zh-CN"/>
                      <w14:textFill>
                        <w14:solidFill>
                          <w14:schemeClr w14:val="tx1"/>
                        </w14:solidFill>
                      </w14:textFill>
                    </w:rPr>
                    <w:t>不涉及农业重点管控区及农用地优先保护区</w:t>
                  </w:r>
                </w:p>
              </w:tc>
              <w:tc>
                <w:tcPr>
                  <w:tcW w:w="603"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single"/>
                      <w:lang w:val="en-US" w:eastAsia="zh-CN"/>
                      <w14:textFill>
                        <w14:solidFill>
                          <w14:schemeClr w14:val="tx1"/>
                        </w14:solidFill>
                      </w14:textFill>
                    </w:rPr>
                    <w:t>符合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38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both"/>
                    <w:textAlignment w:val="auto"/>
                    <w:rPr>
                      <w:rFonts w:ascii="Times New Roman" w:hAnsi="Times New Roman" w:eastAsia="宋体" w:cs="Times New Roman"/>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污染物排放管控</w:t>
                  </w:r>
                </w:p>
              </w:tc>
              <w:tc>
                <w:tcPr>
                  <w:tcW w:w="309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ascii="宋体" w:hAnsi="宋体" w:eastAsia="宋体" w:cs="宋体"/>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2.1城市建成区内的施工工地（重点是市政工程、建筑工地和园林绿化工程等工地）按照绿色建筑施工要求，做到“六个100%”。加大执法力度，对工地扬尘污染和渣土运输撒漏污染等行为“零容忍”，严查严管建筑工地、建筑垃圾处置工地、建筑垃圾消纳场扬尘污染问题，对车轮带泥、车身不洁、沿途撒漏、乱倾乱倒等造成路面及扬尘污染的违规行为依法严肃查处</w:t>
                  </w:r>
                </w:p>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ascii="宋体" w:hAnsi="宋体" w:eastAsia="宋体" w:cs="宋体"/>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2.2加强化肥、农药、农膜污染防治，引导农民减少化肥、农药使用量，积极推广有机肥使用、生物农药、振频杀虫、诱蛾灯杀虫等生态农业技术，控制农业面源污染</w:t>
                  </w:r>
                </w:p>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ascii="宋体" w:hAnsi="宋体" w:eastAsia="宋体" w:cs="宋体"/>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2.3强化配套，加快完善乡村两级垃圾处理基础设施，建设村（社区）垃圾定点收集池、垃圾堆积池、垃圾危险废物专用房屋（池）等基础设施，配备好垃圾车、保洁车等垃圾运输工具，农户配齐垃圾分类桶</w:t>
                  </w:r>
                </w:p>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hint="eastAsia" w:ascii="宋体" w:hAnsi="宋体" w:eastAsia="宋体" w:cs="宋体"/>
                      <w:color w:val="000000" w:themeColor="text1"/>
                      <w:sz w:val="21"/>
                      <w:szCs w:val="21"/>
                      <w:u w:val="single"/>
                      <w:lang w:eastAsia="zh-CN"/>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2.4分批次建好集镇污水处理设施，逐步解决集中生活区污水污染问题；加快建设三格、四格化粪池，解决分散户生活污水问题</w:t>
                  </w:r>
                </w:p>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hint="eastAsia" w:ascii="宋体" w:hAnsi="宋体" w:eastAsia="宋体" w:cs="宋体"/>
                      <w:color w:val="000000" w:themeColor="text1"/>
                      <w:sz w:val="21"/>
                      <w:szCs w:val="21"/>
                      <w:u w:val="single"/>
                      <w:lang w:eastAsia="zh-CN"/>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2.5严格规范兽药、饲料及饲料添加剂的生产和使用，从源头防止兽药、饲料添加剂中的有害成分通过畜禽养殖废弃物还田对土壤造成的污染</w:t>
                  </w:r>
                </w:p>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ascii="宋体" w:hAnsi="宋体" w:eastAsia="宋体" w:cs="宋体"/>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2.6畜禽粪污污染整治应按照“干湿分离+雨污分流”的要求，采用干清粪工艺和粪污生物发酵处理利用模式处理粪污，须配套建设堆粪场、粪污水贮存池和铺设排污管道。干粪运至堆粪场好氧发酵，粪渣、尿、污水通过排污管道排入粪污水贮存池（或沼气池）厌氧发酵，贮存池内的粪污水不得向外排放，应就地或转运至其他农用地消纳，并签订粪污消纳协议</w:t>
                  </w:r>
                </w:p>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ascii="Times New Roman" w:hAnsi="Times New Roman" w:eastAsia="宋体" w:cs="Times New Roman"/>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2.7加强房屋建筑与市政工程施工现场扬尘环境监管，积极推进绿色施工，建设工程施工现场必须全封闭设置围挡墙，严禁敞开式作业，施工现场道路、作业区、生活区必须进行地面硬化。将施工扬尘污染控制情况纳入建筑企业信用管理系统，作为招投标的重要依据。渣土运输车辆全部采取密闭措施，对重点建筑施工现场安装视频，实施在线监管。推行道路机械化清扫等低尘作业方式。各种煤堆、料堆应实现封闭储存或建设防风抑尘设施</w:t>
                  </w:r>
                </w:p>
              </w:tc>
              <w:tc>
                <w:tcPr>
                  <w:tcW w:w="925"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eastAsia" w:ascii="宋体" w:hAnsi="宋体" w:eastAsia="宋体" w:cs="宋体"/>
                      <w:color w:val="000000" w:themeColor="text1"/>
                      <w:sz w:val="21"/>
                      <w:szCs w:val="21"/>
                      <w:u w:val="single"/>
                      <w:lang w:val="en-US" w:eastAsia="zh-CN"/>
                      <w14:textFill>
                        <w14:solidFill>
                          <w14:schemeClr w14:val="tx1"/>
                        </w14:solidFill>
                      </w14:textFill>
                    </w:rPr>
                    <w:t>本项目施工能够</w:t>
                  </w:r>
                  <w:r>
                    <w:rPr>
                      <w:rFonts w:ascii="宋体" w:hAnsi="宋体" w:eastAsia="宋体" w:cs="宋体"/>
                      <w:color w:val="000000" w:themeColor="text1"/>
                      <w:sz w:val="21"/>
                      <w:szCs w:val="21"/>
                      <w:u w:val="single"/>
                      <w14:textFill>
                        <w14:solidFill>
                          <w14:schemeClr w14:val="tx1"/>
                        </w14:solidFill>
                      </w14:textFill>
                    </w:rPr>
                    <w:t>做到“六个100%”</w:t>
                  </w:r>
                  <w:r>
                    <w:rPr>
                      <w:rFonts w:hint="eastAsia" w:ascii="宋体" w:hAnsi="宋体" w:eastAsia="宋体" w:cs="宋体"/>
                      <w:color w:val="000000" w:themeColor="text1"/>
                      <w:sz w:val="21"/>
                      <w:szCs w:val="21"/>
                      <w:u w:val="single"/>
                      <w:lang w:val="en-US" w:eastAsia="zh-CN"/>
                      <w14:textFill>
                        <w14:solidFill>
                          <w14:schemeClr w14:val="tx1"/>
                        </w14:solidFill>
                      </w14:textFill>
                    </w:rPr>
                    <w:t>施工作业采取合理可行的降尘措施</w:t>
                  </w:r>
                </w:p>
              </w:tc>
              <w:tc>
                <w:tcPr>
                  <w:tcW w:w="603"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ascii="宋体" w:hAnsi="宋体" w:eastAsia="宋体" w:cs="宋体"/>
                      <w:color w:val="000000" w:themeColor="text1"/>
                      <w:sz w:val="21"/>
                      <w:szCs w:val="21"/>
                      <w:u w:val="single"/>
                      <w:lang w:val="en-US" w:eastAsia="zh-CN"/>
                      <w14:textFill>
                        <w14:solidFill>
                          <w14:schemeClr w14:val="tx1"/>
                        </w14:solidFill>
                      </w14:textFill>
                    </w:rPr>
                  </w:pPr>
                  <w:r>
                    <w:rPr>
                      <w:rFonts w:hint="eastAsia" w:ascii="宋体" w:hAnsi="宋体" w:eastAsia="宋体" w:cs="宋体"/>
                      <w:color w:val="000000" w:themeColor="text1"/>
                      <w:sz w:val="21"/>
                      <w:szCs w:val="21"/>
                      <w:u w:val="single"/>
                      <w:lang w:val="en-US" w:eastAsia="zh-CN"/>
                      <w14:textFill>
                        <w14:solidFill>
                          <w14:schemeClr w14:val="tx1"/>
                        </w14:solidFill>
                      </w14:textFill>
                    </w:rPr>
                    <w:t>符合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38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both"/>
                    <w:textAlignment w:val="auto"/>
                    <w:rPr>
                      <w:rFonts w:ascii="Times New Roman" w:hAnsi="Times New Roman" w:eastAsia="宋体" w:cs="Times New Roman"/>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环境风险防控</w:t>
                  </w:r>
                </w:p>
              </w:tc>
              <w:tc>
                <w:tcPr>
                  <w:tcW w:w="309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ascii="宋体" w:hAnsi="宋体" w:eastAsia="宋体" w:cs="宋体"/>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3.1探索采用PPP等市场化模式，引入第三方参与运行管理，鼓励社会投资建设污水处理厂，将管护权、收益权划归社会投资者，解决农村污水治理问题</w:t>
                  </w:r>
                </w:p>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hint="eastAsia" w:ascii="宋体" w:hAnsi="宋体" w:eastAsia="宋体" w:cs="宋体"/>
                      <w:color w:val="000000" w:themeColor="text1"/>
                      <w:sz w:val="21"/>
                      <w:szCs w:val="21"/>
                      <w:u w:val="single"/>
                      <w:lang w:eastAsia="zh-CN"/>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3.2开展饮用水源地周边土壤环境质量调查，掌握饮用水源地周边土壤环境质量状况及其潜在环境风险情况</w:t>
                  </w:r>
                </w:p>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ascii="宋体" w:hAnsi="宋体" w:eastAsia="宋体" w:cs="宋体"/>
                      <w:color w:val="000000" w:themeColor="text1"/>
                      <w:sz w:val="21"/>
                      <w:szCs w:val="21"/>
                      <w:u w:val="single"/>
                      <w14:textFill>
                        <w14:solidFill>
                          <w14:schemeClr w14:val="tx1"/>
                        </w14:solidFill>
                      </w14:textFill>
                    </w:rPr>
                  </w:pPr>
                  <w:r>
                    <w:rPr>
                      <w:rFonts w:ascii="宋体" w:hAnsi="宋体" w:eastAsia="宋体" w:cs="宋体"/>
                      <w:color w:val="000000" w:themeColor="text1"/>
                      <w:sz w:val="21"/>
                      <w:szCs w:val="21"/>
                      <w:u w:val="single"/>
                      <w14:textFill>
                        <w14:solidFill>
                          <w14:schemeClr w14:val="tx1"/>
                        </w14:solidFill>
                      </w14:textFill>
                    </w:rPr>
                    <w:t>3.3对生活饮用水集中式供水单位供水水质按国家相关要求进行行业自检和监督监测，所有市政供水安全状况按国家要求每季度进行公开</w:t>
                  </w:r>
                </w:p>
              </w:tc>
              <w:tc>
                <w:tcPr>
                  <w:tcW w:w="925"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eastAsia" w:ascii="宋体" w:hAnsi="宋体" w:eastAsia="宋体" w:cs="宋体"/>
                      <w:color w:val="000000" w:themeColor="text1"/>
                      <w:sz w:val="21"/>
                      <w:szCs w:val="21"/>
                      <w:u w:val="single"/>
                      <w:lang w:val="en-US" w:eastAsia="zh-CN"/>
                      <w14:textFill>
                        <w14:solidFill>
                          <w14:schemeClr w14:val="tx1"/>
                        </w14:solidFill>
                      </w14:textFill>
                    </w:rPr>
                    <w:t>项目不涉及饮用水源保护区风险名胜区</w:t>
                  </w:r>
                </w:p>
              </w:tc>
              <w:tc>
                <w:tcPr>
                  <w:tcW w:w="603"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ascii="宋体" w:hAnsi="宋体" w:eastAsia="宋体" w:cs="宋体"/>
                      <w:color w:val="000000" w:themeColor="text1"/>
                      <w:sz w:val="21"/>
                      <w:szCs w:val="21"/>
                      <w:u w:val="single"/>
                      <w:lang w:val="en-US" w:eastAsia="zh-CN"/>
                      <w14:textFill>
                        <w14:solidFill>
                          <w14:schemeClr w14:val="tx1"/>
                        </w14:solidFill>
                      </w14:textFill>
                    </w:rPr>
                  </w:pPr>
                  <w:r>
                    <w:rPr>
                      <w:rFonts w:hint="eastAsia" w:ascii="宋体" w:hAnsi="宋体" w:eastAsia="宋体" w:cs="宋体"/>
                      <w:color w:val="000000" w:themeColor="text1"/>
                      <w:sz w:val="21"/>
                      <w:szCs w:val="21"/>
                      <w:u w:val="single"/>
                      <w:lang w:val="en-US" w:eastAsia="zh-CN"/>
                      <w14:textFill>
                        <w14:solidFill>
                          <w14:schemeClr w14:val="tx1"/>
                        </w14:solidFill>
                      </w14:textFill>
                    </w:rPr>
                    <w:t>符合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38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both"/>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资源开发效率要求</w:t>
                  </w:r>
                </w:p>
              </w:tc>
              <w:tc>
                <w:tcPr>
                  <w:tcW w:w="3090"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hint="eastAsia" w:ascii="宋体" w:hAnsi="宋体" w:eastAsia="宋体" w:cs="宋体"/>
                      <w:color w:val="000000" w:themeColor="text1"/>
                      <w:sz w:val="21"/>
                      <w:szCs w:val="21"/>
                      <w:lang w:eastAsia="zh-CN"/>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4.1水资源：2020年，湘阴县万元国内生产总值用水量75m</w:t>
                  </w:r>
                  <w:r>
                    <w:rPr>
                      <w:rFonts w:ascii="宋体" w:hAnsi="宋体" w:eastAsia="宋体" w:cs="宋体"/>
                      <w:color w:val="000000" w:themeColor="text1"/>
                      <w:sz w:val="21"/>
                      <w:szCs w:val="21"/>
                      <w:vertAlign w:val="superscript"/>
                      <w14:textFill>
                        <w14:solidFill>
                          <w14:schemeClr w14:val="tx1"/>
                        </w14:solidFill>
                      </w14:textFill>
                    </w:rPr>
                    <w:t>3</w:t>
                  </w:r>
                  <w:r>
                    <w:rPr>
                      <w:rFonts w:ascii="宋体" w:hAnsi="宋体" w:eastAsia="宋体" w:cs="宋体"/>
                      <w:color w:val="000000" w:themeColor="text1"/>
                      <w:sz w:val="21"/>
                      <w:szCs w:val="21"/>
                      <w14:textFill>
                        <w14:solidFill>
                          <w14:schemeClr w14:val="tx1"/>
                        </w14:solidFill>
                      </w14:textFill>
                    </w:rPr>
                    <w:t>/万元，万元工业增加值用水量28m</w:t>
                  </w:r>
                  <w:r>
                    <w:rPr>
                      <w:rFonts w:ascii="宋体" w:hAnsi="宋体" w:eastAsia="宋体" w:cs="宋体"/>
                      <w:color w:val="000000" w:themeColor="text1"/>
                      <w:sz w:val="21"/>
                      <w:szCs w:val="21"/>
                      <w:vertAlign w:val="superscript"/>
                      <w14:textFill>
                        <w14:solidFill>
                          <w14:schemeClr w14:val="tx1"/>
                        </w14:solidFill>
                      </w14:textFill>
                    </w:rPr>
                    <w:t>3</w:t>
                  </w:r>
                  <w:r>
                    <w:rPr>
                      <w:rFonts w:ascii="宋体" w:hAnsi="宋体" w:eastAsia="宋体" w:cs="宋体"/>
                      <w:color w:val="000000" w:themeColor="text1"/>
                      <w:sz w:val="21"/>
                      <w:szCs w:val="21"/>
                      <w14:textFill>
                        <w14:solidFill>
                          <w14:schemeClr w14:val="tx1"/>
                        </w14:solidFill>
                      </w14:textFill>
                    </w:rPr>
                    <w:t>/万元，农田灌溉水有效利用系数0.53</w:t>
                  </w:r>
                </w:p>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jc w:val="left"/>
                    <w:textAlignment w:val="auto"/>
                    <w:rPr>
                      <w:rFonts w:ascii="宋体" w:hAnsi="宋体" w:eastAsia="宋体" w:cs="宋体"/>
                      <w:color w:val="000000" w:themeColor="text1"/>
                      <w:sz w:val="21"/>
                      <w:szCs w:val="21"/>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4.2能源：积极引导生活用燃煤的居民改用天然气、液化石油气等清洁能源，鼓励秸秆资源化、能源化利用。湘阴县“十三五”能耗强度降低目标18.5%，“十三五”能耗控制目标20万吨标准煤</w:t>
                  </w:r>
                </w:p>
              </w:tc>
              <w:tc>
                <w:tcPr>
                  <w:tcW w:w="925"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本项目使用能源为电能，不涉及落后能源使用</w:t>
                  </w:r>
                </w:p>
              </w:tc>
              <w:tc>
                <w:tcPr>
                  <w:tcW w:w="603" w:type="pct"/>
                  <w:tcBorders>
                    <w:top w:val="single" w:color="auto" w:sz="4" w:space="0"/>
                    <w:left w:val="single" w:color="auto" w:sz="4" w:space="0"/>
                    <w:bottom w:val="single" w:color="auto" w:sz="4" w:space="0"/>
                    <w:right w:val="single" w:color="auto" w:sz="4" w:space="0"/>
                  </w:tcBorders>
                  <w:noWrap w:val="0"/>
                  <w:vAlign w:val="top"/>
                </w:tcPr>
                <w:p>
                  <w:pPr>
                    <w:pStyle w:val="58"/>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firstLineChars="0"/>
                    <w:textAlignment w:val="auto"/>
                    <w:rPr>
                      <w:rFonts w:hint="default"/>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符合</w:t>
                  </w:r>
                </w:p>
              </w:tc>
            </w:tr>
          </w:tbl>
          <w:p>
            <w:pPr>
              <w:adjustRightInd w:val="0"/>
              <w:snapToGrid w:val="0"/>
              <w:spacing w:line="360" w:lineRule="auto"/>
              <w:ind w:firstLine="480" w:firstLineChars="200"/>
              <w:rPr>
                <w:color w:val="000000" w:themeColor="text1"/>
                <w:sz w:val="24"/>
                <w:u w:val="single"/>
                <w14:textFill>
                  <w14:solidFill>
                    <w14:schemeClr w14:val="tx1"/>
                  </w14:solidFill>
                </w14:textFill>
              </w:rPr>
            </w:pPr>
          </w:p>
          <w:p>
            <w:pPr>
              <w:adjustRightInd w:val="0"/>
              <w:snapToGrid w:val="0"/>
              <w:spacing w:line="360" w:lineRule="auto"/>
              <w:ind w:firstLine="480" w:firstLineChars="2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7</w:t>
            </w:r>
            <w:r>
              <w:rPr>
                <w:color w:val="000000" w:themeColor="text1"/>
                <w:sz w:val="24"/>
                <w:u w:val="single"/>
                <w14:textFill>
                  <w14:solidFill>
                    <w14:schemeClr w14:val="tx1"/>
                  </w14:solidFill>
                </w14:textFill>
              </w:rPr>
              <w:t>、与湘阴县的“三线一单”的符合性分析</w:t>
            </w:r>
          </w:p>
          <w:p>
            <w:pPr>
              <w:pStyle w:val="56"/>
              <w:adjustRightInd w:val="0"/>
              <w:spacing w:before="0" w:after="0" w:line="240" w:lineRule="auto"/>
              <w:ind w:right="0"/>
              <w:rPr>
                <w:rFonts w:eastAsia="宋体"/>
                <w:b/>
                <w:bCs/>
                <w:color w:val="000000" w:themeColor="text1"/>
                <w:szCs w:val="21"/>
                <w:u w:val="single"/>
                <w14:textFill>
                  <w14:solidFill>
                    <w14:schemeClr w14:val="tx1"/>
                  </w14:solidFill>
                </w14:textFill>
              </w:rPr>
            </w:pPr>
            <w:r>
              <w:rPr>
                <w:rFonts w:eastAsia="宋体"/>
                <w:b/>
                <w:bCs/>
                <w:color w:val="000000" w:themeColor="text1"/>
                <w:szCs w:val="21"/>
                <w:u w:val="single"/>
                <w14:textFill>
                  <w14:solidFill>
                    <w14:schemeClr w14:val="tx1"/>
                  </w14:solidFill>
                </w14:textFill>
              </w:rPr>
              <w:t>表 1-2 “三线一单”符合性分析</w:t>
            </w:r>
          </w:p>
          <w:tbl>
            <w:tblPr>
              <w:tblStyle w:val="23"/>
              <w:tblW w:w="6321"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3"/>
              <w:gridCol w:w="4357"/>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trPr>
              <w:tc>
                <w:tcPr>
                  <w:tcW w:w="809" w:type="pct"/>
                  <w:noWrap w:val="0"/>
                  <w:vAlign w:val="center"/>
                </w:tcPr>
                <w:p>
                  <w:pPr>
                    <w:pStyle w:val="58"/>
                    <w:autoSpaceDE w:val="0"/>
                    <w:autoSpaceDN w:val="0"/>
                    <w:spacing w:line="360" w:lineRule="exact"/>
                    <w:rPr>
                      <w:rFonts w:ascii="Times New Roman" w:hAnsi="Times New Roman" w:cs="Times New Roman"/>
                      <w:b/>
                      <w:color w:val="000000" w:themeColor="text1"/>
                      <w:u w:val="single"/>
                      <w14:textFill>
                        <w14:solidFill>
                          <w14:schemeClr w14:val="tx1"/>
                        </w14:solidFill>
                      </w14:textFill>
                    </w:rPr>
                  </w:pPr>
                  <w:r>
                    <w:rPr>
                      <w:rFonts w:ascii="Times New Roman" w:hAnsi="Times New Roman" w:cs="Times New Roman"/>
                      <w:b/>
                      <w:color w:val="000000" w:themeColor="text1"/>
                      <w:u w:val="single"/>
                      <w14:textFill>
                        <w14:solidFill>
                          <w14:schemeClr w14:val="tx1"/>
                        </w14:solidFill>
                      </w14:textFill>
                    </w:rPr>
                    <w:t>类别</w:t>
                  </w:r>
                </w:p>
              </w:tc>
              <w:tc>
                <w:tcPr>
                  <w:tcW w:w="3446" w:type="pct"/>
                  <w:noWrap w:val="0"/>
                  <w:vAlign w:val="center"/>
                </w:tcPr>
                <w:p>
                  <w:pPr>
                    <w:pStyle w:val="58"/>
                    <w:autoSpaceDE w:val="0"/>
                    <w:autoSpaceDN w:val="0"/>
                    <w:spacing w:line="360" w:lineRule="exact"/>
                    <w:rPr>
                      <w:rFonts w:ascii="Times New Roman" w:hAnsi="Times New Roman" w:cs="Times New Roman"/>
                      <w:b/>
                      <w:color w:val="000000" w:themeColor="text1"/>
                      <w:u w:val="single"/>
                      <w14:textFill>
                        <w14:solidFill>
                          <w14:schemeClr w14:val="tx1"/>
                        </w14:solidFill>
                      </w14:textFill>
                    </w:rPr>
                  </w:pPr>
                  <w:r>
                    <w:rPr>
                      <w:rFonts w:ascii="Times New Roman" w:hAnsi="Times New Roman" w:cs="Times New Roman"/>
                      <w:b/>
                      <w:color w:val="000000" w:themeColor="text1"/>
                      <w:u w:val="single"/>
                      <w14:textFill>
                        <w14:solidFill>
                          <w14:schemeClr w14:val="tx1"/>
                        </w14:solidFill>
                      </w14:textFill>
                    </w:rPr>
                    <w:t>与“三线一单”相符性分析</w:t>
                  </w:r>
                </w:p>
              </w:tc>
              <w:tc>
                <w:tcPr>
                  <w:tcW w:w="744" w:type="pct"/>
                  <w:noWrap w:val="0"/>
                  <w:vAlign w:val="center"/>
                </w:tcPr>
                <w:p>
                  <w:pPr>
                    <w:pStyle w:val="58"/>
                    <w:autoSpaceDE w:val="0"/>
                    <w:autoSpaceDN w:val="0"/>
                    <w:spacing w:line="360" w:lineRule="exact"/>
                    <w:rPr>
                      <w:rFonts w:ascii="Times New Roman" w:hAnsi="Times New Roman" w:cs="Times New Roman"/>
                      <w:b/>
                      <w:color w:val="000000" w:themeColor="text1"/>
                      <w:u w:val="single"/>
                      <w14:textFill>
                        <w14:solidFill>
                          <w14:schemeClr w14:val="tx1"/>
                        </w14:solidFill>
                      </w14:textFill>
                    </w:rPr>
                  </w:pPr>
                  <w:r>
                    <w:rPr>
                      <w:rFonts w:ascii="Times New Roman" w:hAnsi="Times New Roman" w:cs="Times New Roman"/>
                      <w:b/>
                      <w:color w:val="000000" w:themeColor="text1"/>
                      <w:u w:val="singl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trPr>
              <w:tc>
                <w:tcPr>
                  <w:tcW w:w="809" w:type="pct"/>
                  <w:noWrap w:val="0"/>
                  <w:vAlign w:val="center"/>
                </w:tcPr>
                <w:p>
                  <w:pPr>
                    <w:pStyle w:val="58"/>
                    <w:autoSpaceDE w:val="0"/>
                    <w:autoSpaceDN w:val="0"/>
                    <w:spacing w:line="360" w:lineRule="exact"/>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生态保护红线</w:t>
                  </w:r>
                </w:p>
              </w:tc>
              <w:tc>
                <w:tcPr>
                  <w:tcW w:w="3446" w:type="pct"/>
                  <w:noWrap w:val="0"/>
                  <w:vAlign w:val="center"/>
                </w:tcPr>
                <w:p>
                  <w:pPr>
                    <w:pStyle w:val="58"/>
                    <w:autoSpaceDE w:val="0"/>
                    <w:autoSpaceDN w:val="0"/>
                    <w:spacing w:line="360" w:lineRule="exact"/>
                    <w:rPr>
                      <w:rFonts w:ascii="Times New Roman" w:hAnsi="Times New Roman" w:cs="Times New Roman"/>
                      <w:color w:val="000000" w:themeColor="text1"/>
                      <w:u w:val="single"/>
                      <w:lang w:val="en-US"/>
                      <w14:textFill>
                        <w14:solidFill>
                          <w14:schemeClr w14:val="tx1"/>
                        </w14:solidFill>
                      </w14:textFill>
                    </w:rPr>
                  </w:pPr>
                  <w:r>
                    <w:rPr>
                      <w:rFonts w:ascii="Times New Roman" w:hAnsi="Times New Roman" w:cs="Times New Roman"/>
                      <w:color w:val="000000" w:themeColor="text1"/>
                      <w:u w:val="single"/>
                      <w:lang w:val="en-US"/>
                      <w14:textFill>
                        <w14:solidFill>
                          <w14:schemeClr w14:val="tx1"/>
                        </w14:solidFill>
                      </w14:textFill>
                    </w:rPr>
                    <w:t>项目位于湘阴县金龙新区工业区，属于依法设立的工业园，不属于生态红线区域</w:t>
                  </w:r>
                </w:p>
              </w:tc>
              <w:tc>
                <w:tcPr>
                  <w:tcW w:w="744" w:type="pct"/>
                  <w:noWrap w:val="0"/>
                  <w:vAlign w:val="center"/>
                </w:tcPr>
                <w:p>
                  <w:pPr>
                    <w:pStyle w:val="58"/>
                    <w:autoSpaceDE w:val="0"/>
                    <w:autoSpaceDN w:val="0"/>
                    <w:spacing w:line="360" w:lineRule="exact"/>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8" w:hRule="atLeast"/>
              </w:trPr>
              <w:tc>
                <w:tcPr>
                  <w:tcW w:w="809" w:type="pct"/>
                  <w:noWrap w:val="0"/>
                  <w:vAlign w:val="center"/>
                </w:tcPr>
                <w:p>
                  <w:pPr>
                    <w:pStyle w:val="58"/>
                    <w:autoSpaceDE w:val="0"/>
                    <w:autoSpaceDN w:val="0"/>
                    <w:spacing w:line="360" w:lineRule="exact"/>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环境质量底线</w:t>
                  </w:r>
                </w:p>
              </w:tc>
              <w:tc>
                <w:tcPr>
                  <w:tcW w:w="3446" w:type="pct"/>
                  <w:noWrap w:val="0"/>
                  <w:vAlign w:val="center"/>
                </w:tcPr>
                <w:p>
                  <w:pPr>
                    <w:pStyle w:val="58"/>
                    <w:autoSpaceDE w:val="0"/>
                    <w:autoSpaceDN w:val="0"/>
                    <w:spacing w:line="360" w:lineRule="exact"/>
                    <w:rPr>
                      <w:rFonts w:ascii="Times New Roman" w:hAnsi="Times New Roman" w:cs="Times New Roman"/>
                      <w:color w:val="000000" w:themeColor="text1"/>
                      <w:u w:val="single"/>
                      <w:lang w:val="en-US"/>
                      <w14:textFill>
                        <w14:solidFill>
                          <w14:schemeClr w14:val="tx1"/>
                        </w14:solidFill>
                      </w14:textFill>
                    </w:rPr>
                  </w:pPr>
                  <w:r>
                    <w:rPr>
                      <w:rFonts w:ascii="Times New Roman" w:hAnsi="Times New Roman" w:cs="Times New Roman"/>
                      <w:color w:val="000000" w:themeColor="text1"/>
                      <w:u w:val="single"/>
                      <w:lang w:val="en-US"/>
                      <w14:textFill>
                        <w14:solidFill>
                          <w14:schemeClr w14:val="tx1"/>
                        </w14:solidFill>
                      </w14:textFill>
                    </w:rPr>
                    <w:t>根据环境质量现状调查和环境影响预测分析，本项目建设对区域内环境影响较小，不会改变区域的环境质量，经过预测本项目大气环境影响可接受，因此本项目基本符合环境质量底线要求。</w:t>
                  </w:r>
                </w:p>
              </w:tc>
              <w:tc>
                <w:tcPr>
                  <w:tcW w:w="744" w:type="pct"/>
                  <w:noWrap w:val="0"/>
                  <w:vAlign w:val="center"/>
                </w:tcPr>
                <w:p>
                  <w:pPr>
                    <w:pStyle w:val="58"/>
                    <w:autoSpaceDE w:val="0"/>
                    <w:autoSpaceDN w:val="0"/>
                    <w:spacing w:line="360" w:lineRule="exact"/>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2" w:hRule="atLeast"/>
              </w:trPr>
              <w:tc>
                <w:tcPr>
                  <w:tcW w:w="809" w:type="pct"/>
                  <w:noWrap w:val="0"/>
                  <w:vAlign w:val="center"/>
                </w:tcPr>
                <w:p>
                  <w:pPr>
                    <w:pStyle w:val="58"/>
                    <w:autoSpaceDE w:val="0"/>
                    <w:autoSpaceDN w:val="0"/>
                    <w:spacing w:line="360" w:lineRule="exact"/>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资源利用上线</w:t>
                  </w:r>
                </w:p>
              </w:tc>
              <w:tc>
                <w:tcPr>
                  <w:tcW w:w="3446" w:type="pct"/>
                  <w:noWrap w:val="0"/>
                  <w:vAlign w:val="center"/>
                </w:tcPr>
                <w:p>
                  <w:pPr>
                    <w:pStyle w:val="58"/>
                    <w:autoSpaceDE w:val="0"/>
                    <w:autoSpaceDN w:val="0"/>
                    <w:spacing w:line="360" w:lineRule="exact"/>
                    <w:rPr>
                      <w:rFonts w:ascii="Times New Roman" w:hAnsi="Times New Roman" w:cs="Times New Roman"/>
                      <w:color w:val="000000" w:themeColor="text1"/>
                      <w:u w:val="single"/>
                      <w:lang w:val="en-US"/>
                      <w14:textFill>
                        <w14:solidFill>
                          <w14:schemeClr w14:val="tx1"/>
                        </w14:solidFill>
                      </w14:textFill>
                    </w:rPr>
                  </w:pPr>
                  <w:r>
                    <w:rPr>
                      <w:rFonts w:ascii="Times New Roman" w:hAnsi="Times New Roman" w:cs="Times New Roman"/>
                      <w:color w:val="000000" w:themeColor="text1"/>
                      <w:u w:val="single"/>
                      <w:lang w:val="en-US"/>
                      <w14:textFill>
                        <w14:solidFill>
                          <w14:schemeClr w14:val="tx1"/>
                        </w14:solidFill>
                      </w14:textFill>
                    </w:rPr>
                    <w:t>本项目营运过程中消耗一定的电力，水资源，资源消耗量相对区域资源利用总量较小，符合资源利用上限要求</w:t>
                  </w:r>
                </w:p>
              </w:tc>
              <w:tc>
                <w:tcPr>
                  <w:tcW w:w="744" w:type="pct"/>
                  <w:noWrap w:val="0"/>
                  <w:vAlign w:val="center"/>
                </w:tcPr>
                <w:p>
                  <w:pPr>
                    <w:pStyle w:val="58"/>
                    <w:autoSpaceDE w:val="0"/>
                    <w:autoSpaceDN w:val="0"/>
                    <w:spacing w:line="360" w:lineRule="exact"/>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9" w:hRule="atLeast"/>
              </w:trPr>
              <w:tc>
                <w:tcPr>
                  <w:tcW w:w="809" w:type="pct"/>
                  <w:noWrap w:val="0"/>
                  <w:vAlign w:val="center"/>
                </w:tcPr>
                <w:p>
                  <w:pPr>
                    <w:pStyle w:val="58"/>
                    <w:autoSpaceDE w:val="0"/>
                    <w:autoSpaceDN w:val="0"/>
                    <w:spacing w:line="360" w:lineRule="exact"/>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环境</w:t>
                  </w:r>
                  <w:r>
                    <w:rPr>
                      <w:rFonts w:hint="eastAsia" w:ascii="Times New Roman" w:hAnsi="Times New Roman" w:cs="Times New Roman"/>
                      <w:color w:val="000000" w:themeColor="text1"/>
                      <w:u w:val="single"/>
                      <w:lang w:val="en-US" w:eastAsia="zh-CN"/>
                      <w14:textFill>
                        <w14:solidFill>
                          <w14:schemeClr w14:val="tx1"/>
                        </w14:solidFill>
                      </w14:textFill>
                    </w:rPr>
                    <w:t>准入</w:t>
                  </w:r>
                  <w:r>
                    <w:rPr>
                      <w:rFonts w:ascii="Times New Roman" w:hAnsi="Times New Roman" w:cs="Times New Roman"/>
                      <w:color w:val="000000" w:themeColor="text1"/>
                      <w:u w:val="single"/>
                      <w14:textFill>
                        <w14:solidFill>
                          <w14:schemeClr w14:val="tx1"/>
                        </w14:solidFill>
                      </w14:textFill>
                    </w:rPr>
                    <w:t>清单</w:t>
                  </w:r>
                </w:p>
              </w:tc>
              <w:tc>
                <w:tcPr>
                  <w:tcW w:w="3446" w:type="pct"/>
                  <w:noWrap w:val="0"/>
                  <w:vAlign w:val="center"/>
                </w:tcPr>
                <w:p>
                  <w:pPr>
                    <w:pStyle w:val="58"/>
                    <w:autoSpaceDE w:val="0"/>
                    <w:autoSpaceDN w:val="0"/>
                    <w:spacing w:line="360" w:lineRule="exact"/>
                    <w:rPr>
                      <w:rFonts w:ascii="Times New Roman" w:hAnsi="Times New Roman" w:cs="Times New Roman"/>
                      <w:color w:val="000000" w:themeColor="text1"/>
                      <w:u w:val="single"/>
                      <w:lang w:val="en-US"/>
                      <w14:textFill>
                        <w14:solidFill>
                          <w14:schemeClr w14:val="tx1"/>
                        </w14:solidFill>
                      </w14:textFill>
                    </w:rPr>
                  </w:pPr>
                  <w:r>
                    <w:rPr>
                      <w:rFonts w:ascii="Times New Roman" w:hAnsi="Times New Roman" w:cs="Times New Roman"/>
                      <w:color w:val="000000" w:themeColor="text1"/>
                      <w:u w:val="single"/>
                      <w:lang w:val="en-US"/>
                      <w14:textFill>
                        <w14:solidFill>
                          <w14:schemeClr w14:val="tx1"/>
                        </w14:solidFill>
                      </w14:textFill>
                    </w:rPr>
                    <w:t xml:space="preserve">目前，项目区域暂未制定环境准入负面清单，同时对照《产业结构调整指导目录（2019年本）》，本项目不属于其中的限制类和禁止类项目。 </w:t>
                  </w:r>
                </w:p>
              </w:tc>
              <w:tc>
                <w:tcPr>
                  <w:tcW w:w="744" w:type="pct"/>
                  <w:noWrap w:val="0"/>
                  <w:vAlign w:val="center"/>
                </w:tcPr>
                <w:p>
                  <w:pPr>
                    <w:pStyle w:val="58"/>
                    <w:autoSpaceDE w:val="0"/>
                    <w:autoSpaceDN w:val="0"/>
                    <w:spacing w:line="360" w:lineRule="exact"/>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符合</w:t>
                  </w:r>
                </w:p>
              </w:tc>
            </w:tr>
          </w:tbl>
          <w:p>
            <w:pPr>
              <w:autoSpaceDE w:val="0"/>
              <w:autoSpaceDN w:val="0"/>
              <w:adjustRightInd w:val="0"/>
              <w:snapToGrid w:val="0"/>
              <w:jc w:val="center"/>
              <w:rPr>
                <w:color w:val="000000" w:themeColor="text1"/>
                <w:kern w:val="0"/>
                <w:szCs w:val="21"/>
                <w:u w:val="single"/>
                <w14:textFill>
                  <w14:solidFill>
                    <w14:schemeClr w14:val="tx1"/>
                  </w14:solidFill>
                </w14:textFill>
              </w:rPr>
            </w:pPr>
          </w:p>
        </w:tc>
      </w:tr>
    </w:tbl>
    <w:p>
      <w:pPr>
        <w:spacing w:line="360" w:lineRule="auto"/>
        <w:outlineLvl w:val="0"/>
        <w:rPr>
          <w:rFonts w:eastAsia="黑体"/>
          <w:color w:val="000000" w:themeColor="text1"/>
          <w:sz w:val="30"/>
          <w14:textFill>
            <w14:solidFill>
              <w14:schemeClr w14:val="tx1"/>
            </w14:solidFill>
          </w14:textFill>
        </w:rPr>
        <w:sectPr>
          <w:footerReference r:id="rId5" w:type="default"/>
          <w:pgSz w:w="11906" w:h="16838"/>
          <w:pgMar w:top="1701" w:right="1531" w:bottom="1701" w:left="1531" w:header="851" w:footer="1077" w:gutter="0"/>
          <w:pgNumType w:start="1"/>
          <w:cols w:space="720" w:num="1"/>
          <w:docGrid w:linePitch="312" w:charSpace="0"/>
        </w:sectPr>
      </w:pPr>
    </w:p>
    <w:p>
      <w:pPr>
        <w:pStyle w:val="19"/>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0"/>
          <w:szCs w:val="30"/>
          <w14:textFill>
            <w14:solidFill>
              <w14:schemeClr w14:val="tx1"/>
            </w14:solidFill>
          </w14:textFill>
        </w:rPr>
        <w:t>二、建设项目工程分析</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83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823" w:type="dxa"/>
            <w:noWrap w:val="0"/>
            <w:vAlign w:val="center"/>
          </w:tcPr>
          <w:p>
            <w:pPr>
              <w:pStyle w:val="19"/>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建设内容</w:t>
            </w:r>
          </w:p>
        </w:tc>
        <w:tc>
          <w:tcPr>
            <w:tcW w:w="8161" w:type="dxa"/>
            <w:noWrap w:val="0"/>
            <w:vAlign w:val="top"/>
          </w:tcPr>
          <w:p>
            <w:pPr>
              <w:adjustRightInd w:val="0"/>
              <w:snapToGrid w:val="0"/>
              <w:spacing w:line="360" w:lineRule="auto"/>
              <w:ind w:firstLine="482" w:firstLineChars="200"/>
              <w:rPr>
                <w:color w:val="000000" w:themeColor="text1"/>
                <w:sz w:val="24"/>
                <w14:textFill>
                  <w14:solidFill>
                    <w14:schemeClr w14:val="tx1"/>
                  </w14:solidFill>
                </w14:textFill>
              </w:rPr>
            </w:pPr>
            <w:r>
              <w:rPr>
                <w:b/>
                <w:color w:val="000000" w:themeColor="text1"/>
                <w:kern w:val="0"/>
                <w:sz w:val="24"/>
                <w14:textFill>
                  <w14:solidFill>
                    <w14:schemeClr w14:val="tx1"/>
                  </w14:solidFill>
                </w14:textFill>
              </w:rPr>
              <w:t>1、工程规模及内容</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湖南云川科技有限公司投资15000万元建设</w:t>
            </w:r>
            <w:r>
              <w:rPr>
                <w:rFonts w:hint="eastAsia"/>
                <w:color w:val="000000" w:themeColor="text1"/>
                <w:sz w:val="24"/>
                <w:lang w:eastAsia="zh-CN"/>
                <w14:textFill>
                  <w14:solidFill>
                    <w14:schemeClr w14:val="tx1"/>
                  </w14:solidFill>
                </w14:textFill>
              </w:rPr>
              <w:t>液压阀块及精密液压组件总成（44.5万件/年）产业化项目</w:t>
            </w:r>
            <w:r>
              <w:rPr>
                <w:color w:val="000000" w:themeColor="text1"/>
                <w:sz w:val="24"/>
                <w14:textFill>
                  <w14:solidFill>
                    <w14:schemeClr w14:val="tx1"/>
                  </w14:solidFill>
                </w14:textFill>
              </w:rPr>
              <w:t>。项目位于湖南省湘阴县高新区金龙片区安康路以东燎原路以北，占地面积35170.8m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，总建筑面积22125.96m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，主要建设内容包括1#厂房，2#厂房，研发车间、食堂宿舍、设备用房等，从事液压阀块及精密液压组件生产，年产液压阀块20万件、精密液压组件总成3万件、结构件1.5万件、精密加工件20万件。</w:t>
            </w:r>
          </w:p>
          <w:p>
            <w:pPr>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2、工程内容</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项目工程组成见表2</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w:t>
            </w:r>
          </w:p>
          <w:p>
            <w:pPr>
              <w:tabs>
                <w:tab w:val="left" w:pos="3720"/>
              </w:tabs>
              <w:autoSpaceDE w:val="0"/>
              <w:autoSpaceDN w:val="0"/>
              <w:adjustRightInd w:val="0"/>
              <w:ind w:left="2862"/>
              <w:jc w:val="left"/>
              <w:rPr>
                <w:b/>
                <w:color w:val="000000" w:themeColor="text1"/>
                <w:kern w:val="0"/>
                <w:position w:val="-2"/>
                <w:sz w:val="24"/>
                <w14:textFill>
                  <w14:solidFill>
                    <w14:schemeClr w14:val="tx1"/>
                  </w14:solidFill>
                </w14:textFill>
              </w:rPr>
            </w:pPr>
            <w:r>
              <w:rPr>
                <w:b/>
                <w:color w:val="000000" w:themeColor="text1"/>
                <w:kern w:val="0"/>
                <w:position w:val="-2"/>
                <w:sz w:val="24"/>
                <w14:textFill>
                  <w14:solidFill>
                    <w14:schemeClr w14:val="tx1"/>
                  </w14:solidFill>
                </w14:textFill>
              </w:rPr>
              <w:t>表2-</w:t>
            </w:r>
            <w:r>
              <w:rPr>
                <w:rFonts w:hint="eastAsia"/>
                <w:b/>
                <w:color w:val="000000" w:themeColor="text1"/>
                <w:kern w:val="0"/>
                <w:position w:val="-2"/>
                <w:sz w:val="24"/>
                <w14:textFill>
                  <w14:solidFill>
                    <w14:schemeClr w14:val="tx1"/>
                  </w14:solidFill>
                </w14:textFill>
              </w:rPr>
              <w:t>1</w:t>
            </w:r>
            <w:r>
              <w:rPr>
                <w:b/>
                <w:color w:val="000000" w:themeColor="text1"/>
                <w:kern w:val="0"/>
                <w:position w:val="-2"/>
                <w:sz w:val="24"/>
                <w14:textFill>
                  <w14:solidFill>
                    <w14:schemeClr w14:val="tx1"/>
                  </w14:solidFill>
                </w14:textFill>
              </w:rPr>
              <w:t xml:space="preserve">  工程组成一览表</w:t>
            </w:r>
          </w:p>
          <w:tbl>
            <w:tblPr>
              <w:tblStyle w:val="23"/>
              <w:tblW w:w="499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40"/>
              <w:gridCol w:w="1338"/>
              <w:gridCol w:w="3716"/>
              <w:gridCol w:w="180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65"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类别</w:t>
                  </w:r>
                </w:p>
              </w:tc>
              <w:tc>
                <w:tcPr>
                  <w:tcW w:w="826"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名称</w:t>
                  </w: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数量</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6" w:hRule="atLeast"/>
                <w:jc w:val="center"/>
              </w:trPr>
              <w:tc>
                <w:tcPr>
                  <w:tcW w:w="765" w:type="pct"/>
                  <w:vMerge w:val="restar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主体工程</w:t>
                  </w:r>
                </w:p>
              </w:tc>
              <w:tc>
                <w:tcPr>
                  <w:tcW w:w="826"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1#厂房</w:t>
                  </w: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1F钢结构，8652.44</w:t>
                  </w:r>
                  <w:r>
                    <w:rPr>
                      <w:color w:val="000000" w:themeColor="text1"/>
                      <w:szCs w:val="21"/>
                      <w:u w:val="single"/>
                      <w14:textFill>
                        <w14:solidFill>
                          <w14:schemeClr w14:val="tx1"/>
                        </w14:solidFill>
                      </w14:textFill>
                    </w:rPr>
                    <w:t>m</w:t>
                  </w:r>
                  <w:r>
                    <w:rPr>
                      <w:color w:val="000000" w:themeColor="text1"/>
                      <w:szCs w:val="21"/>
                      <w:u w:val="single"/>
                      <w:vertAlign w:val="superscript"/>
                      <w14:textFill>
                        <w14:solidFill>
                          <w14:schemeClr w14:val="tx1"/>
                        </w14:solidFill>
                      </w14:textFill>
                    </w:rPr>
                    <w:t>2</w:t>
                  </w:r>
                  <w:r>
                    <w:rPr>
                      <w:rFonts w:hint="eastAsia"/>
                      <w:color w:val="000000" w:themeColor="text1"/>
                      <w:szCs w:val="21"/>
                      <w:u w:val="single"/>
                      <w14:textFill>
                        <w14:solidFill>
                          <w14:schemeClr w14:val="tx1"/>
                        </w14:solidFill>
                      </w14:textFill>
                    </w:rPr>
                    <w:t>，进行切割，打磨等机加工作业</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continue"/>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p>
              </w:tc>
              <w:tc>
                <w:tcPr>
                  <w:tcW w:w="826"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2#厂房</w:t>
                  </w: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1F钢结构，8652.44</w:t>
                  </w:r>
                  <w:r>
                    <w:rPr>
                      <w:color w:val="000000" w:themeColor="text1"/>
                      <w:szCs w:val="21"/>
                      <w:u w:val="single"/>
                      <w14:textFill>
                        <w14:solidFill>
                          <w14:schemeClr w14:val="tx1"/>
                        </w14:solidFill>
                      </w14:textFill>
                    </w:rPr>
                    <w:t>m</w:t>
                  </w:r>
                  <w:r>
                    <w:rPr>
                      <w:color w:val="000000" w:themeColor="text1"/>
                      <w:szCs w:val="21"/>
                      <w:u w:val="single"/>
                      <w:vertAlign w:val="superscript"/>
                      <w14:textFill>
                        <w14:solidFill>
                          <w14:schemeClr w14:val="tx1"/>
                        </w14:solidFill>
                      </w14:textFill>
                    </w:rPr>
                    <w:t>2</w:t>
                  </w:r>
                  <w:r>
                    <w:rPr>
                      <w:rFonts w:hint="eastAsia"/>
                      <w:color w:val="000000" w:themeColor="text1"/>
                      <w:szCs w:val="21"/>
                      <w:u w:val="single"/>
                      <w14:textFill>
                        <w14:solidFill>
                          <w14:schemeClr w14:val="tx1"/>
                        </w14:solidFill>
                      </w14:textFill>
                    </w:rPr>
                    <w:t>，进行切割，打磨等机加工作业</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restar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辅助工程</w:t>
                  </w:r>
                </w:p>
              </w:tc>
              <w:tc>
                <w:tcPr>
                  <w:tcW w:w="826"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研发车间</w:t>
                  </w: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4F砖混结构，2181.52</w:t>
                  </w:r>
                  <w:r>
                    <w:rPr>
                      <w:color w:val="000000" w:themeColor="text1"/>
                      <w:szCs w:val="21"/>
                      <w:u w:val="single"/>
                      <w14:textFill>
                        <w14:solidFill>
                          <w14:schemeClr w14:val="tx1"/>
                        </w14:solidFill>
                      </w14:textFill>
                    </w:rPr>
                    <w:t>m</w:t>
                  </w:r>
                  <w:r>
                    <w:rPr>
                      <w:color w:val="000000" w:themeColor="text1"/>
                      <w:szCs w:val="21"/>
                      <w:u w:val="single"/>
                      <w:vertAlign w:val="superscript"/>
                      <w14:textFill>
                        <w14:solidFill>
                          <w14:schemeClr w14:val="tx1"/>
                        </w14:solidFill>
                      </w14:textFill>
                    </w:rPr>
                    <w:t>2</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65" w:type="pct"/>
                  <w:vMerge w:val="continue"/>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p>
              </w:tc>
              <w:tc>
                <w:tcPr>
                  <w:tcW w:w="826"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szCs w:val="21"/>
                      <w:u w:val="single"/>
                      <w14:textFill>
                        <w14:solidFill>
                          <w14:schemeClr w14:val="tx1"/>
                        </w14:solidFill>
                      </w14:textFill>
                    </w:rPr>
                    <w:t>食堂宿舍</w:t>
                  </w: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4F砖混结构，2264.56</w:t>
                  </w:r>
                  <w:r>
                    <w:rPr>
                      <w:color w:val="000000" w:themeColor="text1"/>
                      <w:szCs w:val="21"/>
                      <w:u w:val="single"/>
                      <w14:textFill>
                        <w14:solidFill>
                          <w14:schemeClr w14:val="tx1"/>
                        </w14:solidFill>
                      </w14:textFill>
                    </w:rPr>
                    <w:t>m</w:t>
                  </w:r>
                  <w:r>
                    <w:rPr>
                      <w:color w:val="000000" w:themeColor="text1"/>
                      <w:szCs w:val="21"/>
                      <w:u w:val="single"/>
                      <w:vertAlign w:val="superscript"/>
                      <w14:textFill>
                        <w14:solidFill>
                          <w14:schemeClr w14:val="tx1"/>
                        </w14:solidFill>
                      </w14:textFill>
                    </w:rPr>
                    <w:t>2</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65" w:type="pct"/>
                  <w:vMerge w:val="continue"/>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p>
              </w:tc>
              <w:tc>
                <w:tcPr>
                  <w:tcW w:w="826" w:type="pct"/>
                  <w:noWrap w:val="0"/>
                  <w:vAlign w:val="center"/>
                </w:tcPr>
                <w:p>
                  <w:pPr>
                    <w:widowControl/>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门卫室</w:t>
                  </w:r>
                </w:p>
              </w:tc>
              <w:tc>
                <w:tcPr>
                  <w:tcW w:w="2293" w:type="pct"/>
                  <w:noWrap w:val="0"/>
                  <w:vAlign w:val="center"/>
                </w:tcPr>
                <w:p>
                  <w:pPr>
                    <w:widowControl/>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w:t>
                  </w:r>
                  <w:r>
                    <w:rPr>
                      <w:color w:val="000000" w:themeColor="text1"/>
                      <w:kern w:val="0"/>
                      <w:szCs w:val="21"/>
                      <w:u w:val="single"/>
                      <w14:textFill>
                        <w14:solidFill>
                          <w14:schemeClr w14:val="tx1"/>
                        </w14:solidFill>
                      </w14:textFill>
                    </w:rPr>
                    <w:t>F砖混结构，</w:t>
                  </w:r>
                  <w:r>
                    <w:rPr>
                      <w:rFonts w:hint="eastAsia"/>
                      <w:color w:val="000000" w:themeColor="text1"/>
                      <w:kern w:val="0"/>
                      <w:szCs w:val="21"/>
                      <w:u w:val="single"/>
                      <w:lang w:val="en-US" w:eastAsia="zh-CN"/>
                      <w14:textFill>
                        <w14:solidFill>
                          <w14:schemeClr w14:val="tx1"/>
                        </w14:solidFill>
                      </w14:textFill>
                    </w:rPr>
                    <w:t>40</w:t>
                  </w:r>
                  <w:r>
                    <w:rPr>
                      <w:color w:val="000000" w:themeColor="text1"/>
                      <w:szCs w:val="21"/>
                      <w:u w:val="single"/>
                      <w14:textFill>
                        <w14:solidFill>
                          <w14:schemeClr w14:val="tx1"/>
                        </w14:solidFill>
                      </w14:textFill>
                    </w:rPr>
                    <w:t>m</w:t>
                  </w:r>
                  <w:r>
                    <w:rPr>
                      <w:color w:val="000000" w:themeColor="text1"/>
                      <w:szCs w:val="21"/>
                      <w:u w:val="single"/>
                      <w:vertAlign w:val="superscript"/>
                      <w14:textFill>
                        <w14:solidFill>
                          <w14:schemeClr w14:val="tx1"/>
                        </w14:solidFill>
                      </w14:textFill>
                    </w:rPr>
                    <w:t>2</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储运工程</w:t>
                  </w:r>
                </w:p>
              </w:tc>
              <w:tc>
                <w:tcPr>
                  <w:tcW w:w="826" w:type="pct"/>
                  <w:noWrap w:val="0"/>
                  <w:vAlign w:val="center"/>
                </w:tcPr>
                <w:p>
                  <w:pPr>
                    <w:widowControl/>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设备用房</w:t>
                  </w: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1F砖混结构，335</w:t>
                  </w:r>
                  <w:r>
                    <w:rPr>
                      <w:color w:val="000000" w:themeColor="text1"/>
                      <w:szCs w:val="21"/>
                      <w:u w:val="single"/>
                      <w14:textFill>
                        <w14:solidFill>
                          <w14:schemeClr w14:val="tx1"/>
                        </w14:solidFill>
                      </w14:textFill>
                    </w:rPr>
                    <w:t>m</w:t>
                  </w:r>
                  <w:r>
                    <w:rPr>
                      <w:color w:val="000000" w:themeColor="text1"/>
                      <w:szCs w:val="21"/>
                      <w:u w:val="single"/>
                      <w:vertAlign w:val="superscript"/>
                      <w14:textFill>
                        <w14:solidFill>
                          <w14:schemeClr w14:val="tx1"/>
                        </w14:solidFill>
                      </w14:textFill>
                    </w:rPr>
                    <w:t>2</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restar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公用工程</w:t>
                  </w:r>
                </w:p>
              </w:tc>
              <w:tc>
                <w:tcPr>
                  <w:tcW w:w="826" w:type="pct"/>
                  <w:noWrap w:val="0"/>
                  <w:vAlign w:val="center"/>
                </w:tcPr>
                <w:p>
                  <w:pPr>
                    <w:widowControl/>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供水</w:t>
                  </w: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rFonts w:eastAsia="瀹嬩綋"/>
                      <w:color w:val="000000" w:themeColor="text1"/>
                      <w:u w:val="single"/>
                      <w14:textFill>
                        <w14:solidFill>
                          <w14:schemeClr w14:val="tx1"/>
                        </w14:solidFill>
                      </w14:textFill>
                    </w:rPr>
                    <w:t>由市政自来水供给，为市政直接供水</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依托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continue"/>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p>
              </w:tc>
              <w:tc>
                <w:tcPr>
                  <w:tcW w:w="826" w:type="pct"/>
                  <w:noWrap w:val="0"/>
                  <w:vAlign w:val="center"/>
                </w:tcPr>
                <w:p>
                  <w:pPr>
                    <w:widowControl/>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供电</w:t>
                  </w: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rFonts w:eastAsia="瀹嬩綋"/>
                      <w:color w:val="000000" w:themeColor="text1"/>
                      <w:u w:val="single"/>
                      <w14:textFill>
                        <w14:solidFill>
                          <w14:schemeClr w14:val="tx1"/>
                        </w14:solidFill>
                      </w14:textFill>
                    </w:rPr>
                    <w:t>由市政电网接入，项目不设置发电设备</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依托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restar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环保工程</w:t>
                  </w:r>
                </w:p>
              </w:tc>
              <w:tc>
                <w:tcPr>
                  <w:tcW w:w="826" w:type="pct"/>
                  <w:vMerge w:val="restart"/>
                  <w:noWrap w:val="0"/>
                  <w:vAlign w:val="center"/>
                </w:tcPr>
                <w:p>
                  <w:pPr>
                    <w:widowControl/>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废气</w:t>
                  </w: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金属粉尘自然沉降</w:t>
                  </w:r>
                  <w:r>
                    <w:rPr>
                      <w:rFonts w:hint="eastAsia"/>
                      <w:color w:val="000000" w:themeColor="text1"/>
                      <w:kern w:val="0"/>
                      <w:szCs w:val="21"/>
                      <w:u w:val="single"/>
                      <w14:textFill>
                        <w14:solidFill>
                          <w14:schemeClr w14:val="tx1"/>
                        </w14:solidFill>
                      </w14:textFill>
                    </w:rPr>
                    <w:t>，定期清扫</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continue"/>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p>
              </w:tc>
              <w:tc>
                <w:tcPr>
                  <w:tcW w:w="826" w:type="pct"/>
                  <w:vMerge w:val="continue"/>
                  <w:noWrap w:val="0"/>
                  <w:vAlign w:val="center"/>
                </w:tcPr>
                <w:p>
                  <w:pPr>
                    <w:widowControl/>
                    <w:adjustRightInd w:val="0"/>
                    <w:snapToGrid w:val="0"/>
                    <w:jc w:val="center"/>
                    <w:rPr>
                      <w:bCs/>
                      <w:color w:val="000000" w:themeColor="text1"/>
                      <w:szCs w:val="21"/>
                      <w:u w:val="single"/>
                      <w14:textFill>
                        <w14:solidFill>
                          <w14:schemeClr w14:val="tx1"/>
                        </w14:solidFill>
                      </w14:textFill>
                    </w:rPr>
                  </w:pPr>
                </w:p>
              </w:tc>
              <w:tc>
                <w:tcPr>
                  <w:tcW w:w="2293"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rFonts w:eastAsia="瀹嬩綋"/>
                      <w:color w:val="000000" w:themeColor="text1"/>
                      <w:u w:val="single"/>
                      <w14:textFill>
                        <w14:solidFill>
                          <w14:schemeClr w14:val="tx1"/>
                        </w14:solidFill>
                      </w14:textFill>
                    </w:rPr>
                    <w:t>经油烟净化器处理后经专用烟道引至楼顶排放</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continue"/>
                  <w:noWrap w:val="0"/>
                  <w:vAlign w:val="center"/>
                </w:tcPr>
                <w:p>
                  <w:pPr>
                    <w:adjustRightInd w:val="0"/>
                    <w:snapToGrid w:val="0"/>
                    <w:jc w:val="center"/>
                    <w:rPr>
                      <w:color w:val="000000" w:themeColor="text1"/>
                      <w:kern w:val="0"/>
                      <w:szCs w:val="21"/>
                      <w:u w:val="single"/>
                      <w14:textFill>
                        <w14:solidFill>
                          <w14:schemeClr w14:val="tx1"/>
                        </w14:solidFill>
                      </w14:textFill>
                    </w:rPr>
                  </w:pPr>
                </w:p>
              </w:tc>
              <w:tc>
                <w:tcPr>
                  <w:tcW w:w="826" w:type="pct"/>
                  <w:tcBorders>
                    <w:top w:val="single" w:color="auto" w:sz="4" w:space="0"/>
                  </w:tcBorders>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生活污水</w:t>
                  </w:r>
                </w:p>
              </w:tc>
              <w:tc>
                <w:tcPr>
                  <w:tcW w:w="2293" w:type="pct"/>
                  <w:noWrap w:val="0"/>
                  <w:vAlign w:val="center"/>
                </w:tcPr>
                <w:p>
                  <w:pPr>
                    <w:jc w:val="left"/>
                    <w:rPr>
                      <w:rFonts w:eastAsia="瀹嬩綋"/>
                      <w:color w:val="000000" w:themeColor="text1"/>
                      <w:u w:val="single"/>
                      <w14:textFill>
                        <w14:solidFill>
                          <w14:schemeClr w14:val="tx1"/>
                        </w14:solidFill>
                      </w14:textFill>
                    </w:rPr>
                  </w:pPr>
                  <w:r>
                    <w:rPr>
                      <w:rFonts w:eastAsia="瀹嬩綋"/>
                      <w:color w:val="000000" w:themeColor="text1"/>
                      <w:u w:val="single"/>
                      <w14:textFill>
                        <w14:solidFill>
                          <w14:schemeClr w14:val="tx1"/>
                        </w14:solidFill>
                      </w14:textFill>
                    </w:rPr>
                    <w:t>经隔油池+化粪池处理后，经园区污水管网，排入湘阴县第三污水处理厂</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continue"/>
                  <w:noWrap w:val="0"/>
                  <w:vAlign w:val="center"/>
                </w:tcPr>
                <w:p>
                  <w:pPr>
                    <w:adjustRightInd w:val="0"/>
                    <w:snapToGrid w:val="0"/>
                    <w:jc w:val="center"/>
                    <w:rPr>
                      <w:color w:val="000000" w:themeColor="text1"/>
                      <w:kern w:val="0"/>
                      <w:szCs w:val="21"/>
                      <w:u w:val="single"/>
                      <w14:textFill>
                        <w14:solidFill>
                          <w14:schemeClr w14:val="tx1"/>
                        </w14:solidFill>
                      </w14:textFill>
                    </w:rPr>
                  </w:pPr>
                </w:p>
              </w:tc>
              <w:tc>
                <w:tcPr>
                  <w:tcW w:w="826" w:type="pct"/>
                  <w:tcBorders>
                    <w:top w:val="single" w:color="auto" w:sz="4" w:space="0"/>
                    <w:bottom w:val="single" w:color="auto" w:sz="4" w:space="0"/>
                  </w:tcBorders>
                  <w:noWrap w:val="0"/>
                  <w:vAlign w:val="center"/>
                </w:tcPr>
                <w:p>
                  <w:pPr>
                    <w:widowControl/>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生活垃圾</w:t>
                  </w:r>
                </w:p>
              </w:tc>
              <w:tc>
                <w:tcPr>
                  <w:tcW w:w="2293" w:type="pct"/>
                  <w:noWrap w:val="0"/>
                  <w:vAlign w:val="center"/>
                </w:tcPr>
                <w:p>
                  <w:pPr>
                    <w:jc w:val="left"/>
                    <w:rPr>
                      <w:rFonts w:eastAsia="瀹嬩綋"/>
                      <w:color w:val="000000" w:themeColor="text1"/>
                      <w:u w:val="single"/>
                      <w14:textFill>
                        <w14:solidFill>
                          <w14:schemeClr w14:val="tx1"/>
                        </w14:solidFill>
                      </w14:textFill>
                    </w:rPr>
                  </w:pPr>
                  <w:r>
                    <w:rPr>
                      <w:rFonts w:eastAsia="瀹嬩綋"/>
                      <w:color w:val="000000" w:themeColor="text1"/>
                      <w:u w:val="single"/>
                      <w14:textFill>
                        <w14:solidFill>
                          <w14:schemeClr w14:val="tx1"/>
                        </w14:solidFill>
                      </w14:textFill>
                    </w:rPr>
                    <w:t>生活垃圾集中收集，交由环卫部门统一处理。</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continue"/>
                  <w:noWrap w:val="0"/>
                  <w:vAlign w:val="center"/>
                </w:tcPr>
                <w:p>
                  <w:pPr>
                    <w:adjustRightInd w:val="0"/>
                    <w:snapToGrid w:val="0"/>
                    <w:jc w:val="center"/>
                    <w:rPr>
                      <w:color w:val="000000" w:themeColor="text1"/>
                      <w:kern w:val="0"/>
                      <w:szCs w:val="21"/>
                      <w:u w:val="single"/>
                      <w14:textFill>
                        <w14:solidFill>
                          <w14:schemeClr w14:val="tx1"/>
                        </w14:solidFill>
                      </w14:textFill>
                    </w:rPr>
                  </w:pPr>
                </w:p>
              </w:tc>
              <w:tc>
                <w:tcPr>
                  <w:tcW w:w="826" w:type="pct"/>
                  <w:tcBorders>
                    <w:top w:val="single" w:color="auto" w:sz="4" w:space="0"/>
                    <w:bottom w:val="single" w:color="auto" w:sz="4" w:space="0"/>
                  </w:tcBorders>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一般工业固废</w:t>
                  </w:r>
                </w:p>
              </w:tc>
              <w:tc>
                <w:tcPr>
                  <w:tcW w:w="2293" w:type="pct"/>
                  <w:noWrap w:val="0"/>
                  <w:vAlign w:val="center"/>
                </w:tcPr>
                <w:p>
                  <w:pPr>
                    <w:widowControl/>
                    <w:adjustRightInd w:val="0"/>
                    <w:snapToGrid w:val="0"/>
                    <w:jc w:val="center"/>
                    <w:rPr>
                      <w:rFonts w:eastAsia="瀹嬩綋"/>
                      <w:color w:val="000000" w:themeColor="text1"/>
                      <w:u w:val="single"/>
                      <w14:textFill>
                        <w14:solidFill>
                          <w14:schemeClr w14:val="tx1"/>
                        </w14:solidFill>
                      </w14:textFill>
                    </w:rPr>
                  </w:pPr>
                  <w:r>
                    <w:rPr>
                      <w:rFonts w:eastAsia="瀹嬩綋"/>
                      <w:color w:val="000000" w:themeColor="text1"/>
                      <w:u w:val="single"/>
                      <w14:textFill>
                        <w14:solidFill>
                          <w14:schemeClr w14:val="tx1"/>
                        </w14:solidFill>
                      </w14:textFill>
                    </w:rPr>
                    <w:t>钢材边角料回收利用或外售，废包装袋等交供应商回收。</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765" w:type="pct"/>
                  <w:vMerge w:val="continue"/>
                  <w:noWrap w:val="0"/>
                  <w:vAlign w:val="center"/>
                </w:tcPr>
                <w:p>
                  <w:pPr>
                    <w:adjustRightInd w:val="0"/>
                    <w:snapToGrid w:val="0"/>
                    <w:jc w:val="center"/>
                    <w:rPr>
                      <w:color w:val="000000" w:themeColor="text1"/>
                      <w:kern w:val="0"/>
                      <w:szCs w:val="21"/>
                      <w:u w:val="single"/>
                      <w14:textFill>
                        <w14:solidFill>
                          <w14:schemeClr w14:val="tx1"/>
                        </w14:solidFill>
                      </w14:textFill>
                    </w:rPr>
                  </w:pPr>
                </w:p>
              </w:tc>
              <w:tc>
                <w:tcPr>
                  <w:tcW w:w="826" w:type="pct"/>
                  <w:tcBorders>
                    <w:top w:val="single" w:color="auto" w:sz="4" w:space="0"/>
                  </w:tcBorders>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危险废物</w:t>
                  </w:r>
                </w:p>
              </w:tc>
              <w:tc>
                <w:tcPr>
                  <w:tcW w:w="2293" w:type="pct"/>
                  <w:noWrap w:val="0"/>
                  <w:vAlign w:val="center"/>
                </w:tcPr>
                <w:p>
                  <w:pPr>
                    <w:widowControl/>
                    <w:adjustRightInd w:val="0"/>
                    <w:snapToGrid w:val="0"/>
                    <w:jc w:val="center"/>
                    <w:rPr>
                      <w:rFonts w:eastAsia="瀹嬩綋"/>
                      <w:color w:val="000000" w:themeColor="text1"/>
                      <w:u w:val="single"/>
                      <w14:textFill>
                        <w14:solidFill>
                          <w14:schemeClr w14:val="tx1"/>
                        </w14:solidFill>
                      </w14:textFill>
                    </w:rPr>
                  </w:pPr>
                  <w:r>
                    <w:rPr>
                      <w:rFonts w:hint="eastAsia"/>
                      <w:bCs/>
                      <w:color w:val="000000" w:themeColor="text1"/>
                      <w:szCs w:val="21"/>
                      <w:u w:val="single"/>
                      <w14:textFill>
                        <w14:solidFill>
                          <w14:schemeClr w14:val="tx1"/>
                        </w14:solidFill>
                      </w14:textFill>
                    </w:rPr>
                    <w:t>在设备车间西南角设置危废间，占地面积</w:t>
                  </w:r>
                  <w:r>
                    <w:rPr>
                      <w:rFonts w:hint="eastAsia"/>
                      <w:bCs/>
                      <w:color w:val="000000" w:themeColor="text1"/>
                      <w:szCs w:val="21"/>
                      <w:u w:val="single"/>
                      <w:lang w:val="en-US" w:eastAsia="zh-CN"/>
                      <w14:textFill>
                        <w14:solidFill>
                          <w14:schemeClr w14:val="tx1"/>
                        </w14:solidFill>
                      </w14:textFill>
                    </w:rPr>
                    <w:t>5</w:t>
                  </w:r>
                  <w:r>
                    <w:rPr>
                      <w:rFonts w:hint="eastAsia"/>
                      <w:bCs/>
                      <w:color w:val="000000" w:themeColor="text1"/>
                      <w:szCs w:val="21"/>
                      <w:u w:val="single"/>
                      <w14:textFill>
                        <w14:solidFill>
                          <w14:schemeClr w14:val="tx1"/>
                        </w14:solidFill>
                      </w14:textFill>
                    </w:rPr>
                    <w:t>0m</w:t>
                  </w:r>
                  <w:r>
                    <w:rPr>
                      <w:rFonts w:hint="eastAsia"/>
                      <w:bCs/>
                      <w:color w:val="000000" w:themeColor="text1"/>
                      <w:szCs w:val="21"/>
                      <w:u w:val="single"/>
                      <w:vertAlign w:val="superscript"/>
                      <w14:textFill>
                        <w14:solidFill>
                          <w14:schemeClr w14:val="tx1"/>
                        </w14:solidFill>
                      </w14:textFill>
                    </w:rPr>
                    <w:t>2</w:t>
                  </w:r>
                  <w:r>
                    <w:rPr>
                      <w:bCs/>
                      <w:color w:val="000000" w:themeColor="text1"/>
                      <w:szCs w:val="21"/>
                      <w:u w:val="single"/>
                      <w14:textFill>
                        <w14:solidFill>
                          <w14:schemeClr w14:val="tx1"/>
                        </w14:solidFill>
                      </w14:textFill>
                    </w:rPr>
                    <w:t>，交由有资质的单位处置</w:t>
                  </w:r>
                </w:p>
              </w:tc>
              <w:tc>
                <w:tcPr>
                  <w:tcW w:w="1114" w:type="pct"/>
                  <w:noWrap w:val="0"/>
                  <w:vAlign w:val="center"/>
                </w:tcPr>
                <w:p>
                  <w:pPr>
                    <w:widowControl/>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新建</w:t>
                  </w:r>
                </w:p>
              </w:tc>
            </w:tr>
          </w:tbl>
          <w:p>
            <w:pPr>
              <w:spacing w:line="360" w:lineRule="auto"/>
              <w:ind w:firstLine="482" w:firstLineChars="200"/>
              <w:rPr>
                <w:b/>
                <w:bCs/>
                <w:color w:val="000000" w:themeColor="text1"/>
                <w:sz w:val="24"/>
                <w14:textFill>
                  <w14:solidFill>
                    <w14:schemeClr w14:val="tx1"/>
                  </w14:solidFill>
                </w14:textFill>
              </w:rPr>
            </w:pPr>
          </w:p>
          <w:p>
            <w:pPr>
              <w:pStyle w:val="29"/>
              <w:rPr>
                <w:rFonts w:ascii="Times New Roman" w:cs="Times New Roman"/>
                <w:b/>
                <w:bCs/>
                <w:color w:val="000000" w:themeColor="text1"/>
                <w14:textFill>
                  <w14:solidFill>
                    <w14:schemeClr w14:val="tx1"/>
                  </w14:solidFill>
                </w14:textFill>
              </w:rPr>
            </w:pPr>
          </w:p>
          <w:p>
            <w:pPr>
              <w:pStyle w:val="29"/>
              <w:rPr>
                <w:rFonts w:ascii="Times New Roman" w:cs="Times New Roman"/>
                <w:b/>
                <w:bCs/>
                <w:color w:val="000000" w:themeColor="text1"/>
                <w14:textFill>
                  <w14:solidFill>
                    <w14:schemeClr w14:val="tx1"/>
                  </w14:solidFill>
                </w14:textFill>
              </w:rPr>
            </w:pPr>
          </w:p>
          <w:p>
            <w:pPr>
              <w:spacing w:line="360" w:lineRule="auto"/>
              <w:ind w:firstLine="482" w:firstLineChars="200"/>
              <w:rPr>
                <w:b/>
                <w:bCs/>
                <w:color w:val="000000" w:themeColor="text1"/>
                <w:sz w:val="32"/>
                <w:szCs w:val="32"/>
                <w14:textFill>
                  <w14:solidFill>
                    <w14:schemeClr w14:val="tx1"/>
                  </w14:solidFill>
                </w14:textFill>
              </w:rPr>
            </w:pPr>
            <w:r>
              <w:rPr>
                <w:b/>
                <w:bCs/>
                <w:color w:val="000000" w:themeColor="text1"/>
                <w:sz w:val="24"/>
                <w14:textFill>
                  <w14:solidFill>
                    <w14:schemeClr w14:val="tx1"/>
                  </w14:solidFill>
                </w14:textFill>
              </w:rPr>
              <w:t>2.3、工程主要设备</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本项目具体设备见下表</w:t>
            </w:r>
            <w:r>
              <w:rPr>
                <w:rFonts w:hint="eastAsia"/>
                <w:color w:val="000000" w:themeColor="text1"/>
                <w:sz w:val="24"/>
                <w14:textFill>
                  <w14:solidFill>
                    <w14:schemeClr w14:val="tx1"/>
                  </w14:solidFill>
                </w14:textFill>
              </w:rPr>
              <w:t>2-2</w:t>
            </w:r>
            <w:r>
              <w:rPr>
                <w:color w:val="000000" w:themeColor="text1"/>
                <w:sz w:val="24"/>
                <w14:textFill>
                  <w14:solidFill>
                    <w14:schemeClr w14:val="tx1"/>
                  </w14:solidFill>
                </w14:textFill>
              </w:rPr>
              <w:t>。</w:t>
            </w:r>
          </w:p>
          <w:p>
            <w:pPr>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表2-</w:t>
            </w:r>
            <w:r>
              <w:rPr>
                <w:rFonts w:hint="eastAsia"/>
                <w:b/>
                <w:color w:val="000000" w:themeColor="text1"/>
                <w:sz w:val="24"/>
                <w14:textFill>
                  <w14:solidFill>
                    <w14:schemeClr w14:val="tx1"/>
                  </w14:solidFill>
                </w14:textFill>
              </w:rPr>
              <w:t xml:space="preserve">2   </w:t>
            </w:r>
            <w:r>
              <w:rPr>
                <w:b/>
                <w:color w:val="000000" w:themeColor="text1"/>
                <w:sz w:val="24"/>
                <w14:textFill>
                  <w14:solidFill>
                    <w14:schemeClr w14:val="tx1"/>
                  </w14:solidFill>
                </w14:textFill>
              </w:rPr>
              <w:t>主要生产设备清单</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3263"/>
              <w:gridCol w:w="1013"/>
              <w:gridCol w:w="890"/>
              <w:gridCol w:w="22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009" w:type="pct"/>
                  <w:noWrap w:val="0"/>
                  <w:vAlign w:val="center"/>
                </w:tcPr>
                <w:p>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设备名称</w:t>
                  </w:r>
                </w:p>
              </w:tc>
              <w:tc>
                <w:tcPr>
                  <w:tcW w:w="624" w:type="pct"/>
                  <w:noWrap w:val="0"/>
                  <w:vAlign w:val="center"/>
                </w:tcPr>
                <w:p>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单位</w:t>
                  </w:r>
                </w:p>
              </w:tc>
              <w:tc>
                <w:tcPr>
                  <w:tcW w:w="548" w:type="pct"/>
                  <w:noWrap w:val="0"/>
                  <w:vAlign w:val="center"/>
                </w:tcPr>
                <w:p>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1376" w:type="pct"/>
                  <w:noWrap w:val="0"/>
                  <w:vAlign w:val="center"/>
                </w:tcPr>
                <w:p>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设备型号/规格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测高仪</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七海测量EF系列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投影仪</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TESA hite700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三坐标</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Croma08.12.06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哈挺立式加工中心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2</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GX-1000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5</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哈斯立式加工中心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VF-2SS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6</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哈挺立式加工中心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2</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GX710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7</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哈挺立式加工中心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GX1600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8</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兄弟钻攻中心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TC-S2Dz-0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9</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钻攻中心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2</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DT400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10</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立式加工中心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12</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TS-12L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11</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立式加工中心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2</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CV1165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12</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立式加工中心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6</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DV1166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13</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卧式加工中心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2</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MAR-630H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14</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卧式加工中心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2</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KH63G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15</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卧式加工中心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2</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HCN-6800L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16</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卧式加工中心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3</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HCN-6000L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17</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卧式加工中心</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MAR-630H-e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18</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数控车床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CKD6183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19</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数控车床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CKD61103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20</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数控车床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HK63B/1000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21</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数控车床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PNUMA245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22</w:t>
                  </w:r>
                </w:p>
              </w:tc>
              <w:tc>
                <w:tcPr>
                  <w:tcW w:w="2009" w:type="pct"/>
                  <w:noWrap w:val="0"/>
                  <w:vAlign w:val="center"/>
                </w:tcPr>
                <w:p>
                  <w:pPr>
                    <w:widowControl/>
                    <w:adjustRightInd w:val="0"/>
                    <w:snapToGrid w:val="0"/>
                    <w:jc w:val="left"/>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数控车床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2</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CAK6150D/1D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23</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数控车床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CKD61103C/2000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24</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数控车床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CKD6183C/1500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25</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数控深孔钻镗床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TK2120-1*2000mm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26</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数控龙门铣</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GLV18*30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27</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0"/>
                      <w:szCs w:val="20"/>
                      <w:lang w:bidi="ar"/>
                      <w14:textFill>
                        <w14:solidFill>
                          <w14:schemeClr w14:val="tx1"/>
                        </w14:solidFill>
                      </w14:textFill>
                    </w:rPr>
                    <w:t>数控火焰等离子两用切割机</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龙门式SKL-3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28</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车床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CD6250A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29</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车床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CW6183C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30</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镗床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T6113A/2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31</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台式镗铣床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TX800*2400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32</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铣床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3</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X53K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33</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铣床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X53K/1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34</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铣床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X62W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35</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铣床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SAYNX5050</w:t>
                  </w:r>
                </w:p>
              </w:tc>
            </w:tr>
            <w:tr>
              <w:tblPrEx>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36</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摇臂铣床</w:t>
                  </w:r>
                </w:p>
              </w:tc>
              <w:tc>
                <w:tcPr>
                  <w:tcW w:w="624"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永裕昌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37</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双柱龙门铣</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X290A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38</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数控立式升降台铣床</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2</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XKA5040A/C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39</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数控床身式铣床</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XKA715C/F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40</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数控重型双侧铣床</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HF-KSZ75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41</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平面磨床</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M7140B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42</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平面磨床</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3</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M7140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43</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平面磨床</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M7130H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44</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平面磨床</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M7150x20-GM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45</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摇臂钻</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16</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Z3050*16/1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46</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摇臂钻床</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4</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Z3050×16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47</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攻丝机（台式）</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SWJ-6B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48</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攻丝机（台式）</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S4116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49</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电动万向攻丝机</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3</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SW40-27-1200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50</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双立柱卧式带锯</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G4030A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51</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电火花线切割</w:t>
                  </w:r>
                </w:p>
              </w:tc>
              <w:tc>
                <w:tcPr>
                  <w:tcW w:w="624"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DK7740C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52</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超声波清洗机</w:t>
                  </w:r>
                </w:p>
              </w:tc>
              <w:tc>
                <w:tcPr>
                  <w:tcW w:w="624"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长沙科超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53</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单储液槽旋转喷淋清洗设备</w:t>
                  </w:r>
                </w:p>
              </w:tc>
              <w:tc>
                <w:tcPr>
                  <w:tcW w:w="624"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HC-PL01T-D1000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54</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单槽超声波清洗机（循环过滤）</w:t>
                  </w:r>
                </w:p>
              </w:tc>
              <w:tc>
                <w:tcPr>
                  <w:tcW w:w="624"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HC-CSJ-200X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55</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行车</w:t>
                  </w:r>
                </w:p>
              </w:tc>
              <w:tc>
                <w:tcPr>
                  <w:tcW w:w="624"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5</w:t>
                  </w:r>
                </w:p>
              </w:tc>
              <w:tc>
                <w:tcPr>
                  <w:tcW w:w="1376" w:type="pct"/>
                  <w:noWrap w:val="0"/>
                  <w:vAlign w:val="center"/>
                </w:tcPr>
                <w:p>
                  <w:pPr>
                    <w:widowControl/>
                    <w:adjustRightInd w:val="0"/>
                    <w:snapToGrid w:val="0"/>
                    <w:jc w:val="center"/>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10T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1" w:type="pct"/>
                  <w:noWrap w:val="0"/>
                  <w:vAlign w:val="center"/>
                </w:tcPr>
                <w:p>
                  <w:pPr>
                    <w:adjustRightInd w:val="0"/>
                    <w:snapToGrid w:val="0"/>
                    <w:jc w:val="center"/>
                    <w:rPr>
                      <w:color w:val="000000" w:themeColor="text1"/>
                      <w:szCs w:val="22"/>
                      <w14:textFill>
                        <w14:solidFill>
                          <w14:schemeClr w14:val="tx1"/>
                        </w14:solidFill>
                      </w14:textFill>
                    </w:rPr>
                  </w:pPr>
                  <w:r>
                    <w:rPr>
                      <w:color w:val="000000" w:themeColor="text1"/>
                      <w14:textFill>
                        <w14:solidFill>
                          <w14:schemeClr w14:val="tx1"/>
                        </w14:solidFill>
                      </w14:textFill>
                    </w:rPr>
                    <w:t>56</w:t>
                  </w:r>
                </w:p>
              </w:tc>
              <w:tc>
                <w:tcPr>
                  <w:tcW w:w="2009" w:type="pct"/>
                  <w:noWrap w:val="0"/>
                  <w:vAlign w:val="center"/>
                </w:tcPr>
                <w:p>
                  <w:pPr>
                    <w:widowControl/>
                    <w:adjustRightInd w:val="0"/>
                    <w:snapToGrid w:val="0"/>
                    <w:jc w:val="left"/>
                    <w:textAlignment w:val="center"/>
                    <w:rPr>
                      <w:color w:val="000000" w:themeColor="text1"/>
                      <w:kern w:val="0"/>
                      <w:sz w:val="22"/>
                      <w:szCs w:val="22"/>
                      <w:lang w:bidi="ar"/>
                      <w14:textFill>
                        <w14:solidFill>
                          <w14:schemeClr w14:val="tx1"/>
                        </w14:solidFill>
                      </w14:textFill>
                    </w:rPr>
                  </w:pPr>
                  <w:r>
                    <w:rPr>
                      <w:color w:val="000000" w:themeColor="text1"/>
                      <w:kern w:val="0"/>
                      <w:sz w:val="22"/>
                      <w:szCs w:val="22"/>
                      <w:lang w:bidi="ar"/>
                      <w14:textFill>
                        <w14:solidFill>
                          <w14:schemeClr w14:val="tx1"/>
                        </w14:solidFill>
                      </w14:textFill>
                    </w:rPr>
                    <w:t>行车</w:t>
                  </w:r>
                </w:p>
              </w:tc>
              <w:tc>
                <w:tcPr>
                  <w:tcW w:w="624"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台</w:t>
                  </w:r>
                </w:p>
              </w:tc>
              <w:tc>
                <w:tcPr>
                  <w:tcW w:w="548"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1</w:t>
                  </w:r>
                </w:p>
              </w:tc>
              <w:tc>
                <w:tcPr>
                  <w:tcW w:w="1376" w:type="pct"/>
                  <w:noWrap w:val="0"/>
                  <w:vAlign w:val="center"/>
                </w:tcPr>
                <w:p>
                  <w:pPr>
                    <w:widowControl/>
                    <w:adjustRightInd w:val="0"/>
                    <w:snapToGrid w:val="0"/>
                    <w:jc w:val="center"/>
                    <w:textAlignment w:val="center"/>
                    <w:rPr>
                      <w:color w:val="000000" w:themeColor="text1"/>
                      <w:szCs w:val="22"/>
                      <w14:textFill>
                        <w14:solidFill>
                          <w14:schemeClr w14:val="tx1"/>
                        </w14:solidFill>
                      </w14:textFill>
                    </w:rPr>
                  </w:pPr>
                  <w:r>
                    <w:rPr>
                      <w:color w:val="000000" w:themeColor="text1"/>
                      <w:kern w:val="0"/>
                      <w:sz w:val="22"/>
                      <w:szCs w:val="22"/>
                      <w:lang w:bidi="ar"/>
                      <w14:textFill>
                        <w14:solidFill>
                          <w14:schemeClr w14:val="tx1"/>
                        </w14:solidFill>
                      </w14:textFill>
                    </w:rPr>
                    <w:t>20T</w:t>
                  </w:r>
                </w:p>
              </w:tc>
            </w:tr>
          </w:tbl>
          <w:p>
            <w:pPr>
              <w:spacing w:line="360" w:lineRule="auto"/>
              <w:jc w:val="center"/>
              <w:rPr>
                <w:b/>
                <w:color w:val="000000" w:themeColor="text1"/>
                <w:sz w:val="24"/>
                <w14:textFill>
                  <w14:solidFill>
                    <w14:schemeClr w14:val="tx1"/>
                  </w14:solidFill>
                </w14:textFill>
              </w:rPr>
            </w:pPr>
          </w:p>
          <w:p>
            <w:pPr>
              <w:jc w:val="center"/>
              <w:rPr>
                <w:b/>
                <w:bCs/>
                <w:color w:val="000000" w:themeColor="text1"/>
                <w:sz w:val="24"/>
                <w14:textFill>
                  <w14:solidFill>
                    <w14:schemeClr w14:val="tx1"/>
                  </w14:solidFill>
                </w14:textFill>
              </w:rPr>
            </w:pPr>
            <w:r>
              <w:rPr>
                <w:b/>
                <w:color w:val="000000" w:themeColor="text1"/>
                <w:sz w:val="24"/>
                <w14:textFill>
                  <w14:solidFill>
                    <w14:schemeClr w14:val="tx1"/>
                  </w14:solidFill>
                </w14:textFill>
              </w:rPr>
              <w:t>表2-</w:t>
            </w:r>
            <w:r>
              <w:rPr>
                <w:rFonts w:hint="eastAsia"/>
                <w:b/>
                <w:color w:val="000000" w:themeColor="text1"/>
                <w:sz w:val="24"/>
                <w14:textFill>
                  <w14:solidFill>
                    <w14:schemeClr w14:val="tx1"/>
                  </w14:solidFill>
                </w14:textFill>
              </w:rPr>
              <w:t>3</w:t>
            </w:r>
            <w:r>
              <w:rPr>
                <w:b/>
                <w:color w:val="000000" w:themeColor="text1"/>
                <w:sz w:val="24"/>
                <w14:textFill>
                  <w14:solidFill>
                    <w14:schemeClr w14:val="tx1"/>
                  </w14:solidFill>
                </w14:textFill>
              </w:rPr>
              <w:t xml:space="preserve">  主要原辅材料清单</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1425"/>
              <w:gridCol w:w="1200"/>
              <w:gridCol w:w="1111"/>
              <w:gridCol w:w="2191"/>
              <w:gridCol w:w="13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序号</w:t>
                  </w:r>
                </w:p>
              </w:tc>
              <w:tc>
                <w:tcPr>
                  <w:tcW w:w="877"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材料名称</w:t>
                  </w:r>
                </w:p>
              </w:tc>
              <w:tc>
                <w:tcPr>
                  <w:tcW w:w="73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单位</w:t>
                  </w:r>
                </w:p>
              </w:tc>
              <w:tc>
                <w:tcPr>
                  <w:tcW w:w="684"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数量</w:t>
                  </w:r>
                </w:p>
              </w:tc>
              <w:tc>
                <w:tcPr>
                  <w:tcW w:w="134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厂家</w:t>
                  </w:r>
                </w:p>
              </w:tc>
              <w:tc>
                <w:tcPr>
                  <w:tcW w:w="828"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包装情况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1</w:t>
                  </w:r>
                </w:p>
              </w:tc>
              <w:tc>
                <w:tcPr>
                  <w:tcW w:w="877"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45#钢材</w:t>
                  </w:r>
                </w:p>
              </w:tc>
              <w:tc>
                <w:tcPr>
                  <w:tcW w:w="73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t/a</w:t>
                  </w:r>
                </w:p>
              </w:tc>
              <w:tc>
                <w:tcPr>
                  <w:tcW w:w="684"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900</w:t>
                  </w:r>
                </w:p>
              </w:tc>
              <w:tc>
                <w:tcPr>
                  <w:tcW w:w="134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武钢、涟钢</w:t>
                  </w:r>
                </w:p>
              </w:tc>
              <w:tc>
                <w:tcPr>
                  <w:tcW w:w="828"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整板包装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2</w:t>
                  </w:r>
                </w:p>
              </w:tc>
              <w:tc>
                <w:tcPr>
                  <w:tcW w:w="877"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Q235E钢板</w:t>
                  </w:r>
                </w:p>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Q345E钢板</w:t>
                  </w:r>
                </w:p>
              </w:tc>
              <w:tc>
                <w:tcPr>
                  <w:tcW w:w="73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t/a</w:t>
                  </w:r>
                </w:p>
              </w:tc>
              <w:tc>
                <w:tcPr>
                  <w:tcW w:w="684"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700</w:t>
                  </w:r>
                </w:p>
              </w:tc>
              <w:tc>
                <w:tcPr>
                  <w:tcW w:w="134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武钢、涟钢</w:t>
                  </w:r>
                </w:p>
              </w:tc>
              <w:tc>
                <w:tcPr>
                  <w:tcW w:w="828"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整板包装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3</w:t>
                  </w:r>
                </w:p>
              </w:tc>
              <w:tc>
                <w:tcPr>
                  <w:tcW w:w="877"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切削液</w:t>
                  </w:r>
                </w:p>
              </w:tc>
              <w:tc>
                <w:tcPr>
                  <w:tcW w:w="73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桶/a</w:t>
                  </w:r>
                </w:p>
              </w:tc>
              <w:tc>
                <w:tcPr>
                  <w:tcW w:w="684"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115</w:t>
                  </w:r>
                </w:p>
              </w:tc>
              <w:tc>
                <w:tcPr>
                  <w:tcW w:w="134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开杨、欧德宝</w:t>
                  </w:r>
                </w:p>
              </w:tc>
              <w:tc>
                <w:tcPr>
                  <w:tcW w:w="828"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铁桶包装</w:t>
                  </w:r>
                </w:p>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180升/桶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4</w:t>
                  </w:r>
                </w:p>
              </w:tc>
              <w:tc>
                <w:tcPr>
                  <w:tcW w:w="877"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润滑油</w:t>
                  </w:r>
                </w:p>
              </w:tc>
              <w:tc>
                <w:tcPr>
                  <w:tcW w:w="73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桶/a</w:t>
                  </w:r>
                </w:p>
              </w:tc>
              <w:tc>
                <w:tcPr>
                  <w:tcW w:w="684"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13</w:t>
                  </w:r>
                </w:p>
              </w:tc>
              <w:tc>
                <w:tcPr>
                  <w:tcW w:w="134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英超（长城、美孚）</w:t>
                  </w:r>
                </w:p>
              </w:tc>
              <w:tc>
                <w:tcPr>
                  <w:tcW w:w="828"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铁桶包装</w:t>
                  </w:r>
                </w:p>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200升/桶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5</w:t>
                  </w:r>
                </w:p>
              </w:tc>
              <w:tc>
                <w:tcPr>
                  <w:tcW w:w="877"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清洗剂</w:t>
                  </w:r>
                </w:p>
              </w:tc>
              <w:tc>
                <w:tcPr>
                  <w:tcW w:w="73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Kg/a</w:t>
                  </w:r>
                </w:p>
              </w:tc>
              <w:tc>
                <w:tcPr>
                  <w:tcW w:w="684"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900</w:t>
                  </w:r>
                </w:p>
              </w:tc>
              <w:tc>
                <w:tcPr>
                  <w:tcW w:w="134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华阳-恩赛</w:t>
                  </w:r>
                </w:p>
              </w:tc>
              <w:tc>
                <w:tcPr>
                  <w:tcW w:w="828"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塑料桶包装25KG/桶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6</w:t>
                  </w:r>
                </w:p>
              </w:tc>
              <w:tc>
                <w:tcPr>
                  <w:tcW w:w="877"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防锈剂</w:t>
                  </w:r>
                </w:p>
              </w:tc>
              <w:tc>
                <w:tcPr>
                  <w:tcW w:w="73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Kg/a</w:t>
                  </w:r>
                </w:p>
              </w:tc>
              <w:tc>
                <w:tcPr>
                  <w:tcW w:w="684"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300</w:t>
                  </w:r>
                </w:p>
              </w:tc>
              <w:tc>
                <w:tcPr>
                  <w:tcW w:w="1349"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华阳-恩赛</w:t>
                  </w:r>
                </w:p>
              </w:tc>
              <w:tc>
                <w:tcPr>
                  <w:tcW w:w="828" w:type="pct"/>
                  <w:noWrap w:val="0"/>
                  <w:vAlign w:val="center"/>
                </w:tcPr>
                <w:p>
                  <w:pPr>
                    <w:adjustRightInd w:val="0"/>
                    <w:snapToGrid w:val="0"/>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塑料桶包装25KG/桶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 w:type="pct"/>
                  <w:noWrap w:val="0"/>
                  <w:vAlign w:val="center"/>
                </w:tcPr>
                <w:p>
                  <w:pPr>
                    <w:adjustRightInd w:val="0"/>
                    <w:snapToGrid w:val="0"/>
                    <w:jc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7</w:t>
                  </w:r>
                </w:p>
              </w:tc>
              <w:tc>
                <w:tcPr>
                  <w:tcW w:w="877" w:type="pct"/>
                  <w:noWrap w:val="0"/>
                  <w:vAlign w:val="center"/>
                </w:tcPr>
                <w:p>
                  <w:pPr>
                    <w:adjustRightInd w:val="0"/>
                    <w:snapToGrid w:val="0"/>
                    <w:jc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电</w:t>
                  </w:r>
                </w:p>
              </w:tc>
              <w:tc>
                <w:tcPr>
                  <w:tcW w:w="739" w:type="pct"/>
                  <w:noWrap w:val="0"/>
                  <w:vAlign w:val="center"/>
                </w:tcPr>
                <w:p>
                  <w:pPr>
                    <w:adjustRightInd w:val="0"/>
                    <w:snapToGrid w:val="0"/>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KWh·a</w:t>
                  </w:r>
                </w:p>
              </w:tc>
              <w:tc>
                <w:tcPr>
                  <w:tcW w:w="684" w:type="pct"/>
                  <w:noWrap w:val="0"/>
                  <w:vAlign w:val="center"/>
                </w:tcPr>
                <w:p>
                  <w:pPr>
                    <w:adjustRightInd w:val="0"/>
                    <w:snapToGrid w:val="0"/>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29.2万</w:t>
                  </w:r>
                </w:p>
              </w:tc>
              <w:tc>
                <w:tcPr>
                  <w:tcW w:w="1349" w:type="pct"/>
                  <w:noWrap w:val="0"/>
                  <w:vAlign w:val="center"/>
                </w:tcPr>
                <w:p>
                  <w:pPr>
                    <w:adjustRightInd w:val="0"/>
                    <w:snapToGrid w:val="0"/>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市政电网</w:t>
                  </w:r>
                </w:p>
              </w:tc>
              <w:tc>
                <w:tcPr>
                  <w:tcW w:w="828" w:type="pct"/>
                  <w:noWrap w:val="0"/>
                  <w:vAlign w:val="center"/>
                </w:tcPr>
                <w:p>
                  <w:pPr>
                    <w:adjustRightInd w:val="0"/>
                    <w:snapToGrid w:val="0"/>
                    <w:jc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 w:type="pct"/>
                  <w:noWrap w:val="0"/>
                  <w:vAlign w:val="center"/>
                </w:tcPr>
                <w:p>
                  <w:pPr>
                    <w:adjustRightInd w:val="0"/>
                    <w:snapToGrid w:val="0"/>
                    <w:jc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8</w:t>
                  </w:r>
                </w:p>
              </w:tc>
              <w:tc>
                <w:tcPr>
                  <w:tcW w:w="877" w:type="pct"/>
                  <w:noWrap w:val="0"/>
                  <w:vAlign w:val="center"/>
                </w:tcPr>
                <w:p>
                  <w:pPr>
                    <w:adjustRightInd w:val="0"/>
                    <w:snapToGrid w:val="0"/>
                    <w:jc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水</w:t>
                  </w:r>
                </w:p>
              </w:tc>
              <w:tc>
                <w:tcPr>
                  <w:tcW w:w="739" w:type="pct"/>
                  <w:noWrap w:val="0"/>
                  <w:vAlign w:val="center"/>
                </w:tcPr>
                <w:p>
                  <w:pPr>
                    <w:adjustRightInd w:val="0"/>
                    <w:snapToGrid w:val="0"/>
                    <w:jc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t/a</w:t>
                  </w:r>
                </w:p>
              </w:tc>
              <w:tc>
                <w:tcPr>
                  <w:tcW w:w="684" w:type="pct"/>
                  <w:noWrap w:val="0"/>
                  <w:vAlign w:val="center"/>
                </w:tcPr>
                <w:p>
                  <w:pPr>
                    <w:adjustRightInd w:val="0"/>
                    <w:snapToGrid w:val="0"/>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15243</w:t>
                  </w:r>
                </w:p>
              </w:tc>
              <w:tc>
                <w:tcPr>
                  <w:tcW w:w="1349" w:type="pct"/>
                  <w:noWrap w:val="0"/>
                  <w:vAlign w:val="center"/>
                </w:tcPr>
                <w:p>
                  <w:pPr>
                    <w:adjustRightInd w:val="0"/>
                    <w:snapToGrid w:val="0"/>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市政自来水</w:t>
                  </w:r>
                </w:p>
              </w:tc>
              <w:tc>
                <w:tcPr>
                  <w:tcW w:w="828" w:type="pct"/>
                  <w:noWrap w:val="0"/>
                  <w:vAlign w:val="center"/>
                </w:tcPr>
                <w:p>
                  <w:pPr>
                    <w:adjustRightInd w:val="0"/>
                    <w:snapToGrid w:val="0"/>
                    <w:jc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w:t>
                  </w:r>
                </w:p>
              </w:tc>
            </w:tr>
          </w:tbl>
          <w:p>
            <w:pPr>
              <w:spacing w:line="360" w:lineRule="auto"/>
              <w:ind w:firstLine="480" w:firstLineChars="200"/>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清洗剂：米黄色透明液体，苹果香气，主要成份非离子活性剂5-10%，DPM1-5%，钠盐1-5%，熔点＜-5，沸点100，pH7（±0.5），金属清洗剂广泛用于各类金属材料表面除油清洗，每种金属材料都有针对性的清洗剂，不会腐蚀材料表面。</w:t>
            </w:r>
          </w:p>
          <w:p>
            <w:pPr>
              <w:spacing w:line="360" w:lineRule="auto"/>
              <w:ind w:firstLine="480" w:firstLineChars="200"/>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防锈剂：水黏性液体，盐酸 40~60%，硫酸 1~3%，甲基丙烯酸 5~10%，聚合氯化铝 0~1%，三乙醇胺 0~0.5，氯化钠 0~1，柠檬酸 0~2。</w:t>
            </w:r>
          </w:p>
          <w:p>
            <w:pPr>
              <w:jc w:val="center"/>
              <w:rPr>
                <w:b/>
                <w:color w:val="000000" w:themeColor="text1"/>
                <w:sz w:val="24"/>
                <w:u w:val="single"/>
                <w14:textFill>
                  <w14:solidFill>
                    <w14:schemeClr w14:val="tx1"/>
                  </w14:solidFill>
                </w14:textFill>
              </w:rPr>
            </w:pPr>
          </w:p>
          <w:p>
            <w:pPr>
              <w:jc w:val="center"/>
              <w:rPr>
                <w:b/>
                <w:bCs/>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表2-</w:t>
            </w:r>
            <w:r>
              <w:rPr>
                <w:rFonts w:hint="eastAsia"/>
                <w:b/>
                <w:color w:val="000000" w:themeColor="text1"/>
                <w:sz w:val="24"/>
                <w:u w:val="single"/>
                <w14:textFill>
                  <w14:solidFill>
                    <w14:schemeClr w14:val="tx1"/>
                  </w14:solidFill>
                </w14:textFill>
              </w:rPr>
              <w:t>4</w:t>
            </w:r>
            <w:r>
              <w:rPr>
                <w:b/>
                <w:color w:val="000000" w:themeColor="text1"/>
                <w:sz w:val="24"/>
                <w:u w:val="single"/>
                <w14:textFill>
                  <w14:solidFill>
                    <w14:schemeClr w14:val="tx1"/>
                  </w14:solidFill>
                </w14:textFill>
              </w:rPr>
              <w:t xml:space="preserve">  </w:t>
            </w:r>
            <w:r>
              <w:rPr>
                <w:rFonts w:hint="eastAsia"/>
                <w:b/>
                <w:color w:val="000000" w:themeColor="text1"/>
                <w:sz w:val="24"/>
                <w:u w:val="single"/>
                <w14:textFill>
                  <w14:solidFill>
                    <w14:schemeClr w14:val="tx1"/>
                  </w14:solidFill>
                </w14:textFill>
              </w:rPr>
              <w:t>产品情况一览表</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1951"/>
              <w:gridCol w:w="1644"/>
              <w:gridCol w:w="1522"/>
              <w:gridCol w:w="1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 w:val="18"/>
                      <w:szCs w:val="21"/>
                      <w:u w:val="single"/>
                      <w14:textFill>
                        <w14:solidFill>
                          <w14:schemeClr w14:val="tx1"/>
                        </w14:solidFill>
                      </w14:textFill>
                    </w:rPr>
                    <w:t>序号</w:t>
                  </w:r>
                </w:p>
              </w:tc>
              <w:tc>
                <w:tcPr>
                  <w:tcW w:w="1201" w:type="pct"/>
                  <w:noWrap w:val="0"/>
                  <w:vAlign w:val="center"/>
                </w:tcPr>
                <w:p>
                  <w:pPr>
                    <w:adjustRightInd w:val="0"/>
                    <w:snapToGrid w:val="0"/>
                    <w:jc w:val="center"/>
                    <w:rPr>
                      <w:rFonts w:hint="eastAsia"/>
                      <w:color w:val="000000" w:themeColor="text1"/>
                      <w:sz w:val="18"/>
                      <w:szCs w:val="21"/>
                      <w:u w:val="single"/>
                      <w14:textFill>
                        <w14:solidFill>
                          <w14:schemeClr w14:val="tx1"/>
                        </w14:solidFill>
                      </w14:textFill>
                    </w:rPr>
                  </w:pPr>
                  <w:r>
                    <w:rPr>
                      <w:rFonts w:hint="eastAsia"/>
                      <w:color w:val="000000" w:themeColor="text1"/>
                      <w:sz w:val="18"/>
                      <w:szCs w:val="21"/>
                      <w:u w:val="single"/>
                      <w14:textFill>
                        <w14:solidFill>
                          <w14:schemeClr w14:val="tx1"/>
                        </w14:solidFill>
                      </w14:textFill>
                    </w:rPr>
                    <w:t>名称</w:t>
                  </w:r>
                </w:p>
              </w:tc>
              <w:tc>
                <w:tcPr>
                  <w:tcW w:w="1012" w:type="pct"/>
                  <w:noWrap w:val="0"/>
                  <w:vAlign w:val="center"/>
                </w:tcPr>
                <w:p>
                  <w:pPr>
                    <w:adjustRightInd w:val="0"/>
                    <w:snapToGrid w:val="0"/>
                    <w:jc w:val="center"/>
                    <w:rPr>
                      <w:rFonts w:hint="eastAsia"/>
                      <w:color w:val="000000" w:themeColor="text1"/>
                      <w:sz w:val="18"/>
                      <w:szCs w:val="21"/>
                      <w:u w:val="single"/>
                      <w14:textFill>
                        <w14:solidFill>
                          <w14:schemeClr w14:val="tx1"/>
                        </w14:solidFill>
                      </w14:textFill>
                    </w:rPr>
                  </w:pPr>
                  <w:r>
                    <w:rPr>
                      <w:rFonts w:hint="eastAsia"/>
                      <w:color w:val="000000" w:themeColor="text1"/>
                      <w:sz w:val="18"/>
                      <w:szCs w:val="21"/>
                      <w:u w:val="single"/>
                      <w14:textFill>
                        <w14:solidFill>
                          <w14:schemeClr w14:val="tx1"/>
                        </w14:solidFill>
                      </w14:textFill>
                    </w:rPr>
                    <w:t>年产量</w:t>
                  </w:r>
                </w:p>
              </w:tc>
              <w:tc>
                <w:tcPr>
                  <w:tcW w:w="937" w:type="pct"/>
                  <w:noWrap w:val="0"/>
                  <w:vAlign w:val="center"/>
                </w:tcPr>
                <w:p>
                  <w:pPr>
                    <w:adjustRightInd w:val="0"/>
                    <w:snapToGrid w:val="0"/>
                    <w:jc w:val="center"/>
                    <w:rPr>
                      <w:rFonts w:hint="eastAsia"/>
                      <w:color w:val="000000" w:themeColor="text1"/>
                      <w:sz w:val="18"/>
                      <w:szCs w:val="21"/>
                      <w:u w:val="single"/>
                      <w14:textFill>
                        <w14:solidFill>
                          <w14:schemeClr w14:val="tx1"/>
                        </w14:solidFill>
                      </w14:textFill>
                    </w:rPr>
                  </w:pPr>
                  <w:r>
                    <w:rPr>
                      <w:rFonts w:hint="eastAsia"/>
                      <w:color w:val="000000" w:themeColor="text1"/>
                      <w:sz w:val="18"/>
                      <w:szCs w:val="21"/>
                      <w:u w:val="single"/>
                      <w14:textFill>
                        <w14:solidFill>
                          <w14:schemeClr w14:val="tx1"/>
                        </w14:solidFill>
                      </w14:textFill>
                    </w:rPr>
                    <w:t>规格</w:t>
                  </w:r>
                </w:p>
              </w:tc>
              <w:tc>
                <w:tcPr>
                  <w:tcW w:w="1135"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rFonts w:hint="eastAsia"/>
                      <w:color w:val="000000" w:themeColor="text1"/>
                      <w:sz w:val="18"/>
                      <w:szCs w:val="21"/>
                      <w:u w:val="single"/>
                      <w14:textFill>
                        <w14:solidFill>
                          <w14:schemeClr w14:val="tx1"/>
                        </w14:solidFill>
                      </w14:textFill>
                    </w:rPr>
                    <w:t>销往方向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 w:val="18"/>
                      <w:szCs w:val="21"/>
                      <w:u w:val="single"/>
                      <w14:textFill>
                        <w14:solidFill>
                          <w14:schemeClr w14:val="tx1"/>
                        </w14:solidFill>
                      </w14:textFill>
                    </w:rPr>
                    <w:t>1</w:t>
                  </w:r>
                </w:p>
              </w:tc>
              <w:tc>
                <w:tcPr>
                  <w:tcW w:w="1201"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Cs w:val="21"/>
                      <w:u w:val="single"/>
                      <w14:textFill>
                        <w14:solidFill>
                          <w14:schemeClr w14:val="tx1"/>
                        </w14:solidFill>
                      </w14:textFill>
                    </w:rPr>
                    <w:t>年产液压阀块</w:t>
                  </w:r>
                </w:p>
              </w:tc>
              <w:tc>
                <w:tcPr>
                  <w:tcW w:w="1012"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Cs w:val="21"/>
                      <w:u w:val="single"/>
                      <w14:textFill>
                        <w14:solidFill>
                          <w14:schemeClr w14:val="tx1"/>
                        </w14:solidFill>
                      </w14:textFill>
                    </w:rPr>
                    <w:t>20万件</w:t>
                  </w:r>
                </w:p>
              </w:tc>
              <w:tc>
                <w:tcPr>
                  <w:tcW w:w="937" w:type="pct"/>
                  <w:noWrap w:val="0"/>
                  <w:vAlign w:val="center"/>
                </w:tcPr>
                <w:p>
                  <w:pPr>
                    <w:adjustRightInd w:val="0"/>
                    <w:snapToGrid w:val="0"/>
                    <w:jc w:val="center"/>
                    <w:rPr>
                      <w:rFonts w:hint="eastAsia"/>
                      <w:color w:val="000000" w:themeColor="text1"/>
                      <w:sz w:val="18"/>
                      <w:szCs w:val="21"/>
                      <w:u w:val="single"/>
                      <w14:textFill>
                        <w14:solidFill>
                          <w14:schemeClr w14:val="tx1"/>
                        </w14:solidFill>
                      </w14:textFill>
                    </w:rPr>
                  </w:pPr>
                  <w:r>
                    <w:rPr>
                      <w:rFonts w:hint="eastAsia"/>
                      <w:color w:val="000000" w:themeColor="text1"/>
                      <w:sz w:val="18"/>
                      <w:szCs w:val="21"/>
                      <w:u w:val="single"/>
                      <w14:textFill>
                        <w14:solidFill>
                          <w14:schemeClr w14:val="tx1"/>
                        </w14:solidFill>
                      </w14:textFill>
                    </w:rPr>
                    <w:t>定制</w:t>
                  </w:r>
                </w:p>
              </w:tc>
              <w:tc>
                <w:tcPr>
                  <w:tcW w:w="1135" w:type="pct"/>
                  <w:vMerge w:val="restart"/>
                  <w:noWrap w:val="0"/>
                  <w:vAlign w:val="center"/>
                </w:tcPr>
                <w:p>
                  <w:pPr>
                    <w:adjustRightInd w:val="0"/>
                    <w:snapToGrid w:val="0"/>
                    <w:jc w:val="center"/>
                    <w:rPr>
                      <w:color w:val="000000" w:themeColor="text1"/>
                      <w:sz w:val="18"/>
                      <w:szCs w:val="21"/>
                      <w:u w:val="single"/>
                      <w14:textFill>
                        <w14:solidFill>
                          <w14:schemeClr w14:val="tx1"/>
                        </w14:solidFill>
                      </w14:textFill>
                    </w:rPr>
                  </w:pPr>
                  <w:r>
                    <w:rPr>
                      <w:rFonts w:hint="eastAsia"/>
                      <w:color w:val="000000" w:themeColor="text1"/>
                      <w:sz w:val="18"/>
                      <w:szCs w:val="21"/>
                      <w:u w:val="single"/>
                      <w14:textFill>
                        <w14:solidFill>
                          <w14:schemeClr w14:val="tx1"/>
                        </w14:solidFill>
                      </w14:textFill>
                    </w:rPr>
                    <w:t>全国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 w:val="18"/>
                      <w:szCs w:val="21"/>
                      <w:u w:val="single"/>
                      <w14:textFill>
                        <w14:solidFill>
                          <w14:schemeClr w14:val="tx1"/>
                        </w14:solidFill>
                      </w14:textFill>
                    </w:rPr>
                    <w:t>2</w:t>
                  </w:r>
                </w:p>
              </w:tc>
              <w:tc>
                <w:tcPr>
                  <w:tcW w:w="1201"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Cs w:val="21"/>
                      <w:u w:val="single"/>
                      <w14:textFill>
                        <w14:solidFill>
                          <w14:schemeClr w14:val="tx1"/>
                        </w14:solidFill>
                      </w14:textFill>
                    </w:rPr>
                    <w:t>精密液压组件总成</w:t>
                  </w:r>
                </w:p>
              </w:tc>
              <w:tc>
                <w:tcPr>
                  <w:tcW w:w="1012"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Cs w:val="21"/>
                      <w:u w:val="single"/>
                      <w14:textFill>
                        <w14:solidFill>
                          <w14:schemeClr w14:val="tx1"/>
                        </w14:solidFill>
                      </w14:textFill>
                    </w:rPr>
                    <w:t>3万件</w:t>
                  </w:r>
                </w:p>
              </w:tc>
              <w:tc>
                <w:tcPr>
                  <w:tcW w:w="937"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rFonts w:hint="eastAsia"/>
                      <w:color w:val="000000" w:themeColor="text1"/>
                      <w:sz w:val="18"/>
                      <w:szCs w:val="21"/>
                      <w:u w:val="single"/>
                      <w14:textFill>
                        <w14:solidFill>
                          <w14:schemeClr w14:val="tx1"/>
                        </w14:solidFill>
                      </w14:textFill>
                    </w:rPr>
                    <w:t>定制</w:t>
                  </w:r>
                </w:p>
              </w:tc>
              <w:tc>
                <w:tcPr>
                  <w:tcW w:w="1135" w:type="pct"/>
                  <w:vMerge w:val="continue"/>
                  <w:noWrap w:val="0"/>
                  <w:vAlign w:val="center"/>
                </w:tcPr>
                <w:p>
                  <w:pPr>
                    <w:adjustRightInd w:val="0"/>
                    <w:snapToGrid w:val="0"/>
                    <w:jc w:val="center"/>
                    <w:rPr>
                      <w:color w:val="000000" w:themeColor="text1"/>
                      <w:sz w:val="18"/>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 w:val="18"/>
                      <w:szCs w:val="21"/>
                      <w:u w:val="single"/>
                      <w14:textFill>
                        <w14:solidFill>
                          <w14:schemeClr w14:val="tx1"/>
                        </w14:solidFill>
                      </w14:textFill>
                    </w:rPr>
                    <w:t>3</w:t>
                  </w:r>
                </w:p>
              </w:tc>
              <w:tc>
                <w:tcPr>
                  <w:tcW w:w="1201"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Cs w:val="21"/>
                      <w:u w:val="single"/>
                      <w14:textFill>
                        <w14:solidFill>
                          <w14:schemeClr w14:val="tx1"/>
                        </w14:solidFill>
                      </w14:textFill>
                    </w:rPr>
                    <w:t>结构件</w:t>
                  </w:r>
                </w:p>
              </w:tc>
              <w:tc>
                <w:tcPr>
                  <w:tcW w:w="1012"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Cs w:val="21"/>
                      <w:u w:val="single"/>
                      <w14:textFill>
                        <w14:solidFill>
                          <w14:schemeClr w14:val="tx1"/>
                        </w14:solidFill>
                      </w14:textFill>
                    </w:rPr>
                    <w:t>1.5万件</w:t>
                  </w:r>
                </w:p>
              </w:tc>
              <w:tc>
                <w:tcPr>
                  <w:tcW w:w="937"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rFonts w:hint="eastAsia"/>
                      <w:color w:val="000000" w:themeColor="text1"/>
                      <w:sz w:val="18"/>
                      <w:szCs w:val="21"/>
                      <w:u w:val="single"/>
                      <w14:textFill>
                        <w14:solidFill>
                          <w14:schemeClr w14:val="tx1"/>
                        </w14:solidFill>
                      </w14:textFill>
                    </w:rPr>
                    <w:t>定制</w:t>
                  </w:r>
                </w:p>
              </w:tc>
              <w:tc>
                <w:tcPr>
                  <w:tcW w:w="1135" w:type="pct"/>
                  <w:vMerge w:val="continue"/>
                  <w:noWrap w:val="0"/>
                  <w:vAlign w:val="center"/>
                </w:tcPr>
                <w:p>
                  <w:pPr>
                    <w:adjustRightInd w:val="0"/>
                    <w:snapToGrid w:val="0"/>
                    <w:jc w:val="center"/>
                    <w:rPr>
                      <w:color w:val="000000" w:themeColor="text1"/>
                      <w:sz w:val="18"/>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 w:val="18"/>
                      <w:szCs w:val="21"/>
                      <w:u w:val="single"/>
                      <w14:textFill>
                        <w14:solidFill>
                          <w14:schemeClr w14:val="tx1"/>
                        </w14:solidFill>
                      </w14:textFill>
                    </w:rPr>
                    <w:t>4</w:t>
                  </w:r>
                </w:p>
              </w:tc>
              <w:tc>
                <w:tcPr>
                  <w:tcW w:w="1201"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Cs w:val="21"/>
                      <w:u w:val="single"/>
                      <w14:textFill>
                        <w14:solidFill>
                          <w14:schemeClr w14:val="tx1"/>
                        </w14:solidFill>
                      </w14:textFill>
                    </w:rPr>
                    <w:t>精密加工件</w:t>
                  </w:r>
                </w:p>
              </w:tc>
              <w:tc>
                <w:tcPr>
                  <w:tcW w:w="1012"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color w:val="000000" w:themeColor="text1"/>
                      <w:szCs w:val="21"/>
                      <w:u w:val="single"/>
                      <w14:textFill>
                        <w14:solidFill>
                          <w14:schemeClr w14:val="tx1"/>
                        </w14:solidFill>
                      </w14:textFill>
                    </w:rPr>
                    <w:t>20万件</w:t>
                  </w:r>
                </w:p>
              </w:tc>
              <w:tc>
                <w:tcPr>
                  <w:tcW w:w="937" w:type="pct"/>
                  <w:noWrap w:val="0"/>
                  <w:vAlign w:val="center"/>
                </w:tcPr>
                <w:p>
                  <w:pPr>
                    <w:adjustRightInd w:val="0"/>
                    <w:snapToGrid w:val="0"/>
                    <w:jc w:val="center"/>
                    <w:rPr>
                      <w:color w:val="000000" w:themeColor="text1"/>
                      <w:sz w:val="18"/>
                      <w:szCs w:val="21"/>
                      <w:u w:val="single"/>
                      <w14:textFill>
                        <w14:solidFill>
                          <w14:schemeClr w14:val="tx1"/>
                        </w14:solidFill>
                      </w14:textFill>
                    </w:rPr>
                  </w:pPr>
                  <w:r>
                    <w:rPr>
                      <w:rFonts w:hint="eastAsia"/>
                      <w:color w:val="000000" w:themeColor="text1"/>
                      <w:sz w:val="18"/>
                      <w:szCs w:val="21"/>
                      <w:u w:val="single"/>
                      <w14:textFill>
                        <w14:solidFill>
                          <w14:schemeClr w14:val="tx1"/>
                        </w14:solidFill>
                      </w14:textFill>
                    </w:rPr>
                    <w:t>定制</w:t>
                  </w:r>
                </w:p>
              </w:tc>
              <w:tc>
                <w:tcPr>
                  <w:tcW w:w="1135" w:type="pct"/>
                  <w:vMerge w:val="continue"/>
                  <w:noWrap w:val="0"/>
                  <w:vAlign w:val="center"/>
                </w:tcPr>
                <w:p>
                  <w:pPr>
                    <w:adjustRightInd w:val="0"/>
                    <w:snapToGrid w:val="0"/>
                    <w:jc w:val="center"/>
                    <w:rPr>
                      <w:color w:val="000000" w:themeColor="text1"/>
                      <w:sz w:val="18"/>
                      <w:szCs w:val="21"/>
                      <w:u w:val="single"/>
                      <w14:textFill>
                        <w14:solidFill>
                          <w14:schemeClr w14:val="tx1"/>
                        </w14:solidFill>
                      </w14:textFill>
                    </w:rPr>
                  </w:pPr>
                </w:p>
              </w:tc>
            </w:tr>
          </w:tbl>
          <w:p>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2.4、平面布置</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本项目位于湘阴县高新区金龙片区安康路以东燎原路以北，厂房大门位于厂区南侧，中部为1#厂房，2#厂房，北侧研发车间、食堂宿舍，设备用房位于2#厂房东侧，</w:t>
            </w:r>
            <w:r>
              <w:rPr>
                <w:rFonts w:hint="eastAsia"/>
                <w:color w:val="000000" w:themeColor="text1"/>
                <w:sz w:val="24"/>
                <w14:textFill>
                  <w14:solidFill>
                    <w14:schemeClr w14:val="tx1"/>
                  </w14:solidFill>
                </w14:textFill>
              </w:rPr>
              <w:t>危废间设备车间西南角，占地面积</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0m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项目平面布置按照生产工艺流程布置，保证生产效率。详见附图2。</w:t>
            </w:r>
          </w:p>
          <w:p>
            <w:pPr>
              <w:adjustRightInd w:val="0"/>
              <w:snapToGrid w:val="0"/>
              <w:spacing w:line="360" w:lineRule="auto"/>
              <w:ind w:firstLine="542" w:firstLineChars="225"/>
              <w:jc w:val="left"/>
              <w:rPr>
                <w:b/>
                <w:color w:val="000000" w:themeColor="text1"/>
                <w:sz w:val="24"/>
                <w14:textFill>
                  <w14:solidFill>
                    <w14:schemeClr w14:val="tx1"/>
                  </w14:solidFill>
                </w14:textFill>
              </w:rPr>
            </w:pPr>
            <w:r>
              <w:rPr>
                <w:b/>
                <w:color w:val="000000" w:themeColor="text1"/>
                <w:sz w:val="24"/>
                <w14:textFill>
                  <w14:solidFill>
                    <w14:schemeClr w14:val="tx1"/>
                  </w14:solidFill>
                </w14:textFill>
              </w:rPr>
              <w:t>2.5、公用工程</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（1）给水工程</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项目接入区域市政供水管网，供水采用自来水。</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本项目劳动定员350人，年工作300天。参考《湖南省用水定额》（DB43/T388-2020）用水量按145L/人•d估算，则职工生活用水量约50.75m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/d，15225m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本项目在</w:t>
            </w:r>
            <w:r>
              <w:rPr>
                <w:rFonts w:hint="eastAsia"/>
                <w:color w:val="000000" w:themeColor="text1"/>
                <w:sz w:val="24"/>
                <w:lang w:val="en-US" w:eastAsia="zh-CN"/>
                <w14:textFill>
                  <w14:solidFill>
                    <w14:schemeClr w14:val="tx1"/>
                  </w14:solidFill>
                </w14:textFill>
              </w:rPr>
              <w:t>少量钢材需进行</w:t>
            </w:r>
            <w:r>
              <w:rPr>
                <w:color w:val="000000" w:themeColor="text1"/>
                <w:sz w:val="24"/>
                <w14:textFill>
                  <w14:solidFill>
                    <w14:schemeClr w14:val="tx1"/>
                  </w14:solidFill>
                </w14:textFill>
              </w:rPr>
              <w:t>超声波清洗</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清洗</w:t>
            </w:r>
            <w:r>
              <w:rPr>
                <w:color w:val="000000" w:themeColor="text1"/>
                <w:sz w:val="24"/>
                <w14:textFill>
                  <w14:solidFill>
                    <w14:schemeClr w14:val="tx1"/>
                  </w14:solidFill>
                </w14:textFill>
              </w:rPr>
              <w:t>工序中清洗剂需要配水，根据类比同类项目配水比例</w:t>
            </w:r>
            <w:r>
              <w:rPr>
                <w:rFonts w:hint="eastAsia"/>
                <w:color w:val="000000" w:themeColor="text1"/>
                <w:sz w:val="24"/>
                <w14:textFill>
                  <w14:solidFill>
                    <w14:schemeClr w14:val="tx1"/>
                  </w14:solidFill>
                </w14:textFill>
              </w:rPr>
              <w:t xml:space="preserve"> 1:20</w:t>
            </w:r>
            <w:r>
              <w:rPr>
                <w:color w:val="000000" w:themeColor="text1"/>
                <w:sz w:val="24"/>
                <w14:textFill>
                  <w14:solidFill>
                    <w14:schemeClr w14:val="tx1"/>
                  </w14:solidFill>
                </w14:textFill>
              </w:rPr>
              <w:t>，清洗剂用量0.9t，所以本项目超声波清洗用水为</w:t>
            </w:r>
            <w:r>
              <w:rPr>
                <w:rFonts w:hint="eastAsia"/>
                <w:color w:val="000000" w:themeColor="text1"/>
                <w:sz w:val="24"/>
                <w14:textFill>
                  <w14:solidFill>
                    <w14:schemeClr w14:val="tx1"/>
                  </w14:solidFill>
                </w14:textFill>
              </w:rPr>
              <w:t>18</w:t>
            </w:r>
            <w:r>
              <w:rPr>
                <w:color w:val="000000" w:themeColor="text1"/>
                <w:sz w:val="24"/>
                <w14:textFill>
                  <w14:solidFill>
                    <w14:schemeClr w14:val="tx1"/>
                  </w14:solidFill>
                </w14:textFill>
              </w:rPr>
              <w:t>t/a。</w:t>
            </w:r>
          </w:p>
          <w:p>
            <w:pPr>
              <w:spacing w:line="360" w:lineRule="auto"/>
              <w:ind w:firstLine="480" w:firstLineChars="200"/>
              <w:rPr>
                <w:color w:val="000000" w:themeColor="text1"/>
                <w14:textFill>
                  <w14:solidFill>
                    <w14:schemeClr w14:val="tx1"/>
                  </w14:solidFill>
                </w14:textFill>
              </w:rPr>
            </w:pPr>
            <w:r>
              <w:rPr>
                <w:color w:val="000000" w:themeColor="text1"/>
                <w:sz w:val="24"/>
                <w14:textFill>
                  <w14:solidFill>
                    <w14:schemeClr w14:val="tx1"/>
                  </w14:solidFill>
                </w14:textFill>
              </w:rPr>
              <w:t>（2）排水工程</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超声波清洗废水循环使用，定期更换，更换后作为危废交给有资质单位处理处置，本项目无生产废水排放，项目排水实行雨污分流制，雨水设置雨水沟，进入园区雨水管网；生活污水经标准厂房隔油池+化粪池处理达到《污水综合排放标准》（GB8978-1996）中三级标准后排入园区污水管网，经园区污水管网再排入湘阴县第三污水处理厂进行处理。</w:t>
            </w:r>
          </w:p>
          <w:p>
            <w:pPr>
              <w:spacing w:line="360" w:lineRule="auto"/>
              <w:ind w:firstLine="480" w:firstLineChars="200"/>
              <w:rPr>
                <w:bCs/>
                <w:color w:val="000000" w:themeColor="text1"/>
                <w:sz w:val="24"/>
                <w:szCs w:val="36"/>
                <w14:textFill>
                  <w14:solidFill>
                    <w14:schemeClr w14:val="tx1"/>
                  </w14:solidFill>
                </w14:textFill>
              </w:rPr>
            </w:pPr>
            <w:r>
              <w:rPr>
                <w:bCs/>
                <w:color w:val="000000" w:themeColor="text1"/>
                <w:sz w:val="24"/>
                <w:szCs w:val="36"/>
                <w14:textFill>
                  <w14:solidFill>
                    <w14:schemeClr w14:val="tx1"/>
                  </w14:solidFill>
                </w14:textFill>
              </w:rPr>
              <w:t>（3）供电工程：项目用电由湘阴县电力局供应。</w:t>
            </w:r>
          </w:p>
          <w:p>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2.6、劳动定员及工作制度</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项目劳动定员350人，</w:t>
            </w:r>
            <w:r>
              <w:rPr>
                <w:rFonts w:hint="eastAsia"/>
                <w:color w:val="000000" w:themeColor="text1"/>
                <w:sz w:val="24"/>
                <w14:textFill>
                  <w14:solidFill>
                    <w14:schemeClr w14:val="tx1"/>
                  </w14:solidFill>
                </w14:textFill>
              </w:rPr>
              <w:t>设置食宿，</w:t>
            </w:r>
            <w:r>
              <w:rPr>
                <w:color w:val="000000" w:themeColor="text1"/>
                <w:sz w:val="24"/>
                <w14:textFill>
                  <w14:solidFill>
                    <w14:schemeClr w14:val="tx1"/>
                  </w14:solidFill>
                </w14:textFill>
              </w:rPr>
              <w:t>2班制，工作时间8小时，全年工作300天。</w:t>
            </w:r>
          </w:p>
          <w:p>
            <w:pPr>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2.7、工程进度安排</w:t>
            </w:r>
          </w:p>
          <w:p>
            <w:pPr>
              <w:adjustRightInd w:val="0"/>
              <w:snapToGrid w:val="0"/>
              <w:spacing w:line="360" w:lineRule="auto"/>
              <w:ind w:firstLine="480" w:firstLineChars="200"/>
              <w:rPr>
                <w:bCs/>
                <w:color w:val="000000" w:themeColor="text1"/>
                <w:szCs w:val="21"/>
                <w14:textFill>
                  <w14:solidFill>
                    <w14:schemeClr w14:val="tx1"/>
                  </w14:solidFill>
                </w14:textFill>
              </w:rPr>
            </w:pPr>
            <w:r>
              <w:rPr>
                <w:color w:val="000000" w:themeColor="text1"/>
                <w:sz w:val="24"/>
                <w14:textFill>
                  <w14:solidFill>
                    <w14:schemeClr w14:val="tx1"/>
                  </w14:solidFill>
                </w14:textFill>
              </w:rPr>
              <w:t>本项目建设期为6个月，预计2021年12月投入生产。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823" w:type="dxa"/>
            <w:noWrap w:val="0"/>
            <w:vAlign w:val="center"/>
          </w:tcPr>
          <w:p>
            <w:pPr>
              <w:pStyle w:val="19"/>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工艺流程和产排污环节</w:t>
            </w:r>
          </w:p>
        </w:tc>
        <w:tc>
          <w:tcPr>
            <w:tcW w:w="8161" w:type="dxa"/>
            <w:noWrap w:val="0"/>
            <w:vAlign w:val="top"/>
          </w:tcPr>
          <w:p>
            <w:pPr>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一、施工期工艺流程及产污环节简述</w:t>
            </w:r>
          </w:p>
          <w:p>
            <w:pPr>
              <w:adjustRightInd w:val="0"/>
              <w:snapToGrid w:val="0"/>
              <w:jc w:val="center"/>
              <w:rPr>
                <w:bCs/>
                <w:color w:val="000000" w:themeColor="text1"/>
                <w:szCs w:val="21"/>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drawing>
                <wp:inline distT="0" distB="0" distL="114300" distR="114300">
                  <wp:extent cx="5152390" cy="3847465"/>
                  <wp:effectExtent l="0" t="0" r="10160" b="635"/>
                  <wp:docPr id="1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0"/>
                          <pic:cNvPicPr>
                            <a:picLocks noChangeAspect="1"/>
                          </pic:cNvPicPr>
                        </pic:nvPicPr>
                        <pic:blipFill>
                          <a:blip r:embed="rId19"/>
                          <a:stretch>
                            <a:fillRect/>
                          </a:stretch>
                        </pic:blipFill>
                        <pic:spPr>
                          <a:xfrm>
                            <a:off x="0" y="0"/>
                            <a:ext cx="5152390" cy="3847465"/>
                          </a:xfrm>
                          <a:prstGeom prst="rect">
                            <a:avLst/>
                          </a:prstGeom>
                          <a:noFill/>
                          <a:ln>
                            <a:noFill/>
                          </a:ln>
                        </pic:spPr>
                      </pic:pic>
                    </a:graphicData>
                  </a:graphic>
                </wp:inline>
              </w:drawing>
            </w:r>
          </w:p>
          <w:p>
            <w:pPr>
              <w:adjustRightInd w:val="0"/>
              <w:snapToGrid w:val="0"/>
              <w:spacing w:line="360" w:lineRule="auto"/>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图2-1  施工期工艺流程及产污环节</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1、废水</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施工废水：主要为机械设备冲洗废水，主要污染因子为SS、石油类，浓度一般分别为300～2000mg/L、15～30mg/L。另外，雨季作业的地面径流水，含有一定量的泥土和高浓度的悬浮物。</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2、废气</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项目施工过程中的废气污染源主要为施工扬尘、施工车辆及施工机械排放的尾气、</w:t>
            </w:r>
            <w:r>
              <w:rPr>
                <w:rFonts w:hint="eastAsia"/>
                <w:color w:val="000000" w:themeColor="text1"/>
                <w:sz w:val="24"/>
                <w:szCs w:val="32"/>
                <w14:textFill>
                  <w14:solidFill>
                    <w14:schemeClr w14:val="tx1"/>
                  </w14:solidFill>
                </w14:textFill>
              </w:rPr>
              <w:t>焊接烟尘</w:t>
            </w:r>
            <w:r>
              <w:rPr>
                <w:color w:val="000000" w:themeColor="text1"/>
                <w:sz w:val="24"/>
                <w:szCs w:val="32"/>
                <w14:textFill>
                  <w14:solidFill>
                    <w14:schemeClr w14:val="tx1"/>
                  </w14:solidFill>
                </w14:textFill>
              </w:rPr>
              <w:t>。</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施工扬尘：主要为基础开挖、渣土和基建材料的运输过程中产生的扬尘。这些扬尘的产生与房屋结构、地面干燥程度、风速大小等因素有关，地面越干燥，风速越大，产生扬尘越大。据有关资料统计，建筑施工扬尘影响范围为其下风向150m之间，被影响地区的TSP浓度平均值约491ug/m</w:t>
            </w:r>
            <w:r>
              <w:rPr>
                <w:color w:val="000000" w:themeColor="text1"/>
                <w:sz w:val="24"/>
                <w:szCs w:val="32"/>
                <w:vertAlign w:val="superscript"/>
                <w14:textFill>
                  <w14:solidFill>
                    <w14:schemeClr w14:val="tx1"/>
                  </w14:solidFill>
                </w14:textFill>
              </w:rPr>
              <w:t>3</w:t>
            </w:r>
            <w:r>
              <w:rPr>
                <w:color w:val="000000" w:themeColor="text1"/>
                <w:sz w:val="24"/>
                <w:szCs w:val="32"/>
                <w14:textFill>
                  <w14:solidFill>
                    <w14:schemeClr w14:val="tx1"/>
                  </w14:solidFill>
                </w14:textFill>
              </w:rPr>
              <w:t>。</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尾气：施工机械和运输车辆在作业过程会排放少量尾气，尾气中主要污染物有CO、NOx、THC等。本项目施工规模不大，施工机械和运输车辆排放的尾气较少。</w:t>
            </w:r>
          </w:p>
          <w:p>
            <w:pPr>
              <w:autoSpaceDE w:val="0"/>
              <w:autoSpaceDN w:val="0"/>
              <w:adjustRightInd w:val="0"/>
              <w:spacing w:line="360" w:lineRule="auto"/>
              <w:ind w:firstLine="480" w:firstLineChars="200"/>
              <w:rPr>
                <w:color w:val="000000" w:themeColor="text1"/>
                <w14:textFill>
                  <w14:solidFill>
                    <w14:schemeClr w14:val="tx1"/>
                  </w14:solidFill>
                </w14:textFill>
              </w:rPr>
            </w:pPr>
            <w:r>
              <w:rPr>
                <w:rFonts w:hint="eastAsia"/>
                <w:color w:val="000000" w:themeColor="text1"/>
                <w:kern w:val="0"/>
                <w:sz w:val="24"/>
                <w14:textFill>
                  <w14:solidFill>
                    <w14:schemeClr w14:val="tx1"/>
                  </w14:solidFill>
                </w14:textFill>
              </w:rPr>
              <w:t>焊接烟尘：</w:t>
            </w:r>
            <w:r>
              <w:rPr>
                <w:color w:val="000000" w:themeColor="text1"/>
                <w:kern w:val="0"/>
                <w:sz w:val="24"/>
                <w14:textFill>
                  <w14:solidFill>
                    <w14:schemeClr w14:val="tx1"/>
                  </w14:solidFill>
                </w14:textFill>
              </w:rPr>
              <w:t>设备安装时基础连接和固定处进行焊接，采用氩弧焊，整体工程需要焊接工作量不大。</w:t>
            </w:r>
            <w:r>
              <w:rPr>
                <w:color w:val="000000" w:themeColor="text1"/>
                <w:sz w:val="24"/>
                <w14:textFill>
                  <w14:solidFill>
                    <w14:schemeClr w14:val="tx1"/>
                  </w14:solidFill>
                </w14:textFill>
              </w:rPr>
              <w:t>焊接工序具有多点源不确定性，较难定量分析。本次评价要求施工期焊接尽量在开阔通风的场地进行，便于空气流通；同时做好施工人员的劳动防护，降低焊接烟尘的影响。</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3、噪声污染源分析</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项目施工期的噪声主要表现为运输车辆的交通噪声及施工机械产生的噪声和振动。据类比调查，施工时各种机械的近场声级可达7</w:t>
            </w:r>
            <w:r>
              <w:rPr>
                <w:rFonts w:hint="eastAsia"/>
                <w:color w:val="000000" w:themeColor="text1"/>
                <w:sz w:val="24"/>
                <w:szCs w:val="32"/>
                <w14:textFill>
                  <w14:solidFill>
                    <w14:schemeClr w14:val="tx1"/>
                  </w14:solidFill>
                </w14:textFill>
              </w:rPr>
              <w:t>0</w:t>
            </w:r>
            <w:r>
              <w:rPr>
                <w:color w:val="000000" w:themeColor="text1"/>
                <w:sz w:val="24"/>
                <w:szCs w:val="32"/>
                <w14:textFill>
                  <w14:solidFill>
                    <w14:schemeClr w14:val="tx1"/>
                  </w14:solidFill>
                </w14:textFill>
              </w:rPr>
              <w:t>～</w:t>
            </w:r>
            <w:r>
              <w:rPr>
                <w:rFonts w:hint="eastAsia"/>
                <w:color w:val="000000" w:themeColor="text1"/>
                <w:sz w:val="24"/>
                <w:szCs w:val="32"/>
                <w14:textFill>
                  <w14:solidFill>
                    <w14:schemeClr w14:val="tx1"/>
                  </w14:solidFill>
                </w14:textFill>
              </w:rPr>
              <w:t>85</w:t>
            </w:r>
            <w:r>
              <w:rPr>
                <w:color w:val="000000" w:themeColor="text1"/>
                <w:sz w:val="24"/>
                <w:szCs w:val="32"/>
                <w14:textFill>
                  <w14:solidFill>
                    <w14:schemeClr w14:val="tx1"/>
                  </w14:solidFill>
                </w14:textFill>
              </w:rPr>
              <w:t>dB（A）。施工各阶段的主要施工设备噪声源的噪声值见表2-6。</w:t>
            </w:r>
          </w:p>
          <w:p>
            <w:pPr>
              <w:jc w:val="center"/>
              <w:rPr>
                <w:b/>
                <w:bCs/>
                <w:color w:val="000000" w:themeColor="text1"/>
                <w14:textFill>
                  <w14:solidFill>
                    <w14:schemeClr w14:val="tx1"/>
                  </w14:solidFill>
                </w14:textFill>
              </w:rPr>
            </w:pPr>
            <w:r>
              <w:rPr>
                <w:b/>
                <w:bCs/>
                <w:color w:val="000000" w:themeColor="text1"/>
                <w14:textFill>
                  <w14:solidFill>
                    <w14:schemeClr w14:val="tx1"/>
                  </w14:solidFill>
                </w14:textFill>
              </w:rPr>
              <w:t>表2-</w:t>
            </w:r>
            <w:r>
              <w:rPr>
                <w:rFonts w:hint="eastAsia"/>
                <w:b/>
                <w:bCs/>
                <w:color w:val="000000" w:themeColor="text1"/>
                <w14:textFill>
                  <w14:solidFill>
                    <w14:schemeClr w14:val="tx1"/>
                  </w14:solidFill>
                </w14:textFill>
              </w:rPr>
              <w:t>4</w:t>
            </w:r>
            <w:r>
              <w:rPr>
                <w:b/>
                <w:bCs/>
                <w:color w:val="000000" w:themeColor="text1"/>
                <w14:textFill>
                  <w14:solidFill>
                    <w14:schemeClr w14:val="tx1"/>
                  </w14:solidFill>
                </w14:textFill>
              </w:rPr>
              <w:t xml:space="preserve">  项目主要施工设备声源强度一览表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8"/>
              <w:gridCol w:w="1643"/>
              <w:gridCol w:w="1643"/>
              <w:gridCol w:w="1714"/>
              <w:gridCol w:w="1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642" w:type="dxa"/>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932" w:type="dxa"/>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施工机械设备</w:t>
                  </w:r>
                </w:p>
              </w:tc>
              <w:tc>
                <w:tcPr>
                  <w:tcW w:w="1932" w:type="dxa"/>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声源性质</w:t>
                  </w:r>
                </w:p>
              </w:tc>
              <w:tc>
                <w:tcPr>
                  <w:tcW w:w="1932" w:type="dxa"/>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测距（m）</w:t>
                  </w:r>
                </w:p>
              </w:tc>
              <w:tc>
                <w:tcPr>
                  <w:tcW w:w="1932" w:type="dxa"/>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1</w:t>
                  </w:r>
                </w:p>
              </w:tc>
              <w:tc>
                <w:tcPr>
                  <w:tcW w:w="1932" w:type="dxa"/>
                  <w:noWrap w:val="0"/>
                  <w:vAlign w:val="center"/>
                </w:tcPr>
                <w:p>
                  <w:pPr>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推土机</w:t>
                  </w:r>
                </w:p>
              </w:tc>
              <w:tc>
                <w:tcPr>
                  <w:tcW w:w="1932" w:type="dxa"/>
                  <w:noWrap w:val="0"/>
                  <w:vAlign w:val="center"/>
                </w:tcPr>
                <w:p>
                  <w:pPr>
                    <w:autoSpaceDE w:val="0"/>
                    <w:autoSpaceDN w:val="0"/>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2</w:t>
                  </w:r>
                </w:p>
              </w:tc>
              <w:tc>
                <w:tcPr>
                  <w:tcW w:w="1932" w:type="dxa"/>
                  <w:noWrap w:val="0"/>
                  <w:vAlign w:val="center"/>
                </w:tcPr>
                <w:p>
                  <w:pPr>
                    <w:autoSpaceDE w:val="0"/>
                    <w:autoSpaceDN w:val="0"/>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挖掘机</w:t>
                  </w:r>
                </w:p>
              </w:tc>
              <w:tc>
                <w:tcPr>
                  <w:tcW w:w="1932" w:type="dxa"/>
                  <w:noWrap w:val="0"/>
                  <w:vAlign w:val="center"/>
                </w:tcPr>
                <w:p>
                  <w:pPr>
                    <w:autoSpaceDE w:val="0"/>
                    <w:autoSpaceDN w:val="0"/>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64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3</w:t>
                  </w:r>
                </w:p>
              </w:tc>
              <w:tc>
                <w:tcPr>
                  <w:tcW w:w="1932" w:type="dxa"/>
                  <w:noWrap w:val="0"/>
                  <w:vAlign w:val="center"/>
                </w:tcPr>
                <w:p>
                  <w:pPr>
                    <w:autoSpaceDE w:val="0"/>
                    <w:autoSpaceDN w:val="0"/>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振捣机</w:t>
                  </w:r>
                </w:p>
              </w:tc>
              <w:tc>
                <w:tcPr>
                  <w:tcW w:w="1932" w:type="dxa"/>
                  <w:noWrap w:val="0"/>
                  <w:vAlign w:val="center"/>
                </w:tcPr>
                <w:p>
                  <w:pPr>
                    <w:autoSpaceDE w:val="0"/>
                    <w:autoSpaceDN w:val="0"/>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4</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搅拌机</w:t>
                  </w:r>
                </w:p>
              </w:tc>
              <w:tc>
                <w:tcPr>
                  <w:tcW w:w="1932" w:type="dxa"/>
                  <w:noWrap w:val="0"/>
                  <w:vAlign w:val="center"/>
                </w:tcPr>
                <w:p>
                  <w:pPr>
                    <w:autoSpaceDE w:val="0"/>
                    <w:autoSpaceDN w:val="0"/>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切割机</w:t>
                  </w:r>
                </w:p>
              </w:tc>
              <w:tc>
                <w:tcPr>
                  <w:tcW w:w="1932" w:type="dxa"/>
                  <w:noWrap w:val="0"/>
                  <w:vAlign w:val="center"/>
                </w:tcPr>
                <w:p>
                  <w:pPr>
                    <w:autoSpaceDE w:val="0"/>
                    <w:autoSpaceDN w:val="0"/>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6</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电焊机</w:t>
                  </w:r>
                </w:p>
              </w:tc>
              <w:tc>
                <w:tcPr>
                  <w:tcW w:w="1932" w:type="dxa"/>
                  <w:noWrap w:val="0"/>
                  <w:vAlign w:val="center"/>
                </w:tcPr>
                <w:p>
                  <w:pPr>
                    <w:autoSpaceDE w:val="0"/>
                    <w:autoSpaceDN w:val="0"/>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7</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运输车辆</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80</w:t>
                  </w:r>
                </w:p>
              </w:tc>
            </w:tr>
          </w:tbl>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4、固体废物污染源分析</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本项目施工期间固体废物主要来自施工过程产生的建筑垃圾以及土方工程产生的土石方等。项目拟占地的拆迁及三通一平工作由当地政府部门负责，产生的施工固废不在本环评评价范围内。</w:t>
            </w:r>
          </w:p>
          <w:p>
            <w:pPr>
              <w:tabs>
                <w:tab w:val="left" w:pos="6676"/>
              </w:tabs>
              <w:spacing w:line="360" w:lineRule="auto"/>
              <w:ind w:firstLine="480" w:firstLineChars="200"/>
              <w:jc w:val="left"/>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建筑垃圾：</w:t>
            </w:r>
            <w:r>
              <w:rPr>
                <w:color w:val="000000" w:themeColor="text1"/>
                <w:sz w:val="24"/>
                <w:lang w:val="en-GB"/>
                <w14:textFill>
                  <w14:solidFill>
                    <w14:schemeClr w14:val="tx1"/>
                  </w14:solidFill>
                </w14:textFill>
              </w:rPr>
              <w:t>施工</w:t>
            </w:r>
            <w:r>
              <w:rPr>
                <w:color w:val="000000" w:themeColor="text1"/>
                <w:sz w:val="24"/>
                <w14:textFill>
                  <w14:solidFill>
                    <w14:schemeClr w14:val="tx1"/>
                  </w14:solidFill>
                </w14:textFill>
              </w:rPr>
              <w:t>建筑垃圾废</w:t>
            </w:r>
            <w:r>
              <w:rPr>
                <w:color w:val="000000" w:themeColor="text1"/>
                <w:sz w:val="24"/>
                <w:lang w:val="en-GB"/>
                <w14:textFill>
                  <w14:solidFill>
                    <w14:schemeClr w14:val="tx1"/>
                  </w14:solidFill>
                </w14:textFill>
              </w:rPr>
              <w:t>料主要包括</w:t>
            </w:r>
            <w:r>
              <w:rPr>
                <w:color w:val="000000" w:themeColor="text1"/>
                <w:kern w:val="0"/>
                <w:sz w:val="24"/>
                <w14:textFill>
                  <w14:solidFill>
                    <w14:schemeClr w14:val="tx1"/>
                  </w14:solidFill>
                </w14:textFill>
              </w:rPr>
              <w:t>施工过程中产生的废包装材料、废混凝土等。根据类比调查，一般工厂建筑物每100m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建筑面积0.2t计，施工期工程建筑物总体建筑面积约</w:t>
            </w:r>
            <w:r>
              <w:rPr>
                <w:color w:val="000000" w:themeColor="text1"/>
                <w:sz w:val="24"/>
                <w14:textFill>
                  <w14:solidFill>
                    <w14:schemeClr w14:val="tx1"/>
                  </w14:solidFill>
                </w14:textFill>
              </w:rPr>
              <w:t>22125.96</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，本项目施工过程中产生的施工垃圾废料量约为44.25t。施工建筑废料收集后委托专业部门清运处置，不得随意丢弃外排。</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5、水土流失</w:t>
            </w:r>
          </w:p>
          <w:p>
            <w:pPr>
              <w:spacing w:line="360" w:lineRule="auto"/>
              <w:ind w:firstLine="482"/>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随着施工场地开挖、填方、平整，原有的表土层受到破坏，土壤松动，或者施工过程中由于挖方及填方过程中形成的土堆不能及时清理，遇到较大降雨冲刷，易发生水土流失。</w:t>
            </w:r>
          </w:p>
          <w:p>
            <w:pPr>
              <w:adjustRightInd w:val="0"/>
              <w:snapToGrid w:val="0"/>
              <w:spacing w:line="360" w:lineRule="auto"/>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二</w:t>
            </w:r>
            <w:r>
              <w:rPr>
                <w:b/>
                <w:color w:val="000000" w:themeColor="text1"/>
                <w:sz w:val="24"/>
                <w14:textFill>
                  <w14:solidFill>
                    <w14:schemeClr w14:val="tx1"/>
                  </w14:solidFill>
                </w14:textFill>
              </w:rPr>
              <w:t>、</w:t>
            </w:r>
            <w:r>
              <w:rPr>
                <w:rFonts w:hint="eastAsia"/>
                <w:b/>
                <w:color w:val="000000" w:themeColor="text1"/>
                <w:sz w:val="24"/>
                <w14:textFill>
                  <w14:solidFill>
                    <w14:schemeClr w14:val="tx1"/>
                  </w14:solidFill>
                </w14:textFill>
              </w:rPr>
              <w:t>营运</w:t>
            </w:r>
            <w:r>
              <w:rPr>
                <w:b/>
                <w:color w:val="000000" w:themeColor="text1"/>
                <w:sz w:val="24"/>
                <w14:textFill>
                  <w14:solidFill>
                    <w14:schemeClr w14:val="tx1"/>
                  </w14:solidFill>
                </w14:textFill>
              </w:rPr>
              <w:t>期工艺流程及产污环节简述</w:t>
            </w:r>
          </w:p>
          <w:p>
            <w:pPr>
              <w:spacing w:line="360" w:lineRule="auto"/>
              <w:ind w:firstLine="480" w:firstLineChars="200"/>
              <w:jc w:val="center"/>
              <w:rPr>
                <w:color w:val="000000" w:themeColor="text1"/>
                <w:sz w:val="24"/>
                <w:szCs w:val="32"/>
                <w:u w:val="single"/>
                <w14:textFill>
                  <w14:solidFill>
                    <w14:schemeClr w14:val="tx1"/>
                  </w14:solidFill>
                </w14:textFill>
              </w:rPr>
            </w:pPr>
            <w:r>
              <w:rPr>
                <w:color w:val="000000" w:themeColor="text1"/>
                <w:sz w:val="24"/>
                <w:szCs w:val="32"/>
                <w:u w:val="single"/>
                <w14:textFill>
                  <w14:solidFill>
                    <w14:schemeClr w14:val="tx1"/>
                  </w14:solidFill>
                </w14:textFill>
              </w:rPr>
              <w:object>
                <v:shape id="_x0000_i1025" o:spt="75" type="#_x0000_t75" style="height:437.25pt;width:169.5pt;" o:ole="t" filled="f" o:preferrelative="t" stroked="f" coordsize="21600,21600">
                  <v:path/>
                  <v:fill on="f" focussize="0,0"/>
                  <v:stroke on="f"/>
                  <v:imagedata r:id="rId21" o:title=""/>
                  <o:lock v:ext="edit" aspectratio="f"/>
                  <w10:wrap type="none"/>
                  <w10:anchorlock/>
                </v:shape>
                <o:OLEObject Type="Embed" ProgID="Visio.Drawing.11" ShapeID="_x0000_i1025" DrawAspect="Content" ObjectID="_1468075725" r:id="rId20">
                  <o:LockedField>false</o:LockedField>
                </o:OLEObject>
              </w:object>
            </w:r>
          </w:p>
          <w:p>
            <w:pPr>
              <w:spacing w:line="360" w:lineRule="auto"/>
              <w:ind w:firstLine="480" w:firstLineChars="200"/>
              <w:rPr>
                <w:color w:val="000000" w:themeColor="text1"/>
                <w:sz w:val="24"/>
                <w:szCs w:val="32"/>
                <w:u w:val="single"/>
                <w14:textFill>
                  <w14:solidFill>
                    <w14:schemeClr w14:val="tx1"/>
                  </w14:solidFill>
                </w14:textFill>
              </w:rPr>
            </w:pPr>
            <w:r>
              <w:rPr>
                <w:color w:val="000000" w:themeColor="text1"/>
                <w:sz w:val="24"/>
                <w:szCs w:val="32"/>
                <w:u w:val="single"/>
                <w14:textFill>
                  <w14:solidFill>
                    <w14:schemeClr w14:val="tx1"/>
                  </w14:solidFill>
                </w14:textFill>
              </w:rPr>
              <w:t>工艺流程说明：</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①工艺流程简述：本液压阀及精密液压系统加工主要是以外购的</w:t>
            </w:r>
            <w:r>
              <w:rPr>
                <w:rFonts w:hint="eastAsia"/>
                <w:color w:val="000000" w:themeColor="text1"/>
                <w:sz w:val="24"/>
                <w:u w:val="single"/>
                <w:lang w:val="en-US" w:eastAsia="zh-CN"/>
                <w14:textFill>
                  <w14:solidFill>
                    <w14:schemeClr w14:val="tx1"/>
                  </w14:solidFill>
                </w14:textFill>
              </w:rPr>
              <w:t>钢材</w:t>
            </w:r>
            <w:r>
              <w:rPr>
                <w:color w:val="000000" w:themeColor="text1"/>
                <w:sz w:val="24"/>
                <w:u w:val="single"/>
                <w14:textFill>
                  <w14:solidFill>
                    <w14:schemeClr w14:val="tx1"/>
                  </w14:solidFill>
                </w14:textFill>
              </w:rPr>
              <w:t>为</w:t>
            </w:r>
            <w:r>
              <w:rPr>
                <w:rFonts w:hint="eastAsia"/>
                <w:color w:val="000000" w:themeColor="text1"/>
                <w:sz w:val="24"/>
                <w:u w:val="single"/>
                <w14:textFill>
                  <w14:solidFill>
                    <w14:schemeClr w14:val="tx1"/>
                  </w14:solidFill>
                </w14:textFill>
              </w:rPr>
              <w:t>原料</w:t>
            </w:r>
            <w:r>
              <w:rPr>
                <w:color w:val="000000" w:themeColor="text1"/>
                <w:sz w:val="24"/>
                <w:u w:val="single"/>
                <w14:textFill>
                  <w14:solidFill>
                    <w14:schemeClr w14:val="tx1"/>
                  </w14:solidFill>
                </w14:textFill>
              </w:rPr>
              <w:t>，根据客户的需求确定生产方案</w:t>
            </w:r>
            <w:r>
              <w:rPr>
                <w:rFonts w:hint="eastAsia"/>
                <w:color w:val="000000" w:themeColor="text1"/>
                <w:sz w:val="24"/>
                <w:u w:val="single"/>
                <w14:textFill>
                  <w14:solidFill>
                    <w14:schemeClr w14:val="tx1"/>
                  </w14:solidFill>
                </w14:textFill>
              </w:rPr>
              <w:t>进行深加工，加工方式工艺相同</w:t>
            </w:r>
            <w:r>
              <w:rPr>
                <w:color w:val="000000" w:themeColor="text1"/>
                <w:sz w:val="24"/>
                <w:u w:val="single"/>
                <w14:textFill>
                  <w14:solidFill>
                    <w14:schemeClr w14:val="tx1"/>
                  </w14:solidFill>
                </w14:textFill>
              </w:rPr>
              <w:t>。</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（1）下料：将钢材利用自动下料机段成加工所需要的尺寸，本工序产生下料机噪声、废切削液、废铁屑。</w:t>
            </w:r>
          </w:p>
          <w:p>
            <w:pPr>
              <w:spacing w:line="360" w:lineRule="auto"/>
              <w:ind w:firstLine="480" w:firstLineChars="2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（2）</w:t>
            </w:r>
            <w:r>
              <w:rPr>
                <w:color w:val="000000" w:themeColor="text1"/>
                <w:sz w:val="24"/>
                <w:u w:val="single"/>
                <w14:textFill>
                  <w14:solidFill>
                    <w14:schemeClr w14:val="tx1"/>
                  </w14:solidFill>
                </w14:textFill>
              </w:rPr>
              <w:t>粗车：粗车主要是切除加工表面的大部分加工余量，在允许范围内应尽量选择大的切削深度和进给量。而切削速度则相应选低点。本工序会产生废边角料和铁屑、废切削液和噪声。</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w:t>
            </w:r>
            <w:r>
              <w:rPr>
                <w:rFonts w:hint="eastAsia"/>
                <w:color w:val="000000" w:themeColor="text1"/>
                <w:sz w:val="24"/>
                <w:u w:val="single"/>
                <w14:textFill>
                  <w14:solidFill>
                    <w14:schemeClr w14:val="tx1"/>
                  </w14:solidFill>
                </w14:textFill>
              </w:rPr>
              <w:t>3</w:t>
            </w:r>
            <w:r>
              <w:rPr>
                <w:color w:val="000000" w:themeColor="text1"/>
                <w:sz w:val="24"/>
                <w:u w:val="single"/>
                <w14:textFill>
                  <w14:solidFill>
                    <w14:schemeClr w14:val="tx1"/>
                  </w14:solidFill>
                </w14:textFill>
              </w:rPr>
              <w:t>）加工中心：根据生产要求和产品类别，用铣床进行深加工，形成半成品。此工序会产生设备噪声</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和废金属边角料、废切削液。</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（4）精车：精加工主要是达到零件的全部尺寸和技术要求，半精车和精车应尽量选取较小的</w:t>
            </w:r>
            <w:r>
              <w:rPr>
                <w:color w:val="000000" w:themeColor="text1"/>
                <w:sz w:val="24"/>
                <w:u w:val="single"/>
                <w14:textFill>
                  <w14:solidFill>
                    <w14:schemeClr w14:val="tx1"/>
                  </w14:solidFill>
                </w14:textFill>
              </w:rPr>
              <w:fldChar w:fldCharType="begin"/>
            </w:r>
            <w:r>
              <w:rPr>
                <w:color w:val="000000" w:themeColor="text1"/>
                <w:sz w:val="24"/>
                <w:u w:val="single"/>
                <w14:textFill>
                  <w14:solidFill>
                    <w14:schemeClr w14:val="tx1"/>
                  </w14:solidFill>
                </w14:textFill>
              </w:rPr>
              <w:instrText xml:space="preserve"> HYPERLINK "http://www.baidu.com/s?wd=%E5%88%87%E5%89%8A%E6%B7%B1%E5%BA%A6&amp;tn=SE_PcZhidaonwhc_ngpagmjz&amp;rsv_dl=gh_pc_zhidao" \t "_blank" </w:instrText>
            </w:r>
            <w:r>
              <w:rPr>
                <w:color w:val="000000" w:themeColor="text1"/>
                <w:sz w:val="24"/>
                <w:u w:val="single"/>
                <w14:textFill>
                  <w14:solidFill>
                    <w14:schemeClr w14:val="tx1"/>
                  </w14:solidFill>
                </w14:textFill>
              </w:rPr>
              <w:fldChar w:fldCharType="separate"/>
            </w:r>
            <w:r>
              <w:rPr>
                <w:color w:val="000000" w:themeColor="text1"/>
                <w:sz w:val="24"/>
                <w:u w:val="single"/>
                <w14:textFill>
                  <w14:solidFill>
                    <w14:schemeClr w14:val="tx1"/>
                  </w14:solidFill>
                </w14:textFill>
              </w:rPr>
              <w:t>切削深度</w:t>
            </w:r>
            <w:r>
              <w:rPr>
                <w:color w:val="000000" w:themeColor="text1"/>
                <w:sz w:val="24"/>
                <w:u w:val="single"/>
                <w14:textFill>
                  <w14:solidFill>
                    <w14:schemeClr w14:val="tx1"/>
                  </w14:solidFill>
                </w14:textFill>
              </w:rPr>
              <w:fldChar w:fldCharType="end"/>
            </w:r>
            <w:r>
              <w:rPr>
                <w:color w:val="000000" w:themeColor="text1"/>
                <w:sz w:val="24"/>
                <w:u w:val="single"/>
                <w14:textFill>
                  <w14:solidFill>
                    <w14:schemeClr w14:val="tx1"/>
                  </w14:solidFill>
                </w14:textFill>
              </w:rPr>
              <w:t>和进给量，而</w:t>
            </w:r>
            <w:r>
              <w:rPr>
                <w:color w:val="000000" w:themeColor="text1"/>
                <w:sz w:val="24"/>
                <w:u w:val="single"/>
                <w14:textFill>
                  <w14:solidFill>
                    <w14:schemeClr w14:val="tx1"/>
                  </w14:solidFill>
                </w14:textFill>
              </w:rPr>
              <w:fldChar w:fldCharType="begin"/>
            </w:r>
            <w:r>
              <w:rPr>
                <w:color w:val="000000" w:themeColor="text1"/>
                <w:sz w:val="24"/>
                <w:u w:val="single"/>
                <w14:textFill>
                  <w14:solidFill>
                    <w14:schemeClr w14:val="tx1"/>
                  </w14:solidFill>
                </w14:textFill>
              </w:rPr>
              <w:instrText xml:space="preserve"> HYPERLINK "http://www.baidu.com/s?wd=%E5%88%87%E5%89%8A%E9%80%9F%E5%BA%A6&amp;tn=SE_PcZhidaonwhc_ngpagmjz&amp;rsv_dl=gh_pc_zhidao" \t "_blank" </w:instrText>
            </w:r>
            <w:r>
              <w:rPr>
                <w:color w:val="000000" w:themeColor="text1"/>
                <w:sz w:val="24"/>
                <w:u w:val="single"/>
                <w14:textFill>
                  <w14:solidFill>
                    <w14:schemeClr w14:val="tx1"/>
                  </w14:solidFill>
                </w14:textFill>
              </w:rPr>
              <w:fldChar w:fldCharType="separate"/>
            </w:r>
            <w:r>
              <w:rPr>
                <w:color w:val="000000" w:themeColor="text1"/>
                <w:sz w:val="24"/>
                <w:u w:val="single"/>
                <w14:textFill>
                  <w14:solidFill>
                    <w14:schemeClr w14:val="tx1"/>
                  </w14:solidFill>
                </w14:textFill>
              </w:rPr>
              <w:t>切削速度</w:t>
            </w:r>
            <w:r>
              <w:rPr>
                <w:color w:val="000000" w:themeColor="text1"/>
                <w:sz w:val="24"/>
                <w:u w:val="single"/>
                <w14:textFill>
                  <w14:solidFill>
                    <w14:schemeClr w14:val="tx1"/>
                  </w14:solidFill>
                </w14:textFill>
              </w:rPr>
              <w:fldChar w:fldCharType="end"/>
            </w:r>
            <w:r>
              <w:rPr>
                <w:color w:val="000000" w:themeColor="text1"/>
                <w:sz w:val="24"/>
                <w:u w:val="single"/>
                <w14:textFill>
                  <w14:solidFill>
                    <w14:schemeClr w14:val="tx1"/>
                  </w14:solidFill>
                </w14:textFill>
              </w:rPr>
              <w:t>则可以取高点。本工序会产生废边角料和铁屑、废切削液和噪声。</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（6）磨床加工：通过湿式磨床对半成品表面进行打磨处理。此工序会产生设备噪声、废铁屑、废切削液。</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（8）清洗：</w:t>
            </w:r>
            <w:r>
              <w:rPr>
                <w:rFonts w:hint="eastAsia"/>
                <w:color w:val="000000" w:themeColor="text1"/>
                <w:sz w:val="24"/>
                <w:u w:val="single"/>
                <w:lang w:val="en-US" w:eastAsia="zh-CN"/>
                <w14:textFill>
                  <w14:solidFill>
                    <w14:schemeClr w14:val="tx1"/>
                  </w14:solidFill>
                </w14:textFill>
              </w:rPr>
              <w:t>本项目少量钢材需要</w:t>
            </w:r>
            <w:r>
              <w:rPr>
                <w:color w:val="000000" w:themeColor="text1"/>
                <w:sz w:val="24"/>
                <w:u w:val="single"/>
                <w14:textFill>
                  <w14:solidFill>
                    <w14:schemeClr w14:val="tx1"/>
                  </w14:solidFill>
                </w14:textFill>
              </w:rPr>
              <w:t>通过</w:t>
            </w:r>
            <w:r>
              <w:rPr>
                <w:rFonts w:hint="eastAsia"/>
                <w:color w:val="000000" w:themeColor="text1"/>
                <w:sz w:val="24"/>
                <w:u w:val="single"/>
                <w14:textFill>
                  <w14:solidFill>
                    <w14:schemeClr w14:val="tx1"/>
                  </w14:solidFill>
                </w14:textFill>
              </w:rPr>
              <w:t>超声波</w:t>
            </w:r>
            <w:r>
              <w:rPr>
                <w:color w:val="000000" w:themeColor="text1"/>
                <w:sz w:val="24"/>
                <w:u w:val="single"/>
                <w14:textFill>
                  <w14:solidFill>
                    <w14:schemeClr w14:val="tx1"/>
                  </w14:solidFill>
                </w14:textFill>
              </w:rPr>
              <w:t>清洗机以去除</w:t>
            </w:r>
            <w:r>
              <w:rPr>
                <w:rFonts w:hint="eastAsia"/>
                <w:color w:val="000000" w:themeColor="text1"/>
                <w:sz w:val="24"/>
                <w:u w:val="single"/>
                <w:lang w:val="en-US" w:eastAsia="zh-CN"/>
                <w14:textFill>
                  <w14:solidFill>
                    <w14:schemeClr w14:val="tx1"/>
                  </w14:solidFill>
                </w14:textFill>
              </w:rPr>
              <w:t>部分</w:t>
            </w:r>
            <w:r>
              <w:rPr>
                <w:color w:val="000000" w:themeColor="text1"/>
                <w:sz w:val="24"/>
                <w:u w:val="single"/>
                <w14:textFill>
                  <w14:solidFill>
                    <w14:schemeClr w14:val="tx1"/>
                  </w14:solidFill>
                </w14:textFill>
              </w:rPr>
              <w:t>表面粘带的油污</w:t>
            </w:r>
            <w:r>
              <w:rPr>
                <w:rFonts w:hint="eastAsia"/>
                <w:color w:val="000000" w:themeColor="text1"/>
                <w:sz w:val="24"/>
                <w:u w:val="single"/>
                <w:lang w:eastAsia="zh-CN"/>
                <w14:textFill>
                  <w14:solidFill>
                    <w14:schemeClr w14:val="tx1"/>
                  </w14:solidFill>
                </w14:textFill>
              </w:rPr>
              <w:t>，</w:t>
            </w:r>
            <w:r>
              <w:rPr>
                <w:rFonts w:hint="eastAsia"/>
                <w:color w:val="000000" w:themeColor="text1"/>
                <w:sz w:val="24"/>
                <w:u w:val="single"/>
                <w14:textFill>
                  <w14:solidFill>
                    <w14:schemeClr w14:val="tx1"/>
                  </w14:solidFill>
                </w14:textFill>
              </w:rPr>
              <w:t>清洗液为水性清洗液，</w:t>
            </w:r>
            <w:r>
              <w:rPr>
                <w:color w:val="000000" w:themeColor="text1"/>
                <w:sz w:val="24"/>
                <w:u w:val="single"/>
                <w14:textFill>
                  <w14:solidFill>
                    <w14:schemeClr w14:val="tx1"/>
                  </w14:solidFill>
                </w14:textFill>
              </w:rPr>
              <w:t>此工序会产生设备噪声和废清洗液</w:t>
            </w:r>
            <w:r>
              <w:rPr>
                <w:rFonts w:hint="eastAsia"/>
                <w:color w:val="000000" w:themeColor="text1"/>
                <w:sz w:val="24"/>
                <w:u w:val="single"/>
                <w:lang w:eastAsia="zh-CN"/>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废清洗液作为危废处理，不外排</w:t>
            </w:r>
            <w:r>
              <w:rPr>
                <w:color w:val="000000" w:themeColor="text1"/>
                <w:sz w:val="24"/>
                <w:u w:val="single"/>
                <w14:textFill>
                  <w14:solidFill>
                    <w14:schemeClr w14:val="tx1"/>
                  </w14:solidFill>
                </w14:textFill>
              </w:rPr>
              <w:t>。</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（9）</w:t>
            </w:r>
            <w:r>
              <w:rPr>
                <w:rFonts w:hint="eastAsia"/>
                <w:color w:val="000000" w:themeColor="text1"/>
                <w:sz w:val="24"/>
                <w:u w:val="single"/>
                <w14:textFill>
                  <w14:solidFill>
                    <w14:schemeClr w14:val="tx1"/>
                  </w14:solidFill>
                </w14:textFill>
              </w:rPr>
              <w:t>检测</w:t>
            </w:r>
            <w:r>
              <w:rPr>
                <w:color w:val="000000" w:themeColor="text1"/>
                <w:sz w:val="24"/>
                <w:u w:val="single"/>
                <w14:textFill>
                  <w14:solidFill>
                    <w14:schemeClr w14:val="tx1"/>
                  </w14:solidFill>
                </w14:textFill>
              </w:rPr>
              <w:t>：对</w:t>
            </w:r>
            <w:r>
              <w:rPr>
                <w:rFonts w:hint="eastAsia"/>
                <w:color w:val="000000" w:themeColor="text1"/>
                <w:sz w:val="24"/>
                <w:u w:val="single"/>
                <w14:textFill>
                  <w14:solidFill>
                    <w14:schemeClr w14:val="tx1"/>
                  </w14:solidFill>
                </w14:textFill>
              </w:rPr>
              <w:t>液压件检测</w:t>
            </w:r>
            <w:r>
              <w:rPr>
                <w:rFonts w:hint="eastAsia"/>
                <w:color w:val="000000" w:themeColor="text1"/>
                <w:sz w:val="24"/>
                <w:u w:val="single"/>
                <w:lang w:eastAsia="zh-CN"/>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部分产品进行表面涂抹防锈剂</w:t>
            </w:r>
            <w:r>
              <w:rPr>
                <w:rFonts w:hint="eastAsia"/>
                <w:color w:val="000000" w:themeColor="text1"/>
                <w:sz w:val="24"/>
                <w:u w:val="single"/>
                <w14:textFill>
                  <w14:solidFill>
                    <w14:schemeClr w14:val="tx1"/>
                  </w14:solidFill>
                </w14:textFill>
              </w:rPr>
              <w:t>后出货</w:t>
            </w:r>
            <w:r>
              <w:rPr>
                <w:rFonts w:hint="eastAsia"/>
                <w:color w:val="000000" w:themeColor="text1"/>
                <w:sz w:val="24"/>
                <w:u w:val="single"/>
                <w:lang w:eastAsia="zh-CN"/>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产生少量的废包装物</w:t>
            </w:r>
            <w:r>
              <w:rPr>
                <w:color w:val="000000" w:themeColor="text1"/>
                <w:sz w:val="24"/>
                <w:u w:val="single"/>
                <w14:textFill>
                  <w14:solidFill>
                    <w14:schemeClr w14:val="tx1"/>
                  </w14:solidFill>
                </w14:textFill>
              </w:rPr>
              <w:t>。</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本项目</w:t>
            </w:r>
            <w:r>
              <w:rPr>
                <w:rFonts w:hint="eastAsia"/>
                <w:color w:val="000000" w:themeColor="text1"/>
                <w:sz w:val="24"/>
                <w:u w:val="single"/>
                <w14:textFill>
                  <w14:solidFill>
                    <w14:schemeClr w14:val="tx1"/>
                  </w14:solidFill>
                </w14:textFill>
              </w:rPr>
              <w:t>部分加工件需进行表面处理，</w:t>
            </w:r>
            <w:r>
              <w:rPr>
                <w:color w:val="000000" w:themeColor="text1"/>
                <w:sz w:val="24"/>
                <w:u w:val="single"/>
                <w14:textFill>
                  <w14:solidFill>
                    <w14:schemeClr w14:val="tx1"/>
                  </w14:solidFill>
                </w14:textFill>
              </w:rPr>
              <w:t>表面进行电镀加工</w:t>
            </w:r>
            <w:r>
              <w:rPr>
                <w:rFonts w:hint="eastAsia"/>
                <w:color w:val="000000" w:themeColor="text1"/>
                <w:sz w:val="24"/>
                <w:u w:val="single"/>
                <w14:textFill>
                  <w14:solidFill>
                    <w14:schemeClr w14:val="tx1"/>
                  </w14:solidFill>
                </w14:textFill>
              </w:rPr>
              <w:t>委外，厂区内不进行电镀加工。</w:t>
            </w:r>
            <w:r>
              <w:rPr>
                <w:color w:val="000000" w:themeColor="text1"/>
                <w:sz w:val="24"/>
                <w:u w:val="single"/>
                <w14:textFill>
                  <w14:solidFill>
                    <w14:schemeClr w14:val="tx1"/>
                  </w14:solidFill>
                </w14:textFill>
              </w:rPr>
              <w:t>本工艺较为简单，生产过程将产生少量废铁渣、不合格次品及噪声污染，机械的表面</w:t>
            </w:r>
            <w:r>
              <w:rPr>
                <w:rFonts w:ascii="宋体" w:hAnsi="宋体" w:cs="宋体"/>
                <w:color w:val="000000" w:themeColor="text1"/>
                <w:sz w:val="24"/>
                <w:u w:val="single"/>
                <w14:textFill>
                  <w14:solidFill>
                    <w14:schemeClr w14:val="tx1"/>
                  </w14:solidFill>
                </w14:textFill>
              </w:rPr>
              <w:t>切削和钻孔过程中会产生少量的</w:t>
            </w:r>
            <w:r>
              <w:rPr>
                <w:rFonts w:hint="eastAsia" w:ascii="宋体" w:hAnsi="宋体" w:cs="宋体"/>
                <w:color w:val="000000" w:themeColor="text1"/>
                <w:sz w:val="24"/>
                <w:u w:val="single"/>
                <w14:textFill>
                  <w14:solidFill>
                    <w14:schemeClr w14:val="tx1"/>
                  </w14:solidFill>
                </w14:textFill>
              </w:rPr>
              <w:t>废切削液</w:t>
            </w:r>
            <w:r>
              <w:rPr>
                <w:rFonts w:ascii="宋体" w:hAnsi="宋体" w:cs="宋体"/>
                <w:color w:val="000000" w:themeColor="text1"/>
                <w:sz w:val="24"/>
                <w:u w:val="single"/>
                <w14:textFill>
                  <w14:solidFill>
                    <w14:schemeClr w14:val="tx1"/>
                  </w14:solidFill>
                </w14:textFill>
              </w:rPr>
              <w:t>。</w:t>
            </w:r>
          </w:p>
          <w:p>
            <w:pPr>
              <w:spacing w:line="360" w:lineRule="auto"/>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pPr>
              <w:pStyle w:val="19"/>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bCs/>
                <w:color w:val="000000" w:themeColor="text1"/>
                <w:kern w:val="2"/>
                <w:sz w:val="21"/>
                <w:szCs w:val="21"/>
                <w14:textFill>
                  <w14:solidFill>
                    <w14:schemeClr w14:val="tx1"/>
                  </w14:solidFill>
                </w14:textFill>
              </w:rPr>
              <w:t>与项目有关的原有环境污染问题</w:t>
            </w:r>
          </w:p>
        </w:tc>
        <w:tc>
          <w:tcPr>
            <w:tcW w:w="8161" w:type="dxa"/>
            <w:noWrap w:val="0"/>
            <w:vAlign w:val="center"/>
          </w:tcPr>
          <w:p>
            <w:pPr>
              <w:adjustRightInd w:val="0"/>
              <w:snapToGrid w:val="0"/>
              <w:spacing w:line="360" w:lineRule="auto"/>
              <w:ind w:firstLine="480" w:firstLineChars="200"/>
              <w:jc w:val="center"/>
              <w:rPr>
                <w:bCs/>
                <w:color w:val="000000" w:themeColor="text1"/>
                <w:szCs w:val="21"/>
                <w14:textFill>
                  <w14:solidFill>
                    <w14:schemeClr w14:val="tx1"/>
                  </w14:solidFill>
                </w14:textFill>
              </w:rPr>
            </w:pPr>
            <w:r>
              <w:rPr>
                <w:color w:val="000000" w:themeColor="text1"/>
                <w:sz w:val="24"/>
                <w14:textFill>
                  <w14:solidFill>
                    <w14:schemeClr w14:val="tx1"/>
                  </w14:solidFill>
                </w14:textFill>
              </w:rPr>
              <w:t>本项目为新建项目，无原有污染情况。</w:t>
            </w:r>
          </w:p>
        </w:tc>
      </w:tr>
    </w:tbl>
    <w:p>
      <w:pPr>
        <w:pStyle w:val="19"/>
        <w:jc w:val="center"/>
        <w:rPr>
          <w:rFonts w:ascii="Times New Roman" w:hAnsi="Times New Roman" w:eastAsia="黑体"/>
          <w:snapToGrid w:val="0"/>
          <w:color w:val="000000" w:themeColor="text1"/>
          <w:sz w:val="36"/>
          <w:szCs w:val="36"/>
          <w14:textFill>
            <w14:solidFill>
              <w14:schemeClr w14:val="tx1"/>
            </w14:solidFill>
          </w14:textFill>
        </w:rPr>
        <w:sectPr>
          <w:pgSz w:w="11906" w:h="16838"/>
          <w:pgMar w:top="1701" w:right="1531" w:bottom="1701" w:left="1531" w:header="851" w:footer="851" w:gutter="0"/>
          <w:cols w:space="720" w:num="1"/>
          <w:docGrid w:linePitch="312" w:charSpace="0"/>
        </w:sectPr>
      </w:pPr>
    </w:p>
    <w:p>
      <w:pPr>
        <w:pStyle w:val="19"/>
        <w:adjustRightInd w:val="0"/>
        <w:snapToGrid w:val="0"/>
        <w:spacing w:before="0" w:beforeAutospacing="0" w:after="0" w:afterAutospacing="0" w:line="14" w:lineRule="auto"/>
        <w:jc w:val="center"/>
        <w:outlineLvl w:val="0"/>
        <w:rPr>
          <w:rFonts w:ascii="Times New Roman" w:hAnsi="Times New Roman" w:eastAsia="黑体"/>
          <w:snapToGrid w:val="0"/>
          <w:color w:val="000000" w:themeColor="text1"/>
          <w:sz w:val="30"/>
          <w:szCs w:val="30"/>
          <w14:textFill>
            <w14:solidFill>
              <w14:schemeClr w14:val="tx1"/>
            </w14:solidFill>
          </w14:textFill>
        </w:rPr>
      </w:pPr>
    </w:p>
    <w:p>
      <w:pPr>
        <w:pStyle w:val="19"/>
        <w:adjustRightInd w:val="0"/>
        <w:snapToGrid w:val="0"/>
        <w:spacing w:before="0" w:beforeAutospacing="0" w:after="0" w:afterAutospacing="0"/>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0"/>
          <w:szCs w:val="30"/>
          <w14:textFill>
            <w14:solidFill>
              <w14:schemeClr w14:val="tx1"/>
            </w14:solidFill>
          </w14:textFill>
        </w:rPr>
        <w:t>三、区域环境质量现状、环境保护目标及评价标准</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84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区域</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环境</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质量</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现状</w:t>
            </w:r>
          </w:p>
        </w:tc>
        <w:tc>
          <w:tcPr>
            <w:tcW w:w="8190" w:type="dxa"/>
            <w:noWrap w:val="0"/>
            <w:vAlign w:val="center"/>
          </w:tcPr>
          <w:p>
            <w:pPr>
              <w:pStyle w:val="21"/>
              <w:spacing w:after="72" w:afterLines="30" w:line="500" w:lineRule="exact"/>
              <w:ind w:firstLine="0" w:firstLineChars="0"/>
              <w:contextualSpacing/>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3.1、大气环境现状调查与评价</w:t>
            </w:r>
          </w:p>
          <w:p>
            <w:pPr>
              <w:spacing w:line="500" w:lineRule="exact"/>
              <w:ind w:firstLine="480" w:firstLineChars="200"/>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本项目所在区域环境空气功能区划为二类区，项目所在区域执行《环境空气质量标准》（GB3095-2012）中二级标准。根据《环境影响评价技术导则-大气环境》（HJ2.2-2018）中“6.2.1.1 项目所在区域达标判定，优先采用国家或生态环境主管部门发布的平均基准年环境质量公告或环境质量报告中的数据或结论”，为了解项目所在区域环境空气质量现状，本次评价采用岳阳市生态环境局湘阴分局发布的</w:t>
            </w:r>
            <w:r>
              <w:rPr>
                <w:rFonts w:hint="eastAsia"/>
                <w:color w:val="000000" w:themeColor="text1"/>
                <w:sz w:val="24"/>
                <w:szCs w:val="22"/>
                <w14:textFill>
                  <w14:solidFill>
                    <w14:schemeClr w14:val="tx1"/>
                  </w14:solidFill>
                </w14:textFill>
              </w:rPr>
              <w:t>2020</w:t>
            </w:r>
            <w:r>
              <w:rPr>
                <w:color w:val="000000" w:themeColor="text1"/>
                <w:sz w:val="24"/>
                <w:szCs w:val="22"/>
                <w14:textFill>
                  <w14:solidFill>
                    <w14:schemeClr w14:val="tx1"/>
                  </w14:solidFill>
                </w14:textFill>
              </w:rPr>
              <w:t>年空气质量监测数据，监测统计见下表3-1。</w:t>
            </w:r>
          </w:p>
          <w:p>
            <w:pPr>
              <w:spacing w:line="500" w:lineRule="exact"/>
              <w:jc w:val="center"/>
              <w:rPr>
                <w:b/>
                <w:bCs/>
                <w:color w:val="000000" w:themeColor="text1"/>
                <w:sz w:val="24"/>
                <w:szCs w:val="22"/>
                <w:lang w:val="zh-CN"/>
                <w14:textFill>
                  <w14:solidFill>
                    <w14:schemeClr w14:val="tx1"/>
                  </w14:solidFill>
                </w14:textFill>
              </w:rPr>
            </w:pPr>
            <w:r>
              <w:rPr>
                <w:b/>
                <w:bCs/>
                <w:color w:val="000000" w:themeColor="text1"/>
                <w:sz w:val="24"/>
                <w:szCs w:val="22"/>
                <w:lang w:val="zh-CN"/>
                <w14:textFill>
                  <w14:solidFill>
                    <w14:schemeClr w14:val="tx1"/>
                  </w14:solidFill>
                </w14:textFill>
              </w:rPr>
              <w:t xml:space="preserve">表3-1  </w:t>
            </w:r>
            <w:r>
              <w:rPr>
                <w:rFonts w:hint="eastAsia"/>
                <w:b/>
                <w:bCs/>
                <w:color w:val="000000" w:themeColor="text1"/>
                <w:sz w:val="24"/>
                <w:szCs w:val="22"/>
                <w:lang w:val="zh-CN"/>
                <w14:textFill>
                  <w14:solidFill>
                    <w14:schemeClr w14:val="tx1"/>
                  </w14:solidFill>
                </w14:textFill>
              </w:rPr>
              <w:t>2020</w:t>
            </w:r>
            <w:r>
              <w:rPr>
                <w:b/>
                <w:bCs/>
                <w:color w:val="000000" w:themeColor="text1"/>
                <w:sz w:val="24"/>
                <w:szCs w:val="22"/>
                <w:lang w:val="zh-CN"/>
                <w14:textFill>
                  <w14:solidFill>
                    <w14:schemeClr w14:val="tx1"/>
                  </w14:solidFill>
                </w14:textFill>
              </w:rPr>
              <w:t>年湘阴县环境空气监测统计结果  单位ug/m</w:t>
            </w:r>
            <w:r>
              <w:rPr>
                <w:b/>
                <w:bCs/>
                <w:color w:val="000000" w:themeColor="text1"/>
                <w:sz w:val="24"/>
                <w:szCs w:val="22"/>
                <w:vertAlign w:val="superscript"/>
                <w:lang w:val="zh-CN"/>
                <w14:textFill>
                  <w14:solidFill>
                    <w14:schemeClr w14:val="tx1"/>
                  </w14:solidFill>
                </w14:textFill>
              </w:rPr>
              <w:t>3</w:t>
            </w:r>
          </w:p>
          <w:tbl>
            <w:tblPr>
              <w:tblStyle w:val="23"/>
              <w:tblW w:w="8198"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157"/>
              <w:gridCol w:w="2410"/>
              <w:gridCol w:w="1276"/>
              <w:gridCol w:w="992"/>
              <w:gridCol w:w="1134"/>
              <w:gridCol w:w="1229"/>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1157" w:type="dxa"/>
                  <w:noWrap w:val="0"/>
                  <w:vAlign w:val="center"/>
                </w:tcPr>
                <w:p>
                  <w:pPr>
                    <w:adjustRightInd w:val="0"/>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监测因子</w:t>
                  </w:r>
                </w:p>
              </w:tc>
              <w:tc>
                <w:tcPr>
                  <w:tcW w:w="2410" w:type="dxa"/>
                  <w:noWrap w:val="0"/>
                  <w:vAlign w:val="center"/>
                </w:tcPr>
                <w:p>
                  <w:pPr>
                    <w:adjustRightInd w:val="0"/>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评价指标</w:t>
                  </w:r>
                </w:p>
              </w:tc>
              <w:tc>
                <w:tcPr>
                  <w:tcW w:w="1276" w:type="dxa"/>
                  <w:noWrap w:val="0"/>
                  <w:vAlign w:val="center"/>
                </w:tcPr>
                <w:p>
                  <w:pPr>
                    <w:adjustRightInd w:val="0"/>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监测浓度</w:t>
                  </w:r>
                </w:p>
              </w:tc>
              <w:tc>
                <w:tcPr>
                  <w:tcW w:w="992" w:type="dxa"/>
                  <w:noWrap w:val="0"/>
                  <w:vAlign w:val="center"/>
                </w:tcPr>
                <w:p>
                  <w:pPr>
                    <w:adjustRightInd w:val="0"/>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标准值</w:t>
                  </w:r>
                </w:p>
              </w:tc>
              <w:tc>
                <w:tcPr>
                  <w:tcW w:w="1134" w:type="dxa"/>
                  <w:noWrap w:val="0"/>
                  <w:vAlign w:val="center"/>
                </w:tcPr>
                <w:p>
                  <w:pPr>
                    <w:adjustRightInd w:val="0"/>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超标倍数</w:t>
                  </w:r>
                </w:p>
              </w:tc>
              <w:tc>
                <w:tcPr>
                  <w:tcW w:w="1229" w:type="dxa"/>
                  <w:noWrap w:val="0"/>
                  <w:vAlign w:val="center"/>
                </w:tcPr>
                <w:p>
                  <w:pPr>
                    <w:adjustRightInd w:val="0"/>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达标情况</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1157" w:type="dxa"/>
                  <w:noWrap w:val="0"/>
                  <w:vAlign w:val="center"/>
                </w:tcPr>
                <w:p>
                  <w:pPr>
                    <w:adjustRightInd w:val="0"/>
                    <w:snapToGrid w:val="0"/>
                    <w:jc w:val="center"/>
                    <w:rPr>
                      <w:bCs/>
                      <w:color w:val="000000" w:themeColor="text1"/>
                      <w14:textFill>
                        <w14:solidFill>
                          <w14:schemeClr w14:val="tx1"/>
                        </w14:solidFill>
                      </w14:textFill>
                    </w:rPr>
                  </w:pPr>
                  <w:r>
                    <w:rPr>
                      <w:color w:val="000000" w:themeColor="text1"/>
                      <w:kern w:val="0"/>
                      <w14:textFill>
                        <w14:solidFill>
                          <w14:schemeClr w14:val="tx1"/>
                        </w14:solidFill>
                      </w14:textFill>
                    </w:rPr>
                    <w:t>SO</w:t>
                  </w:r>
                  <w:r>
                    <w:rPr>
                      <w:color w:val="000000" w:themeColor="text1"/>
                      <w:kern w:val="0"/>
                      <w:vertAlign w:val="subscript"/>
                      <w14:textFill>
                        <w14:solidFill>
                          <w14:schemeClr w14:val="tx1"/>
                        </w14:solidFill>
                      </w14:textFill>
                    </w:rPr>
                    <w:t>2</w:t>
                  </w:r>
                </w:p>
              </w:tc>
              <w:tc>
                <w:tcPr>
                  <w:tcW w:w="2410"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年平均质量浓度</w:t>
                  </w:r>
                </w:p>
              </w:tc>
              <w:tc>
                <w:tcPr>
                  <w:tcW w:w="1276" w:type="dxa"/>
                  <w:noWrap w:val="0"/>
                  <w:vAlign w:val="center"/>
                </w:tcPr>
                <w:p>
                  <w:pPr>
                    <w:adjustRightInd w:val="0"/>
                    <w:snapToGrid w:val="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3.5</w:t>
                  </w:r>
                </w:p>
              </w:tc>
              <w:tc>
                <w:tcPr>
                  <w:tcW w:w="992" w:type="dxa"/>
                  <w:noWrap w:val="0"/>
                  <w:vAlign w:val="center"/>
                </w:tcPr>
                <w:p>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60</w:t>
                  </w:r>
                </w:p>
              </w:tc>
              <w:tc>
                <w:tcPr>
                  <w:tcW w:w="1134" w:type="dxa"/>
                  <w:noWrap w:val="0"/>
                  <w:vAlign w:val="center"/>
                </w:tcPr>
                <w:p>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w:t>
                  </w:r>
                </w:p>
              </w:tc>
              <w:tc>
                <w:tcPr>
                  <w:tcW w:w="1229"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1157" w:type="dxa"/>
                  <w:noWrap w:val="0"/>
                  <w:vAlign w:val="center"/>
                </w:tcPr>
                <w:p>
                  <w:pPr>
                    <w:adjustRightInd w:val="0"/>
                    <w:snapToGrid w:val="0"/>
                    <w:jc w:val="center"/>
                    <w:rPr>
                      <w:bCs/>
                      <w:color w:val="000000" w:themeColor="text1"/>
                      <w14:textFill>
                        <w14:solidFill>
                          <w14:schemeClr w14:val="tx1"/>
                        </w14:solidFill>
                      </w14:textFill>
                    </w:rPr>
                  </w:pPr>
                  <w:r>
                    <w:rPr>
                      <w:color w:val="000000" w:themeColor="text1"/>
                      <w:kern w:val="0"/>
                      <w14:textFill>
                        <w14:solidFill>
                          <w14:schemeClr w14:val="tx1"/>
                        </w14:solidFill>
                      </w14:textFill>
                    </w:rPr>
                    <w:t>NO</w:t>
                  </w:r>
                  <w:r>
                    <w:rPr>
                      <w:color w:val="000000" w:themeColor="text1"/>
                      <w:kern w:val="0"/>
                      <w:vertAlign w:val="subscript"/>
                      <w14:textFill>
                        <w14:solidFill>
                          <w14:schemeClr w14:val="tx1"/>
                        </w14:solidFill>
                      </w14:textFill>
                    </w:rPr>
                    <w:t>2</w:t>
                  </w:r>
                </w:p>
              </w:tc>
              <w:tc>
                <w:tcPr>
                  <w:tcW w:w="2410"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年平均质量浓度</w:t>
                  </w:r>
                </w:p>
              </w:tc>
              <w:tc>
                <w:tcPr>
                  <w:tcW w:w="1276" w:type="dxa"/>
                  <w:noWrap w:val="0"/>
                  <w:vAlign w:val="center"/>
                </w:tcPr>
                <w:p>
                  <w:pPr>
                    <w:adjustRightInd w:val="0"/>
                    <w:snapToGrid w:val="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21</w:t>
                  </w:r>
                </w:p>
              </w:tc>
              <w:tc>
                <w:tcPr>
                  <w:tcW w:w="992" w:type="dxa"/>
                  <w:noWrap w:val="0"/>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40</w:t>
                  </w:r>
                </w:p>
              </w:tc>
              <w:tc>
                <w:tcPr>
                  <w:tcW w:w="1134" w:type="dxa"/>
                  <w:noWrap w:val="0"/>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0</w:t>
                  </w:r>
                </w:p>
              </w:tc>
              <w:tc>
                <w:tcPr>
                  <w:tcW w:w="1229"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1157" w:type="dxa"/>
                  <w:noWrap w:val="0"/>
                  <w:vAlign w:val="center"/>
                </w:tcPr>
                <w:p>
                  <w:pPr>
                    <w:adjustRightInd w:val="0"/>
                    <w:snapToGrid w:val="0"/>
                    <w:jc w:val="center"/>
                    <w:rPr>
                      <w:bCs/>
                      <w:color w:val="000000" w:themeColor="text1"/>
                      <w14:textFill>
                        <w14:solidFill>
                          <w14:schemeClr w14:val="tx1"/>
                        </w14:solidFill>
                      </w14:textFill>
                    </w:rPr>
                  </w:pPr>
                  <w:r>
                    <w:rPr>
                      <w:color w:val="000000" w:themeColor="text1"/>
                      <w:kern w:val="0"/>
                      <w14:textFill>
                        <w14:solidFill>
                          <w14:schemeClr w14:val="tx1"/>
                        </w14:solidFill>
                      </w14:textFill>
                    </w:rPr>
                    <w:t>PM</w:t>
                  </w:r>
                  <w:r>
                    <w:rPr>
                      <w:color w:val="000000" w:themeColor="text1"/>
                      <w:kern w:val="0"/>
                      <w:vertAlign w:val="subscript"/>
                      <w14:textFill>
                        <w14:solidFill>
                          <w14:schemeClr w14:val="tx1"/>
                        </w14:solidFill>
                      </w14:textFill>
                    </w:rPr>
                    <w:t>10</w:t>
                  </w:r>
                </w:p>
              </w:tc>
              <w:tc>
                <w:tcPr>
                  <w:tcW w:w="2410"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年平均质量浓度</w:t>
                  </w:r>
                </w:p>
              </w:tc>
              <w:tc>
                <w:tcPr>
                  <w:tcW w:w="1276" w:type="dxa"/>
                  <w:noWrap w:val="0"/>
                  <w:vAlign w:val="center"/>
                </w:tcPr>
                <w:p>
                  <w:pPr>
                    <w:adjustRightInd w:val="0"/>
                    <w:snapToGrid w:val="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42</w:t>
                  </w:r>
                </w:p>
              </w:tc>
              <w:tc>
                <w:tcPr>
                  <w:tcW w:w="992" w:type="dxa"/>
                  <w:noWrap w:val="0"/>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134" w:type="dxa"/>
                  <w:noWrap w:val="0"/>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0</w:t>
                  </w:r>
                </w:p>
              </w:tc>
              <w:tc>
                <w:tcPr>
                  <w:tcW w:w="1229"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1157" w:type="dxa"/>
                  <w:noWrap w:val="0"/>
                  <w:vAlign w:val="center"/>
                </w:tcPr>
                <w:p>
                  <w:pPr>
                    <w:adjustRightInd w:val="0"/>
                    <w:snapToGrid w:val="0"/>
                    <w:jc w:val="center"/>
                    <w:rPr>
                      <w:bCs/>
                      <w:color w:val="000000" w:themeColor="text1"/>
                      <w14:textFill>
                        <w14:solidFill>
                          <w14:schemeClr w14:val="tx1"/>
                        </w14:solidFill>
                      </w14:textFill>
                    </w:rPr>
                  </w:pPr>
                  <w:r>
                    <w:rPr>
                      <w:color w:val="000000" w:themeColor="text1"/>
                      <w:kern w:val="0"/>
                      <w14:textFill>
                        <w14:solidFill>
                          <w14:schemeClr w14:val="tx1"/>
                        </w14:solidFill>
                      </w14:textFill>
                    </w:rPr>
                    <w:t>PM</w:t>
                  </w:r>
                  <w:r>
                    <w:rPr>
                      <w:color w:val="000000" w:themeColor="text1"/>
                      <w:kern w:val="0"/>
                      <w:vertAlign w:val="subscript"/>
                      <w14:textFill>
                        <w14:solidFill>
                          <w14:schemeClr w14:val="tx1"/>
                        </w14:solidFill>
                      </w14:textFill>
                    </w:rPr>
                    <w:t>2.5</w:t>
                  </w:r>
                </w:p>
              </w:tc>
              <w:tc>
                <w:tcPr>
                  <w:tcW w:w="2410"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年平均质量浓度</w:t>
                  </w:r>
                </w:p>
              </w:tc>
              <w:tc>
                <w:tcPr>
                  <w:tcW w:w="1276" w:type="dxa"/>
                  <w:noWrap w:val="0"/>
                  <w:vAlign w:val="center"/>
                </w:tcPr>
                <w:p>
                  <w:pPr>
                    <w:adjustRightInd w:val="0"/>
                    <w:snapToGrid w:val="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30</w:t>
                  </w:r>
                </w:p>
              </w:tc>
              <w:tc>
                <w:tcPr>
                  <w:tcW w:w="992" w:type="dxa"/>
                  <w:noWrap w:val="0"/>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35</w:t>
                  </w:r>
                </w:p>
              </w:tc>
              <w:tc>
                <w:tcPr>
                  <w:tcW w:w="1134" w:type="dxa"/>
                  <w:noWrap w:val="0"/>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229"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1157"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CO</w:t>
                  </w:r>
                </w:p>
              </w:tc>
              <w:tc>
                <w:tcPr>
                  <w:tcW w:w="2410"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95百分位数日平均质量浓度</w:t>
                  </w:r>
                </w:p>
              </w:tc>
              <w:tc>
                <w:tcPr>
                  <w:tcW w:w="1276" w:type="dxa"/>
                  <w:noWrap w:val="0"/>
                  <w:vAlign w:val="center"/>
                </w:tcPr>
                <w:p>
                  <w:pPr>
                    <w:adjustRightInd w:val="0"/>
                    <w:snapToGrid w:val="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1300</w:t>
                  </w:r>
                </w:p>
              </w:tc>
              <w:tc>
                <w:tcPr>
                  <w:tcW w:w="992" w:type="dxa"/>
                  <w:noWrap w:val="0"/>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1134" w:type="dxa"/>
                  <w:noWrap w:val="0"/>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0</w:t>
                  </w:r>
                </w:p>
              </w:tc>
              <w:tc>
                <w:tcPr>
                  <w:tcW w:w="1229"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1157"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O</w:t>
                  </w:r>
                  <w:r>
                    <w:rPr>
                      <w:bCs/>
                      <w:color w:val="000000" w:themeColor="text1"/>
                      <w:vertAlign w:val="subscript"/>
                      <w14:textFill>
                        <w14:solidFill>
                          <w14:schemeClr w14:val="tx1"/>
                        </w14:solidFill>
                      </w14:textFill>
                    </w:rPr>
                    <w:t>3</w:t>
                  </w:r>
                </w:p>
              </w:tc>
              <w:tc>
                <w:tcPr>
                  <w:tcW w:w="2410"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90百分位数最大8小时平均质量浓度</w:t>
                  </w:r>
                </w:p>
              </w:tc>
              <w:tc>
                <w:tcPr>
                  <w:tcW w:w="1276" w:type="dxa"/>
                  <w:noWrap w:val="0"/>
                  <w:vAlign w:val="center"/>
                </w:tcPr>
                <w:p>
                  <w:pPr>
                    <w:adjustRightInd w:val="0"/>
                    <w:snapToGrid w:val="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80</w:t>
                  </w:r>
                </w:p>
              </w:tc>
              <w:tc>
                <w:tcPr>
                  <w:tcW w:w="992" w:type="dxa"/>
                  <w:noWrap w:val="0"/>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160</w:t>
                  </w:r>
                </w:p>
              </w:tc>
              <w:tc>
                <w:tcPr>
                  <w:tcW w:w="1134" w:type="dxa"/>
                  <w:noWrap w:val="0"/>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0</w:t>
                  </w:r>
                </w:p>
              </w:tc>
              <w:tc>
                <w:tcPr>
                  <w:tcW w:w="1229" w:type="dxa"/>
                  <w:noWrap w:val="0"/>
                  <w:vAlign w:val="center"/>
                </w:tcPr>
                <w:p>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达标</w:t>
                  </w:r>
                </w:p>
              </w:tc>
            </w:tr>
          </w:tbl>
          <w:p>
            <w:pPr>
              <w:spacing w:line="500" w:lineRule="exact"/>
              <w:ind w:firstLine="480" w:firstLineChars="200"/>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由上表可知，湘阴县</w:t>
            </w:r>
            <w:r>
              <w:rPr>
                <w:rFonts w:hint="eastAsia"/>
                <w:color w:val="000000" w:themeColor="text1"/>
                <w:sz w:val="24"/>
                <w:szCs w:val="22"/>
                <w14:textFill>
                  <w14:solidFill>
                    <w14:schemeClr w14:val="tx1"/>
                  </w14:solidFill>
                </w14:textFill>
              </w:rPr>
              <w:t>各监测因子浓度均达到</w:t>
            </w:r>
            <w:r>
              <w:rPr>
                <w:color w:val="000000" w:themeColor="text1"/>
                <w:sz w:val="24"/>
                <w:szCs w:val="22"/>
                <w14:textFill>
                  <w14:solidFill>
                    <w14:schemeClr w14:val="tx1"/>
                  </w14:solidFill>
                </w14:textFill>
              </w:rPr>
              <w:t>《环境空气质量标准》（GB3095-2012）中二级标准，项目所在区域为环境空气质量达标区。</w:t>
            </w:r>
          </w:p>
          <w:p>
            <w:pPr>
              <w:pStyle w:val="21"/>
              <w:spacing w:before="72" w:beforeLines="30" w:after="72" w:afterLines="30" w:line="500" w:lineRule="exact"/>
              <w:ind w:firstLine="0" w:firstLineChars="0"/>
              <w:contextualSpacing/>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3.2、地表水环境现状调查与评价</w:t>
            </w:r>
          </w:p>
          <w:p>
            <w:pPr>
              <w:spacing w:line="500" w:lineRule="exact"/>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为</w:t>
            </w:r>
            <w:r>
              <w:rPr>
                <w:color w:val="000000" w:themeColor="text1"/>
                <w:sz w:val="24"/>
                <w:szCs w:val="22"/>
                <w14:textFill>
                  <w14:solidFill>
                    <w14:schemeClr w14:val="tx1"/>
                  </w14:solidFill>
                </w14:textFill>
              </w:rPr>
              <w:t>了解项目建设区域地表水环境质量现状，本次环评引用2019年湘阴县环境监测站对周边水体进行监测具体监测情况详见表3-</w:t>
            </w:r>
            <w:r>
              <w:rPr>
                <w:rFonts w:hint="eastAsia"/>
                <w:color w:val="000000" w:themeColor="text1"/>
                <w:sz w:val="24"/>
                <w:szCs w:val="22"/>
                <w14:textFill>
                  <w14:solidFill>
                    <w14:schemeClr w14:val="tx1"/>
                  </w14:solidFill>
                </w14:textFill>
              </w:rPr>
              <w:t>2</w:t>
            </w:r>
            <w:r>
              <w:rPr>
                <w:color w:val="000000" w:themeColor="text1"/>
                <w:sz w:val="24"/>
                <w:szCs w:val="22"/>
                <w14:textFill>
                  <w14:solidFill>
                    <w14:schemeClr w14:val="tx1"/>
                  </w14:solidFill>
                </w14:textFill>
              </w:rPr>
              <w:t>。</w:t>
            </w:r>
          </w:p>
          <w:p>
            <w:pPr>
              <w:spacing w:line="500" w:lineRule="exact"/>
              <w:jc w:val="center"/>
              <w:rPr>
                <w:b/>
                <w:bCs/>
                <w:color w:val="000000" w:themeColor="text1"/>
                <w:sz w:val="24"/>
                <w:szCs w:val="22"/>
                <w14:textFill>
                  <w14:solidFill>
                    <w14:schemeClr w14:val="tx1"/>
                  </w14:solidFill>
                </w14:textFill>
              </w:rPr>
            </w:pPr>
            <w:r>
              <w:rPr>
                <w:b/>
                <w:bCs/>
                <w:color w:val="000000" w:themeColor="text1"/>
                <w:sz w:val="24"/>
                <w:szCs w:val="22"/>
                <w14:textFill>
                  <w14:solidFill>
                    <w14:schemeClr w14:val="tx1"/>
                  </w14:solidFill>
                </w14:textFill>
              </w:rPr>
              <w:t>表3-</w:t>
            </w:r>
            <w:r>
              <w:rPr>
                <w:rFonts w:hint="eastAsia"/>
                <w:b/>
                <w:bCs/>
                <w:color w:val="000000" w:themeColor="text1"/>
                <w:sz w:val="24"/>
                <w:szCs w:val="22"/>
                <w14:textFill>
                  <w14:solidFill>
                    <w14:schemeClr w14:val="tx1"/>
                  </w14:solidFill>
                </w14:textFill>
              </w:rPr>
              <w:t>2</w:t>
            </w:r>
            <w:r>
              <w:rPr>
                <w:b/>
                <w:bCs/>
                <w:color w:val="000000" w:themeColor="text1"/>
                <w:sz w:val="24"/>
                <w:szCs w:val="22"/>
                <w14:textFill>
                  <w14:solidFill>
                    <w14:schemeClr w14:val="tx1"/>
                  </w14:solidFill>
                </w14:textFill>
              </w:rPr>
              <w:t xml:space="preserve">  地表水现状监测断面与监测因子</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210"/>
              <w:gridCol w:w="857"/>
              <w:gridCol w:w="930"/>
              <w:gridCol w:w="873"/>
              <w:gridCol w:w="910"/>
              <w:gridCol w:w="1066"/>
              <w:gridCol w:w="1025"/>
              <w:gridCol w:w="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restart"/>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监测点位</w:t>
                  </w:r>
                </w:p>
              </w:tc>
              <w:tc>
                <w:tcPr>
                  <w:tcW w:w="1275" w:type="dxa"/>
                  <w:vMerge w:val="restart"/>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监测项目</w:t>
                  </w:r>
                </w:p>
              </w:tc>
              <w:tc>
                <w:tcPr>
                  <w:tcW w:w="884" w:type="dxa"/>
                  <w:vMerge w:val="restart"/>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单位</w:t>
                  </w:r>
                </w:p>
              </w:tc>
              <w:tc>
                <w:tcPr>
                  <w:tcW w:w="3879" w:type="dxa"/>
                  <w:gridSpan w:val="4"/>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监测结果</w:t>
                  </w:r>
                </w:p>
              </w:tc>
              <w:tc>
                <w:tcPr>
                  <w:tcW w:w="1050" w:type="dxa"/>
                  <w:vMerge w:val="restart"/>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标准值</w:t>
                  </w:r>
                </w:p>
              </w:tc>
              <w:tc>
                <w:tcPr>
                  <w:tcW w:w="665" w:type="dxa"/>
                  <w:vMerge w:val="restart"/>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p>
              </w:tc>
              <w:tc>
                <w:tcPr>
                  <w:tcW w:w="1275" w:type="dxa"/>
                  <w:vMerge w:val="continue"/>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p>
              </w:tc>
              <w:tc>
                <w:tcPr>
                  <w:tcW w:w="884" w:type="dxa"/>
                  <w:vMerge w:val="continue"/>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p>
              </w:tc>
              <w:tc>
                <w:tcPr>
                  <w:tcW w:w="965" w:type="dxa"/>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左</w:t>
                  </w:r>
                </w:p>
              </w:tc>
              <w:tc>
                <w:tcPr>
                  <w:tcW w:w="900" w:type="dxa"/>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中</w:t>
                  </w:r>
                </w:p>
              </w:tc>
              <w:tc>
                <w:tcPr>
                  <w:tcW w:w="942" w:type="dxa"/>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右</w:t>
                  </w:r>
                </w:p>
              </w:tc>
              <w:tc>
                <w:tcPr>
                  <w:tcW w:w="1072" w:type="dxa"/>
                  <w:noWrap w:val="0"/>
                  <w:vAlign w:val="center"/>
                </w:tcPr>
                <w:p>
                  <w:pPr>
                    <w:pStyle w:val="29"/>
                    <w:autoSpaceDE/>
                    <w:autoSpaceDN/>
                    <w:adjustRightInd/>
                    <w:spacing w:before="24" w:beforeLines="10" w:after="24" w:afterLines="10"/>
                    <w:jc w:val="center"/>
                    <w:rPr>
                      <w:rFonts w:ascii="Times New Roman" w:cs="Times New Roman"/>
                      <w:b/>
                      <w:bCs/>
                      <w:color w:val="000000" w:themeColor="text1"/>
                      <w:sz w:val="21"/>
                      <w:szCs w:val="21"/>
                      <w14:textFill>
                        <w14:solidFill>
                          <w14:schemeClr w14:val="tx1"/>
                        </w14:solidFill>
                      </w14:textFill>
                    </w:rPr>
                  </w:pPr>
                  <w:r>
                    <w:rPr>
                      <w:rFonts w:ascii="Times New Roman" w:cs="Times New Roman"/>
                      <w:b/>
                      <w:bCs/>
                      <w:color w:val="000000" w:themeColor="text1"/>
                      <w:sz w:val="21"/>
                      <w:szCs w:val="21"/>
                      <w14:textFill>
                        <w14:solidFill>
                          <w14:schemeClr w14:val="tx1"/>
                        </w14:solidFill>
                      </w14:textFill>
                    </w:rPr>
                    <w:t>均值</w:t>
                  </w:r>
                </w:p>
              </w:tc>
              <w:tc>
                <w:tcPr>
                  <w:tcW w:w="1050"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665"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restart"/>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p>
                  <w:pPr>
                    <w:spacing w:before="24" w:beforeLines="10" w:after="24" w:afterLines="10"/>
                    <w:jc w:val="center"/>
                    <w:rPr>
                      <w:color w:val="000000" w:themeColor="text1"/>
                      <w:szCs w:val="21"/>
                      <w14:textFill>
                        <w14:solidFill>
                          <w14:schemeClr w14:val="tx1"/>
                        </w14:solidFill>
                      </w14:textFill>
                    </w:rPr>
                  </w:pPr>
                </w:p>
                <w:p>
                  <w:pPr>
                    <w:spacing w:before="24" w:beforeLines="10" w:after="24" w:afterLines="10"/>
                    <w:jc w:val="center"/>
                    <w:rPr>
                      <w:color w:val="000000" w:themeColor="text1"/>
                      <w:szCs w:val="21"/>
                      <w14:textFill>
                        <w14:solidFill>
                          <w14:schemeClr w14:val="tx1"/>
                        </w14:solidFill>
                      </w14:textFill>
                    </w:rPr>
                  </w:pPr>
                </w:p>
                <w:p>
                  <w:pPr>
                    <w:spacing w:before="24" w:beforeLines="10" w:after="24" w:afterLines="10"/>
                    <w:jc w:val="center"/>
                    <w:rPr>
                      <w:color w:val="000000" w:themeColor="text1"/>
                      <w:szCs w:val="21"/>
                      <w14:textFill>
                        <w14:solidFill>
                          <w14:schemeClr w14:val="tx1"/>
                        </w14:solidFill>
                      </w14:textFill>
                    </w:rPr>
                  </w:pPr>
                </w:p>
                <w:p>
                  <w:pPr>
                    <w:spacing w:before="24" w:beforeLines="10" w:after="24" w:afterLines="10"/>
                    <w:jc w:val="center"/>
                    <w:rPr>
                      <w:color w:val="000000" w:themeColor="text1"/>
                      <w:szCs w:val="21"/>
                      <w14:textFill>
                        <w14:solidFill>
                          <w14:schemeClr w14:val="tx1"/>
                        </w14:solidFill>
                      </w14:textFill>
                    </w:rPr>
                  </w:pPr>
                </w:p>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洋沙湖断面</w:t>
                  </w: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pH</w:t>
                  </w:r>
                </w:p>
              </w:tc>
              <w:tc>
                <w:tcPr>
                  <w:tcW w:w="884"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无量纲</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6.89</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7.12</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7.08</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6.89-7.12</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6-9</w:t>
                  </w:r>
                </w:p>
              </w:tc>
              <w:tc>
                <w:tcPr>
                  <w:tcW w:w="6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DO</w:t>
                  </w:r>
                </w:p>
              </w:tc>
              <w:tc>
                <w:tcPr>
                  <w:tcW w:w="884"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5.76</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5.61</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5.84</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5.74</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≥5</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COD</w:t>
                  </w:r>
                  <w:r>
                    <w:rPr>
                      <w:rFonts w:ascii="Times New Roman" w:cs="Times New Roman"/>
                      <w:color w:val="000000" w:themeColor="text1"/>
                      <w:sz w:val="21"/>
                      <w:szCs w:val="21"/>
                      <w:vertAlign w:val="subscript"/>
                      <w14:textFill>
                        <w14:solidFill>
                          <w14:schemeClr w14:val="tx1"/>
                        </w14:solidFill>
                      </w14:textFill>
                    </w:rPr>
                    <w:t>cr</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13.6</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13.1</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13.4</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13.4</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≤20</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BOD</w:t>
                  </w:r>
                  <w:r>
                    <w:rPr>
                      <w:rFonts w:ascii="Times New Roman" w:cs="Times New Roman"/>
                      <w:color w:val="000000" w:themeColor="text1"/>
                      <w:sz w:val="21"/>
                      <w:szCs w:val="21"/>
                      <w:vertAlign w:val="subscript"/>
                      <w14:textFill>
                        <w14:solidFill>
                          <w14:schemeClr w14:val="tx1"/>
                        </w14:solidFill>
                      </w14:textFill>
                    </w:rPr>
                    <w:t>5</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2.72</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2.62</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2.68</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2.67</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≤4</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氨氮</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0.535</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0.486</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0.429</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0.517</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总磷</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0.092</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0.076</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0.083</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0.084</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≤0.2</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六价铬</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ND</w:t>
                  </w:r>
                </w:p>
              </w:tc>
              <w:tc>
                <w:tcPr>
                  <w:tcW w:w="90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4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7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≤0.05</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氰化物</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ND</w:t>
                  </w:r>
                </w:p>
              </w:tc>
              <w:tc>
                <w:tcPr>
                  <w:tcW w:w="90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4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7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≤0.2</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挥发酚</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ND</w:t>
                  </w:r>
                </w:p>
              </w:tc>
              <w:tc>
                <w:tcPr>
                  <w:tcW w:w="90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4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7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≤0.005</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石油类</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0.02</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0.03</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0.02</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0.02</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≤0.005</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硫化物</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ND</w:t>
                  </w:r>
                </w:p>
              </w:tc>
              <w:tc>
                <w:tcPr>
                  <w:tcW w:w="90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4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7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≤0.2</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粪大肠菌群</w:t>
                  </w:r>
                </w:p>
              </w:tc>
              <w:tc>
                <w:tcPr>
                  <w:tcW w:w="884"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个/L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2200</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2200</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2800</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2400</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≤10000</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restart"/>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乌龙咀断面</w:t>
                  </w: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pH</w:t>
                  </w:r>
                </w:p>
              </w:tc>
              <w:tc>
                <w:tcPr>
                  <w:tcW w:w="884"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无量纲</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7.17</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7.21</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7.13</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7.13-7.21</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6-9</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DO</w:t>
                  </w:r>
                </w:p>
              </w:tc>
              <w:tc>
                <w:tcPr>
                  <w:tcW w:w="884"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6.9</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6.7</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7.3</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7.0</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≥5</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COD</w:t>
                  </w:r>
                  <w:r>
                    <w:rPr>
                      <w:rFonts w:ascii="Times New Roman" w:cs="Times New Roman"/>
                      <w:color w:val="000000" w:themeColor="text1"/>
                      <w:sz w:val="21"/>
                      <w:szCs w:val="21"/>
                      <w:vertAlign w:val="subscript"/>
                      <w14:textFill>
                        <w14:solidFill>
                          <w14:schemeClr w14:val="tx1"/>
                        </w14:solidFill>
                      </w14:textFill>
                    </w:rPr>
                    <w:t>cr</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12</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13</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12</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12</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≤20</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BOD</w:t>
                  </w:r>
                  <w:r>
                    <w:rPr>
                      <w:rFonts w:ascii="Times New Roman" w:cs="Times New Roman"/>
                      <w:color w:val="000000" w:themeColor="text1"/>
                      <w:sz w:val="21"/>
                      <w:szCs w:val="21"/>
                      <w:vertAlign w:val="subscript"/>
                      <w14:textFill>
                        <w14:solidFill>
                          <w14:schemeClr w14:val="tx1"/>
                        </w14:solidFill>
                      </w14:textFill>
                    </w:rPr>
                    <w:t>5</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2.4</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2.6</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2.4</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2.5</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≤4</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氨氮</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0.98</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0.88</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0.87</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0.91</w:t>
                  </w:r>
                </w:p>
              </w:tc>
              <w:tc>
                <w:tcPr>
                  <w:tcW w:w="105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总磷</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0.02</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0.03</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0.03</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0.03</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≤0.2</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六价铬</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0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4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7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≤0.05</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氰化物</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0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4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7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≤0.2</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挥发酚</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0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4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7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≤0.005</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石油类</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0.02</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0.01</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0.02</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0.02</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≤0.005</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硫化物</w:t>
                  </w:r>
                </w:p>
              </w:tc>
              <w:tc>
                <w:tcPr>
                  <w:tcW w:w="884"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mg/L</w:t>
                  </w:r>
                </w:p>
              </w:tc>
              <w:tc>
                <w:tcPr>
                  <w:tcW w:w="9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0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94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72"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ND</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≤0.2</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43" w:type="dxa"/>
                  <w:vMerge w:val="continue"/>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p>
              </w:tc>
              <w:tc>
                <w:tcPr>
                  <w:tcW w:w="127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粪大肠菌群</w:t>
                  </w:r>
                </w:p>
              </w:tc>
              <w:tc>
                <w:tcPr>
                  <w:tcW w:w="884"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个/L</w:t>
                  </w:r>
                </w:p>
              </w:tc>
              <w:tc>
                <w:tcPr>
                  <w:tcW w:w="965"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9200</w:t>
                  </w:r>
                </w:p>
              </w:tc>
              <w:tc>
                <w:tcPr>
                  <w:tcW w:w="900"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5400</w:t>
                  </w:r>
                </w:p>
              </w:tc>
              <w:tc>
                <w:tcPr>
                  <w:tcW w:w="94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9200</w:t>
                  </w:r>
                </w:p>
              </w:tc>
              <w:tc>
                <w:tcPr>
                  <w:tcW w:w="1072" w:type="dxa"/>
                  <w:noWrap w:val="0"/>
                  <w:vAlign w:val="center"/>
                </w:tcPr>
                <w:p>
                  <w:pPr>
                    <w:pStyle w:val="29"/>
                    <w:autoSpaceDE/>
                    <w:autoSpaceDN/>
                    <w:adjustRightInd/>
                    <w:spacing w:before="24" w:beforeLines="10" w:after="24" w:afterLines="10"/>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7933</w:t>
                  </w:r>
                </w:p>
              </w:tc>
              <w:tc>
                <w:tcPr>
                  <w:tcW w:w="1050"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≤10000</w:t>
                  </w:r>
                </w:p>
              </w:tc>
              <w:tc>
                <w:tcPr>
                  <w:tcW w:w="665" w:type="dxa"/>
                  <w:noWrap w:val="0"/>
                  <w:vAlign w:val="center"/>
                </w:tcPr>
                <w:p>
                  <w:pPr>
                    <w:spacing w:before="24" w:beforeLines="10" w:after="24" w:afterLines="1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bl>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cs="Times New Roman"/>
                <w:b/>
                <w:bCs/>
                <w:color w:val="000000" w:themeColor="text1"/>
                <w:sz w:val="24"/>
                <w:szCs w:val="22"/>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4"/>
                <w:szCs w:val="22"/>
                <w:u w:val="none" w:color="auto"/>
                <w:lang w:val="en-US" w:eastAsia="zh-CN"/>
                <w14:textFill>
                  <w14:solidFill>
                    <w14:schemeClr w14:val="tx1"/>
                  </w14:solidFill>
                </w14:textFill>
              </w:rPr>
              <w:t>表</w:t>
            </w:r>
            <w:r>
              <w:rPr>
                <w:rFonts w:hint="eastAsia" w:ascii="Times New Roman" w:hAnsi="Times New Roman" w:cs="Times New Roman"/>
                <w:b/>
                <w:bCs/>
                <w:color w:val="000000" w:themeColor="text1"/>
                <w:sz w:val="24"/>
                <w:szCs w:val="22"/>
                <w:u w:val="none" w:color="auto"/>
                <w:lang w:val="en-US" w:eastAsia="zh-CN"/>
                <w14:textFill>
                  <w14:solidFill>
                    <w14:schemeClr w14:val="tx1"/>
                  </w14:solidFill>
                </w14:textFill>
              </w:rPr>
              <w:t>3-3</w:t>
            </w:r>
            <w:r>
              <w:rPr>
                <w:rFonts w:hint="default" w:ascii="Times New Roman" w:hAnsi="Times New Roman" w:cs="Times New Roman"/>
                <w:b/>
                <w:bCs/>
                <w:color w:val="000000" w:themeColor="text1"/>
                <w:sz w:val="24"/>
                <w:szCs w:val="22"/>
                <w:u w:val="none" w:color="auto"/>
                <w:lang w:val="en-US" w:eastAsia="zh-CN"/>
                <w14:textFill>
                  <w14:solidFill>
                    <w14:schemeClr w14:val="tx1"/>
                  </w14:solidFill>
                </w14:textFill>
              </w:rPr>
              <w:t xml:space="preserve">  洋沙湖湖心监测结果统计表   </w:t>
            </w:r>
            <w:r>
              <w:rPr>
                <w:rFonts w:hint="default" w:ascii="Times New Roman" w:hAnsi="Times New Roman" w:cs="Times New Roman"/>
                <w:b w:val="0"/>
                <w:bCs w:val="0"/>
                <w:color w:val="000000" w:themeColor="text1"/>
                <w:sz w:val="24"/>
                <w:szCs w:val="22"/>
                <w:u w:val="none" w:color="auto"/>
                <w:lang w:val="en-US" w:eastAsia="zh-CN"/>
                <w14:textFill>
                  <w14:solidFill>
                    <w14:schemeClr w14:val="tx1"/>
                  </w14:solidFill>
                </w14:textFill>
              </w:rPr>
              <w:t>单位：mg/L，pH除外</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662"/>
              <w:gridCol w:w="1304"/>
              <w:gridCol w:w="951"/>
              <w:gridCol w:w="1035"/>
              <w:gridCol w:w="1064"/>
              <w:gridCol w:w="13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exact"/>
                <w:jc w:val="center"/>
              </w:trPr>
              <w:tc>
                <w:tcPr>
                  <w:tcW w:w="2688" w:type="dxa"/>
                  <w:gridSpan w:val="2"/>
                  <w:tcBorders>
                    <w:tl2br w:val="nil"/>
                    <w:tr2bl w:val="nil"/>
                  </w:tcBorders>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both"/>
                    <w:textAlignment w:val="auto"/>
                    <mc:AlternateContent>
                      <mc:Choice Requires="wpsCustomData">
                        <wpsCustomData:diagonalParaType/>
                      </mc:Choice>
                    </mc:AlternateContent>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参数</w:t>
                  </w: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监测因子</w:t>
                  </w:r>
                </w:p>
              </w:tc>
              <w:tc>
                <w:tcPr>
                  <w:tcW w:w="13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t>pH</w:t>
                  </w:r>
                </w:p>
              </w:tc>
              <w:tc>
                <w:tcPr>
                  <w:tcW w:w="9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000000" w:themeColor="text1"/>
                      <w:kern w:val="2"/>
                      <w:sz w:val="21"/>
                      <w:szCs w:val="21"/>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CODcr</w:t>
                  </w:r>
                </w:p>
              </w:tc>
              <w:tc>
                <w:tcPr>
                  <w:tcW w:w="10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000000" w:themeColor="text1"/>
                      <w:kern w:val="2"/>
                      <w:sz w:val="21"/>
                      <w:szCs w:val="21"/>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BOD</w:t>
                  </w:r>
                  <w:r>
                    <w:rPr>
                      <w:rFonts w:hint="default" w:ascii="Times New Roman" w:hAnsi="Times New Roman" w:eastAsia="宋体" w:cs="Times New Roman"/>
                      <w:b/>
                      <w:bCs/>
                      <w:color w:val="000000" w:themeColor="text1"/>
                      <w:sz w:val="21"/>
                      <w:szCs w:val="21"/>
                      <w:u w:val="none" w:color="auto"/>
                      <w:vertAlign w:val="subscript"/>
                      <w:lang w:val="en-US" w:eastAsia="zh-CN"/>
                      <w14:textFill>
                        <w14:solidFill>
                          <w14:schemeClr w14:val="tx1"/>
                        </w14:solidFill>
                      </w14:textFill>
                    </w:rPr>
                    <w:t>5</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000000" w:themeColor="text1"/>
                      <w:kern w:val="2"/>
                      <w:sz w:val="21"/>
                      <w:szCs w:val="21"/>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总磷</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000000" w:themeColor="text1"/>
                      <w:kern w:val="2"/>
                      <w:sz w:val="21"/>
                      <w:szCs w:val="21"/>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exact"/>
                <w:jc w:val="center"/>
              </w:trPr>
              <w:tc>
                <w:tcPr>
                  <w:tcW w:w="88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洋沙湖湖心</w:t>
                  </w:r>
                </w:p>
              </w:tc>
              <w:tc>
                <w:tcPr>
                  <w:tcW w:w="18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范围值</w:t>
                  </w:r>
                </w:p>
              </w:tc>
              <w:tc>
                <w:tcPr>
                  <w:tcW w:w="13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6.75-6.82</w:t>
                  </w:r>
                </w:p>
              </w:tc>
              <w:tc>
                <w:tcPr>
                  <w:tcW w:w="9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6-8</w:t>
                  </w:r>
                </w:p>
              </w:tc>
              <w:tc>
                <w:tcPr>
                  <w:tcW w:w="10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1.9-2.1</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0.01-0.02</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0.121-0.158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exact"/>
                <w:jc w:val="center"/>
              </w:trPr>
              <w:tc>
                <w:tcPr>
                  <w:tcW w:w="88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p>
              </w:tc>
              <w:tc>
                <w:tcPr>
                  <w:tcW w:w="18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均值</w:t>
                  </w:r>
                </w:p>
              </w:tc>
              <w:tc>
                <w:tcPr>
                  <w:tcW w:w="13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6.79</w:t>
                  </w:r>
                </w:p>
              </w:tc>
              <w:tc>
                <w:tcPr>
                  <w:tcW w:w="9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6.67</w:t>
                  </w:r>
                </w:p>
              </w:tc>
              <w:tc>
                <w:tcPr>
                  <w:tcW w:w="10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2</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0.013</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exact"/>
                <w:jc w:val="center"/>
              </w:trPr>
              <w:tc>
                <w:tcPr>
                  <w:tcW w:w="88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p>
              </w:tc>
              <w:tc>
                <w:tcPr>
                  <w:tcW w:w="18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超标率（%）</w:t>
                  </w:r>
                </w:p>
              </w:tc>
              <w:tc>
                <w:tcPr>
                  <w:tcW w:w="13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c>
                <w:tcPr>
                  <w:tcW w:w="9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c>
                <w:tcPr>
                  <w:tcW w:w="10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exact"/>
                <w:jc w:val="center"/>
              </w:trPr>
              <w:tc>
                <w:tcPr>
                  <w:tcW w:w="88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p>
              </w:tc>
              <w:tc>
                <w:tcPr>
                  <w:tcW w:w="18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最大超标倍数</w:t>
                  </w:r>
                </w:p>
              </w:tc>
              <w:tc>
                <w:tcPr>
                  <w:tcW w:w="13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c>
                <w:tcPr>
                  <w:tcW w:w="9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c>
                <w:tcPr>
                  <w:tcW w:w="10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exact"/>
                <w:jc w:val="center"/>
              </w:trPr>
              <w:tc>
                <w:tcPr>
                  <w:tcW w:w="88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p>
              </w:tc>
              <w:tc>
                <w:tcPr>
                  <w:tcW w:w="18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Ⅲ类标准</w:t>
                  </w:r>
                </w:p>
              </w:tc>
              <w:tc>
                <w:tcPr>
                  <w:tcW w:w="13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6-9</w:t>
                  </w:r>
                </w:p>
              </w:tc>
              <w:tc>
                <w:tcPr>
                  <w:tcW w:w="9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20</w:t>
                  </w:r>
                </w:p>
              </w:tc>
              <w:tc>
                <w:tcPr>
                  <w:tcW w:w="10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4</w:t>
                  </w:r>
                </w:p>
              </w:tc>
              <w:tc>
                <w:tcPr>
                  <w:tcW w:w="10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0.05</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1</w:t>
                  </w:r>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000000" w:themeColor="text1"/>
                <w:sz w:val="24"/>
                <w:szCs w:val="22"/>
                <w14:textFill>
                  <w14:solidFill>
                    <w14:schemeClr w14:val="tx1"/>
                  </w14:solidFill>
                </w14:textFill>
              </w:rPr>
            </w:pPr>
            <w:r>
              <w:rPr>
                <w:rFonts w:hint="default" w:ascii="Times New Roman" w:hAnsi="Times New Roman" w:eastAsia="宋体" w:cs="Times New Roman"/>
                <w:color w:val="000000" w:themeColor="text1"/>
                <w:sz w:val="24"/>
                <w:szCs w:val="22"/>
                <w:u w:val="none" w:color="auto"/>
                <w:lang w:val="en-US" w:eastAsia="zh-CN"/>
                <w14:textFill>
                  <w14:solidFill>
                    <w14:schemeClr w14:val="tx1"/>
                  </w14:solidFill>
                </w14:textFill>
              </w:rPr>
              <w:t>根据监测统计结果可知，湘江湘阴段洋沙湖断面、乌龙咀断面和洋沙湖湖心水质各项指标均达到《地表水环境质量标准》（GB3838-2002）中Ⅲ类标准，区域水质状况良好。</w:t>
            </w:r>
          </w:p>
          <w:p>
            <w:pPr>
              <w:autoSpaceDE w:val="0"/>
              <w:autoSpaceDN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3、声环境质量现状</w:t>
            </w:r>
          </w:p>
          <w:p>
            <w:pPr>
              <w:pStyle w:val="80"/>
              <w:spacing w:line="360" w:lineRule="auto"/>
              <w:ind w:firstLine="480"/>
              <w:rPr>
                <w:rFonts w:ascii="Times New Roman" w:hAnsi="Times New Roman"/>
                <w:color w:val="000000" w:themeColor="text1"/>
                <w:sz w:val="24"/>
                <w:szCs w:val="28"/>
                <w:u w:val="single"/>
                <w14:textFill>
                  <w14:solidFill>
                    <w14:schemeClr w14:val="tx1"/>
                  </w14:solidFill>
                </w14:textFill>
              </w:rPr>
            </w:pPr>
            <w:r>
              <w:rPr>
                <w:rFonts w:ascii="Times New Roman" w:hAnsi="Times New Roman"/>
                <w:color w:val="000000" w:themeColor="text1"/>
                <w:sz w:val="24"/>
                <w:u w:val="single"/>
                <w14:textFill>
                  <w14:solidFill>
                    <w14:schemeClr w14:val="tx1"/>
                  </w14:solidFill>
                </w14:textFill>
              </w:rPr>
              <w:t>本项目位于</w:t>
            </w:r>
            <w:r>
              <w:rPr>
                <w:rFonts w:hint="eastAsia"/>
                <w:color w:val="000000" w:themeColor="text1"/>
                <w:sz w:val="24"/>
                <w:szCs w:val="24"/>
                <w:u w:val="single"/>
                <w14:textFill>
                  <w14:solidFill>
                    <w14:schemeClr w14:val="tx1"/>
                  </w14:solidFill>
                </w14:textFill>
              </w:rPr>
              <w:t>湖南省湘阴县高新区金龙片区安康路以东燎原路以北</w:t>
            </w:r>
            <w:r>
              <w:rPr>
                <w:rFonts w:hint="eastAsia" w:ascii="Times New Roman" w:hAnsi="Times New Roman"/>
                <w:color w:val="000000" w:themeColor="text1"/>
                <w:sz w:val="24"/>
                <w:szCs w:val="28"/>
                <w:u w:val="single"/>
                <w14:textFill>
                  <w14:solidFill>
                    <w14:schemeClr w14:val="tx1"/>
                  </w14:solidFill>
                </w14:textFill>
              </w:rPr>
              <w:t>根据《建设项目环境影响报告表编制技术指南（污染影响类）（试行）》，本项目50m范围内无声环境敏感点，无需进行声环境现状调查评价。</w:t>
            </w:r>
          </w:p>
          <w:p>
            <w:pPr>
              <w:autoSpaceDE w:val="0"/>
              <w:autoSpaceDN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4、生态环境现状</w:t>
            </w:r>
          </w:p>
          <w:p>
            <w:pPr>
              <w:spacing w:line="360" w:lineRule="auto"/>
              <w:ind w:firstLine="470" w:firstLineChars="196"/>
              <w:rPr>
                <w:color w:val="000000" w:themeColor="text1"/>
                <w:kern w:val="0"/>
                <w:szCs w:val="21"/>
                <w14:textFill>
                  <w14:solidFill>
                    <w14:schemeClr w14:val="tx1"/>
                  </w14:solidFill>
                </w14:textFill>
              </w:rPr>
            </w:pPr>
            <w:r>
              <w:rPr>
                <w:color w:val="000000" w:themeColor="text1"/>
                <w:sz w:val="24"/>
                <w14:textFill>
                  <w14:solidFill>
                    <w14:schemeClr w14:val="tx1"/>
                  </w14:solidFill>
                </w14:textFill>
              </w:rPr>
              <w:t>评价区域内以人工环境为主，区内无重要建构筑物，也无重要的自然保护区、旅游景点或地质遗迹；评价项目周围无特殊文物保护单位等环境敏感点；无探明的矿床和珍贵的野生动、植物资源，无国家和地区指定的重点文物单位和名胜古迹。因此本项目区域生态环境质量一般。项目主要周边及场地环境现状照片见附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环境</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保护</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目标</w:t>
            </w:r>
          </w:p>
        </w:tc>
        <w:tc>
          <w:tcPr>
            <w:tcW w:w="8190" w:type="dxa"/>
            <w:noWrap w:val="0"/>
            <w:vAlign w:val="center"/>
          </w:tcPr>
          <w:p>
            <w:pPr>
              <w:spacing w:line="360" w:lineRule="auto"/>
              <w:ind w:firstLine="470" w:firstLineChars="196"/>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项目位于湖南省湘阴县高新区金龙片区安康路以东燎原路以北，处于工业园区域，环境保护目标如下：</w:t>
            </w:r>
          </w:p>
          <w:p>
            <w:pPr>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表3-</w:t>
            </w:r>
            <w:r>
              <w:rPr>
                <w:rFonts w:hint="eastAsia"/>
                <w:b/>
                <w:color w:val="000000" w:themeColor="text1"/>
                <w:sz w:val="24"/>
                <w:u w:val="single"/>
                <w:lang w:val="en-US" w:eastAsia="zh-CN"/>
                <w14:textFill>
                  <w14:solidFill>
                    <w14:schemeClr w14:val="tx1"/>
                  </w14:solidFill>
                </w14:textFill>
              </w:rPr>
              <w:t>4</w:t>
            </w:r>
            <w:r>
              <w:rPr>
                <w:b/>
                <w:color w:val="000000" w:themeColor="text1"/>
                <w:sz w:val="24"/>
                <w:u w:val="single"/>
                <w14:textFill>
                  <w14:solidFill>
                    <w14:schemeClr w14:val="tx1"/>
                  </w14:solidFill>
                </w14:textFill>
              </w:rPr>
              <w:t xml:space="preserve">  项目主要环境保护目标一览表</w:t>
            </w:r>
          </w:p>
          <w:tbl>
            <w:tblPr>
              <w:tblStyle w:val="23"/>
              <w:tblW w:w="49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892"/>
              <w:gridCol w:w="853"/>
              <w:gridCol w:w="1027"/>
              <w:gridCol w:w="1540"/>
              <w:gridCol w:w="1172"/>
              <w:gridCol w:w="1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405" w:type="pct"/>
                  <w:tcBorders>
                    <w:bottom w:val="single" w:color="auto" w:sz="4" w:space="0"/>
                  </w:tcBorders>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环境要素</w:t>
                  </w:r>
                </w:p>
              </w:tc>
              <w:tc>
                <w:tcPr>
                  <w:tcW w:w="553" w:type="pct"/>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环保目标</w:t>
                  </w:r>
                </w:p>
              </w:tc>
              <w:tc>
                <w:tcPr>
                  <w:tcW w:w="529" w:type="pct"/>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方位</w:t>
                  </w:r>
                </w:p>
              </w:tc>
              <w:tc>
                <w:tcPr>
                  <w:tcW w:w="637" w:type="pct"/>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距离/m</w:t>
                  </w:r>
                </w:p>
              </w:tc>
              <w:tc>
                <w:tcPr>
                  <w:tcW w:w="955" w:type="pct"/>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经纬度</w:t>
                  </w:r>
                </w:p>
              </w:tc>
              <w:tc>
                <w:tcPr>
                  <w:tcW w:w="726" w:type="pct"/>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保护规模</w:t>
                  </w:r>
                </w:p>
              </w:tc>
              <w:tc>
                <w:tcPr>
                  <w:tcW w:w="1192" w:type="pct"/>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62" w:hRule="atLeast"/>
                <w:jc w:val="center"/>
              </w:trPr>
              <w:tc>
                <w:tcPr>
                  <w:tcW w:w="405" w:type="pct"/>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声环境</w:t>
                  </w:r>
                </w:p>
              </w:tc>
              <w:tc>
                <w:tcPr>
                  <w:tcW w:w="55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居民</w:t>
                  </w:r>
                </w:p>
              </w:tc>
              <w:tc>
                <w:tcPr>
                  <w:tcW w:w="529"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2319" w:type="pct"/>
                  <w:gridSpan w:val="3"/>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场界</w:t>
                  </w:r>
                  <w:r>
                    <w:rPr>
                      <w:rFonts w:hint="eastAsia"/>
                      <w:color w:val="000000" w:themeColor="text1"/>
                      <w:szCs w:val="21"/>
                      <w:u w:val="single"/>
                      <w14:textFill>
                        <w14:solidFill>
                          <w14:schemeClr w14:val="tx1"/>
                        </w14:solidFill>
                      </w14:textFill>
                    </w:rPr>
                    <w:t>50</w:t>
                  </w:r>
                  <w:r>
                    <w:rPr>
                      <w:color w:val="000000" w:themeColor="text1"/>
                      <w:szCs w:val="21"/>
                      <w:u w:val="single"/>
                      <w14:textFill>
                        <w14:solidFill>
                          <w14:schemeClr w14:val="tx1"/>
                        </w14:solidFill>
                      </w14:textFill>
                    </w:rPr>
                    <w:t>m内无居民点</w:t>
                  </w:r>
                </w:p>
              </w:tc>
              <w:tc>
                <w:tcPr>
                  <w:tcW w:w="1192" w:type="pct"/>
                  <w:noWrap w:val="0"/>
                  <w:vAlign w:val="center"/>
                </w:tcPr>
                <w:p>
                  <w:pPr>
                    <w:jc w:val="center"/>
                    <w:rPr>
                      <w:color w:val="000000" w:themeColor="text1"/>
                      <w:szCs w:val="21"/>
                      <w:u w:val="single"/>
                      <w14:textFill>
                        <w14:solidFill>
                          <w14:schemeClr w14:val="tx1"/>
                        </w14:solidFill>
                      </w14:textFill>
                    </w:rPr>
                  </w:pPr>
                  <w:r>
                    <w:rPr>
                      <w:color w:val="000000" w:themeColor="text1"/>
                      <w:u w:val="single"/>
                      <w14:textFill>
                        <w14:solidFill>
                          <w14:schemeClr w14:val="tx1"/>
                        </w14:solidFill>
                      </w14:textFill>
                    </w:rPr>
                    <w:t>《声环境质量标准》（GB 3096－2008）3类标准</w:t>
                  </w:r>
                  <w:r>
                    <w:rPr>
                      <w:rFonts w:hint="eastAsia"/>
                      <w:color w:val="000000" w:themeColor="text1"/>
                      <w:u w:val="single"/>
                      <w14:textFill>
                        <w14:solidFill>
                          <w14:schemeClr w14:val="tx1"/>
                        </w14:solidFill>
                      </w14:textFill>
                    </w:rPr>
                    <w:t>/4a类标准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405" w:type="pct"/>
                  <w:vMerge w:val="restart"/>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环境空气</w:t>
                  </w:r>
                </w:p>
              </w:tc>
              <w:tc>
                <w:tcPr>
                  <w:tcW w:w="55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左家屋场居民点</w:t>
                  </w:r>
                </w:p>
              </w:tc>
              <w:tc>
                <w:tcPr>
                  <w:tcW w:w="529"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西南</w:t>
                  </w:r>
                </w:p>
              </w:tc>
              <w:tc>
                <w:tcPr>
                  <w:tcW w:w="63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388m</w:t>
                  </w:r>
                </w:p>
              </w:tc>
              <w:tc>
                <w:tcPr>
                  <w:tcW w:w="95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112.5446824, 28.3150173</w:t>
                  </w:r>
                </w:p>
              </w:tc>
              <w:tc>
                <w:tcPr>
                  <w:tcW w:w="72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约500人</w:t>
                  </w:r>
                </w:p>
              </w:tc>
              <w:tc>
                <w:tcPr>
                  <w:tcW w:w="1192" w:type="pct"/>
                  <w:vMerge w:val="restart"/>
                  <w:noWrap w:val="0"/>
                  <w:vAlign w:val="center"/>
                </w:tcPr>
                <w:p>
                  <w:pPr>
                    <w:jc w:val="center"/>
                    <w:rPr>
                      <w:color w:val="000000" w:themeColor="text1"/>
                      <w:szCs w:val="21"/>
                      <w:u w:val="single"/>
                      <w14:textFill>
                        <w14:solidFill>
                          <w14:schemeClr w14:val="tx1"/>
                        </w14:solidFill>
                      </w14:textFill>
                    </w:rPr>
                  </w:pPr>
                  <w:r>
                    <w:rPr>
                      <w:color w:val="000000" w:themeColor="text1"/>
                      <w:u w:val="single"/>
                      <w14:textFill>
                        <w14:solidFill>
                          <w14:schemeClr w14:val="tx1"/>
                        </w14:solidFill>
                      </w14:textFill>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405" w:type="pct"/>
                  <w:vMerge w:val="continue"/>
                  <w:shd w:val="clear" w:color="auto" w:fill="FFFFFF"/>
                  <w:noWrap w:val="0"/>
                  <w:vAlign w:val="center"/>
                </w:tcPr>
                <w:p>
                  <w:pPr>
                    <w:jc w:val="center"/>
                    <w:rPr>
                      <w:color w:val="000000" w:themeColor="text1"/>
                      <w:szCs w:val="21"/>
                      <w:u w:val="single"/>
                      <w14:textFill>
                        <w14:solidFill>
                          <w14:schemeClr w14:val="tx1"/>
                        </w14:solidFill>
                      </w14:textFill>
                    </w:rPr>
                  </w:pPr>
                </w:p>
              </w:tc>
              <w:tc>
                <w:tcPr>
                  <w:tcW w:w="55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赵家冲居民点</w:t>
                  </w:r>
                </w:p>
              </w:tc>
              <w:tc>
                <w:tcPr>
                  <w:tcW w:w="529"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西北</w:t>
                  </w:r>
                </w:p>
              </w:tc>
              <w:tc>
                <w:tcPr>
                  <w:tcW w:w="63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355m</w:t>
                  </w:r>
                </w:p>
              </w:tc>
              <w:tc>
                <w:tcPr>
                  <w:tcW w:w="95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112.5510345, 28.3205584</w:t>
                  </w:r>
                </w:p>
              </w:tc>
              <w:tc>
                <w:tcPr>
                  <w:tcW w:w="72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约1000人</w:t>
                  </w:r>
                </w:p>
              </w:tc>
              <w:tc>
                <w:tcPr>
                  <w:tcW w:w="1192" w:type="pct"/>
                  <w:vMerge w:val="continue"/>
                  <w:noWrap w:val="0"/>
                  <w:vAlign w:val="center"/>
                </w:tcPr>
                <w:p>
                  <w:pPr>
                    <w:jc w:val="center"/>
                    <w:rPr>
                      <w:color w:val="000000" w:themeColor="text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5" w:type="pct"/>
                  <w:vMerge w:val="continue"/>
                  <w:shd w:val="clear" w:color="auto" w:fill="FFFFFF"/>
                  <w:noWrap w:val="0"/>
                  <w:vAlign w:val="center"/>
                </w:tcPr>
                <w:p>
                  <w:pPr>
                    <w:jc w:val="center"/>
                    <w:rPr>
                      <w:color w:val="000000" w:themeColor="text1"/>
                      <w:szCs w:val="21"/>
                      <w:u w:val="single"/>
                      <w14:textFill>
                        <w14:solidFill>
                          <w14:schemeClr w14:val="tx1"/>
                        </w14:solidFill>
                      </w14:textFill>
                    </w:rPr>
                  </w:pPr>
                </w:p>
              </w:tc>
              <w:tc>
                <w:tcPr>
                  <w:tcW w:w="55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单家坝居民点</w:t>
                  </w:r>
                </w:p>
              </w:tc>
              <w:tc>
                <w:tcPr>
                  <w:tcW w:w="529"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西北</w:t>
                  </w:r>
                </w:p>
              </w:tc>
              <w:tc>
                <w:tcPr>
                  <w:tcW w:w="63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435m</w:t>
                  </w:r>
                </w:p>
              </w:tc>
              <w:tc>
                <w:tcPr>
                  <w:tcW w:w="95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112.5578735, 28.3223042</w:t>
                  </w:r>
                </w:p>
              </w:tc>
              <w:tc>
                <w:tcPr>
                  <w:tcW w:w="72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约800人</w:t>
                  </w:r>
                </w:p>
              </w:tc>
              <w:tc>
                <w:tcPr>
                  <w:tcW w:w="1192" w:type="pct"/>
                  <w:vMerge w:val="continue"/>
                  <w:noWrap w:val="0"/>
                  <w:vAlign w:val="center"/>
                </w:tcPr>
                <w:p>
                  <w:pPr>
                    <w:jc w:val="center"/>
                    <w:rPr>
                      <w:color w:val="000000" w:themeColor="text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79" w:hRule="atLeast"/>
                <w:jc w:val="center"/>
              </w:trPr>
              <w:tc>
                <w:tcPr>
                  <w:tcW w:w="405" w:type="pct"/>
                  <w:vMerge w:val="restart"/>
                  <w:shd w:val="clear" w:color="auto" w:fill="FFFFFF"/>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地表水</w:t>
                  </w:r>
                </w:p>
              </w:tc>
              <w:tc>
                <w:tcPr>
                  <w:tcW w:w="553" w:type="pc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洋沙湖</w:t>
                  </w:r>
                </w:p>
              </w:tc>
              <w:tc>
                <w:tcPr>
                  <w:tcW w:w="529" w:type="pc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WN</w:t>
                  </w:r>
                </w:p>
              </w:tc>
              <w:tc>
                <w:tcPr>
                  <w:tcW w:w="637" w:type="pc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12.8km</w:t>
                  </w:r>
                </w:p>
              </w:tc>
              <w:tc>
                <w:tcPr>
                  <w:tcW w:w="955" w:type="pc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w:t>
                  </w:r>
                </w:p>
              </w:tc>
              <w:tc>
                <w:tcPr>
                  <w:tcW w:w="726" w:type="pc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小河</w:t>
                  </w:r>
                </w:p>
              </w:tc>
              <w:tc>
                <w:tcPr>
                  <w:tcW w:w="1192" w:type="pct"/>
                  <w:vMerge w:val="restar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《地表水环境质量标准》（GB3838-2002）Ⅲ类标准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05" w:type="pct"/>
                  <w:vMerge w:val="continue"/>
                  <w:shd w:val="clear" w:color="auto" w:fill="FFFFFF"/>
                  <w:noWrap w:val="0"/>
                  <w:vAlign w:val="center"/>
                </w:tcPr>
                <w:p>
                  <w:pPr>
                    <w:jc w:val="center"/>
                    <w:rPr>
                      <w:color w:val="000000" w:themeColor="text1"/>
                      <w:szCs w:val="21"/>
                      <w:u w:val="single"/>
                      <w14:textFill>
                        <w14:solidFill>
                          <w14:schemeClr w14:val="tx1"/>
                        </w14:solidFill>
                      </w14:textFill>
                    </w:rPr>
                  </w:pPr>
                </w:p>
              </w:tc>
              <w:tc>
                <w:tcPr>
                  <w:tcW w:w="553" w:type="pc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湘江</w:t>
                  </w:r>
                </w:p>
              </w:tc>
              <w:tc>
                <w:tcPr>
                  <w:tcW w:w="529" w:type="pc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W</w:t>
                  </w:r>
                </w:p>
              </w:tc>
              <w:tc>
                <w:tcPr>
                  <w:tcW w:w="637" w:type="pc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3300m</w:t>
                  </w:r>
                </w:p>
              </w:tc>
              <w:tc>
                <w:tcPr>
                  <w:tcW w:w="955" w:type="pct"/>
                  <w:noWrap w:val="0"/>
                  <w:vAlign w:val="center"/>
                </w:tcPr>
                <w:p>
                  <w:pPr>
                    <w:jc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w:t>
                  </w:r>
                </w:p>
              </w:tc>
              <w:tc>
                <w:tcPr>
                  <w:tcW w:w="726" w:type="pct"/>
                  <w:noWrap w:val="0"/>
                  <w:vAlign w:val="center"/>
                </w:tcPr>
                <w:p>
                  <w:pPr>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大</w:t>
                  </w:r>
                  <w:r>
                    <w:rPr>
                      <w:color w:val="000000" w:themeColor="text1"/>
                      <w:u w:val="single"/>
                      <w14:textFill>
                        <w14:solidFill>
                          <w14:schemeClr w14:val="tx1"/>
                        </w14:solidFill>
                      </w14:textFill>
                    </w:rPr>
                    <w:t>河</w:t>
                  </w:r>
                </w:p>
              </w:tc>
              <w:tc>
                <w:tcPr>
                  <w:tcW w:w="1192" w:type="pct"/>
                  <w:vMerge w:val="continue"/>
                  <w:noWrap w:val="0"/>
                  <w:vAlign w:val="center"/>
                </w:tcPr>
                <w:p>
                  <w:pPr>
                    <w:jc w:val="center"/>
                    <w:rPr>
                      <w:color w:val="000000" w:themeColor="text1"/>
                      <w:u w:val="single"/>
                      <w14:textFill>
                        <w14:solidFill>
                          <w14:schemeClr w14:val="tx1"/>
                        </w14:solidFill>
                      </w14:textFill>
                    </w:rPr>
                  </w:pPr>
                </w:p>
              </w:tc>
            </w:tr>
          </w:tbl>
          <w:p>
            <w:pPr>
              <w:adjustRightInd w:val="0"/>
              <w:snapToGrid w:val="0"/>
              <w:jc w:val="center"/>
              <w:rPr>
                <w:color w:val="000000" w:themeColor="text1"/>
                <w:kern w:val="0"/>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物排</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放控</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制标</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准</w:t>
            </w:r>
          </w:p>
        </w:tc>
        <w:tc>
          <w:tcPr>
            <w:tcW w:w="8190" w:type="dxa"/>
            <w:noWrap w:val="0"/>
            <w:vAlign w:val="center"/>
          </w:tcPr>
          <w:p>
            <w:pPr>
              <w:spacing w:line="360" w:lineRule="auto"/>
              <w:ind w:firstLine="470" w:firstLineChars="196"/>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废气：本项目加工过程中产生的金属粉尘执行《大气污染物综合排放标 准》（GB16297-1996）表 2 中无组织限值要求。</w:t>
            </w:r>
          </w:p>
          <w:p>
            <w:pPr>
              <w:spacing w:line="360" w:lineRule="auto"/>
              <w:ind w:firstLine="470" w:firstLineChars="196"/>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 （2）废水</w:t>
            </w:r>
            <w:bookmarkStart w:id="6" w:name="OLE_LINK48"/>
            <w:bookmarkStart w:id="7" w:name="OLE_LINK49"/>
            <w:r>
              <w:rPr>
                <w:color w:val="000000" w:themeColor="text1"/>
                <w:sz w:val="24"/>
                <w14:textFill>
                  <w14:solidFill>
                    <w14:schemeClr w14:val="tx1"/>
                  </w14:solidFill>
                </w14:textFill>
              </w:rPr>
              <w:t>：执行《污水综合排放标准》（GB8978-1996）中</w:t>
            </w:r>
            <w:bookmarkEnd w:id="6"/>
            <w:bookmarkEnd w:id="7"/>
            <w:r>
              <w:rPr>
                <w:color w:val="000000" w:themeColor="text1"/>
                <w:sz w:val="24"/>
                <w14:textFill>
                  <w14:solidFill>
                    <w14:schemeClr w14:val="tx1"/>
                  </w14:solidFill>
                </w14:textFill>
              </w:rPr>
              <w:t>三级排放标准，并满足区域污水处理厂的进水水质要求。</w:t>
            </w:r>
          </w:p>
          <w:p>
            <w:pPr>
              <w:spacing w:line="360" w:lineRule="auto"/>
              <w:ind w:firstLine="470" w:firstLineChars="196"/>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 （3）噪声：营运期厂界噪声执行《工业企业厂界环境噪声排放标准》（GB12348-2008）中3类（昼间≤65dB（A）、夜间≤55dB（A））。</w:t>
            </w:r>
          </w:p>
          <w:p>
            <w:pPr>
              <w:spacing w:line="360" w:lineRule="auto"/>
              <w:ind w:firstLine="470" w:firstLineChars="196"/>
              <w:rPr>
                <w:color w:val="000000" w:themeColor="text1"/>
                <w:kern w:val="0"/>
                <w:szCs w:val="21"/>
                <w14:textFill>
                  <w14:solidFill>
                    <w14:schemeClr w14:val="tx1"/>
                  </w14:solidFill>
                </w14:textFill>
              </w:rPr>
            </w:pPr>
            <w:r>
              <w:rPr>
                <w:color w:val="000000" w:themeColor="text1"/>
                <w:sz w:val="24"/>
                <w14:textFill>
                  <w14:solidFill>
                    <w14:schemeClr w14:val="tx1"/>
                  </w14:solidFill>
                </w14:textFill>
              </w:rPr>
              <w:t>（4）固废：一般固废执行《一般工业固体废物贮存和填埋污染控制标准》（GB 18599-2020）</w:t>
            </w:r>
            <w:r>
              <w:rPr>
                <w:rFonts w:hint="eastAsia"/>
                <w:color w:val="000000" w:themeColor="text1"/>
                <w:sz w:val="24"/>
                <w14:textFill>
                  <w14:solidFill>
                    <w14:schemeClr w14:val="tx1"/>
                  </w14:solidFill>
                </w14:textFill>
              </w:rPr>
              <w:t>中防渗漏、防雨淋和防扬尘等要求</w:t>
            </w:r>
            <w:r>
              <w:rPr>
                <w:color w:val="000000" w:themeColor="text1"/>
                <w:sz w:val="24"/>
                <w14:textFill>
                  <w14:solidFill>
                    <w14:schemeClr w14:val="tx1"/>
                  </w14:solidFill>
                </w14:textFill>
              </w:rPr>
              <w:t>。危险废物执行《危险废物贮存污染控制标准》（GB18597-2001）及其修改单中的标准。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20" w:hRule="atLeast"/>
          <w:jc w:val="center"/>
        </w:trPr>
        <w:tc>
          <w:tcPr>
            <w:tcW w:w="800" w:type="dxa"/>
            <w:noWrap w:val="0"/>
            <w:vAlign w:val="center"/>
          </w:tcPr>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总量</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控制</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指标</w:t>
            </w:r>
          </w:p>
        </w:tc>
        <w:tc>
          <w:tcPr>
            <w:tcW w:w="8190" w:type="dxa"/>
            <w:noWrap w:val="0"/>
            <w:vAlign w:val="center"/>
          </w:tcPr>
          <w:p>
            <w:pPr>
              <w:adjustRightInd w:val="0"/>
              <w:snapToGrid w:val="0"/>
              <w:jc w:val="center"/>
              <w:rPr>
                <w:color w:val="000000" w:themeColor="text1"/>
                <w:kern w:val="0"/>
                <w:szCs w:val="21"/>
                <w14:textFill>
                  <w14:solidFill>
                    <w14:schemeClr w14:val="tx1"/>
                  </w14:solidFill>
                </w14:textFill>
              </w:rPr>
            </w:pPr>
            <w:r>
              <w:rPr>
                <w:color w:val="000000" w:themeColor="text1"/>
                <w:sz w:val="24"/>
                <w14:textFill>
                  <w14:solidFill>
                    <w14:schemeClr w14:val="tx1"/>
                  </w14:solidFill>
                </w14:textFill>
              </w:rPr>
              <w:t>本项目不涉及总量控制指标</w:t>
            </w:r>
          </w:p>
        </w:tc>
      </w:tr>
    </w:tbl>
    <w:p>
      <w:pPr>
        <w:pStyle w:val="19"/>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6"/>
          <w:szCs w:val="36"/>
          <w14:textFill>
            <w14:solidFill>
              <w14:schemeClr w14:val="tx1"/>
            </w14:solidFill>
          </w14:textFill>
        </w:rPr>
        <w:br w:type="page"/>
      </w:r>
      <w:r>
        <w:rPr>
          <w:rFonts w:ascii="Times New Roman" w:hAnsi="Times New Roman" w:eastAsia="黑体"/>
          <w:snapToGrid w:val="0"/>
          <w:color w:val="000000" w:themeColor="text1"/>
          <w:sz w:val="30"/>
          <w:szCs w:val="30"/>
          <w14:textFill>
            <w14:solidFill>
              <w14:schemeClr w14:val="tx1"/>
            </w14:solidFill>
          </w14:textFill>
        </w:rPr>
        <w:t>四、主要环境影响和保护措施</w:t>
      </w:r>
    </w:p>
    <w:tbl>
      <w:tblPr>
        <w:tblStyle w:val="23"/>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6"/>
        <w:gridCol w:w="84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496" w:type="dxa"/>
            <w:noWrap w:val="0"/>
            <w:tcMar>
              <w:left w:w="28" w:type="dxa"/>
              <w:right w:w="28" w:type="dxa"/>
            </w:tcMar>
            <w:vAlign w:val="center"/>
          </w:tcPr>
          <w:p>
            <w:pPr>
              <w:pStyle w:val="19"/>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施工</w:t>
            </w:r>
          </w:p>
          <w:p>
            <w:pPr>
              <w:pStyle w:val="19"/>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期环</w:t>
            </w:r>
          </w:p>
          <w:p>
            <w:pPr>
              <w:pStyle w:val="19"/>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境保</w:t>
            </w:r>
          </w:p>
          <w:p>
            <w:pPr>
              <w:pStyle w:val="19"/>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护措</w:t>
            </w:r>
          </w:p>
          <w:p>
            <w:pPr>
              <w:pStyle w:val="19"/>
              <w:adjustRightInd w:val="0"/>
              <w:snapToGrid w:val="0"/>
              <w:spacing w:before="0" w:beforeAutospacing="0" w:after="0" w:afterAutospacing="0"/>
              <w:jc w:val="center"/>
              <w:rPr>
                <w:rFonts w:ascii="Times New Roman" w:hAnsi="Times New Roman"/>
                <w:bCs/>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施</w:t>
            </w:r>
          </w:p>
        </w:tc>
        <w:tc>
          <w:tcPr>
            <w:tcW w:w="8485" w:type="dxa"/>
            <w:noWrap w:val="0"/>
            <w:vAlign w:val="center"/>
          </w:tcPr>
          <w:p>
            <w:pPr>
              <w:spacing w:line="360" w:lineRule="auto"/>
              <w:textAlignment w:val="baseline"/>
              <w:rPr>
                <w:b/>
                <w:color w:val="000000" w:themeColor="text1"/>
                <w:spacing w:val="8"/>
                <w:sz w:val="24"/>
                <w14:textFill>
                  <w14:solidFill>
                    <w14:schemeClr w14:val="tx1"/>
                  </w14:solidFill>
                </w14:textFill>
              </w:rPr>
            </w:pPr>
            <w:r>
              <w:rPr>
                <w:b/>
                <w:color w:val="000000" w:themeColor="text1"/>
                <w:spacing w:val="8"/>
                <w:sz w:val="24"/>
                <w14:textFill>
                  <w14:solidFill>
                    <w14:schemeClr w14:val="tx1"/>
                  </w14:solidFill>
                </w14:textFill>
              </w:rPr>
              <w:t>1、大气污染源</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施工期的主要污染因素有施工扬尘、施工人员生活污水、机械施工噪声及生态破坏等。</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1</w:t>
            </w:r>
            <w:r>
              <w:rPr>
                <w:rFonts w:hint="eastAsia"/>
                <w:color w:val="000000" w:themeColor="text1"/>
                <w:sz w:val="24"/>
                <w:u w:val="single"/>
                <w14:textFill>
                  <w14:solidFill>
                    <w14:schemeClr w14:val="tx1"/>
                  </w14:solidFill>
                </w14:textFill>
              </w:rPr>
              <w:t>、废气污染防治措施</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为达到《岳阳市扬尘污染防治条例》的相关要求，同时，也为了减少施工扬尘对周边敏感点的影响，项目施工期扬尘的防治可采取如下措施：</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1</w:t>
            </w:r>
            <w:r>
              <w:rPr>
                <w:rFonts w:hint="eastAsia"/>
                <w:color w:val="000000" w:themeColor="text1"/>
                <w:sz w:val="24"/>
                <w:u w:val="single"/>
                <w14:textFill>
                  <w14:solidFill>
                    <w14:schemeClr w14:val="tx1"/>
                  </w14:solidFill>
                </w14:textFill>
              </w:rPr>
              <w:t>）工程施工过程中应采取具体措施如下：</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①及时硬化进场施工道路路面，定期在施工现场地面和道路上洒水，以减少施工扬尘的产生。</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②施工工地周围设围墙，高度不低于</w:t>
            </w:r>
            <w:r>
              <w:rPr>
                <w:color w:val="000000" w:themeColor="text1"/>
                <w:sz w:val="24"/>
                <w:u w:val="single"/>
                <w14:textFill>
                  <w14:solidFill>
                    <w14:schemeClr w14:val="tx1"/>
                  </w14:solidFill>
                </w14:textFill>
              </w:rPr>
              <w:t>2.5m</w:t>
            </w:r>
            <w:r>
              <w:rPr>
                <w:rFonts w:hint="eastAsia"/>
                <w:color w:val="000000" w:themeColor="text1"/>
                <w:sz w:val="24"/>
                <w:u w:val="single"/>
                <w14:textFill>
                  <w14:solidFill>
                    <w14:schemeClr w14:val="tx1"/>
                  </w14:solidFill>
                </w14:textFill>
              </w:rPr>
              <w:t>，围墙在三通一平前完成。</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③各单体建筑物四周</w:t>
            </w:r>
            <w:r>
              <w:rPr>
                <w:color w:val="000000" w:themeColor="text1"/>
                <w:sz w:val="24"/>
                <w:u w:val="single"/>
                <w14:textFill>
                  <w14:solidFill>
                    <w14:schemeClr w14:val="tx1"/>
                  </w14:solidFill>
                </w14:textFill>
              </w:rPr>
              <w:t>1.5m</w:t>
            </w:r>
            <w:r>
              <w:rPr>
                <w:rFonts w:hint="eastAsia"/>
                <w:color w:val="000000" w:themeColor="text1"/>
                <w:sz w:val="24"/>
                <w:u w:val="single"/>
                <w14:textFill>
                  <w14:solidFill>
                    <w14:schemeClr w14:val="tx1"/>
                  </w14:solidFill>
                </w14:textFill>
              </w:rPr>
              <w:t>外全部设置防尘网，密度不低于</w:t>
            </w:r>
            <w:r>
              <w:rPr>
                <w:color w:val="000000" w:themeColor="text1"/>
                <w:sz w:val="24"/>
                <w:u w:val="single"/>
                <w14:textFill>
                  <w14:solidFill>
                    <w14:schemeClr w14:val="tx1"/>
                  </w14:solidFill>
                </w14:textFill>
              </w:rPr>
              <w:t>2000</w:t>
            </w:r>
            <w:r>
              <w:rPr>
                <w:rFonts w:hint="eastAsia"/>
                <w:color w:val="000000" w:themeColor="text1"/>
                <w:sz w:val="24"/>
                <w:u w:val="single"/>
                <w14:textFill>
                  <w14:solidFill>
                    <w14:schemeClr w14:val="tx1"/>
                  </w14:solidFill>
                </w14:textFill>
              </w:rPr>
              <w:t>目</w:t>
            </w:r>
            <w:r>
              <w:rPr>
                <w:color w:val="000000" w:themeColor="text1"/>
                <w:sz w:val="24"/>
                <w:u w:val="single"/>
                <w14:textFill>
                  <w14:solidFill>
                    <w14:schemeClr w14:val="tx1"/>
                  </w14:solidFill>
                </w14:textFill>
              </w:rPr>
              <w:t>/100</w:t>
            </w:r>
            <w:r>
              <w:rPr>
                <w:rFonts w:hint="eastAsia"/>
                <w:color w:val="000000" w:themeColor="text1"/>
                <w:sz w:val="24"/>
                <w:u w:val="single"/>
                <w14:textFill>
                  <w14:solidFill>
                    <w14:schemeClr w14:val="tx1"/>
                  </w14:solidFill>
                </w14:textFill>
              </w:rPr>
              <w:t>平方厘米，防尘网先安装后施工，防尘网顶端高出施工作业面</w:t>
            </w:r>
            <w:r>
              <w:rPr>
                <w:color w:val="000000" w:themeColor="text1"/>
                <w:sz w:val="24"/>
                <w:u w:val="single"/>
                <w14:textFill>
                  <w14:solidFill>
                    <w14:schemeClr w14:val="tx1"/>
                  </w14:solidFill>
                </w14:textFill>
              </w:rPr>
              <w:t>2m</w:t>
            </w:r>
            <w:r>
              <w:rPr>
                <w:rFonts w:hint="eastAsia"/>
                <w:color w:val="000000" w:themeColor="text1"/>
                <w:sz w:val="24"/>
                <w:u w:val="single"/>
                <w14:textFill>
                  <w14:solidFill>
                    <w14:schemeClr w14:val="tx1"/>
                  </w14:solidFill>
                </w14:textFill>
              </w:rPr>
              <w:t>以上。</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④在施工期间，应根据不同空气污染指数范围和大风、高温、干燥、晴天、雨天等各种不同气象条件要求，建立保洁制度，包括洒水、清扫方式、频次等。当空气质量轻微污染（污染指数大于</w:t>
            </w:r>
            <w:r>
              <w:rPr>
                <w:color w:val="000000" w:themeColor="text1"/>
                <w:sz w:val="24"/>
                <w:u w:val="single"/>
                <w14:textFill>
                  <w14:solidFill>
                    <w14:schemeClr w14:val="tx1"/>
                  </w14:solidFill>
                </w14:textFill>
              </w:rPr>
              <w:t>100</w:t>
            </w:r>
            <w:r>
              <w:rPr>
                <w:rFonts w:hint="eastAsia"/>
                <w:color w:val="000000" w:themeColor="text1"/>
                <w:sz w:val="24"/>
                <w:u w:val="single"/>
                <w14:textFill>
                  <w14:solidFill>
                    <w14:schemeClr w14:val="tx1"/>
                  </w14:solidFill>
                </w14:textFill>
              </w:rPr>
              <w:t>）或</w:t>
            </w:r>
            <w:r>
              <w:rPr>
                <w:color w:val="000000" w:themeColor="text1"/>
                <w:sz w:val="24"/>
                <w:u w:val="single"/>
                <w14:textFill>
                  <w14:solidFill>
                    <w14:schemeClr w14:val="tx1"/>
                  </w14:solidFill>
                </w14:textFill>
              </w:rPr>
              <w:t>4</w:t>
            </w:r>
            <w:r>
              <w:rPr>
                <w:rFonts w:hint="eastAsia"/>
                <w:color w:val="000000" w:themeColor="text1"/>
                <w:sz w:val="24"/>
                <w:u w:val="single"/>
                <w14:textFill>
                  <w14:solidFill>
                    <w14:schemeClr w14:val="tx1"/>
                  </w14:solidFill>
                </w14:textFill>
              </w:rPr>
              <w:t>级以上大风干燥天气不许土方作业和人工干扫。在空气质量良好（污染指数</w:t>
            </w:r>
            <w:r>
              <w:rPr>
                <w:color w:val="000000" w:themeColor="text1"/>
                <w:sz w:val="24"/>
                <w:u w:val="single"/>
                <w14:textFill>
                  <w14:solidFill>
                    <w14:schemeClr w14:val="tx1"/>
                  </w14:solidFill>
                </w14:textFill>
              </w:rPr>
              <w:t>80~100</w:t>
            </w:r>
            <w:r>
              <w:rPr>
                <w:rFonts w:hint="eastAsia"/>
                <w:color w:val="000000" w:themeColor="text1"/>
                <w:sz w:val="24"/>
                <w:u w:val="single"/>
                <w14:textFill>
                  <w14:solidFill>
                    <w14:schemeClr w14:val="tx1"/>
                  </w14:solidFill>
                </w14:textFill>
              </w:rPr>
              <w:t>）时，应每隔</w:t>
            </w:r>
            <w:r>
              <w:rPr>
                <w:color w:val="000000" w:themeColor="text1"/>
                <w:sz w:val="24"/>
                <w:u w:val="single"/>
                <w14:textFill>
                  <w14:solidFill>
                    <w14:schemeClr w14:val="tx1"/>
                  </w14:solidFill>
                </w14:textFill>
              </w:rPr>
              <w:t>4</w:t>
            </w:r>
            <w:r>
              <w:rPr>
                <w:rFonts w:hint="eastAsia"/>
                <w:color w:val="000000" w:themeColor="text1"/>
                <w:sz w:val="24"/>
                <w:u w:val="single"/>
                <w14:textFill>
                  <w14:solidFill>
                    <w14:schemeClr w14:val="tx1"/>
                  </w14:solidFill>
                </w14:textFill>
              </w:rPr>
              <w:t>小时保洁一次，洒水与清扫交替使用。当空气质量轻微污染（污染指数大于</w:t>
            </w:r>
            <w:r>
              <w:rPr>
                <w:color w:val="000000" w:themeColor="text1"/>
                <w:sz w:val="24"/>
                <w:u w:val="single"/>
                <w14:textFill>
                  <w14:solidFill>
                    <w14:schemeClr w14:val="tx1"/>
                  </w14:solidFill>
                </w14:textFill>
              </w:rPr>
              <w:t>100</w:t>
            </w:r>
            <w:r>
              <w:rPr>
                <w:rFonts w:hint="eastAsia"/>
                <w:color w:val="000000" w:themeColor="text1"/>
                <w:sz w:val="24"/>
                <w:u w:val="single"/>
                <w14:textFill>
                  <w14:solidFill>
                    <w14:schemeClr w14:val="tx1"/>
                  </w14:solidFill>
                </w14:textFill>
              </w:rPr>
              <w:t>）时，应加密保洁。当空气质量优良（污染指数低于</w:t>
            </w:r>
            <w:r>
              <w:rPr>
                <w:color w:val="000000" w:themeColor="text1"/>
                <w:sz w:val="24"/>
                <w:u w:val="single"/>
                <w14:textFill>
                  <w14:solidFill>
                    <w14:schemeClr w14:val="tx1"/>
                  </w14:solidFill>
                </w14:textFill>
              </w:rPr>
              <w:t>50</w:t>
            </w:r>
            <w:r>
              <w:rPr>
                <w:rFonts w:hint="eastAsia"/>
                <w:color w:val="000000" w:themeColor="text1"/>
                <w:sz w:val="24"/>
                <w:u w:val="single"/>
                <w14:textFill>
                  <w14:solidFill>
                    <w14:schemeClr w14:val="tx1"/>
                  </w14:solidFill>
                </w14:textFill>
              </w:rPr>
              <w:t>）时，可以在保持清洁的前提下适度降低保洁强度。</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⑤渣料运输必须采用专用的密封运输车，施工现场应设置车辆冲洗装置。</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⑥对于粉状物料的运输和堆放，必须采取遮盖措施，防止因风吹而引起扬尘。</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⑦施工单位应采用尾气排放符合国家规定标准的车辆和施工机械，确保其在运行时尾气达标排放，减少对环境空气的污染。禁止尾气排放不达标的车辆和施工机械运行作业</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2</w:t>
            </w:r>
            <w:r>
              <w:rPr>
                <w:rFonts w:hint="eastAsia"/>
                <w:color w:val="000000" w:themeColor="text1"/>
                <w:sz w:val="24"/>
                <w:u w:val="single"/>
                <w14:textFill>
                  <w14:solidFill>
                    <w14:schemeClr w14:val="tx1"/>
                  </w14:solidFill>
                </w14:textFill>
              </w:rPr>
              <w:t>）合理安排施工计划，根据平面布局，可以对项目局部提前进行绿化，改善生态景观的同时，也可以减轻扬尘、噪声对环境的影响。</w:t>
            </w:r>
          </w:p>
          <w:p>
            <w:pPr>
              <w:widowControl/>
              <w:spacing w:line="360" w:lineRule="auto"/>
              <w:ind w:firstLine="480" w:firstLineChars="200"/>
              <w:jc w:val="left"/>
              <w:rPr>
                <w:rFonts w:hint="eastAsia"/>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3</w:t>
            </w:r>
            <w:r>
              <w:rPr>
                <w:rFonts w:hint="eastAsia"/>
                <w:color w:val="000000" w:themeColor="text1"/>
                <w:sz w:val="24"/>
                <w:u w:val="single"/>
                <w14:textFill>
                  <w14:solidFill>
                    <w14:schemeClr w14:val="tx1"/>
                  </w14:solidFill>
                </w14:textFill>
              </w:rPr>
              <w:t>）施工结束时，及时对施工占用场地恢复道路或植被。采取上述措施后，施工期的粉尘对周边居民的影响较小。</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其他施工废气防治措施：</w:t>
            </w:r>
          </w:p>
          <w:p>
            <w:pPr>
              <w:widowControl/>
              <w:spacing w:line="360" w:lineRule="auto"/>
              <w:ind w:firstLine="480" w:firstLineChars="200"/>
              <w:jc w:val="left"/>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①必须使用污染物排放符合国家标准的施工机械、运输车辆，加强施工机械、车辆的维护保养，使车辆处于良好的工作状态。</w:t>
            </w:r>
          </w:p>
          <w:p>
            <w:pPr>
              <w:widowControl/>
              <w:spacing w:line="360" w:lineRule="auto"/>
              <w:ind w:firstLine="480" w:firstLineChars="200"/>
              <w:jc w:val="left"/>
              <w:rPr>
                <w:color w:val="000000" w:themeColor="text1"/>
                <w:kern w:val="0"/>
                <w:sz w:val="24"/>
                <w:u w:val="single"/>
                <w14:textFill>
                  <w14:solidFill>
                    <w14:schemeClr w14:val="tx1"/>
                  </w14:solidFill>
                </w14:textFill>
              </w:rPr>
            </w:pPr>
            <w:r>
              <w:rPr>
                <w:rFonts w:hint="eastAsia"/>
                <w:color w:val="000000" w:themeColor="text1"/>
                <w:sz w:val="24"/>
                <w:u w:val="single"/>
                <w14:textFill>
                  <w14:solidFill>
                    <w14:schemeClr w14:val="tx1"/>
                  </w14:solidFill>
                </w14:textFill>
              </w:rPr>
              <w:t>②施工过程中，应禁止燃烧废弃的建筑材料。综上所述，只要加强管理、切实落实好上述相应措施，施工场地扬尘对周围大气环境的影响将会大大降低，同时其对环境的影响也将随施工的结束而消失。因此，项目施工期的大气污染防治措施是可行的。</w:t>
            </w:r>
          </w:p>
          <w:p>
            <w:pPr>
              <w:spacing w:line="360" w:lineRule="auto"/>
              <w:textAlignment w:val="baseline"/>
              <w:rPr>
                <w:b/>
                <w:color w:val="000000" w:themeColor="text1"/>
                <w:spacing w:val="8"/>
                <w:sz w:val="24"/>
                <w:u w:val="single"/>
                <w14:textFill>
                  <w14:solidFill>
                    <w14:schemeClr w14:val="tx1"/>
                  </w14:solidFill>
                </w14:textFill>
              </w:rPr>
            </w:pPr>
            <w:bookmarkStart w:id="18" w:name="_GoBack"/>
            <w:bookmarkEnd w:id="18"/>
            <w:r>
              <w:rPr>
                <w:b/>
                <w:color w:val="000000" w:themeColor="text1"/>
                <w:spacing w:val="8"/>
                <w:sz w:val="24"/>
                <w:u w:val="single"/>
                <w14:textFill>
                  <w14:solidFill>
                    <w14:schemeClr w14:val="tx1"/>
                  </w14:solidFill>
                </w14:textFill>
              </w:rPr>
              <w:t>2、 水污染源</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本项目施工期产生的废水主要为施工人员的生活污水和施工场地产生的施工废水。</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施工废水主要为进出施工场地的运输车辆和工具清洗水、建筑施工废水，以及雨水冲刷新增用地区域施工场地内裸露表土产生的含泥沙废水。类比相关同类项目，施工废水产生量约0.5m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/d，水中污染因子主要为SS、石油类，浓度分别约为500mg/L、20mg/L，经沉淀处理后其浓度分别为50mg/L和10mg/L，施工废水经三级沉淀处理后回用于施工场地洒水抑尘或车辆清洗，不直接外排。</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施工期预计为6个月，日均施工人员约50人，施工人员生活用水量按平均每天80L/人计，则生活用水量为4.0m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/d。生活污水的排放量按用水量的80%计算，则生活污水的排放量为3.2m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/d，施工期生活污水总排放量为576m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，主要污染因子为COD、BOD</w:t>
            </w:r>
            <w:r>
              <w:rPr>
                <w:color w:val="000000" w:themeColor="text1"/>
                <w:sz w:val="24"/>
                <w:u w:val="single"/>
                <w:vertAlign w:val="subscript"/>
                <w14:textFill>
                  <w14:solidFill>
                    <w14:schemeClr w14:val="tx1"/>
                  </w14:solidFill>
                </w14:textFill>
              </w:rPr>
              <w:t>5</w:t>
            </w:r>
            <w:r>
              <w:rPr>
                <w:color w:val="000000" w:themeColor="text1"/>
                <w:sz w:val="24"/>
                <w:u w:val="single"/>
                <w14:textFill>
                  <w14:solidFill>
                    <w14:schemeClr w14:val="tx1"/>
                  </w14:solidFill>
                </w14:textFill>
              </w:rPr>
              <w:t>和SS、动植物油等，经隔油化粪池处理达标后排放至市政污水管网，最终进湘阴县第三污水处理厂深度处理。</w:t>
            </w:r>
          </w:p>
          <w:p>
            <w:pPr>
              <w:spacing w:line="360" w:lineRule="auto"/>
              <w:textAlignment w:val="baseline"/>
              <w:rPr>
                <w:b/>
                <w:color w:val="000000" w:themeColor="text1"/>
                <w:spacing w:val="8"/>
                <w:sz w:val="24"/>
                <w:u w:val="single"/>
                <w14:textFill>
                  <w14:solidFill>
                    <w14:schemeClr w14:val="tx1"/>
                  </w14:solidFill>
                </w14:textFill>
              </w:rPr>
            </w:pPr>
            <w:r>
              <w:rPr>
                <w:b/>
                <w:color w:val="000000" w:themeColor="text1"/>
                <w:spacing w:val="8"/>
                <w:sz w:val="24"/>
                <w:u w:val="single"/>
                <w14:textFill>
                  <w14:solidFill>
                    <w14:schemeClr w14:val="tx1"/>
                  </w14:solidFill>
                </w14:textFill>
              </w:rPr>
              <w:t>3、噪声污染源</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施工期噪声主要来自建筑施工、装修过程。施工期的噪声设备主要有推土机、挖掘机、振捣机、搅拌机、切割机、电焊机、运输车辆等，其噪声值在70～85dB（A）之间，可能对项目附近活动人员造成一定的影响。建设期间产生的噪声具有阶段性、临时性和不固定性。</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根据本工程的特点，施工期间的主要噪声源及源强见表4-1。</w:t>
            </w:r>
          </w:p>
          <w:p>
            <w:pPr>
              <w:widowControl/>
              <w:ind w:firstLine="482" w:firstLineChars="200"/>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表4-1   施工期主要施工机械设备噪声源强一览表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1675"/>
              <w:gridCol w:w="1675"/>
              <w:gridCol w:w="1739"/>
              <w:gridCol w:w="1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blHeader/>
                <w:jc w:val="center"/>
              </w:trPr>
              <w:tc>
                <w:tcPr>
                  <w:tcW w:w="1642" w:type="dxa"/>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1932" w:type="dxa"/>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施工机械设备</w:t>
                  </w:r>
                </w:p>
              </w:tc>
              <w:tc>
                <w:tcPr>
                  <w:tcW w:w="1932" w:type="dxa"/>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声源性质</w:t>
                  </w:r>
                </w:p>
              </w:tc>
              <w:tc>
                <w:tcPr>
                  <w:tcW w:w="1932" w:type="dxa"/>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测距（m）</w:t>
                  </w:r>
                </w:p>
              </w:tc>
              <w:tc>
                <w:tcPr>
                  <w:tcW w:w="1932" w:type="dxa"/>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1</w:t>
                  </w:r>
                </w:p>
              </w:tc>
              <w:tc>
                <w:tcPr>
                  <w:tcW w:w="1932" w:type="dxa"/>
                  <w:noWrap w:val="0"/>
                  <w:vAlign w:val="center"/>
                </w:tcPr>
                <w:p>
                  <w:pPr>
                    <w:jc w:val="center"/>
                    <w:rPr>
                      <w:color w:val="000000" w:themeColor="text1"/>
                      <w:szCs w:val="21"/>
                      <w:u w:val="single"/>
                      <w14:textFill>
                        <w14:solidFill>
                          <w14:schemeClr w14:val="tx1"/>
                        </w14:solidFill>
                      </w14:textFill>
                    </w:rPr>
                  </w:pPr>
                  <w:r>
                    <w:rPr>
                      <w:color w:val="000000" w:themeColor="text1"/>
                      <w:kern w:val="0"/>
                      <w:szCs w:val="21"/>
                      <w:u w:val="single"/>
                      <w14:textFill>
                        <w14:solidFill>
                          <w14:schemeClr w14:val="tx1"/>
                        </w14:solidFill>
                      </w14:textFill>
                    </w:rPr>
                    <w:t>推土机</w:t>
                  </w:r>
                </w:p>
              </w:tc>
              <w:tc>
                <w:tcPr>
                  <w:tcW w:w="1932" w:type="dxa"/>
                  <w:noWrap w:val="0"/>
                  <w:vAlign w:val="center"/>
                </w:tcPr>
                <w:p>
                  <w:pPr>
                    <w:autoSpaceDE w:val="0"/>
                    <w:autoSpaceDN w:val="0"/>
                    <w:adjustRightIn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2</w:t>
                  </w:r>
                </w:p>
              </w:tc>
              <w:tc>
                <w:tcPr>
                  <w:tcW w:w="1932" w:type="dxa"/>
                  <w:noWrap w:val="0"/>
                  <w:vAlign w:val="center"/>
                </w:tcPr>
                <w:p>
                  <w:pPr>
                    <w:autoSpaceDE w:val="0"/>
                    <w:autoSpaceDN w:val="0"/>
                    <w:adjustRightIn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挖掘机</w:t>
                  </w:r>
                </w:p>
              </w:tc>
              <w:tc>
                <w:tcPr>
                  <w:tcW w:w="1932" w:type="dxa"/>
                  <w:noWrap w:val="0"/>
                  <w:vAlign w:val="center"/>
                </w:tcPr>
                <w:p>
                  <w:pPr>
                    <w:autoSpaceDE w:val="0"/>
                    <w:autoSpaceDN w:val="0"/>
                    <w:adjustRightIn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3</w:t>
                  </w:r>
                </w:p>
              </w:tc>
              <w:tc>
                <w:tcPr>
                  <w:tcW w:w="1932" w:type="dxa"/>
                  <w:noWrap w:val="0"/>
                  <w:vAlign w:val="center"/>
                </w:tcPr>
                <w:p>
                  <w:pPr>
                    <w:autoSpaceDE w:val="0"/>
                    <w:autoSpaceDN w:val="0"/>
                    <w:adjustRightIn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振捣机</w:t>
                  </w:r>
                </w:p>
              </w:tc>
              <w:tc>
                <w:tcPr>
                  <w:tcW w:w="1932" w:type="dxa"/>
                  <w:noWrap w:val="0"/>
                  <w:vAlign w:val="center"/>
                </w:tcPr>
                <w:p>
                  <w:pPr>
                    <w:autoSpaceDE w:val="0"/>
                    <w:autoSpaceDN w:val="0"/>
                    <w:adjustRightIn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4</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搅拌机</w:t>
                  </w:r>
                </w:p>
              </w:tc>
              <w:tc>
                <w:tcPr>
                  <w:tcW w:w="1932" w:type="dxa"/>
                  <w:noWrap w:val="0"/>
                  <w:vAlign w:val="center"/>
                </w:tcPr>
                <w:p>
                  <w:pPr>
                    <w:autoSpaceDE w:val="0"/>
                    <w:autoSpaceDN w:val="0"/>
                    <w:adjustRightIn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切割机</w:t>
                  </w:r>
                </w:p>
              </w:tc>
              <w:tc>
                <w:tcPr>
                  <w:tcW w:w="1932" w:type="dxa"/>
                  <w:noWrap w:val="0"/>
                  <w:vAlign w:val="center"/>
                </w:tcPr>
                <w:p>
                  <w:pPr>
                    <w:autoSpaceDE w:val="0"/>
                    <w:autoSpaceDN w:val="0"/>
                    <w:adjustRightIn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6</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电焊机</w:t>
                  </w:r>
                </w:p>
              </w:tc>
              <w:tc>
                <w:tcPr>
                  <w:tcW w:w="1932" w:type="dxa"/>
                  <w:noWrap w:val="0"/>
                  <w:vAlign w:val="center"/>
                </w:tcPr>
                <w:p>
                  <w:pPr>
                    <w:autoSpaceDE w:val="0"/>
                    <w:autoSpaceDN w:val="0"/>
                    <w:adjustRightIn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7</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运输车辆</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间断</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5</w:t>
                  </w:r>
                </w:p>
              </w:tc>
              <w:tc>
                <w:tcPr>
                  <w:tcW w:w="1932" w:type="dxa"/>
                  <w:noWrap w:val="0"/>
                  <w:vAlign w:val="center"/>
                </w:tcPr>
                <w:p>
                  <w:pPr>
                    <w:pStyle w:val="72"/>
                    <w:spacing w:line="240" w:lineRule="auto"/>
                    <w:rPr>
                      <w:rFonts w:ascii="Times New Roman"/>
                      <w:color w:val="000000" w:themeColor="text1"/>
                      <w:u w:val="single"/>
                      <w14:textFill>
                        <w14:solidFill>
                          <w14:schemeClr w14:val="tx1"/>
                        </w14:solidFill>
                      </w14:textFill>
                    </w:rPr>
                  </w:pPr>
                  <w:r>
                    <w:rPr>
                      <w:rFonts w:ascii="Times New Roman"/>
                      <w:color w:val="000000" w:themeColor="text1"/>
                      <w:u w:val="single"/>
                      <w14:textFill>
                        <w14:solidFill>
                          <w14:schemeClr w14:val="tx1"/>
                        </w14:solidFill>
                      </w14:textFill>
                    </w:rPr>
                    <w:t>80</w:t>
                  </w:r>
                </w:p>
              </w:tc>
            </w:tr>
          </w:tbl>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为减少施工噪声的影响，施工期建设单位应采取相应的噪声防治措施，降低对区域声环境的影响。</w:t>
            </w:r>
          </w:p>
          <w:p>
            <w:pPr>
              <w:spacing w:line="360" w:lineRule="auto"/>
              <w:textAlignment w:val="baseline"/>
              <w:rPr>
                <w:b/>
                <w:color w:val="000000" w:themeColor="text1"/>
                <w:spacing w:val="8"/>
                <w:sz w:val="24"/>
                <w:u w:val="single"/>
                <w14:textFill>
                  <w14:solidFill>
                    <w14:schemeClr w14:val="tx1"/>
                  </w14:solidFill>
                </w14:textFill>
              </w:rPr>
            </w:pPr>
            <w:r>
              <w:rPr>
                <w:b/>
                <w:color w:val="000000" w:themeColor="text1"/>
                <w:spacing w:val="8"/>
                <w:sz w:val="24"/>
                <w:u w:val="single"/>
                <w14:textFill>
                  <w14:solidFill>
                    <w14:schemeClr w14:val="tx1"/>
                  </w14:solidFill>
                </w14:textFill>
              </w:rPr>
              <w:t>4、固体废弃物污染源</w:t>
            </w:r>
          </w:p>
          <w:p>
            <w:pPr>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本项目施工期产生的固体废物主要为施工人员产生的生活垃圾、施工产生的建筑垃圾和废料等。</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（1）施工人员生活垃圾</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项目施工人员产生的生活垃圾产生量按每人0.5kg/d计，施工人数按平均50人计划，施工天数按6个月计，则生活垃圾产生量为4.5t。项目施工过程中产生的生活垃圾经集中收集后由当地环卫部门统一负责清运处置。</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（2）施工建筑垃圾废料</w:t>
            </w:r>
          </w:p>
          <w:p>
            <w:pPr>
              <w:tabs>
                <w:tab w:val="left" w:pos="6676"/>
              </w:tabs>
              <w:spacing w:line="360" w:lineRule="auto"/>
              <w:ind w:firstLine="480" w:firstLineChars="200"/>
              <w:jc w:val="left"/>
              <w:rPr>
                <w:color w:val="000000" w:themeColor="text1"/>
                <w:kern w:val="0"/>
                <w:sz w:val="24"/>
                <w:u w:val="single"/>
                <w14:textFill>
                  <w14:solidFill>
                    <w14:schemeClr w14:val="tx1"/>
                  </w14:solidFill>
                </w14:textFill>
              </w:rPr>
            </w:pPr>
            <w:r>
              <w:rPr>
                <w:color w:val="000000" w:themeColor="text1"/>
                <w:sz w:val="24"/>
                <w:u w:val="single"/>
                <w:lang w:val="en-GB"/>
                <w14:textFill>
                  <w14:solidFill>
                    <w14:schemeClr w14:val="tx1"/>
                  </w14:solidFill>
                </w14:textFill>
              </w:rPr>
              <w:t>施工</w:t>
            </w:r>
            <w:r>
              <w:rPr>
                <w:color w:val="000000" w:themeColor="text1"/>
                <w:sz w:val="24"/>
                <w:u w:val="single"/>
                <w14:textFill>
                  <w14:solidFill>
                    <w14:schemeClr w14:val="tx1"/>
                  </w14:solidFill>
                </w14:textFill>
              </w:rPr>
              <w:t>建筑垃圾废</w:t>
            </w:r>
            <w:r>
              <w:rPr>
                <w:color w:val="000000" w:themeColor="text1"/>
                <w:sz w:val="24"/>
                <w:u w:val="single"/>
                <w:lang w:val="en-GB"/>
                <w14:textFill>
                  <w14:solidFill>
                    <w14:schemeClr w14:val="tx1"/>
                  </w14:solidFill>
                </w14:textFill>
              </w:rPr>
              <w:t>料主要包括</w:t>
            </w:r>
            <w:r>
              <w:rPr>
                <w:color w:val="000000" w:themeColor="text1"/>
                <w:kern w:val="0"/>
                <w:sz w:val="24"/>
                <w:u w:val="single"/>
                <w14:textFill>
                  <w14:solidFill>
                    <w14:schemeClr w14:val="tx1"/>
                  </w14:solidFill>
                </w14:textFill>
              </w:rPr>
              <w:t>施工过程中产生的废包装材料、废混凝土等。根据类比调查，一般工厂建筑物每100m</w:t>
            </w:r>
            <w:r>
              <w:rPr>
                <w:color w:val="000000" w:themeColor="text1"/>
                <w:kern w:val="0"/>
                <w:sz w:val="24"/>
                <w:u w:val="single"/>
                <w:vertAlign w:val="superscript"/>
                <w14:textFill>
                  <w14:solidFill>
                    <w14:schemeClr w14:val="tx1"/>
                  </w14:solidFill>
                </w14:textFill>
              </w:rPr>
              <w:t>2</w:t>
            </w:r>
            <w:r>
              <w:rPr>
                <w:color w:val="000000" w:themeColor="text1"/>
                <w:kern w:val="0"/>
                <w:sz w:val="24"/>
                <w:u w:val="single"/>
                <w14:textFill>
                  <w14:solidFill>
                    <w14:schemeClr w14:val="tx1"/>
                  </w14:solidFill>
                </w14:textFill>
              </w:rPr>
              <w:t>建筑面积0.2t计，施工期工程建筑物总体建筑面积约</w:t>
            </w:r>
            <w:r>
              <w:rPr>
                <w:color w:val="000000" w:themeColor="text1"/>
                <w:sz w:val="24"/>
                <w:u w:val="single"/>
                <w14:textFill>
                  <w14:solidFill>
                    <w14:schemeClr w14:val="tx1"/>
                  </w14:solidFill>
                </w14:textFill>
              </w:rPr>
              <w:t>22125.96</w:t>
            </w:r>
            <w:r>
              <w:rPr>
                <w:color w:val="000000" w:themeColor="text1"/>
                <w:kern w:val="0"/>
                <w:sz w:val="24"/>
                <w:u w:val="single"/>
                <w14:textFill>
                  <w14:solidFill>
                    <w14:schemeClr w14:val="tx1"/>
                  </w14:solidFill>
                </w14:textFill>
              </w:rPr>
              <w:t>m</w:t>
            </w:r>
            <w:r>
              <w:rPr>
                <w:color w:val="000000" w:themeColor="text1"/>
                <w:kern w:val="0"/>
                <w:sz w:val="24"/>
                <w:u w:val="single"/>
                <w:vertAlign w:val="superscript"/>
                <w14:textFill>
                  <w14:solidFill>
                    <w14:schemeClr w14:val="tx1"/>
                  </w14:solidFill>
                </w14:textFill>
              </w:rPr>
              <w:t>2</w:t>
            </w:r>
            <w:r>
              <w:rPr>
                <w:color w:val="000000" w:themeColor="text1"/>
                <w:kern w:val="0"/>
                <w:sz w:val="24"/>
                <w:u w:val="single"/>
                <w14:textFill>
                  <w14:solidFill>
                    <w14:schemeClr w14:val="tx1"/>
                  </w14:solidFill>
                </w14:textFill>
              </w:rPr>
              <w:t>，本项目施工过程中产生的施工垃圾废料量约为44.25t。施工建筑废料收集后委托专业部门清运处置，不得随意丢弃外排。</w:t>
            </w:r>
          </w:p>
          <w:p>
            <w:pPr>
              <w:tabs>
                <w:tab w:val="left" w:pos="6676"/>
              </w:tabs>
              <w:spacing w:line="360" w:lineRule="auto"/>
              <w:ind w:firstLine="480" w:firstLineChars="200"/>
              <w:jc w:val="left"/>
              <w:rPr>
                <w:color w:val="000000" w:themeColor="text1"/>
                <w:sz w:val="24"/>
                <w:u w:val="single"/>
                <w:lang w:val="en-GB"/>
                <w14:textFill>
                  <w14:solidFill>
                    <w14:schemeClr w14:val="tx1"/>
                  </w14:solidFill>
                </w14:textFill>
              </w:rPr>
            </w:pPr>
            <w:r>
              <w:rPr>
                <w:color w:val="000000" w:themeColor="text1"/>
                <w:sz w:val="24"/>
                <w:u w:val="single"/>
                <w14:textFill>
                  <w14:solidFill>
                    <w14:schemeClr w14:val="tx1"/>
                  </w14:solidFill>
                </w14:textFill>
              </w:rPr>
              <w:t>施工机械产生故障将送往项目附近的各类机修企业委托修理，不在施工现场维修，几乎无废弃的零件和废矿物油产生。</w:t>
            </w:r>
          </w:p>
          <w:p>
            <w:pPr>
              <w:widowControl/>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（3）土石方工程</w:t>
            </w:r>
          </w:p>
          <w:p>
            <w:pPr>
              <w:widowControl/>
              <w:spacing w:line="360" w:lineRule="auto"/>
              <w:ind w:firstLine="480" w:firstLineChars="200"/>
              <w:jc w:val="left"/>
              <w:rPr>
                <w:bCs/>
                <w:color w:val="000000" w:themeColor="text1"/>
                <w:spacing w:val="-10"/>
                <w:szCs w:val="21"/>
                <w14:textFill>
                  <w14:solidFill>
                    <w14:schemeClr w14:val="tx1"/>
                  </w14:solidFill>
                </w14:textFill>
              </w:rPr>
            </w:pPr>
            <w:r>
              <w:rPr>
                <w:color w:val="000000" w:themeColor="text1"/>
                <w:sz w:val="24"/>
                <w:u w:val="single"/>
                <w14:textFill>
                  <w14:solidFill>
                    <w14:schemeClr w14:val="tx1"/>
                  </w14:solidFill>
                </w14:textFill>
              </w:rPr>
              <w:t>本项目选址地现状已基本平整，只是在建筑物地基开挖时会产生少量土石方，施工期土石方工程量较小。开挖土方在占地区域内临时堆放后，后期用于厂内道路路基回填和绿化工程用土垫高回用，土石方基本能做到内部平衡，无需外运渣土和外部取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496" w:type="dxa"/>
            <w:noWrap w:val="0"/>
            <w:tcMar>
              <w:left w:w="28" w:type="dxa"/>
              <w:right w:w="28" w:type="dxa"/>
            </w:tcMar>
            <w:vAlign w:val="center"/>
          </w:tcPr>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运营</w:t>
            </w:r>
          </w:p>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期环</w:t>
            </w:r>
          </w:p>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境影</w:t>
            </w:r>
          </w:p>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响和</w:t>
            </w:r>
          </w:p>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保护</w:t>
            </w:r>
          </w:p>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措施</w:t>
            </w:r>
          </w:p>
        </w:tc>
        <w:tc>
          <w:tcPr>
            <w:tcW w:w="8485" w:type="dxa"/>
            <w:noWrap w:val="0"/>
            <w:vAlign w:val="center"/>
          </w:tcPr>
          <w:p>
            <w:pPr>
              <w:spacing w:line="360" w:lineRule="auto"/>
              <w:ind w:firstLine="482" w:firstLineChars="200"/>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（1）废气污染源分析</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本项目运营期间产生的废气主要为金属机加工过程中产生的金属粉尘。金属粉尘：项目机床加工过程中，会产生少量金属粉尘，根据《第二次污染源普查 33金属制品业、34通用设备制造业、35专用设备制造业、36汽车制造业、37铁路、船舶、航空航天和其他运输设备制造业、431金属制品修理、432 通用设备修理、433专用设备修理、434铁路、船舶、航空航天等运输设备修理（不包括电镀工艺）行业系数手册》可知，等离子切割产污系数为1.1千克/吨-原料，打磨产污系数为2.19千克/吨-原料金属粉尘产生量以年用量的1%计，本项目原材料使用量为1600t/a，则切割金属粉尘产生量约为1.76‬t/a，打磨金属粉尘产生量约为3.504t/a，由于此类金属粉尘比重较大，自然沉降较快，影响范围主要为操作台附近，影响范围较小，以人工清扫方式收集处理。</w:t>
            </w:r>
          </w:p>
          <w:p>
            <w:pPr>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（2）废水污染源分析</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1、生产废水</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本项目在</w:t>
            </w:r>
            <w:r>
              <w:rPr>
                <w:rFonts w:hint="eastAsia"/>
                <w:color w:val="000000" w:themeColor="text1"/>
                <w:sz w:val="24"/>
                <w:u w:val="single"/>
                <w:lang w:val="en-US" w:eastAsia="zh-CN"/>
                <w14:textFill>
                  <w14:solidFill>
                    <w14:schemeClr w14:val="tx1"/>
                  </w14:solidFill>
                </w14:textFill>
              </w:rPr>
              <w:t>少量钢材需要进行清洗除油，</w:t>
            </w:r>
            <w:r>
              <w:rPr>
                <w:color w:val="000000" w:themeColor="text1"/>
                <w:sz w:val="24"/>
                <w:u w:val="single"/>
                <w14:textFill>
                  <w14:solidFill>
                    <w14:schemeClr w14:val="tx1"/>
                  </w14:solidFill>
                </w14:textFill>
              </w:rPr>
              <w:t>超声波清洗工序中清洗剂需要配水，配水比例 1:</w:t>
            </w:r>
            <w:r>
              <w:rPr>
                <w:rFonts w:hint="eastAsia"/>
                <w:color w:val="000000" w:themeColor="text1"/>
                <w:sz w:val="24"/>
                <w:u w:val="single"/>
                <w14:textFill>
                  <w14:solidFill>
                    <w14:schemeClr w14:val="tx1"/>
                  </w14:solidFill>
                </w14:textFill>
              </w:rPr>
              <w:t>2</w:t>
            </w:r>
            <w:r>
              <w:rPr>
                <w:color w:val="000000" w:themeColor="text1"/>
                <w:sz w:val="24"/>
                <w:u w:val="single"/>
                <w14:textFill>
                  <w14:solidFill>
                    <w14:schemeClr w14:val="tx1"/>
                  </w14:solidFill>
                </w14:textFill>
              </w:rPr>
              <w:t>0，清洗剂用量0.9t，所以本项目超声波清洗用水为</w:t>
            </w:r>
            <w:r>
              <w:rPr>
                <w:rFonts w:hint="eastAsia"/>
                <w:color w:val="000000" w:themeColor="text1"/>
                <w:sz w:val="24"/>
                <w:u w:val="single"/>
                <w14:textFill>
                  <w14:solidFill>
                    <w14:schemeClr w14:val="tx1"/>
                  </w14:solidFill>
                </w14:textFill>
              </w:rPr>
              <w:t>18</w:t>
            </w:r>
            <w:r>
              <w:rPr>
                <w:color w:val="000000" w:themeColor="text1"/>
                <w:sz w:val="24"/>
                <w:u w:val="single"/>
                <w14:textFill>
                  <w14:solidFill>
                    <w14:schemeClr w14:val="tx1"/>
                  </w14:solidFill>
                </w14:textFill>
              </w:rPr>
              <w:t>t/a，超声波清洗废水循环使用定期清理，损耗比例按80%计算，产生量约为</w:t>
            </w:r>
            <w:r>
              <w:rPr>
                <w:rFonts w:hint="eastAsia"/>
                <w:color w:val="000000" w:themeColor="text1"/>
                <w:sz w:val="24"/>
                <w:u w:val="single"/>
                <w14:textFill>
                  <w14:solidFill>
                    <w14:schemeClr w14:val="tx1"/>
                  </w14:solidFill>
                </w14:textFill>
              </w:rPr>
              <w:t>14.4t/a</w:t>
            </w:r>
            <w:r>
              <w:rPr>
                <w:color w:val="000000" w:themeColor="text1"/>
                <w:sz w:val="24"/>
                <w:u w:val="single"/>
                <w14:textFill>
                  <w14:solidFill>
                    <w14:schemeClr w14:val="tx1"/>
                  </w14:solidFill>
                </w14:textFill>
              </w:rPr>
              <w:t>；清洗废液作为危废交给有资质单位处理处置。</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2、生活污水</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项目职工人数为350人，年工作日300天（每天晚上安排一人值班，轮流倒班），职工耗水量按145L/人·天计，则项目建成后生活废水用水量为50.75t/d。废水量以0.8计，则废水产生量40.6t/d、12180t/a。类比同类污水水质，项目生活污水污染物产生量及排放量见下表。</w:t>
            </w:r>
          </w:p>
          <w:p>
            <w:pPr>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表4-2  项目生活污水污染物产生量及排放量一览表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262"/>
              <w:gridCol w:w="1346"/>
              <w:gridCol w:w="1179"/>
              <w:gridCol w:w="1201"/>
              <w:gridCol w:w="1346"/>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42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污水种类</w:t>
                  </w:r>
                </w:p>
              </w:tc>
              <w:tc>
                <w:tcPr>
                  <w:tcW w:w="76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污染物</w:t>
                  </w:r>
                </w:p>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名称</w:t>
                  </w:r>
                </w:p>
              </w:tc>
              <w:tc>
                <w:tcPr>
                  <w:tcW w:w="81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产生浓度（mg/l）</w:t>
                  </w:r>
                </w:p>
              </w:tc>
              <w:tc>
                <w:tcPr>
                  <w:tcW w:w="71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产生量（t/a）</w:t>
                  </w:r>
                </w:p>
              </w:tc>
              <w:tc>
                <w:tcPr>
                  <w:tcW w:w="72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削减量</w:t>
                  </w:r>
                </w:p>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（t/a）</w:t>
                  </w:r>
                </w:p>
              </w:tc>
              <w:tc>
                <w:tcPr>
                  <w:tcW w:w="81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排放浓度（mg/l）</w:t>
                  </w:r>
                </w:p>
              </w:tc>
              <w:tc>
                <w:tcPr>
                  <w:tcW w:w="73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排放量</w:t>
                  </w:r>
                </w:p>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426" w:type="pct"/>
                  <w:vMerge w:val="restar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生活污水</w:t>
                  </w:r>
                </w:p>
              </w:tc>
              <w:tc>
                <w:tcPr>
                  <w:tcW w:w="76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CODcr</w:t>
                  </w:r>
                </w:p>
              </w:tc>
              <w:tc>
                <w:tcPr>
                  <w:tcW w:w="81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350</w:t>
                  </w:r>
                </w:p>
              </w:tc>
              <w:tc>
                <w:tcPr>
                  <w:tcW w:w="71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4.263</w:t>
                  </w:r>
                </w:p>
              </w:tc>
              <w:tc>
                <w:tcPr>
                  <w:tcW w:w="727" w:type="pc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u w:val="single"/>
                      <w14:textFill>
                        <w14:solidFill>
                          <w14:schemeClr w14:val="tx1"/>
                        </w14:solidFill>
                      </w14:textFill>
                    </w:rPr>
                    <w:t>COD</w:t>
                  </w:r>
                </w:p>
              </w:tc>
              <w:tc>
                <w:tcPr>
                  <w:tcW w:w="815" w:type="pc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u w:val="single"/>
                      <w14:textFill>
                        <w14:solidFill>
                          <w14:schemeClr w14:val="tx1"/>
                        </w14:solidFill>
                      </w14:textFill>
                    </w:rPr>
                    <w:t>50</w:t>
                  </w:r>
                </w:p>
              </w:tc>
              <w:tc>
                <w:tcPr>
                  <w:tcW w:w="73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426" w:type="pct"/>
                  <w:vMerge w:val="continue"/>
                  <w:noWrap w:val="0"/>
                  <w:vAlign w:val="center"/>
                </w:tcPr>
                <w:p>
                  <w:pPr>
                    <w:jc w:val="center"/>
                    <w:rPr>
                      <w:color w:val="000000" w:themeColor="text1"/>
                      <w:szCs w:val="21"/>
                      <w:u w:val="single"/>
                      <w14:textFill>
                        <w14:solidFill>
                          <w14:schemeClr w14:val="tx1"/>
                        </w14:solidFill>
                      </w14:textFill>
                    </w:rPr>
                  </w:pPr>
                </w:p>
              </w:tc>
              <w:tc>
                <w:tcPr>
                  <w:tcW w:w="76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BOD</w:t>
                  </w:r>
                  <w:r>
                    <w:rPr>
                      <w:color w:val="000000" w:themeColor="text1"/>
                      <w:szCs w:val="21"/>
                      <w:u w:val="single"/>
                      <w:vertAlign w:val="subscript"/>
                      <w14:textFill>
                        <w14:solidFill>
                          <w14:schemeClr w14:val="tx1"/>
                        </w14:solidFill>
                      </w14:textFill>
                    </w:rPr>
                    <w:t>5</w:t>
                  </w:r>
                </w:p>
              </w:tc>
              <w:tc>
                <w:tcPr>
                  <w:tcW w:w="81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200</w:t>
                  </w:r>
                </w:p>
              </w:tc>
              <w:tc>
                <w:tcPr>
                  <w:tcW w:w="71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2.436</w:t>
                  </w:r>
                </w:p>
              </w:tc>
              <w:tc>
                <w:tcPr>
                  <w:tcW w:w="727" w:type="pc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BOD</w:t>
                  </w:r>
                  <w:r>
                    <w:rPr>
                      <w:color w:val="000000" w:themeColor="text1"/>
                      <w:szCs w:val="21"/>
                      <w:u w:val="single"/>
                      <w:vertAlign w:val="subscript"/>
                      <w14:textFill>
                        <w14:solidFill>
                          <w14:schemeClr w14:val="tx1"/>
                        </w14:solidFill>
                      </w14:textFill>
                    </w:rPr>
                    <w:t>5</w:t>
                  </w:r>
                </w:p>
              </w:tc>
              <w:tc>
                <w:tcPr>
                  <w:tcW w:w="815" w:type="pc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u w:val="single"/>
                      <w14:textFill>
                        <w14:solidFill>
                          <w14:schemeClr w14:val="tx1"/>
                        </w14:solidFill>
                      </w14:textFill>
                    </w:rPr>
                    <w:t>10</w:t>
                  </w:r>
                </w:p>
              </w:tc>
              <w:tc>
                <w:tcPr>
                  <w:tcW w:w="73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426" w:type="pct"/>
                  <w:vMerge w:val="continue"/>
                  <w:noWrap w:val="0"/>
                  <w:vAlign w:val="center"/>
                </w:tcPr>
                <w:p>
                  <w:pPr>
                    <w:jc w:val="center"/>
                    <w:rPr>
                      <w:color w:val="000000" w:themeColor="text1"/>
                      <w:szCs w:val="21"/>
                      <w:u w:val="single"/>
                      <w14:textFill>
                        <w14:solidFill>
                          <w14:schemeClr w14:val="tx1"/>
                        </w14:solidFill>
                      </w14:textFill>
                    </w:rPr>
                  </w:pPr>
                </w:p>
              </w:tc>
              <w:tc>
                <w:tcPr>
                  <w:tcW w:w="76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SS</w:t>
                  </w:r>
                </w:p>
              </w:tc>
              <w:tc>
                <w:tcPr>
                  <w:tcW w:w="81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150</w:t>
                  </w:r>
                </w:p>
              </w:tc>
              <w:tc>
                <w:tcPr>
                  <w:tcW w:w="71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2.74</w:t>
                  </w:r>
                </w:p>
              </w:tc>
              <w:tc>
                <w:tcPr>
                  <w:tcW w:w="727" w:type="pc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u w:val="single"/>
                      <w14:textFill>
                        <w14:solidFill>
                          <w14:schemeClr w14:val="tx1"/>
                        </w14:solidFill>
                      </w14:textFill>
                    </w:rPr>
                    <w:t>SS</w:t>
                  </w:r>
                </w:p>
              </w:tc>
              <w:tc>
                <w:tcPr>
                  <w:tcW w:w="815" w:type="pc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u w:val="single"/>
                      <w14:textFill>
                        <w14:solidFill>
                          <w14:schemeClr w14:val="tx1"/>
                        </w14:solidFill>
                      </w14:textFill>
                    </w:rPr>
                    <w:t>10</w:t>
                  </w:r>
                </w:p>
              </w:tc>
              <w:tc>
                <w:tcPr>
                  <w:tcW w:w="73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426" w:type="pct"/>
                  <w:vMerge w:val="continue"/>
                  <w:noWrap w:val="0"/>
                  <w:vAlign w:val="center"/>
                </w:tcPr>
                <w:p>
                  <w:pPr>
                    <w:jc w:val="center"/>
                    <w:rPr>
                      <w:color w:val="000000" w:themeColor="text1"/>
                      <w:szCs w:val="21"/>
                      <w:u w:val="single"/>
                      <w14:textFill>
                        <w14:solidFill>
                          <w14:schemeClr w14:val="tx1"/>
                        </w14:solidFill>
                      </w14:textFill>
                    </w:rPr>
                  </w:pPr>
                </w:p>
              </w:tc>
              <w:tc>
                <w:tcPr>
                  <w:tcW w:w="76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氨氮</w:t>
                  </w:r>
                </w:p>
              </w:tc>
              <w:tc>
                <w:tcPr>
                  <w:tcW w:w="81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35</w:t>
                  </w:r>
                </w:p>
              </w:tc>
              <w:tc>
                <w:tcPr>
                  <w:tcW w:w="71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0.4263</w:t>
                  </w:r>
                </w:p>
              </w:tc>
              <w:tc>
                <w:tcPr>
                  <w:tcW w:w="727" w:type="pc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u w:val="single"/>
                      <w14:textFill>
                        <w14:solidFill>
                          <w14:schemeClr w14:val="tx1"/>
                        </w14:solidFill>
                      </w14:textFill>
                    </w:rPr>
                    <w:t>氨氮</w:t>
                  </w:r>
                </w:p>
              </w:tc>
              <w:tc>
                <w:tcPr>
                  <w:tcW w:w="815" w:type="pc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u w:val="single"/>
                      <w14:textFill>
                        <w14:solidFill>
                          <w14:schemeClr w14:val="tx1"/>
                        </w14:solidFill>
                      </w14:textFill>
                    </w:rPr>
                    <w:t>5</w:t>
                  </w:r>
                </w:p>
              </w:tc>
              <w:tc>
                <w:tcPr>
                  <w:tcW w:w="73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0.061</w:t>
                  </w:r>
                </w:p>
              </w:tc>
            </w:tr>
          </w:tbl>
          <w:p>
            <w:pPr>
              <w:spacing w:line="360" w:lineRule="auto"/>
              <w:ind w:firstLine="480" w:firstLineChars="200"/>
              <w:rPr>
                <w:color w:val="000000" w:themeColor="text1"/>
                <w:kern w:val="0"/>
                <w:sz w:val="24"/>
                <w:u w:val="single"/>
                <w14:textFill>
                  <w14:solidFill>
                    <w14:schemeClr w14:val="tx1"/>
                  </w14:solidFill>
                </w14:textFill>
              </w:rPr>
            </w:pPr>
            <w:r>
              <w:rPr>
                <w:color w:val="000000" w:themeColor="text1"/>
                <w:sz w:val="24"/>
                <w:u w:val="single"/>
                <w14:textFill>
                  <w14:solidFill>
                    <w14:schemeClr w14:val="tx1"/>
                  </w14:solidFill>
                </w14:textFill>
              </w:rPr>
              <w:t>项目生活污水废水量为12180t/a，利用标准厂房隔油池+化粪池处理达到《污水综合排放标准》（GB8978-1996）中的三级标准后排入园区污水管网</w:t>
            </w:r>
            <w:r>
              <w:rPr>
                <w:color w:val="000000" w:themeColor="text1"/>
                <w:kern w:val="0"/>
                <w:sz w:val="24"/>
                <w:u w:val="single"/>
                <w14:textFill>
                  <w14:solidFill>
                    <w14:schemeClr w14:val="tx1"/>
                  </w14:solidFill>
                </w14:textFill>
              </w:rPr>
              <w:t>，再排入</w:t>
            </w:r>
            <w:r>
              <w:rPr>
                <w:color w:val="000000" w:themeColor="text1"/>
                <w:sz w:val="24"/>
                <w:u w:val="single"/>
                <w14:textFill>
                  <w14:solidFill>
                    <w14:schemeClr w14:val="tx1"/>
                  </w14:solidFill>
                </w14:textFill>
              </w:rPr>
              <w:t>湘阴县第三污水处理厂</w:t>
            </w:r>
            <w:r>
              <w:rPr>
                <w:color w:val="000000" w:themeColor="text1"/>
                <w:kern w:val="0"/>
                <w:sz w:val="24"/>
                <w:u w:val="single"/>
                <w14:textFill>
                  <w14:solidFill>
                    <w14:schemeClr w14:val="tx1"/>
                  </w14:solidFill>
                </w14:textFill>
              </w:rPr>
              <w:t>进行处理。</w:t>
            </w:r>
          </w:p>
          <w:p>
            <w:pPr>
              <w:adjustRightInd w:val="0"/>
              <w:snapToGrid w:val="0"/>
              <w:jc w:val="center"/>
              <w:rPr>
                <w:b/>
                <w:bCs/>
                <w:color w:val="000000" w:themeColor="text1"/>
                <w:szCs w:val="21"/>
                <w:u w:val="single"/>
                <w14:textFill>
                  <w14:solidFill>
                    <w14:schemeClr w14:val="tx1"/>
                  </w14:solidFill>
                </w14:textFill>
              </w:rPr>
            </w:pPr>
            <w:r>
              <w:rPr>
                <w:b/>
                <w:bCs/>
                <w:color w:val="000000" w:themeColor="text1"/>
                <w:szCs w:val="21"/>
                <w:u w:val="single"/>
                <w14:textFill>
                  <w14:solidFill>
                    <w14:schemeClr w14:val="tx1"/>
                  </w14:solidFill>
                </w14:textFill>
              </w:rPr>
              <w:t>表4-3  项目废水类别、污染物及污染治理设施信息表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57" w:type="dxa"/>
                <w:bottom w:w="15" w:type="dxa"/>
                <w:right w:w="57" w:type="dxa"/>
              </w:tblCellMar>
            </w:tblPr>
            <w:tblGrid>
              <w:gridCol w:w="734"/>
              <w:gridCol w:w="917"/>
              <w:gridCol w:w="556"/>
              <w:gridCol w:w="636"/>
              <w:gridCol w:w="769"/>
              <w:gridCol w:w="761"/>
              <w:gridCol w:w="760"/>
              <w:gridCol w:w="779"/>
              <w:gridCol w:w="921"/>
              <w:gridCol w:w="14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57" w:type="dxa"/>
                  <w:bottom w:w="15" w:type="dxa"/>
                  <w:right w:w="57" w:type="dxa"/>
                </w:tblCellMar>
              </w:tblPrEx>
              <w:trPr>
                <w:trHeight w:val="454" w:hRule="atLeast"/>
                <w:jc w:val="center"/>
              </w:trPr>
              <w:tc>
                <w:tcPr>
                  <w:tcW w:w="742" w:type="dxa"/>
                  <w:vMerge w:val="restart"/>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废水类别</w:t>
                  </w:r>
                </w:p>
              </w:tc>
              <w:tc>
                <w:tcPr>
                  <w:tcW w:w="854" w:type="dxa"/>
                  <w:vMerge w:val="restart"/>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污染物种类</w:t>
                  </w:r>
                </w:p>
              </w:tc>
              <w:tc>
                <w:tcPr>
                  <w:tcW w:w="560" w:type="dxa"/>
                  <w:vMerge w:val="restart"/>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排放去向</w:t>
                  </w:r>
                </w:p>
              </w:tc>
              <w:tc>
                <w:tcPr>
                  <w:tcW w:w="641" w:type="dxa"/>
                  <w:vMerge w:val="restart"/>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排放规律</w:t>
                  </w:r>
                </w:p>
              </w:tc>
              <w:tc>
                <w:tcPr>
                  <w:tcW w:w="2304" w:type="dxa"/>
                  <w:gridSpan w:val="3"/>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污染治理设施</w:t>
                  </w:r>
                </w:p>
              </w:tc>
              <w:tc>
                <w:tcPr>
                  <w:tcW w:w="743" w:type="dxa"/>
                  <w:vMerge w:val="restart"/>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排放口编号</w:t>
                  </w:r>
                </w:p>
              </w:tc>
              <w:tc>
                <w:tcPr>
                  <w:tcW w:w="928" w:type="dxa"/>
                  <w:vMerge w:val="restart"/>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排放口设置是否符合要求</w:t>
                  </w:r>
                </w:p>
              </w:tc>
              <w:tc>
                <w:tcPr>
                  <w:tcW w:w="1442" w:type="dxa"/>
                  <w:vMerge w:val="restart"/>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57" w:type="dxa"/>
                  <w:bottom w:w="15" w:type="dxa"/>
                  <w:right w:w="57" w:type="dxa"/>
                </w:tblCellMar>
              </w:tblPrEx>
              <w:trPr>
                <w:trHeight w:val="301" w:hRule="atLeast"/>
                <w:jc w:val="center"/>
              </w:trPr>
              <w:tc>
                <w:tcPr>
                  <w:tcW w:w="742" w:type="dxa"/>
                  <w:vMerge w:val="continue"/>
                  <w:noWrap w:val="0"/>
                  <w:vAlign w:val="center"/>
                </w:tcPr>
                <w:p>
                  <w:pPr>
                    <w:pStyle w:val="76"/>
                    <w:spacing w:line="240" w:lineRule="atLeast"/>
                    <w:rPr>
                      <w:color w:val="000000" w:themeColor="text1"/>
                      <w:kern w:val="0"/>
                      <w:szCs w:val="21"/>
                      <w:u w:val="single"/>
                      <w14:textFill>
                        <w14:solidFill>
                          <w14:schemeClr w14:val="tx1"/>
                        </w14:solidFill>
                      </w14:textFill>
                    </w:rPr>
                  </w:pPr>
                </w:p>
              </w:tc>
              <w:tc>
                <w:tcPr>
                  <w:tcW w:w="854" w:type="dxa"/>
                  <w:vMerge w:val="continue"/>
                  <w:noWrap w:val="0"/>
                  <w:vAlign w:val="center"/>
                </w:tcPr>
                <w:p>
                  <w:pPr>
                    <w:pStyle w:val="76"/>
                    <w:spacing w:line="240" w:lineRule="atLeast"/>
                    <w:rPr>
                      <w:color w:val="000000" w:themeColor="text1"/>
                      <w:kern w:val="0"/>
                      <w:szCs w:val="21"/>
                      <w:u w:val="single"/>
                      <w14:textFill>
                        <w14:solidFill>
                          <w14:schemeClr w14:val="tx1"/>
                        </w14:solidFill>
                      </w14:textFill>
                    </w:rPr>
                  </w:pPr>
                </w:p>
              </w:tc>
              <w:tc>
                <w:tcPr>
                  <w:tcW w:w="560" w:type="dxa"/>
                  <w:vMerge w:val="continue"/>
                  <w:noWrap w:val="0"/>
                  <w:vAlign w:val="center"/>
                </w:tcPr>
                <w:p>
                  <w:pPr>
                    <w:pStyle w:val="76"/>
                    <w:spacing w:line="240" w:lineRule="atLeast"/>
                    <w:rPr>
                      <w:color w:val="000000" w:themeColor="text1"/>
                      <w:kern w:val="0"/>
                      <w:szCs w:val="21"/>
                      <w:u w:val="single"/>
                      <w14:textFill>
                        <w14:solidFill>
                          <w14:schemeClr w14:val="tx1"/>
                        </w14:solidFill>
                      </w14:textFill>
                    </w:rPr>
                  </w:pPr>
                </w:p>
              </w:tc>
              <w:tc>
                <w:tcPr>
                  <w:tcW w:w="641" w:type="dxa"/>
                  <w:vMerge w:val="continue"/>
                  <w:noWrap w:val="0"/>
                  <w:vAlign w:val="center"/>
                </w:tcPr>
                <w:p>
                  <w:pPr>
                    <w:pStyle w:val="76"/>
                    <w:spacing w:line="240" w:lineRule="atLeast"/>
                    <w:rPr>
                      <w:color w:val="000000" w:themeColor="text1"/>
                      <w:kern w:val="0"/>
                      <w:szCs w:val="21"/>
                      <w:u w:val="single"/>
                      <w14:textFill>
                        <w14:solidFill>
                          <w14:schemeClr w14:val="tx1"/>
                        </w14:solidFill>
                      </w14:textFill>
                    </w:rPr>
                  </w:pPr>
                </w:p>
              </w:tc>
              <w:tc>
                <w:tcPr>
                  <w:tcW w:w="769" w:type="dxa"/>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污染治理设施编号</w:t>
                  </w:r>
                </w:p>
              </w:tc>
              <w:tc>
                <w:tcPr>
                  <w:tcW w:w="768" w:type="dxa"/>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污染治理设施名称</w:t>
                  </w:r>
                </w:p>
              </w:tc>
              <w:tc>
                <w:tcPr>
                  <w:tcW w:w="767" w:type="dxa"/>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污染治理设施工艺</w:t>
                  </w:r>
                </w:p>
              </w:tc>
              <w:tc>
                <w:tcPr>
                  <w:tcW w:w="743" w:type="dxa"/>
                  <w:vMerge w:val="continue"/>
                  <w:noWrap w:val="0"/>
                  <w:vAlign w:val="center"/>
                </w:tcPr>
                <w:p>
                  <w:pPr>
                    <w:pStyle w:val="76"/>
                    <w:spacing w:line="240" w:lineRule="atLeast"/>
                    <w:rPr>
                      <w:color w:val="000000" w:themeColor="text1"/>
                      <w:kern w:val="0"/>
                      <w:szCs w:val="21"/>
                      <w:u w:val="single"/>
                      <w14:textFill>
                        <w14:solidFill>
                          <w14:schemeClr w14:val="tx1"/>
                        </w14:solidFill>
                      </w14:textFill>
                    </w:rPr>
                  </w:pPr>
                </w:p>
              </w:tc>
              <w:tc>
                <w:tcPr>
                  <w:tcW w:w="928" w:type="dxa"/>
                  <w:vMerge w:val="continue"/>
                  <w:noWrap w:val="0"/>
                  <w:vAlign w:val="center"/>
                </w:tcPr>
                <w:p>
                  <w:pPr>
                    <w:pStyle w:val="76"/>
                    <w:spacing w:line="240" w:lineRule="atLeast"/>
                    <w:rPr>
                      <w:color w:val="000000" w:themeColor="text1"/>
                      <w:kern w:val="0"/>
                      <w:szCs w:val="21"/>
                      <w:u w:val="single"/>
                      <w14:textFill>
                        <w14:solidFill>
                          <w14:schemeClr w14:val="tx1"/>
                        </w14:solidFill>
                      </w14:textFill>
                    </w:rPr>
                  </w:pPr>
                </w:p>
              </w:tc>
              <w:tc>
                <w:tcPr>
                  <w:tcW w:w="1442" w:type="dxa"/>
                  <w:vMerge w:val="continue"/>
                  <w:noWrap w:val="0"/>
                  <w:vAlign w:val="center"/>
                </w:tcPr>
                <w:p>
                  <w:pPr>
                    <w:pStyle w:val="76"/>
                    <w:spacing w:line="240" w:lineRule="atLeast"/>
                    <w:rPr>
                      <w:color w:val="000000" w:themeColor="text1"/>
                      <w:kern w:val="0"/>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57" w:type="dxa"/>
                  <w:bottom w:w="15" w:type="dxa"/>
                  <w:right w:w="57" w:type="dxa"/>
                </w:tblCellMar>
              </w:tblPrEx>
              <w:trPr>
                <w:trHeight w:val="454" w:hRule="atLeast"/>
                <w:jc w:val="center"/>
              </w:trPr>
              <w:tc>
                <w:tcPr>
                  <w:tcW w:w="742" w:type="dxa"/>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生活污水</w:t>
                  </w:r>
                </w:p>
              </w:tc>
              <w:tc>
                <w:tcPr>
                  <w:tcW w:w="854" w:type="dxa"/>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COD、BOD</w:t>
                  </w:r>
                  <w:r>
                    <w:rPr>
                      <w:color w:val="000000" w:themeColor="text1"/>
                      <w:szCs w:val="21"/>
                      <w:u w:val="single"/>
                      <w:vertAlign w:val="subscript"/>
                      <w14:textFill>
                        <w14:solidFill>
                          <w14:schemeClr w14:val="tx1"/>
                        </w14:solidFill>
                      </w14:textFill>
                    </w:rPr>
                    <w:t>5</w:t>
                  </w:r>
                  <w:r>
                    <w:rPr>
                      <w:color w:val="000000" w:themeColor="text1"/>
                      <w:szCs w:val="21"/>
                      <w:u w:val="single"/>
                      <w14:textFill>
                        <w14:solidFill>
                          <w14:schemeClr w14:val="tx1"/>
                        </w14:solidFill>
                      </w14:textFill>
                    </w:rPr>
                    <w:t>、NH</w:t>
                  </w:r>
                  <w:r>
                    <w:rPr>
                      <w:color w:val="000000" w:themeColor="text1"/>
                      <w:szCs w:val="21"/>
                      <w:u w:val="single"/>
                      <w:vertAlign w:val="subscript"/>
                      <w14:textFill>
                        <w14:solidFill>
                          <w14:schemeClr w14:val="tx1"/>
                        </w14:solidFill>
                      </w14:textFill>
                    </w:rPr>
                    <w:t>3</w:t>
                  </w:r>
                  <w:r>
                    <w:rPr>
                      <w:color w:val="000000" w:themeColor="text1"/>
                      <w:szCs w:val="21"/>
                      <w:u w:val="single"/>
                      <w14:textFill>
                        <w14:solidFill>
                          <w14:schemeClr w14:val="tx1"/>
                        </w14:solidFill>
                      </w14:textFill>
                    </w:rPr>
                    <w:t>-N、SS</w:t>
                  </w:r>
                </w:p>
              </w:tc>
              <w:tc>
                <w:tcPr>
                  <w:tcW w:w="560" w:type="dxa"/>
                  <w:noWrap w:val="0"/>
                  <w:vAlign w:val="center"/>
                </w:tcPr>
                <w:p>
                  <w:pPr>
                    <w:pStyle w:val="76"/>
                    <w:spacing w:line="240" w:lineRule="atLeast"/>
                    <w:rPr>
                      <w:color w:val="000000" w:themeColor="text1"/>
                      <w:u w:val="single"/>
                      <w14:textFill>
                        <w14:solidFill>
                          <w14:schemeClr w14:val="tx1"/>
                        </w14:solidFill>
                      </w14:textFill>
                    </w:rPr>
                  </w:pPr>
                  <w:r>
                    <w:rPr>
                      <w:color w:val="000000" w:themeColor="text1"/>
                      <w:szCs w:val="21"/>
                      <w:u w:val="single"/>
                      <w14:textFill>
                        <w14:solidFill>
                          <w14:schemeClr w14:val="tx1"/>
                        </w14:solidFill>
                      </w14:textFill>
                    </w:rPr>
                    <w:t>进入</w:t>
                  </w:r>
                  <w:r>
                    <w:rPr>
                      <w:color w:val="000000" w:themeColor="text1"/>
                      <w:spacing w:val="-6"/>
                      <w:szCs w:val="21"/>
                      <w:u w:val="single"/>
                      <w14:textFill>
                        <w14:solidFill>
                          <w14:schemeClr w14:val="tx1"/>
                        </w14:solidFill>
                      </w14:textFill>
                    </w:rPr>
                    <w:t>湘阴第三污水处理厂</w:t>
                  </w:r>
                </w:p>
              </w:tc>
              <w:tc>
                <w:tcPr>
                  <w:tcW w:w="641" w:type="dxa"/>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连续排放</w:t>
                  </w:r>
                </w:p>
              </w:tc>
              <w:tc>
                <w:tcPr>
                  <w:tcW w:w="769" w:type="dxa"/>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TW001</w:t>
                  </w:r>
                </w:p>
              </w:tc>
              <w:tc>
                <w:tcPr>
                  <w:tcW w:w="768" w:type="dxa"/>
                  <w:noWrap w:val="0"/>
                  <w:vAlign w:val="center"/>
                </w:tcPr>
                <w:p>
                  <w:pPr>
                    <w:kinsoku w:val="0"/>
                    <w:overflowPunct w:val="0"/>
                    <w:autoSpaceDE w:val="0"/>
                    <w:autoSpaceDN w:val="0"/>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化粪池</w:t>
                  </w:r>
                </w:p>
              </w:tc>
              <w:tc>
                <w:tcPr>
                  <w:tcW w:w="767" w:type="dxa"/>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厌氧</w:t>
                  </w:r>
                </w:p>
              </w:tc>
              <w:tc>
                <w:tcPr>
                  <w:tcW w:w="743" w:type="dxa"/>
                  <w:noWrap w:val="0"/>
                  <w:vAlign w:val="center"/>
                </w:tcPr>
                <w:p>
                  <w:pPr>
                    <w:pStyle w:val="76"/>
                    <w:spacing w:line="240" w:lineRule="atLeas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DW001</w:t>
                  </w:r>
                </w:p>
              </w:tc>
              <w:tc>
                <w:tcPr>
                  <w:tcW w:w="928" w:type="dxa"/>
                  <w:noWrap w:val="0"/>
                  <w:vAlign w:val="center"/>
                </w:tcPr>
                <w:p>
                  <w:pPr>
                    <w:pStyle w:val="76"/>
                    <w:spacing w:line="240" w:lineRule="atLeast"/>
                    <w:rPr>
                      <w:color w:val="000000" w:themeColor="text1"/>
                      <w:kern w:val="0"/>
                      <w:szCs w:val="21"/>
                      <w:u w:val="single"/>
                      <w14:textFill>
                        <w14:solidFill>
                          <w14:schemeClr w14:val="tx1"/>
                        </w14:solidFill>
                      </w14:textFill>
                    </w:rPr>
                  </w:pPr>
                  <w:r>
                    <w:rPr>
                      <w:color w:val="000000" w:themeColor="text1"/>
                      <w:szCs w:val="21"/>
                      <w:u w:val="single"/>
                      <w14:textFill>
                        <w14:solidFill>
                          <w14:schemeClr w14:val="tx1"/>
                        </w14:solidFill>
                      </w14:textFill>
                    </w:rPr>
                    <w:sym w:font="Wingdings 2" w:char="0052"/>
                  </w:r>
                  <w:r>
                    <w:rPr>
                      <w:color w:val="000000" w:themeColor="text1"/>
                      <w:kern w:val="0"/>
                      <w:szCs w:val="21"/>
                      <w:u w:val="single"/>
                      <w14:textFill>
                        <w14:solidFill>
                          <w14:schemeClr w14:val="tx1"/>
                        </w14:solidFill>
                      </w14:textFill>
                    </w:rPr>
                    <w:t>是</w:t>
                  </w:r>
                </w:p>
                <w:p>
                  <w:pPr>
                    <w:pStyle w:val="76"/>
                    <w:spacing w:line="240" w:lineRule="atLeast"/>
                    <w:rPr>
                      <w:color w:val="000000" w:themeColor="text1"/>
                      <w:szCs w:val="21"/>
                      <w:u w:val="single"/>
                      <w14:textFill>
                        <w14:solidFill>
                          <w14:schemeClr w14:val="tx1"/>
                        </w14:solidFill>
                      </w14:textFill>
                    </w:rPr>
                  </w:pPr>
                  <w:r>
                    <w:rPr>
                      <w:color w:val="000000" w:themeColor="text1"/>
                      <w:kern w:val="0"/>
                      <w:szCs w:val="21"/>
                      <w:u w:val="single"/>
                      <w14:textFill>
                        <w14:solidFill>
                          <w14:schemeClr w14:val="tx1"/>
                        </w14:solidFill>
                      </w14:textFill>
                    </w:rPr>
                    <w:t>□否</w:t>
                  </w:r>
                </w:p>
              </w:tc>
              <w:tc>
                <w:tcPr>
                  <w:tcW w:w="1442" w:type="dxa"/>
                  <w:noWrap w:val="0"/>
                  <w:vAlign w:val="center"/>
                </w:tcPr>
                <w:p>
                  <w:pPr>
                    <w:pStyle w:val="76"/>
                    <w:spacing w:line="240" w:lineRule="atLeast"/>
                    <w:jc w:val="both"/>
                    <w:rPr>
                      <w:color w:val="000000" w:themeColor="text1"/>
                      <w:kern w:val="0"/>
                      <w:szCs w:val="21"/>
                      <w:u w:val="single"/>
                      <w14:textFill>
                        <w14:solidFill>
                          <w14:schemeClr w14:val="tx1"/>
                        </w14:solidFill>
                      </w14:textFill>
                    </w:rPr>
                  </w:pPr>
                  <w:r>
                    <w:rPr>
                      <w:color w:val="000000" w:themeColor="text1"/>
                      <w:szCs w:val="21"/>
                      <w:u w:val="single"/>
                      <w14:textFill>
                        <w14:solidFill>
                          <w14:schemeClr w14:val="tx1"/>
                        </w14:solidFill>
                      </w14:textFill>
                    </w:rPr>
                    <w:sym w:font="Wingdings 2" w:char="0052"/>
                  </w:r>
                  <w:r>
                    <w:rPr>
                      <w:color w:val="000000" w:themeColor="text1"/>
                      <w:kern w:val="0"/>
                      <w:szCs w:val="21"/>
                      <w:u w:val="single"/>
                      <w14:textFill>
                        <w14:solidFill>
                          <w14:schemeClr w14:val="tx1"/>
                        </w14:solidFill>
                      </w14:textFill>
                    </w:rPr>
                    <w:t>企业总排</w:t>
                  </w:r>
                </w:p>
                <w:p>
                  <w:pPr>
                    <w:pStyle w:val="76"/>
                    <w:spacing w:line="240" w:lineRule="atLeast"/>
                    <w:jc w:val="both"/>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□雨水排放</w:t>
                  </w:r>
                </w:p>
                <w:p>
                  <w:pPr>
                    <w:pStyle w:val="76"/>
                    <w:spacing w:line="240" w:lineRule="atLeast"/>
                    <w:jc w:val="both"/>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□清净下水排放</w:t>
                  </w:r>
                </w:p>
                <w:p>
                  <w:pPr>
                    <w:pStyle w:val="76"/>
                    <w:spacing w:line="240" w:lineRule="atLeast"/>
                    <w:jc w:val="both"/>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□温排水排放</w:t>
                  </w:r>
                </w:p>
                <w:p>
                  <w:pPr>
                    <w:pStyle w:val="76"/>
                    <w:spacing w:line="240" w:lineRule="atLeast"/>
                    <w:jc w:val="both"/>
                    <w:rPr>
                      <w:color w:val="000000" w:themeColor="text1"/>
                      <w:szCs w:val="21"/>
                      <w:u w:val="single"/>
                      <w14:textFill>
                        <w14:solidFill>
                          <w14:schemeClr w14:val="tx1"/>
                        </w14:solidFill>
                      </w14:textFill>
                    </w:rPr>
                  </w:pPr>
                  <w:r>
                    <w:rPr>
                      <w:color w:val="000000" w:themeColor="text1"/>
                      <w:kern w:val="0"/>
                      <w:szCs w:val="21"/>
                      <w:u w:val="single"/>
                      <w14:textFill>
                        <w14:solidFill>
                          <w14:schemeClr w14:val="tx1"/>
                        </w14:solidFill>
                      </w14:textFill>
                    </w:rPr>
                    <w:t>□车间或车间处理设施排放口</w:t>
                  </w:r>
                </w:p>
              </w:tc>
            </w:tr>
          </w:tbl>
          <w:p>
            <w:pPr>
              <w:adjustRightInd w:val="0"/>
              <w:snapToGrid w:val="0"/>
              <w:jc w:val="center"/>
              <w:rPr>
                <w:b/>
                <w:bCs/>
                <w:color w:val="000000" w:themeColor="text1"/>
                <w:szCs w:val="21"/>
                <w:u w:val="single"/>
                <w14:textFill>
                  <w14:solidFill>
                    <w14:schemeClr w14:val="tx1"/>
                  </w14:solidFill>
                </w14:textFill>
              </w:rPr>
            </w:pPr>
          </w:p>
          <w:p>
            <w:pPr>
              <w:adjustRightInd w:val="0"/>
              <w:snapToGrid w:val="0"/>
              <w:jc w:val="center"/>
              <w:rPr>
                <w:b/>
                <w:bCs/>
                <w:color w:val="000000" w:themeColor="text1"/>
                <w:szCs w:val="21"/>
                <w:u w:val="single"/>
                <w14:textFill>
                  <w14:solidFill>
                    <w14:schemeClr w14:val="tx1"/>
                  </w14:solidFill>
                </w14:textFill>
              </w:rPr>
            </w:pPr>
            <w:r>
              <w:rPr>
                <w:b/>
                <w:bCs/>
                <w:color w:val="000000" w:themeColor="text1"/>
                <w:szCs w:val="21"/>
                <w:u w:val="single"/>
                <w14:textFill>
                  <w14:solidFill>
                    <w14:schemeClr w14:val="tx1"/>
                  </w14:solidFill>
                </w14:textFill>
              </w:rPr>
              <w:t>表4-4  废水间接排放口基本情况表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79"/>
              <w:gridCol w:w="1325"/>
              <w:gridCol w:w="1222"/>
              <w:gridCol w:w="1097"/>
              <w:gridCol w:w="665"/>
              <w:gridCol w:w="594"/>
              <w:gridCol w:w="419"/>
              <w:gridCol w:w="697"/>
              <w:gridCol w:w="660"/>
              <w:gridCol w:w="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79" w:type="dxa"/>
                  <w:vMerge w:val="restart"/>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排放口编号</w:t>
                  </w:r>
                </w:p>
              </w:tc>
              <w:tc>
                <w:tcPr>
                  <w:tcW w:w="2547" w:type="dxa"/>
                  <w:gridSpan w:val="2"/>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排放口地理坐标</w:t>
                  </w:r>
                </w:p>
              </w:tc>
              <w:tc>
                <w:tcPr>
                  <w:tcW w:w="1097" w:type="dxa"/>
                  <w:vMerge w:val="restart"/>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废水排放量</w:t>
                  </w:r>
                </w:p>
              </w:tc>
              <w:tc>
                <w:tcPr>
                  <w:tcW w:w="665" w:type="dxa"/>
                  <w:vMerge w:val="restart"/>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排放去向</w:t>
                  </w:r>
                </w:p>
              </w:tc>
              <w:tc>
                <w:tcPr>
                  <w:tcW w:w="594" w:type="dxa"/>
                  <w:vMerge w:val="restart"/>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排放规律</w:t>
                  </w:r>
                </w:p>
              </w:tc>
              <w:tc>
                <w:tcPr>
                  <w:tcW w:w="419" w:type="dxa"/>
                  <w:vMerge w:val="restart"/>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间歇排放时段</w:t>
                  </w:r>
                </w:p>
              </w:tc>
              <w:tc>
                <w:tcPr>
                  <w:tcW w:w="2158" w:type="dxa"/>
                  <w:gridSpan w:val="3"/>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79" w:type="dxa"/>
                  <w:vMerge w:val="continue"/>
                  <w:noWrap w:val="0"/>
                  <w:vAlign w:val="center"/>
                </w:tcPr>
                <w:p>
                  <w:pPr>
                    <w:pStyle w:val="76"/>
                    <w:rPr>
                      <w:color w:val="000000" w:themeColor="text1"/>
                      <w:szCs w:val="21"/>
                      <w:u w:val="single"/>
                      <w14:textFill>
                        <w14:solidFill>
                          <w14:schemeClr w14:val="tx1"/>
                        </w14:solidFill>
                      </w14:textFill>
                    </w:rPr>
                  </w:pPr>
                </w:p>
              </w:tc>
              <w:tc>
                <w:tcPr>
                  <w:tcW w:w="1325"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经度</w:t>
                  </w:r>
                </w:p>
              </w:tc>
              <w:tc>
                <w:tcPr>
                  <w:tcW w:w="1222"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纬度</w:t>
                  </w:r>
                </w:p>
              </w:tc>
              <w:tc>
                <w:tcPr>
                  <w:tcW w:w="1097" w:type="dxa"/>
                  <w:vMerge w:val="continue"/>
                  <w:noWrap w:val="0"/>
                  <w:vAlign w:val="center"/>
                </w:tcPr>
                <w:p>
                  <w:pPr>
                    <w:pStyle w:val="76"/>
                    <w:rPr>
                      <w:color w:val="000000" w:themeColor="text1"/>
                      <w:szCs w:val="21"/>
                      <w:u w:val="single"/>
                      <w14:textFill>
                        <w14:solidFill>
                          <w14:schemeClr w14:val="tx1"/>
                        </w14:solidFill>
                      </w14:textFill>
                    </w:rPr>
                  </w:pPr>
                </w:p>
              </w:tc>
              <w:tc>
                <w:tcPr>
                  <w:tcW w:w="665" w:type="dxa"/>
                  <w:vMerge w:val="continue"/>
                  <w:noWrap w:val="0"/>
                  <w:vAlign w:val="center"/>
                </w:tcPr>
                <w:p>
                  <w:pPr>
                    <w:pStyle w:val="76"/>
                    <w:rPr>
                      <w:color w:val="000000" w:themeColor="text1"/>
                      <w:szCs w:val="21"/>
                      <w:u w:val="single"/>
                      <w14:textFill>
                        <w14:solidFill>
                          <w14:schemeClr w14:val="tx1"/>
                        </w14:solidFill>
                      </w14:textFill>
                    </w:rPr>
                  </w:pPr>
                </w:p>
              </w:tc>
              <w:tc>
                <w:tcPr>
                  <w:tcW w:w="594" w:type="dxa"/>
                  <w:vMerge w:val="continue"/>
                  <w:noWrap w:val="0"/>
                  <w:vAlign w:val="center"/>
                </w:tcPr>
                <w:p>
                  <w:pPr>
                    <w:pStyle w:val="76"/>
                    <w:rPr>
                      <w:color w:val="000000" w:themeColor="text1"/>
                      <w:szCs w:val="21"/>
                      <w:u w:val="single"/>
                      <w14:textFill>
                        <w14:solidFill>
                          <w14:schemeClr w14:val="tx1"/>
                        </w14:solidFill>
                      </w14:textFill>
                    </w:rPr>
                  </w:pPr>
                </w:p>
              </w:tc>
              <w:tc>
                <w:tcPr>
                  <w:tcW w:w="419" w:type="dxa"/>
                  <w:vMerge w:val="continue"/>
                  <w:noWrap w:val="0"/>
                  <w:vAlign w:val="center"/>
                </w:tcPr>
                <w:p>
                  <w:pPr>
                    <w:pStyle w:val="76"/>
                    <w:rPr>
                      <w:color w:val="000000" w:themeColor="text1"/>
                      <w:szCs w:val="21"/>
                      <w:u w:val="single"/>
                      <w14:textFill>
                        <w14:solidFill>
                          <w14:schemeClr w14:val="tx1"/>
                        </w14:solidFill>
                      </w14:textFill>
                    </w:rPr>
                  </w:pPr>
                </w:p>
              </w:tc>
              <w:tc>
                <w:tcPr>
                  <w:tcW w:w="697"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名称</w:t>
                  </w:r>
                </w:p>
              </w:tc>
              <w:tc>
                <w:tcPr>
                  <w:tcW w:w="660"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污染物种类</w:t>
                  </w:r>
                </w:p>
              </w:tc>
              <w:tc>
                <w:tcPr>
                  <w:tcW w:w="801"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79" w:type="dxa"/>
                  <w:vMerge w:val="restart"/>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DW001</w:t>
                  </w:r>
                </w:p>
              </w:tc>
              <w:tc>
                <w:tcPr>
                  <w:tcW w:w="1325" w:type="dxa"/>
                  <w:vMerge w:val="restart"/>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112.5509264</w:t>
                  </w:r>
                </w:p>
              </w:tc>
              <w:tc>
                <w:tcPr>
                  <w:tcW w:w="1222" w:type="dxa"/>
                  <w:vMerge w:val="restart"/>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28.3149208</w:t>
                  </w:r>
                </w:p>
              </w:tc>
              <w:tc>
                <w:tcPr>
                  <w:tcW w:w="1097" w:type="dxa"/>
                  <w:vMerge w:val="restart"/>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sz w:val="24"/>
                      <w:u w:val="single"/>
                      <w14:textFill>
                        <w14:solidFill>
                          <w14:schemeClr w14:val="tx1"/>
                        </w14:solidFill>
                      </w14:textFill>
                    </w:rPr>
                    <w:t>12180</w:t>
                  </w:r>
                  <w:r>
                    <w:rPr>
                      <w:color w:val="000000" w:themeColor="text1"/>
                      <w:u w:val="single"/>
                      <w14:textFill>
                        <w14:solidFill>
                          <w14:schemeClr w14:val="tx1"/>
                        </w14:solidFill>
                      </w14:textFill>
                    </w:rPr>
                    <w:t>m</w:t>
                  </w:r>
                  <w:r>
                    <w:rPr>
                      <w:color w:val="000000" w:themeColor="text1"/>
                      <w:u w:val="single"/>
                      <w:vertAlign w:val="superscript"/>
                      <w14:textFill>
                        <w14:solidFill>
                          <w14:schemeClr w14:val="tx1"/>
                        </w14:solidFill>
                      </w14:textFill>
                    </w:rPr>
                    <w:t>3</w:t>
                  </w:r>
                  <w:r>
                    <w:rPr>
                      <w:color w:val="000000" w:themeColor="text1"/>
                      <w:u w:val="single"/>
                      <w14:textFill>
                        <w14:solidFill>
                          <w14:schemeClr w14:val="tx1"/>
                        </w14:solidFill>
                      </w14:textFill>
                    </w:rPr>
                    <w:t>/a</w:t>
                  </w:r>
                </w:p>
              </w:tc>
              <w:tc>
                <w:tcPr>
                  <w:tcW w:w="665" w:type="dxa"/>
                  <w:vMerge w:val="restart"/>
                  <w:noWrap w:val="0"/>
                  <w:vAlign w:val="center"/>
                </w:tcPr>
                <w:p>
                  <w:pPr>
                    <w:kinsoku w:val="0"/>
                    <w:overflowPunct w:val="0"/>
                    <w:autoSpaceDE w:val="0"/>
                    <w:autoSpaceDN w:val="0"/>
                    <w:adjustRightInd w:val="0"/>
                    <w:snapToGrid w:val="0"/>
                    <w:jc w:val="center"/>
                    <w:rPr>
                      <w:color w:val="000000" w:themeColor="text1"/>
                      <w:spacing w:val="-6"/>
                      <w:szCs w:val="21"/>
                      <w:u w:val="single"/>
                      <w14:textFill>
                        <w14:solidFill>
                          <w14:schemeClr w14:val="tx1"/>
                        </w14:solidFill>
                      </w14:textFill>
                    </w:rPr>
                  </w:pPr>
                  <w:r>
                    <w:rPr>
                      <w:color w:val="000000" w:themeColor="text1"/>
                      <w:spacing w:val="-6"/>
                      <w:szCs w:val="21"/>
                      <w:u w:val="single"/>
                      <w14:textFill>
                        <w14:solidFill>
                          <w14:schemeClr w14:val="tx1"/>
                        </w14:solidFill>
                      </w14:textFill>
                    </w:rPr>
                    <w:t>进入湘阴第三污水处理厂</w:t>
                  </w:r>
                </w:p>
              </w:tc>
              <w:tc>
                <w:tcPr>
                  <w:tcW w:w="594" w:type="dxa"/>
                  <w:vMerge w:val="restart"/>
                  <w:noWrap w:val="0"/>
                  <w:vAlign w:val="center"/>
                </w:tcPr>
                <w:p>
                  <w:pPr>
                    <w:kinsoku w:val="0"/>
                    <w:overflowPunct w:val="0"/>
                    <w:autoSpaceDE w:val="0"/>
                    <w:autoSpaceDN w:val="0"/>
                    <w:adjustRightInd w:val="0"/>
                    <w:snapToGrid w:val="0"/>
                    <w:jc w:val="center"/>
                    <w:rPr>
                      <w:color w:val="000000" w:themeColor="text1"/>
                      <w:spacing w:val="-6"/>
                      <w:szCs w:val="21"/>
                      <w:u w:val="single"/>
                      <w14:textFill>
                        <w14:solidFill>
                          <w14:schemeClr w14:val="tx1"/>
                        </w14:solidFill>
                      </w14:textFill>
                    </w:rPr>
                  </w:pPr>
                  <w:r>
                    <w:rPr>
                      <w:color w:val="000000" w:themeColor="text1"/>
                      <w:spacing w:val="-6"/>
                      <w:szCs w:val="21"/>
                      <w:u w:val="single"/>
                      <w14:textFill>
                        <w14:solidFill>
                          <w14:schemeClr w14:val="tx1"/>
                        </w14:solidFill>
                      </w14:textFill>
                    </w:rPr>
                    <w:t>连续排放，排放期间流量稳定</w:t>
                  </w:r>
                </w:p>
              </w:tc>
              <w:tc>
                <w:tcPr>
                  <w:tcW w:w="419" w:type="dxa"/>
                  <w:vMerge w:val="restart"/>
                  <w:noWrap w:val="0"/>
                  <w:vAlign w:val="center"/>
                </w:tcPr>
                <w:p>
                  <w:pPr>
                    <w:kinsoku w:val="0"/>
                    <w:overflowPunct w:val="0"/>
                    <w:autoSpaceDE w:val="0"/>
                    <w:autoSpaceDN w:val="0"/>
                    <w:adjustRightInd w:val="0"/>
                    <w:snapToGrid w:val="0"/>
                    <w:jc w:val="center"/>
                    <w:rPr>
                      <w:color w:val="000000" w:themeColor="text1"/>
                      <w:spacing w:val="-6"/>
                      <w:szCs w:val="21"/>
                      <w:u w:val="single"/>
                      <w14:textFill>
                        <w14:solidFill>
                          <w14:schemeClr w14:val="tx1"/>
                        </w14:solidFill>
                      </w14:textFill>
                    </w:rPr>
                  </w:pPr>
                  <w:r>
                    <w:rPr>
                      <w:color w:val="000000" w:themeColor="text1"/>
                      <w:spacing w:val="-6"/>
                      <w:szCs w:val="21"/>
                      <w:u w:val="single"/>
                      <w14:textFill>
                        <w14:solidFill>
                          <w14:schemeClr w14:val="tx1"/>
                        </w14:solidFill>
                      </w14:textFill>
                    </w:rPr>
                    <w:t>全天</w:t>
                  </w:r>
                </w:p>
              </w:tc>
              <w:tc>
                <w:tcPr>
                  <w:tcW w:w="697" w:type="dxa"/>
                  <w:vMerge w:val="restart"/>
                  <w:noWrap w:val="0"/>
                  <w:vAlign w:val="center"/>
                </w:tcPr>
                <w:p>
                  <w:pPr>
                    <w:kinsoku w:val="0"/>
                    <w:overflowPunct w:val="0"/>
                    <w:autoSpaceDE w:val="0"/>
                    <w:autoSpaceDN w:val="0"/>
                    <w:adjustRightInd w:val="0"/>
                    <w:snapToGrid w:val="0"/>
                    <w:jc w:val="center"/>
                    <w:rPr>
                      <w:color w:val="000000" w:themeColor="text1"/>
                      <w:spacing w:val="-6"/>
                      <w:szCs w:val="21"/>
                      <w:u w:val="single"/>
                      <w14:textFill>
                        <w14:solidFill>
                          <w14:schemeClr w14:val="tx1"/>
                        </w14:solidFill>
                      </w14:textFill>
                    </w:rPr>
                  </w:pPr>
                  <w:r>
                    <w:rPr>
                      <w:color w:val="000000" w:themeColor="text1"/>
                      <w:spacing w:val="-6"/>
                      <w:szCs w:val="21"/>
                      <w:u w:val="single"/>
                      <w14:textFill>
                        <w14:solidFill>
                          <w14:schemeClr w14:val="tx1"/>
                        </w14:solidFill>
                      </w14:textFill>
                    </w:rPr>
                    <w:t>进入湘阴第三污水处理厂</w:t>
                  </w:r>
                </w:p>
              </w:tc>
              <w:tc>
                <w:tcPr>
                  <w:tcW w:w="660" w:type="dxa"/>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COD</w:t>
                  </w:r>
                </w:p>
              </w:tc>
              <w:tc>
                <w:tcPr>
                  <w:tcW w:w="801" w:type="dxa"/>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79" w:type="dxa"/>
                  <w:vMerge w:val="continue"/>
                  <w:noWrap w:val="0"/>
                  <w:vAlign w:val="center"/>
                </w:tcPr>
                <w:p>
                  <w:pPr>
                    <w:pStyle w:val="76"/>
                    <w:rPr>
                      <w:color w:val="000000" w:themeColor="text1"/>
                      <w:szCs w:val="21"/>
                      <w:u w:val="single"/>
                      <w14:textFill>
                        <w14:solidFill>
                          <w14:schemeClr w14:val="tx1"/>
                        </w14:solidFill>
                      </w14:textFill>
                    </w:rPr>
                  </w:pPr>
                </w:p>
              </w:tc>
              <w:tc>
                <w:tcPr>
                  <w:tcW w:w="1325" w:type="dxa"/>
                  <w:vMerge w:val="continue"/>
                  <w:noWrap w:val="0"/>
                  <w:vAlign w:val="center"/>
                </w:tcPr>
                <w:p>
                  <w:pPr>
                    <w:pStyle w:val="76"/>
                    <w:rPr>
                      <w:color w:val="000000" w:themeColor="text1"/>
                      <w:szCs w:val="21"/>
                      <w:u w:val="single"/>
                      <w14:textFill>
                        <w14:solidFill>
                          <w14:schemeClr w14:val="tx1"/>
                        </w14:solidFill>
                      </w14:textFill>
                    </w:rPr>
                  </w:pPr>
                </w:p>
              </w:tc>
              <w:tc>
                <w:tcPr>
                  <w:tcW w:w="1222" w:type="dxa"/>
                  <w:vMerge w:val="continue"/>
                  <w:noWrap w:val="0"/>
                  <w:vAlign w:val="center"/>
                </w:tcPr>
                <w:p>
                  <w:pPr>
                    <w:pStyle w:val="76"/>
                    <w:rPr>
                      <w:color w:val="000000" w:themeColor="text1"/>
                      <w:szCs w:val="21"/>
                      <w:u w:val="single"/>
                      <w14:textFill>
                        <w14:solidFill>
                          <w14:schemeClr w14:val="tx1"/>
                        </w14:solidFill>
                      </w14:textFill>
                    </w:rPr>
                  </w:pPr>
                </w:p>
              </w:tc>
              <w:tc>
                <w:tcPr>
                  <w:tcW w:w="1097" w:type="dxa"/>
                  <w:vMerge w:val="continue"/>
                  <w:noWrap w:val="0"/>
                  <w:vAlign w:val="center"/>
                </w:tcPr>
                <w:p>
                  <w:pPr>
                    <w:pStyle w:val="76"/>
                    <w:rPr>
                      <w:color w:val="000000" w:themeColor="text1"/>
                      <w:szCs w:val="21"/>
                      <w:u w:val="single"/>
                      <w14:textFill>
                        <w14:solidFill>
                          <w14:schemeClr w14:val="tx1"/>
                        </w14:solidFill>
                      </w14:textFill>
                    </w:rPr>
                  </w:pPr>
                </w:p>
              </w:tc>
              <w:tc>
                <w:tcPr>
                  <w:tcW w:w="665" w:type="dxa"/>
                  <w:vMerge w:val="continue"/>
                  <w:noWrap w:val="0"/>
                  <w:vAlign w:val="center"/>
                </w:tcPr>
                <w:p>
                  <w:pPr>
                    <w:pStyle w:val="76"/>
                    <w:rPr>
                      <w:color w:val="000000" w:themeColor="text1"/>
                      <w:szCs w:val="21"/>
                      <w:u w:val="single"/>
                      <w14:textFill>
                        <w14:solidFill>
                          <w14:schemeClr w14:val="tx1"/>
                        </w14:solidFill>
                      </w14:textFill>
                    </w:rPr>
                  </w:pPr>
                </w:p>
              </w:tc>
              <w:tc>
                <w:tcPr>
                  <w:tcW w:w="594" w:type="dxa"/>
                  <w:vMerge w:val="continue"/>
                  <w:noWrap w:val="0"/>
                  <w:vAlign w:val="center"/>
                </w:tcPr>
                <w:p>
                  <w:pPr>
                    <w:pStyle w:val="76"/>
                    <w:rPr>
                      <w:color w:val="000000" w:themeColor="text1"/>
                      <w:szCs w:val="21"/>
                      <w:u w:val="single"/>
                      <w14:textFill>
                        <w14:solidFill>
                          <w14:schemeClr w14:val="tx1"/>
                        </w14:solidFill>
                      </w14:textFill>
                    </w:rPr>
                  </w:pPr>
                </w:p>
              </w:tc>
              <w:tc>
                <w:tcPr>
                  <w:tcW w:w="419" w:type="dxa"/>
                  <w:vMerge w:val="continue"/>
                  <w:noWrap w:val="0"/>
                  <w:vAlign w:val="center"/>
                </w:tcPr>
                <w:p>
                  <w:pPr>
                    <w:pStyle w:val="76"/>
                    <w:rPr>
                      <w:color w:val="000000" w:themeColor="text1"/>
                      <w:szCs w:val="21"/>
                      <w:u w:val="single"/>
                      <w14:textFill>
                        <w14:solidFill>
                          <w14:schemeClr w14:val="tx1"/>
                        </w14:solidFill>
                      </w14:textFill>
                    </w:rPr>
                  </w:pPr>
                </w:p>
              </w:tc>
              <w:tc>
                <w:tcPr>
                  <w:tcW w:w="697" w:type="dxa"/>
                  <w:vMerge w:val="continue"/>
                  <w:noWrap w:val="0"/>
                  <w:vAlign w:val="center"/>
                </w:tcPr>
                <w:p>
                  <w:pPr>
                    <w:pStyle w:val="76"/>
                    <w:rPr>
                      <w:color w:val="000000" w:themeColor="text1"/>
                      <w:szCs w:val="21"/>
                      <w:u w:val="single"/>
                      <w14:textFill>
                        <w14:solidFill>
                          <w14:schemeClr w14:val="tx1"/>
                        </w14:solidFill>
                      </w14:textFill>
                    </w:rPr>
                  </w:pPr>
                </w:p>
              </w:tc>
              <w:tc>
                <w:tcPr>
                  <w:tcW w:w="660" w:type="dxa"/>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SS</w:t>
                  </w:r>
                </w:p>
              </w:tc>
              <w:tc>
                <w:tcPr>
                  <w:tcW w:w="801" w:type="dxa"/>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79" w:type="dxa"/>
                  <w:vMerge w:val="continue"/>
                  <w:noWrap w:val="0"/>
                  <w:vAlign w:val="center"/>
                </w:tcPr>
                <w:p>
                  <w:pPr>
                    <w:pStyle w:val="76"/>
                    <w:rPr>
                      <w:color w:val="000000" w:themeColor="text1"/>
                      <w:szCs w:val="21"/>
                      <w:u w:val="single"/>
                      <w14:textFill>
                        <w14:solidFill>
                          <w14:schemeClr w14:val="tx1"/>
                        </w14:solidFill>
                      </w14:textFill>
                    </w:rPr>
                  </w:pPr>
                </w:p>
              </w:tc>
              <w:tc>
                <w:tcPr>
                  <w:tcW w:w="1325" w:type="dxa"/>
                  <w:vMerge w:val="continue"/>
                  <w:noWrap w:val="0"/>
                  <w:vAlign w:val="center"/>
                </w:tcPr>
                <w:p>
                  <w:pPr>
                    <w:pStyle w:val="76"/>
                    <w:rPr>
                      <w:color w:val="000000" w:themeColor="text1"/>
                      <w:szCs w:val="21"/>
                      <w:u w:val="single"/>
                      <w14:textFill>
                        <w14:solidFill>
                          <w14:schemeClr w14:val="tx1"/>
                        </w14:solidFill>
                      </w14:textFill>
                    </w:rPr>
                  </w:pPr>
                </w:p>
              </w:tc>
              <w:tc>
                <w:tcPr>
                  <w:tcW w:w="1222" w:type="dxa"/>
                  <w:vMerge w:val="continue"/>
                  <w:noWrap w:val="0"/>
                  <w:vAlign w:val="center"/>
                </w:tcPr>
                <w:p>
                  <w:pPr>
                    <w:pStyle w:val="76"/>
                    <w:rPr>
                      <w:color w:val="000000" w:themeColor="text1"/>
                      <w:szCs w:val="21"/>
                      <w:u w:val="single"/>
                      <w14:textFill>
                        <w14:solidFill>
                          <w14:schemeClr w14:val="tx1"/>
                        </w14:solidFill>
                      </w14:textFill>
                    </w:rPr>
                  </w:pPr>
                </w:p>
              </w:tc>
              <w:tc>
                <w:tcPr>
                  <w:tcW w:w="1097" w:type="dxa"/>
                  <w:vMerge w:val="continue"/>
                  <w:noWrap w:val="0"/>
                  <w:vAlign w:val="center"/>
                </w:tcPr>
                <w:p>
                  <w:pPr>
                    <w:pStyle w:val="76"/>
                    <w:rPr>
                      <w:color w:val="000000" w:themeColor="text1"/>
                      <w:szCs w:val="21"/>
                      <w:u w:val="single"/>
                      <w14:textFill>
                        <w14:solidFill>
                          <w14:schemeClr w14:val="tx1"/>
                        </w14:solidFill>
                      </w14:textFill>
                    </w:rPr>
                  </w:pPr>
                </w:p>
              </w:tc>
              <w:tc>
                <w:tcPr>
                  <w:tcW w:w="665" w:type="dxa"/>
                  <w:vMerge w:val="continue"/>
                  <w:noWrap w:val="0"/>
                  <w:vAlign w:val="center"/>
                </w:tcPr>
                <w:p>
                  <w:pPr>
                    <w:pStyle w:val="76"/>
                    <w:rPr>
                      <w:color w:val="000000" w:themeColor="text1"/>
                      <w:szCs w:val="21"/>
                      <w:u w:val="single"/>
                      <w14:textFill>
                        <w14:solidFill>
                          <w14:schemeClr w14:val="tx1"/>
                        </w14:solidFill>
                      </w14:textFill>
                    </w:rPr>
                  </w:pPr>
                </w:p>
              </w:tc>
              <w:tc>
                <w:tcPr>
                  <w:tcW w:w="594" w:type="dxa"/>
                  <w:vMerge w:val="continue"/>
                  <w:noWrap w:val="0"/>
                  <w:vAlign w:val="center"/>
                </w:tcPr>
                <w:p>
                  <w:pPr>
                    <w:pStyle w:val="76"/>
                    <w:rPr>
                      <w:color w:val="000000" w:themeColor="text1"/>
                      <w:szCs w:val="21"/>
                      <w:u w:val="single"/>
                      <w14:textFill>
                        <w14:solidFill>
                          <w14:schemeClr w14:val="tx1"/>
                        </w14:solidFill>
                      </w14:textFill>
                    </w:rPr>
                  </w:pPr>
                </w:p>
              </w:tc>
              <w:tc>
                <w:tcPr>
                  <w:tcW w:w="419" w:type="dxa"/>
                  <w:vMerge w:val="continue"/>
                  <w:noWrap w:val="0"/>
                  <w:vAlign w:val="center"/>
                </w:tcPr>
                <w:p>
                  <w:pPr>
                    <w:pStyle w:val="76"/>
                    <w:rPr>
                      <w:color w:val="000000" w:themeColor="text1"/>
                      <w:szCs w:val="21"/>
                      <w:u w:val="single"/>
                      <w14:textFill>
                        <w14:solidFill>
                          <w14:schemeClr w14:val="tx1"/>
                        </w14:solidFill>
                      </w14:textFill>
                    </w:rPr>
                  </w:pPr>
                </w:p>
              </w:tc>
              <w:tc>
                <w:tcPr>
                  <w:tcW w:w="697" w:type="dxa"/>
                  <w:vMerge w:val="continue"/>
                  <w:noWrap w:val="0"/>
                  <w:vAlign w:val="center"/>
                </w:tcPr>
                <w:p>
                  <w:pPr>
                    <w:pStyle w:val="76"/>
                    <w:rPr>
                      <w:color w:val="000000" w:themeColor="text1"/>
                      <w:szCs w:val="21"/>
                      <w:u w:val="single"/>
                      <w14:textFill>
                        <w14:solidFill>
                          <w14:schemeClr w14:val="tx1"/>
                        </w14:solidFill>
                      </w14:textFill>
                    </w:rPr>
                  </w:pPr>
                </w:p>
              </w:tc>
              <w:tc>
                <w:tcPr>
                  <w:tcW w:w="660" w:type="dxa"/>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氨氮</w:t>
                  </w:r>
                </w:p>
              </w:tc>
              <w:tc>
                <w:tcPr>
                  <w:tcW w:w="801" w:type="dxa"/>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79" w:type="dxa"/>
                  <w:vMerge w:val="continue"/>
                  <w:noWrap w:val="0"/>
                  <w:vAlign w:val="center"/>
                </w:tcPr>
                <w:p>
                  <w:pPr>
                    <w:pStyle w:val="76"/>
                    <w:rPr>
                      <w:color w:val="000000" w:themeColor="text1"/>
                      <w:szCs w:val="21"/>
                      <w:u w:val="single"/>
                      <w14:textFill>
                        <w14:solidFill>
                          <w14:schemeClr w14:val="tx1"/>
                        </w14:solidFill>
                      </w14:textFill>
                    </w:rPr>
                  </w:pPr>
                </w:p>
              </w:tc>
              <w:tc>
                <w:tcPr>
                  <w:tcW w:w="1325" w:type="dxa"/>
                  <w:vMerge w:val="continue"/>
                  <w:noWrap w:val="0"/>
                  <w:vAlign w:val="center"/>
                </w:tcPr>
                <w:p>
                  <w:pPr>
                    <w:pStyle w:val="76"/>
                    <w:rPr>
                      <w:color w:val="000000" w:themeColor="text1"/>
                      <w:szCs w:val="21"/>
                      <w:u w:val="single"/>
                      <w14:textFill>
                        <w14:solidFill>
                          <w14:schemeClr w14:val="tx1"/>
                        </w14:solidFill>
                      </w14:textFill>
                    </w:rPr>
                  </w:pPr>
                </w:p>
              </w:tc>
              <w:tc>
                <w:tcPr>
                  <w:tcW w:w="1222" w:type="dxa"/>
                  <w:vMerge w:val="continue"/>
                  <w:noWrap w:val="0"/>
                  <w:vAlign w:val="center"/>
                </w:tcPr>
                <w:p>
                  <w:pPr>
                    <w:pStyle w:val="76"/>
                    <w:rPr>
                      <w:color w:val="000000" w:themeColor="text1"/>
                      <w:szCs w:val="21"/>
                      <w:u w:val="single"/>
                      <w14:textFill>
                        <w14:solidFill>
                          <w14:schemeClr w14:val="tx1"/>
                        </w14:solidFill>
                      </w14:textFill>
                    </w:rPr>
                  </w:pPr>
                </w:p>
              </w:tc>
              <w:tc>
                <w:tcPr>
                  <w:tcW w:w="1097" w:type="dxa"/>
                  <w:vMerge w:val="continue"/>
                  <w:noWrap w:val="0"/>
                  <w:vAlign w:val="center"/>
                </w:tcPr>
                <w:p>
                  <w:pPr>
                    <w:pStyle w:val="76"/>
                    <w:rPr>
                      <w:color w:val="000000" w:themeColor="text1"/>
                      <w:szCs w:val="21"/>
                      <w:u w:val="single"/>
                      <w14:textFill>
                        <w14:solidFill>
                          <w14:schemeClr w14:val="tx1"/>
                        </w14:solidFill>
                      </w14:textFill>
                    </w:rPr>
                  </w:pPr>
                </w:p>
              </w:tc>
              <w:tc>
                <w:tcPr>
                  <w:tcW w:w="665" w:type="dxa"/>
                  <w:vMerge w:val="continue"/>
                  <w:noWrap w:val="0"/>
                  <w:vAlign w:val="center"/>
                </w:tcPr>
                <w:p>
                  <w:pPr>
                    <w:pStyle w:val="76"/>
                    <w:rPr>
                      <w:color w:val="000000" w:themeColor="text1"/>
                      <w:szCs w:val="21"/>
                      <w:u w:val="single"/>
                      <w14:textFill>
                        <w14:solidFill>
                          <w14:schemeClr w14:val="tx1"/>
                        </w14:solidFill>
                      </w14:textFill>
                    </w:rPr>
                  </w:pPr>
                </w:p>
              </w:tc>
              <w:tc>
                <w:tcPr>
                  <w:tcW w:w="594" w:type="dxa"/>
                  <w:vMerge w:val="continue"/>
                  <w:noWrap w:val="0"/>
                  <w:vAlign w:val="center"/>
                </w:tcPr>
                <w:p>
                  <w:pPr>
                    <w:pStyle w:val="76"/>
                    <w:rPr>
                      <w:color w:val="000000" w:themeColor="text1"/>
                      <w:szCs w:val="21"/>
                      <w:u w:val="single"/>
                      <w14:textFill>
                        <w14:solidFill>
                          <w14:schemeClr w14:val="tx1"/>
                        </w14:solidFill>
                      </w14:textFill>
                    </w:rPr>
                  </w:pPr>
                </w:p>
              </w:tc>
              <w:tc>
                <w:tcPr>
                  <w:tcW w:w="419" w:type="dxa"/>
                  <w:vMerge w:val="continue"/>
                  <w:noWrap w:val="0"/>
                  <w:vAlign w:val="center"/>
                </w:tcPr>
                <w:p>
                  <w:pPr>
                    <w:pStyle w:val="76"/>
                    <w:rPr>
                      <w:color w:val="000000" w:themeColor="text1"/>
                      <w:szCs w:val="21"/>
                      <w:u w:val="single"/>
                      <w14:textFill>
                        <w14:solidFill>
                          <w14:schemeClr w14:val="tx1"/>
                        </w14:solidFill>
                      </w14:textFill>
                    </w:rPr>
                  </w:pPr>
                </w:p>
              </w:tc>
              <w:tc>
                <w:tcPr>
                  <w:tcW w:w="697" w:type="dxa"/>
                  <w:vMerge w:val="continue"/>
                  <w:noWrap w:val="0"/>
                  <w:vAlign w:val="center"/>
                </w:tcPr>
                <w:p>
                  <w:pPr>
                    <w:pStyle w:val="76"/>
                    <w:rPr>
                      <w:color w:val="000000" w:themeColor="text1"/>
                      <w:szCs w:val="21"/>
                      <w:u w:val="single"/>
                      <w14:textFill>
                        <w14:solidFill>
                          <w14:schemeClr w14:val="tx1"/>
                        </w14:solidFill>
                      </w14:textFill>
                    </w:rPr>
                  </w:pPr>
                </w:p>
              </w:tc>
              <w:tc>
                <w:tcPr>
                  <w:tcW w:w="660" w:type="dxa"/>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BOD</w:t>
                  </w:r>
                  <w:r>
                    <w:rPr>
                      <w:color w:val="000000" w:themeColor="text1"/>
                      <w:u w:val="single"/>
                      <w:vertAlign w:val="subscript"/>
                      <w14:textFill>
                        <w14:solidFill>
                          <w14:schemeClr w14:val="tx1"/>
                        </w14:solidFill>
                      </w14:textFill>
                    </w:rPr>
                    <w:t>5</w:t>
                  </w:r>
                </w:p>
              </w:tc>
              <w:tc>
                <w:tcPr>
                  <w:tcW w:w="801" w:type="dxa"/>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u w:val="single"/>
                      <w14:textFill>
                        <w14:solidFill>
                          <w14:schemeClr w14:val="tx1"/>
                        </w14:solidFill>
                      </w14:textFill>
                    </w:rPr>
                    <w:t>10</w:t>
                  </w:r>
                </w:p>
              </w:tc>
            </w:tr>
          </w:tbl>
          <w:p>
            <w:pPr>
              <w:widowControl/>
              <w:adjustRightInd w:val="0"/>
              <w:snapToGrid w:val="0"/>
              <w:ind w:firstLine="422" w:firstLineChars="200"/>
              <w:jc w:val="center"/>
              <w:rPr>
                <w:b/>
                <w:color w:val="000000" w:themeColor="text1"/>
                <w:kern w:val="0"/>
                <w:szCs w:val="21"/>
                <w:u w:val="single"/>
                <w14:textFill>
                  <w14:solidFill>
                    <w14:schemeClr w14:val="tx1"/>
                  </w14:solidFill>
                </w14:textFill>
              </w:rPr>
            </w:pPr>
          </w:p>
          <w:p>
            <w:pPr>
              <w:widowControl/>
              <w:adjustRightInd w:val="0"/>
              <w:snapToGrid w:val="0"/>
              <w:ind w:firstLine="422" w:firstLineChars="200"/>
              <w:jc w:val="center"/>
              <w:rPr>
                <w:b/>
                <w:color w:val="000000" w:themeColor="text1"/>
                <w:kern w:val="0"/>
                <w:szCs w:val="21"/>
                <w:u w:val="single"/>
                <w14:textFill>
                  <w14:solidFill>
                    <w14:schemeClr w14:val="tx1"/>
                  </w14:solidFill>
                </w14:textFill>
              </w:rPr>
            </w:pPr>
            <w:r>
              <w:rPr>
                <w:b/>
                <w:color w:val="000000" w:themeColor="text1"/>
                <w:kern w:val="0"/>
                <w:szCs w:val="21"/>
                <w:u w:val="single"/>
                <w14:textFill>
                  <w14:solidFill>
                    <w14:schemeClr w14:val="tx1"/>
                  </w14:solidFill>
                </w14:textFill>
              </w:rPr>
              <w:t>表4-5   废水污染物排放执行标准表</w:t>
            </w:r>
          </w:p>
          <w:tbl>
            <w:tblPr>
              <w:tblStyle w:val="23"/>
              <w:tblW w:w="8162"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803"/>
              <w:gridCol w:w="1532"/>
              <w:gridCol w:w="1092"/>
              <w:gridCol w:w="2360"/>
              <w:gridCol w:w="2375"/>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8" w:hRule="atLeast"/>
                <w:jc w:val="center"/>
              </w:trPr>
              <w:tc>
                <w:tcPr>
                  <w:tcW w:w="803" w:type="dxa"/>
                  <w:vMerge w:val="restar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1532" w:type="dxa"/>
                  <w:vMerge w:val="restar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排放口编号</w:t>
                  </w:r>
                </w:p>
              </w:tc>
              <w:tc>
                <w:tcPr>
                  <w:tcW w:w="1092" w:type="dxa"/>
                  <w:vMerge w:val="restar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污染物种类</w:t>
                  </w:r>
                </w:p>
              </w:tc>
              <w:tc>
                <w:tcPr>
                  <w:tcW w:w="4735" w:type="dxa"/>
                  <w:gridSpan w:val="2"/>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国家或地方污染物排放标准及其他按规定商定的排放协议</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8" w:hRule="atLeast"/>
                <w:jc w:val="center"/>
              </w:trPr>
              <w:tc>
                <w:tcPr>
                  <w:tcW w:w="803" w:type="dxa"/>
                  <w:vMerge w:val="continue"/>
                  <w:noWrap w:val="0"/>
                  <w:vAlign w:val="center"/>
                </w:tcPr>
                <w:p>
                  <w:pPr>
                    <w:widowControl/>
                    <w:jc w:val="left"/>
                    <w:rPr>
                      <w:color w:val="000000" w:themeColor="text1"/>
                      <w:szCs w:val="21"/>
                      <w:u w:val="single"/>
                      <w14:textFill>
                        <w14:solidFill>
                          <w14:schemeClr w14:val="tx1"/>
                        </w14:solidFill>
                      </w14:textFill>
                    </w:rPr>
                  </w:pPr>
                </w:p>
              </w:tc>
              <w:tc>
                <w:tcPr>
                  <w:tcW w:w="1532" w:type="dxa"/>
                  <w:vMerge w:val="continue"/>
                  <w:noWrap w:val="0"/>
                  <w:vAlign w:val="center"/>
                </w:tcPr>
                <w:p>
                  <w:pPr>
                    <w:widowControl/>
                    <w:jc w:val="left"/>
                    <w:rPr>
                      <w:color w:val="000000" w:themeColor="text1"/>
                      <w:szCs w:val="21"/>
                      <w:u w:val="single"/>
                      <w14:textFill>
                        <w14:solidFill>
                          <w14:schemeClr w14:val="tx1"/>
                        </w14:solidFill>
                      </w14:textFill>
                    </w:rPr>
                  </w:pPr>
                </w:p>
              </w:tc>
              <w:tc>
                <w:tcPr>
                  <w:tcW w:w="1092" w:type="dxa"/>
                  <w:vMerge w:val="continue"/>
                  <w:noWrap w:val="0"/>
                  <w:vAlign w:val="center"/>
                </w:tcPr>
                <w:p>
                  <w:pPr>
                    <w:widowControl/>
                    <w:jc w:val="left"/>
                    <w:rPr>
                      <w:color w:val="000000" w:themeColor="text1"/>
                      <w:szCs w:val="21"/>
                      <w:u w:val="single"/>
                      <w14:textFill>
                        <w14:solidFill>
                          <w14:schemeClr w14:val="tx1"/>
                        </w14:solidFill>
                      </w14:textFill>
                    </w:rPr>
                  </w:pPr>
                </w:p>
              </w:tc>
              <w:tc>
                <w:tcPr>
                  <w:tcW w:w="2360"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名称</w:t>
                  </w:r>
                </w:p>
              </w:tc>
              <w:tc>
                <w:tcPr>
                  <w:tcW w:w="2375"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浓度限值/(mg/L)</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8" w:hRule="atLeast"/>
                <w:jc w:val="center"/>
              </w:trPr>
              <w:tc>
                <w:tcPr>
                  <w:tcW w:w="803" w:type="dxa"/>
                  <w:vMerge w:val="restar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w:t>
                  </w:r>
                </w:p>
              </w:tc>
              <w:tc>
                <w:tcPr>
                  <w:tcW w:w="1532" w:type="dxa"/>
                  <w:vMerge w:val="restar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DW001</w:t>
                  </w:r>
                </w:p>
              </w:tc>
              <w:tc>
                <w:tcPr>
                  <w:tcW w:w="1092"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COD</w:t>
                  </w:r>
                </w:p>
              </w:tc>
              <w:tc>
                <w:tcPr>
                  <w:tcW w:w="2360" w:type="dxa"/>
                  <w:vMerge w:val="restart"/>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《污水综合排放标准》（GB8978-1996）</w:t>
                  </w:r>
                </w:p>
              </w:tc>
              <w:tc>
                <w:tcPr>
                  <w:tcW w:w="2375"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500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8" w:hRule="atLeast"/>
                <w:jc w:val="center"/>
              </w:trPr>
              <w:tc>
                <w:tcPr>
                  <w:tcW w:w="803" w:type="dxa"/>
                  <w:vMerge w:val="continue"/>
                  <w:noWrap w:val="0"/>
                  <w:vAlign w:val="center"/>
                </w:tcPr>
                <w:p>
                  <w:pPr>
                    <w:widowControl/>
                    <w:jc w:val="left"/>
                    <w:rPr>
                      <w:color w:val="000000" w:themeColor="text1"/>
                      <w:szCs w:val="21"/>
                      <w:u w:val="single"/>
                      <w14:textFill>
                        <w14:solidFill>
                          <w14:schemeClr w14:val="tx1"/>
                        </w14:solidFill>
                      </w14:textFill>
                    </w:rPr>
                  </w:pPr>
                </w:p>
              </w:tc>
              <w:tc>
                <w:tcPr>
                  <w:tcW w:w="1532" w:type="dxa"/>
                  <w:vMerge w:val="continue"/>
                  <w:noWrap w:val="0"/>
                  <w:vAlign w:val="center"/>
                </w:tcPr>
                <w:p>
                  <w:pPr>
                    <w:widowControl/>
                    <w:jc w:val="left"/>
                    <w:rPr>
                      <w:color w:val="000000" w:themeColor="text1"/>
                      <w:szCs w:val="21"/>
                      <w:u w:val="single"/>
                      <w14:textFill>
                        <w14:solidFill>
                          <w14:schemeClr w14:val="tx1"/>
                        </w14:solidFill>
                      </w14:textFill>
                    </w:rPr>
                  </w:pPr>
                </w:p>
              </w:tc>
              <w:tc>
                <w:tcPr>
                  <w:tcW w:w="1092"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BOD</w:t>
                  </w:r>
                  <w:r>
                    <w:rPr>
                      <w:color w:val="000000" w:themeColor="text1"/>
                      <w:szCs w:val="21"/>
                      <w:u w:val="single"/>
                      <w:vertAlign w:val="subscript"/>
                      <w14:textFill>
                        <w14:solidFill>
                          <w14:schemeClr w14:val="tx1"/>
                        </w14:solidFill>
                      </w14:textFill>
                    </w:rPr>
                    <w:t>5</w:t>
                  </w:r>
                </w:p>
              </w:tc>
              <w:tc>
                <w:tcPr>
                  <w:tcW w:w="2360" w:type="dxa"/>
                  <w:vMerge w:val="continue"/>
                  <w:noWrap w:val="0"/>
                  <w:vAlign w:val="center"/>
                </w:tcPr>
                <w:p>
                  <w:pPr>
                    <w:widowControl/>
                    <w:jc w:val="left"/>
                    <w:rPr>
                      <w:color w:val="000000" w:themeColor="text1"/>
                      <w:szCs w:val="21"/>
                      <w:u w:val="single"/>
                      <w14:textFill>
                        <w14:solidFill>
                          <w14:schemeClr w14:val="tx1"/>
                        </w14:solidFill>
                      </w14:textFill>
                    </w:rPr>
                  </w:pPr>
                </w:p>
              </w:tc>
              <w:tc>
                <w:tcPr>
                  <w:tcW w:w="2375"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300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8" w:hRule="atLeast"/>
                <w:jc w:val="center"/>
              </w:trPr>
              <w:tc>
                <w:tcPr>
                  <w:tcW w:w="803" w:type="dxa"/>
                  <w:vMerge w:val="continue"/>
                  <w:noWrap w:val="0"/>
                  <w:vAlign w:val="center"/>
                </w:tcPr>
                <w:p>
                  <w:pPr>
                    <w:widowControl/>
                    <w:jc w:val="left"/>
                    <w:rPr>
                      <w:color w:val="000000" w:themeColor="text1"/>
                      <w:szCs w:val="21"/>
                      <w:u w:val="single"/>
                      <w14:textFill>
                        <w14:solidFill>
                          <w14:schemeClr w14:val="tx1"/>
                        </w14:solidFill>
                      </w14:textFill>
                    </w:rPr>
                  </w:pPr>
                </w:p>
              </w:tc>
              <w:tc>
                <w:tcPr>
                  <w:tcW w:w="1532" w:type="dxa"/>
                  <w:vMerge w:val="continue"/>
                  <w:noWrap w:val="0"/>
                  <w:vAlign w:val="center"/>
                </w:tcPr>
                <w:p>
                  <w:pPr>
                    <w:widowControl/>
                    <w:jc w:val="left"/>
                    <w:rPr>
                      <w:color w:val="000000" w:themeColor="text1"/>
                      <w:szCs w:val="21"/>
                      <w:u w:val="single"/>
                      <w14:textFill>
                        <w14:solidFill>
                          <w14:schemeClr w14:val="tx1"/>
                        </w14:solidFill>
                      </w14:textFill>
                    </w:rPr>
                  </w:pPr>
                </w:p>
              </w:tc>
              <w:tc>
                <w:tcPr>
                  <w:tcW w:w="1092"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SS</w:t>
                  </w:r>
                </w:p>
              </w:tc>
              <w:tc>
                <w:tcPr>
                  <w:tcW w:w="2360" w:type="dxa"/>
                  <w:vMerge w:val="continue"/>
                  <w:noWrap w:val="0"/>
                  <w:vAlign w:val="center"/>
                </w:tcPr>
                <w:p>
                  <w:pPr>
                    <w:widowControl/>
                    <w:jc w:val="left"/>
                    <w:rPr>
                      <w:color w:val="000000" w:themeColor="text1"/>
                      <w:szCs w:val="21"/>
                      <w:u w:val="single"/>
                      <w14:textFill>
                        <w14:solidFill>
                          <w14:schemeClr w14:val="tx1"/>
                        </w14:solidFill>
                      </w14:textFill>
                    </w:rPr>
                  </w:pPr>
                </w:p>
              </w:tc>
              <w:tc>
                <w:tcPr>
                  <w:tcW w:w="2375"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400</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38" w:hRule="atLeast"/>
                <w:jc w:val="center"/>
              </w:trPr>
              <w:tc>
                <w:tcPr>
                  <w:tcW w:w="803" w:type="dxa"/>
                  <w:vMerge w:val="continue"/>
                  <w:noWrap w:val="0"/>
                  <w:vAlign w:val="center"/>
                </w:tcPr>
                <w:p>
                  <w:pPr>
                    <w:widowControl/>
                    <w:jc w:val="left"/>
                    <w:rPr>
                      <w:color w:val="000000" w:themeColor="text1"/>
                      <w:szCs w:val="21"/>
                      <w:u w:val="single"/>
                      <w14:textFill>
                        <w14:solidFill>
                          <w14:schemeClr w14:val="tx1"/>
                        </w14:solidFill>
                      </w14:textFill>
                    </w:rPr>
                  </w:pPr>
                </w:p>
              </w:tc>
              <w:tc>
                <w:tcPr>
                  <w:tcW w:w="1532" w:type="dxa"/>
                  <w:vMerge w:val="continue"/>
                  <w:noWrap w:val="0"/>
                  <w:vAlign w:val="center"/>
                </w:tcPr>
                <w:p>
                  <w:pPr>
                    <w:widowControl/>
                    <w:jc w:val="left"/>
                    <w:rPr>
                      <w:color w:val="000000" w:themeColor="text1"/>
                      <w:szCs w:val="21"/>
                      <w:u w:val="single"/>
                      <w14:textFill>
                        <w14:solidFill>
                          <w14:schemeClr w14:val="tx1"/>
                        </w14:solidFill>
                      </w14:textFill>
                    </w:rPr>
                  </w:pPr>
                </w:p>
              </w:tc>
              <w:tc>
                <w:tcPr>
                  <w:tcW w:w="1092"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氨氮</w:t>
                  </w:r>
                </w:p>
              </w:tc>
              <w:tc>
                <w:tcPr>
                  <w:tcW w:w="2360" w:type="dxa"/>
                  <w:vMerge w:val="continue"/>
                  <w:noWrap w:val="0"/>
                  <w:vAlign w:val="center"/>
                </w:tcPr>
                <w:p>
                  <w:pPr>
                    <w:widowControl/>
                    <w:jc w:val="left"/>
                    <w:rPr>
                      <w:color w:val="000000" w:themeColor="text1"/>
                      <w:szCs w:val="21"/>
                      <w:u w:val="single"/>
                      <w14:textFill>
                        <w14:solidFill>
                          <w14:schemeClr w14:val="tx1"/>
                        </w14:solidFill>
                      </w14:textFill>
                    </w:rPr>
                  </w:pPr>
                </w:p>
              </w:tc>
              <w:tc>
                <w:tcPr>
                  <w:tcW w:w="2375" w:type="dxa"/>
                  <w:noWrap w:val="0"/>
                  <w:vAlign w:val="center"/>
                </w:tcPr>
                <w:p>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r>
          </w:tbl>
          <w:p>
            <w:pPr>
              <w:adjustRightInd w:val="0"/>
              <w:snapToGrid w:val="0"/>
              <w:jc w:val="center"/>
              <w:rPr>
                <w:b/>
                <w:bCs/>
                <w:color w:val="000000" w:themeColor="text1"/>
                <w:szCs w:val="21"/>
                <w:u w:val="single"/>
                <w14:textFill>
                  <w14:solidFill>
                    <w14:schemeClr w14:val="tx1"/>
                  </w14:solidFill>
                </w14:textFill>
              </w:rPr>
            </w:pPr>
          </w:p>
          <w:p>
            <w:pPr>
              <w:adjustRightInd w:val="0"/>
              <w:snapToGrid w:val="0"/>
              <w:jc w:val="center"/>
              <w:rPr>
                <w:b/>
                <w:bCs/>
                <w:color w:val="000000" w:themeColor="text1"/>
                <w:szCs w:val="21"/>
                <w:u w:val="single"/>
                <w14:textFill>
                  <w14:solidFill>
                    <w14:schemeClr w14:val="tx1"/>
                  </w14:solidFill>
                </w14:textFill>
              </w:rPr>
            </w:pPr>
          </w:p>
          <w:p>
            <w:pPr>
              <w:adjustRightInd w:val="0"/>
              <w:snapToGrid w:val="0"/>
              <w:jc w:val="center"/>
              <w:rPr>
                <w:b/>
                <w:bCs/>
                <w:color w:val="000000" w:themeColor="text1"/>
                <w:szCs w:val="21"/>
                <w:u w:val="single"/>
                <w14:textFill>
                  <w14:solidFill>
                    <w14:schemeClr w14:val="tx1"/>
                  </w14:solidFill>
                </w14:textFill>
              </w:rPr>
            </w:pPr>
          </w:p>
          <w:p>
            <w:pPr>
              <w:adjustRightInd w:val="0"/>
              <w:snapToGrid w:val="0"/>
              <w:jc w:val="center"/>
              <w:rPr>
                <w:b/>
                <w:bCs/>
                <w:color w:val="000000" w:themeColor="text1"/>
                <w:szCs w:val="21"/>
                <w:u w:val="single"/>
                <w14:textFill>
                  <w14:solidFill>
                    <w14:schemeClr w14:val="tx1"/>
                  </w14:solidFill>
                </w14:textFill>
              </w:rPr>
            </w:pPr>
          </w:p>
          <w:p>
            <w:pPr>
              <w:adjustRightInd w:val="0"/>
              <w:snapToGrid w:val="0"/>
              <w:jc w:val="center"/>
              <w:rPr>
                <w:b/>
                <w:bCs/>
                <w:color w:val="000000" w:themeColor="text1"/>
                <w:szCs w:val="21"/>
                <w:u w:val="single"/>
                <w14:textFill>
                  <w14:solidFill>
                    <w14:schemeClr w14:val="tx1"/>
                  </w14:solidFill>
                </w14:textFill>
              </w:rPr>
            </w:pPr>
          </w:p>
          <w:p>
            <w:pPr>
              <w:adjustRightInd w:val="0"/>
              <w:snapToGrid w:val="0"/>
              <w:jc w:val="center"/>
              <w:rPr>
                <w:b/>
                <w:bCs/>
                <w:color w:val="000000" w:themeColor="text1"/>
                <w:szCs w:val="21"/>
                <w:u w:val="single"/>
                <w14:textFill>
                  <w14:solidFill>
                    <w14:schemeClr w14:val="tx1"/>
                  </w14:solidFill>
                </w14:textFill>
              </w:rPr>
            </w:pPr>
          </w:p>
          <w:p>
            <w:pPr>
              <w:adjustRightInd w:val="0"/>
              <w:snapToGrid w:val="0"/>
              <w:jc w:val="center"/>
              <w:rPr>
                <w:b/>
                <w:bCs/>
                <w:color w:val="000000" w:themeColor="text1"/>
                <w:szCs w:val="21"/>
                <w:u w:val="single"/>
                <w14:textFill>
                  <w14:solidFill>
                    <w14:schemeClr w14:val="tx1"/>
                  </w14:solidFill>
                </w14:textFill>
              </w:rPr>
            </w:pPr>
            <w:r>
              <w:rPr>
                <w:b/>
                <w:bCs/>
                <w:color w:val="000000" w:themeColor="text1"/>
                <w:szCs w:val="21"/>
                <w:u w:val="single"/>
                <w14:textFill>
                  <w14:solidFill>
                    <w14:schemeClr w14:val="tx1"/>
                  </w14:solidFill>
                </w14:textFill>
              </w:rPr>
              <w:t>表4-6  废水污染物排放信息表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1143"/>
              <w:gridCol w:w="1400"/>
              <w:gridCol w:w="1218"/>
              <w:gridCol w:w="1404"/>
              <w:gridCol w:w="1180"/>
              <w:gridCol w:w="1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692"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1143"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排放口编号</w:t>
                  </w:r>
                </w:p>
              </w:tc>
              <w:tc>
                <w:tcPr>
                  <w:tcW w:w="1400"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污染物种类</w:t>
                  </w:r>
                </w:p>
              </w:tc>
              <w:tc>
                <w:tcPr>
                  <w:tcW w:w="1218" w:type="dxa"/>
                  <w:noWrap w:val="0"/>
                  <w:vAlign w:val="center"/>
                </w:tcPr>
                <w:p>
                  <w:pPr>
                    <w:pStyle w:val="77"/>
                    <w:spacing w:line="240" w:lineRule="auto"/>
                    <w:ind w:firstLine="0" w:firstLineChars="0"/>
                    <w:jc w:val="center"/>
                    <w:rPr>
                      <w:rFonts w:ascii="Times New Roman" w:hAnsi="Times New Roman"/>
                      <w:color w:val="000000" w:themeColor="text1"/>
                      <w:szCs w:val="21"/>
                      <w:u w:val="single"/>
                      <w14:textFill>
                        <w14:solidFill>
                          <w14:schemeClr w14:val="tx1"/>
                        </w14:solidFill>
                      </w14:textFill>
                    </w:rPr>
                  </w:pPr>
                  <w:r>
                    <w:rPr>
                      <w:rFonts w:ascii="Times New Roman" w:hAnsi="Times New Roman"/>
                      <w:color w:val="000000" w:themeColor="text1"/>
                      <w:sz w:val="21"/>
                      <w:u w:val="single"/>
                      <w14:textFill>
                        <w14:solidFill>
                          <w14:schemeClr w14:val="tx1"/>
                        </w14:solidFill>
                      </w14:textFill>
                    </w:rPr>
                    <w:t>新增日排放量（t/d）</w:t>
                  </w:r>
                </w:p>
              </w:tc>
              <w:tc>
                <w:tcPr>
                  <w:tcW w:w="1404" w:type="dxa"/>
                  <w:noWrap w:val="0"/>
                  <w:vAlign w:val="center"/>
                </w:tcPr>
                <w:p>
                  <w:pPr>
                    <w:pStyle w:val="77"/>
                    <w:spacing w:line="240" w:lineRule="auto"/>
                    <w:ind w:firstLine="0" w:firstLineChars="0"/>
                    <w:jc w:val="center"/>
                    <w:rPr>
                      <w:rFonts w:ascii="Times New Roman" w:hAnsi="Times New Roman"/>
                      <w:color w:val="000000" w:themeColor="text1"/>
                      <w:szCs w:val="21"/>
                      <w:u w:val="single"/>
                      <w14:textFill>
                        <w14:solidFill>
                          <w14:schemeClr w14:val="tx1"/>
                        </w14:solidFill>
                      </w14:textFill>
                    </w:rPr>
                  </w:pPr>
                  <w:r>
                    <w:rPr>
                      <w:rFonts w:ascii="Times New Roman" w:hAnsi="Times New Roman"/>
                      <w:color w:val="000000" w:themeColor="text1"/>
                      <w:sz w:val="21"/>
                      <w:u w:val="single"/>
                      <w14:textFill>
                        <w14:solidFill>
                          <w14:schemeClr w14:val="tx1"/>
                        </w14:solidFill>
                      </w14:textFill>
                    </w:rPr>
                    <w:t>全厂日排放量（t/d）</w:t>
                  </w:r>
                </w:p>
              </w:tc>
              <w:tc>
                <w:tcPr>
                  <w:tcW w:w="1180" w:type="dxa"/>
                  <w:noWrap w:val="0"/>
                  <w:vAlign w:val="center"/>
                </w:tcPr>
                <w:p>
                  <w:pPr>
                    <w:pStyle w:val="77"/>
                    <w:spacing w:line="240" w:lineRule="auto"/>
                    <w:ind w:firstLine="0" w:firstLineChars="0"/>
                    <w:jc w:val="center"/>
                    <w:rPr>
                      <w:rFonts w:ascii="Times New Roman" w:hAnsi="Times New Roman"/>
                      <w:color w:val="000000" w:themeColor="text1"/>
                      <w:szCs w:val="21"/>
                      <w:u w:val="single"/>
                      <w14:textFill>
                        <w14:solidFill>
                          <w14:schemeClr w14:val="tx1"/>
                        </w14:solidFill>
                      </w14:textFill>
                    </w:rPr>
                  </w:pPr>
                  <w:r>
                    <w:rPr>
                      <w:rFonts w:ascii="Times New Roman" w:hAnsi="Times New Roman"/>
                      <w:color w:val="000000" w:themeColor="text1"/>
                      <w:sz w:val="21"/>
                      <w:u w:val="single"/>
                      <w14:textFill>
                        <w14:solidFill>
                          <w14:schemeClr w14:val="tx1"/>
                        </w14:solidFill>
                      </w14:textFill>
                    </w:rPr>
                    <w:t>新增年排放量（t/a）</w:t>
                  </w:r>
                </w:p>
              </w:tc>
              <w:tc>
                <w:tcPr>
                  <w:tcW w:w="1177" w:type="dxa"/>
                  <w:noWrap w:val="0"/>
                  <w:vAlign w:val="center"/>
                </w:tcPr>
                <w:p>
                  <w:pPr>
                    <w:pStyle w:val="77"/>
                    <w:spacing w:line="240" w:lineRule="auto"/>
                    <w:ind w:firstLine="0" w:firstLineChars="0"/>
                    <w:jc w:val="center"/>
                    <w:rPr>
                      <w:rFonts w:ascii="Times New Roman" w:hAnsi="Times New Roman"/>
                      <w:color w:val="000000" w:themeColor="text1"/>
                      <w:szCs w:val="21"/>
                      <w:u w:val="single"/>
                      <w14:textFill>
                        <w14:solidFill>
                          <w14:schemeClr w14:val="tx1"/>
                        </w14:solidFill>
                      </w14:textFill>
                    </w:rPr>
                  </w:pPr>
                  <w:r>
                    <w:rPr>
                      <w:rFonts w:ascii="Times New Roman" w:hAnsi="Times New Roman"/>
                      <w:color w:val="000000" w:themeColor="text1"/>
                      <w:sz w:val="21"/>
                      <w:u w:val="single"/>
                      <w14:textFill>
                        <w14:solidFill>
                          <w14:schemeClr w14:val="tx1"/>
                        </w14:solidFill>
                      </w14:textFill>
                    </w:rPr>
                    <w:t>全厂年排放量（t/a）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92" w:type="dxa"/>
                  <w:vMerge w:val="restart"/>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w:t>
                  </w:r>
                </w:p>
              </w:tc>
              <w:tc>
                <w:tcPr>
                  <w:tcW w:w="1143" w:type="dxa"/>
                  <w:vMerge w:val="restart"/>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DW001</w:t>
                  </w:r>
                </w:p>
              </w:tc>
              <w:tc>
                <w:tcPr>
                  <w:tcW w:w="1400"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COD</w:t>
                  </w:r>
                </w:p>
              </w:tc>
              <w:tc>
                <w:tcPr>
                  <w:tcW w:w="1218"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1404"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0.00203</w:t>
                  </w:r>
                </w:p>
              </w:tc>
              <w:tc>
                <w:tcPr>
                  <w:tcW w:w="1180"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1177"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92" w:type="dxa"/>
                  <w:vMerge w:val="continue"/>
                  <w:noWrap w:val="0"/>
                  <w:vAlign w:val="center"/>
                </w:tcPr>
                <w:p>
                  <w:pPr>
                    <w:pStyle w:val="76"/>
                    <w:rPr>
                      <w:color w:val="000000" w:themeColor="text1"/>
                      <w:szCs w:val="21"/>
                      <w:u w:val="single"/>
                      <w14:textFill>
                        <w14:solidFill>
                          <w14:schemeClr w14:val="tx1"/>
                        </w14:solidFill>
                      </w14:textFill>
                    </w:rPr>
                  </w:pPr>
                </w:p>
              </w:tc>
              <w:tc>
                <w:tcPr>
                  <w:tcW w:w="1143" w:type="dxa"/>
                  <w:vMerge w:val="continue"/>
                  <w:noWrap w:val="0"/>
                  <w:vAlign w:val="center"/>
                </w:tcPr>
                <w:p>
                  <w:pPr>
                    <w:pStyle w:val="76"/>
                    <w:rPr>
                      <w:color w:val="000000" w:themeColor="text1"/>
                      <w:szCs w:val="21"/>
                      <w:u w:val="single"/>
                      <w14:textFill>
                        <w14:solidFill>
                          <w14:schemeClr w14:val="tx1"/>
                        </w14:solidFill>
                      </w14:textFill>
                    </w:rPr>
                  </w:pPr>
                </w:p>
              </w:tc>
              <w:tc>
                <w:tcPr>
                  <w:tcW w:w="1400"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NH</w:t>
                  </w:r>
                  <w:r>
                    <w:rPr>
                      <w:color w:val="000000" w:themeColor="text1"/>
                      <w:szCs w:val="21"/>
                      <w:u w:val="single"/>
                      <w:vertAlign w:val="subscript"/>
                      <w14:textFill>
                        <w14:solidFill>
                          <w14:schemeClr w14:val="tx1"/>
                        </w14:solidFill>
                      </w14:textFill>
                    </w:rPr>
                    <w:t>3</w:t>
                  </w:r>
                  <w:r>
                    <w:rPr>
                      <w:color w:val="000000" w:themeColor="text1"/>
                      <w:szCs w:val="21"/>
                      <w:u w:val="single"/>
                      <w14:textFill>
                        <w14:solidFill>
                          <w14:schemeClr w14:val="tx1"/>
                        </w14:solidFill>
                      </w14:textFill>
                    </w:rPr>
                    <w:t>-N</w:t>
                  </w:r>
                </w:p>
              </w:tc>
              <w:tc>
                <w:tcPr>
                  <w:tcW w:w="1218"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1404" w:type="dxa"/>
                  <w:noWrap w:val="0"/>
                  <w:vAlign w:val="center"/>
                </w:tcPr>
                <w:p>
                  <w:pPr>
                    <w:widowControl/>
                    <w:jc w:val="center"/>
                    <w:textAlignment w:val="center"/>
                    <w:rPr>
                      <w:rFonts w:hint="eastAsia"/>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0.000</w:t>
                  </w:r>
                  <w:r>
                    <w:rPr>
                      <w:rFonts w:hint="eastAsia"/>
                      <w:color w:val="000000" w:themeColor="text1"/>
                      <w:szCs w:val="21"/>
                      <w:u w:val="single"/>
                      <w14:textFill>
                        <w14:solidFill>
                          <w14:schemeClr w14:val="tx1"/>
                        </w14:solidFill>
                      </w14:textFill>
                    </w:rPr>
                    <w:t>2</w:t>
                  </w:r>
                </w:p>
              </w:tc>
              <w:tc>
                <w:tcPr>
                  <w:tcW w:w="1180"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1177"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92" w:type="dxa"/>
                  <w:vMerge w:val="continue"/>
                  <w:noWrap w:val="0"/>
                  <w:vAlign w:val="center"/>
                </w:tcPr>
                <w:p>
                  <w:pPr>
                    <w:pStyle w:val="76"/>
                    <w:rPr>
                      <w:color w:val="000000" w:themeColor="text1"/>
                      <w:szCs w:val="21"/>
                      <w:u w:val="single"/>
                      <w14:textFill>
                        <w14:solidFill>
                          <w14:schemeClr w14:val="tx1"/>
                        </w14:solidFill>
                      </w14:textFill>
                    </w:rPr>
                  </w:pPr>
                </w:p>
              </w:tc>
              <w:tc>
                <w:tcPr>
                  <w:tcW w:w="1143" w:type="dxa"/>
                  <w:vMerge w:val="continue"/>
                  <w:noWrap w:val="0"/>
                  <w:vAlign w:val="center"/>
                </w:tcPr>
                <w:p>
                  <w:pPr>
                    <w:pStyle w:val="76"/>
                    <w:rPr>
                      <w:color w:val="000000" w:themeColor="text1"/>
                      <w:szCs w:val="21"/>
                      <w:u w:val="single"/>
                      <w14:textFill>
                        <w14:solidFill>
                          <w14:schemeClr w14:val="tx1"/>
                        </w14:solidFill>
                      </w14:textFill>
                    </w:rPr>
                  </w:pPr>
                </w:p>
              </w:tc>
              <w:tc>
                <w:tcPr>
                  <w:tcW w:w="1400" w:type="dxa"/>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BOD</w:t>
                  </w:r>
                  <w:r>
                    <w:rPr>
                      <w:color w:val="000000" w:themeColor="text1"/>
                      <w:szCs w:val="21"/>
                      <w:u w:val="single"/>
                      <w:vertAlign w:val="subscript"/>
                      <w14:textFill>
                        <w14:solidFill>
                          <w14:schemeClr w14:val="tx1"/>
                        </w14:solidFill>
                      </w14:textFill>
                    </w:rPr>
                    <w:t>5</w:t>
                  </w:r>
                </w:p>
              </w:tc>
              <w:tc>
                <w:tcPr>
                  <w:tcW w:w="1218" w:type="dxa"/>
                  <w:noWrap w:val="0"/>
                  <w:vAlign w:val="center"/>
                </w:tcPr>
                <w:p>
                  <w:pPr>
                    <w:pStyle w:val="76"/>
                    <w:rPr>
                      <w:color w:val="000000" w:themeColor="text1"/>
                      <w:szCs w:val="21"/>
                      <w:u w:val="single"/>
                      <w14:textFill>
                        <w14:solidFill>
                          <w14:schemeClr w14:val="tx1"/>
                        </w14:solidFill>
                      </w14:textFill>
                    </w:rPr>
                  </w:pPr>
                </w:p>
              </w:tc>
              <w:tc>
                <w:tcPr>
                  <w:tcW w:w="1404"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0.0004</w:t>
                  </w:r>
                </w:p>
              </w:tc>
              <w:tc>
                <w:tcPr>
                  <w:tcW w:w="1180" w:type="dxa"/>
                  <w:noWrap w:val="0"/>
                  <w:vAlign w:val="center"/>
                </w:tcPr>
                <w:p>
                  <w:pPr>
                    <w:widowControl/>
                    <w:jc w:val="center"/>
                    <w:textAlignment w:val="center"/>
                    <w:rPr>
                      <w:color w:val="000000" w:themeColor="text1"/>
                      <w:szCs w:val="21"/>
                      <w:u w:val="single"/>
                      <w14:textFill>
                        <w14:solidFill>
                          <w14:schemeClr w14:val="tx1"/>
                        </w14:solidFill>
                      </w14:textFill>
                    </w:rPr>
                  </w:pPr>
                </w:p>
              </w:tc>
              <w:tc>
                <w:tcPr>
                  <w:tcW w:w="1177"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92" w:type="dxa"/>
                  <w:vMerge w:val="continue"/>
                  <w:noWrap w:val="0"/>
                  <w:vAlign w:val="center"/>
                </w:tcPr>
                <w:p>
                  <w:pPr>
                    <w:pStyle w:val="76"/>
                    <w:rPr>
                      <w:color w:val="000000" w:themeColor="text1"/>
                      <w:szCs w:val="21"/>
                      <w:u w:val="single"/>
                      <w14:textFill>
                        <w14:solidFill>
                          <w14:schemeClr w14:val="tx1"/>
                        </w14:solidFill>
                      </w14:textFill>
                    </w:rPr>
                  </w:pPr>
                </w:p>
              </w:tc>
              <w:tc>
                <w:tcPr>
                  <w:tcW w:w="1143" w:type="dxa"/>
                  <w:vMerge w:val="continue"/>
                  <w:noWrap w:val="0"/>
                  <w:vAlign w:val="center"/>
                </w:tcPr>
                <w:p>
                  <w:pPr>
                    <w:pStyle w:val="76"/>
                    <w:rPr>
                      <w:color w:val="000000" w:themeColor="text1"/>
                      <w:szCs w:val="21"/>
                      <w:u w:val="single"/>
                      <w14:textFill>
                        <w14:solidFill>
                          <w14:schemeClr w14:val="tx1"/>
                        </w14:solidFill>
                      </w14:textFill>
                    </w:rPr>
                  </w:pPr>
                </w:p>
              </w:tc>
              <w:tc>
                <w:tcPr>
                  <w:tcW w:w="1400" w:type="dxa"/>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SS</w:t>
                  </w:r>
                </w:p>
              </w:tc>
              <w:tc>
                <w:tcPr>
                  <w:tcW w:w="1218" w:type="dxa"/>
                  <w:noWrap w:val="0"/>
                  <w:vAlign w:val="center"/>
                </w:tcPr>
                <w:p>
                  <w:pPr>
                    <w:pStyle w:val="76"/>
                    <w:rPr>
                      <w:color w:val="000000" w:themeColor="text1"/>
                      <w:szCs w:val="21"/>
                      <w:u w:val="single"/>
                      <w14:textFill>
                        <w14:solidFill>
                          <w14:schemeClr w14:val="tx1"/>
                        </w14:solidFill>
                      </w14:textFill>
                    </w:rPr>
                  </w:pPr>
                </w:p>
              </w:tc>
              <w:tc>
                <w:tcPr>
                  <w:tcW w:w="1404"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0.0004</w:t>
                  </w:r>
                </w:p>
              </w:tc>
              <w:tc>
                <w:tcPr>
                  <w:tcW w:w="1180" w:type="dxa"/>
                  <w:noWrap w:val="0"/>
                  <w:vAlign w:val="center"/>
                </w:tcPr>
                <w:p>
                  <w:pPr>
                    <w:widowControl/>
                    <w:jc w:val="center"/>
                    <w:textAlignment w:val="center"/>
                    <w:rPr>
                      <w:color w:val="000000" w:themeColor="text1"/>
                      <w:szCs w:val="21"/>
                      <w:u w:val="single"/>
                      <w14:textFill>
                        <w14:solidFill>
                          <w14:schemeClr w14:val="tx1"/>
                        </w14:solidFill>
                      </w14:textFill>
                    </w:rPr>
                  </w:pPr>
                </w:p>
              </w:tc>
              <w:tc>
                <w:tcPr>
                  <w:tcW w:w="1177"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835" w:type="dxa"/>
                  <w:gridSpan w:val="2"/>
                  <w:vMerge w:val="restart"/>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全厂排放口合计</w:t>
                  </w:r>
                </w:p>
              </w:tc>
              <w:tc>
                <w:tcPr>
                  <w:tcW w:w="5202" w:type="dxa"/>
                  <w:gridSpan w:val="4"/>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COD</w:t>
                  </w:r>
                </w:p>
              </w:tc>
              <w:tc>
                <w:tcPr>
                  <w:tcW w:w="1177" w:type="dxa"/>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835" w:type="dxa"/>
                  <w:gridSpan w:val="2"/>
                  <w:vMerge w:val="continue"/>
                  <w:noWrap w:val="0"/>
                  <w:vAlign w:val="center"/>
                </w:tcPr>
                <w:p>
                  <w:pPr>
                    <w:pStyle w:val="76"/>
                    <w:rPr>
                      <w:color w:val="000000" w:themeColor="text1"/>
                      <w:szCs w:val="21"/>
                      <w:u w:val="single"/>
                      <w14:textFill>
                        <w14:solidFill>
                          <w14:schemeClr w14:val="tx1"/>
                        </w14:solidFill>
                      </w14:textFill>
                    </w:rPr>
                  </w:pPr>
                </w:p>
              </w:tc>
              <w:tc>
                <w:tcPr>
                  <w:tcW w:w="5202" w:type="dxa"/>
                  <w:gridSpan w:val="4"/>
                  <w:noWrap w:val="0"/>
                  <w:vAlign w:val="center"/>
                </w:tcPr>
                <w:p>
                  <w:pPr>
                    <w:pStyle w:val="76"/>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NH</w:t>
                  </w:r>
                  <w:r>
                    <w:rPr>
                      <w:color w:val="000000" w:themeColor="text1"/>
                      <w:szCs w:val="21"/>
                      <w:u w:val="single"/>
                      <w:vertAlign w:val="subscript"/>
                      <w14:textFill>
                        <w14:solidFill>
                          <w14:schemeClr w14:val="tx1"/>
                        </w14:solidFill>
                      </w14:textFill>
                    </w:rPr>
                    <w:t>3</w:t>
                  </w:r>
                  <w:r>
                    <w:rPr>
                      <w:color w:val="000000" w:themeColor="text1"/>
                      <w:szCs w:val="21"/>
                      <w:u w:val="single"/>
                      <w14:textFill>
                        <w14:solidFill>
                          <w14:schemeClr w14:val="tx1"/>
                        </w14:solidFill>
                      </w14:textFill>
                    </w:rPr>
                    <w:t>-N</w:t>
                  </w:r>
                </w:p>
              </w:tc>
              <w:tc>
                <w:tcPr>
                  <w:tcW w:w="1177"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835" w:type="dxa"/>
                  <w:gridSpan w:val="2"/>
                  <w:vMerge w:val="continue"/>
                  <w:noWrap w:val="0"/>
                  <w:vAlign w:val="center"/>
                </w:tcPr>
                <w:p>
                  <w:pPr>
                    <w:pStyle w:val="76"/>
                    <w:rPr>
                      <w:color w:val="000000" w:themeColor="text1"/>
                      <w:szCs w:val="21"/>
                      <w:u w:val="single"/>
                      <w14:textFill>
                        <w14:solidFill>
                          <w14:schemeClr w14:val="tx1"/>
                        </w14:solidFill>
                      </w14:textFill>
                    </w:rPr>
                  </w:pPr>
                </w:p>
              </w:tc>
              <w:tc>
                <w:tcPr>
                  <w:tcW w:w="5202" w:type="dxa"/>
                  <w:gridSpan w:val="4"/>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BOD</w:t>
                  </w:r>
                  <w:r>
                    <w:rPr>
                      <w:color w:val="000000" w:themeColor="text1"/>
                      <w:szCs w:val="21"/>
                      <w:u w:val="single"/>
                      <w:vertAlign w:val="subscript"/>
                      <w14:textFill>
                        <w14:solidFill>
                          <w14:schemeClr w14:val="tx1"/>
                        </w14:solidFill>
                      </w14:textFill>
                    </w:rPr>
                    <w:t>5</w:t>
                  </w:r>
                </w:p>
              </w:tc>
              <w:tc>
                <w:tcPr>
                  <w:tcW w:w="1177"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835" w:type="dxa"/>
                  <w:gridSpan w:val="2"/>
                  <w:vMerge w:val="continue"/>
                  <w:noWrap w:val="0"/>
                  <w:vAlign w:val="center"/>
                </w:tcPr>
                <w:p>
                  <w:pPr>
                    <w:pStyle w:val="76"/>
                    <w:rPr>
                      <w:color w:val="000000" w:themeColor="text1"/>
                      <w:szCs w:val="21"/>
                      <w:u w:val="single"/>
                      <w14:textFill>
                        <w14:solidFill>
                          <w14:schemeClr w14:val="tx1"/>
                        </w14:solidFill>
                      </w14:textFill>
                    </w:rPr>
                  </w:pPr>
                </w:p>
              </w:tc>
              <w:tc>
                <w:tcPr>
                  <w:tcW w:w="5202" w:type="dxa"/>
                  <w:gridSpan w:val="4"/>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SS</w:t>
                  </w:r>
                </w:p>
              </w:tc>
              <w:tc>
                <w:tcPr>
                  <w:tcW w:w="1177" w:type="dxa"/>
                  <w:noWrap w:val="0"/>
                  <w:vAlign w:val="center"/>
                </w:tcPr>
                <w:p>
                  <w:pPr>
                    <w:widowControl/>
                    <w:jc w:val="center"/>
                    <w:textAlignment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0.122</w:t>
                  </w:r>
                </w:p>
              </w:tc>
            </w:tr>
          </w:tbl>
          <w:p>
            <w:pPr>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（4）监测要求</w:t>
            </w:r>
          </w:p>
          <w:p>
            <w:pPr>
              <w:adjustRightInd w:val="0"/>
              <w:snapToGrid w:val="0"/>
              <w:spacing w:line="360" w:lineRule="auto"/>
              <w:ind w:firstLine="480" w:firstLineChars="200"/>
              <w:rPr>
                <w:color w:val="000000" w:themeColor="text1"/>
                <w:sz w:val="24"/>
                <w:szCs w:val="32"/>
                <w:u w:val="single"/>
                <w14:textFill>
                  <w14:solidFill>
                    <w14:schemeClr w14:val="tx1"/>
                  </w14:solidFill>
                </w14:textFill>
              </w:rPr>
            </w:pPr>
            <w:r>
              <w:rPr>
                <w:color w:val="000000" w:themeColor="text1"/>
                <w:sz w:val="24"/>
                <w:szCs w:val="32"/>
                <w:u w:val="single"/>
                <w14:textFill>
                  <w14:solidFill>
                    <w14:schemeClr w14:val="tx1"/>
                  </w14:solidFill>
                </w14:textFill>
              </w:rPr>
              <w:t>根据《排污许可证申请与核发技术规范 总则》（HJ942-2018）、《排污单位自行监测技术指南 总则》（HJ 819-2017）等规范的要求，项目只产生生活污水，因此，项目无需进行废水自行监测。</w:t>
            </w:r>
          </w:p>
          <w:p>
            <w:pPr>
              <w:spacing w:line="360" w:lineRule="auto"/>
              <w:ind w:firstLine="482" w:firstLineChars="200"/>
              <w:rPr>
                <w:b/>
                <w:color w:val="000000" w:themeColor="text1"/>
                <w:kern w:val="0"/>
                <w:sz w:val="24"/>
                <w:u w:val="single"/>
                <w14:textFill>
                  <w14:solidFill>
                    <w14:schemeClr w14:val="tx1"/>
                  </w14:solidFill>
                </w14:textFill>
              </w:rPr>
            </w:pPr>
            <w:r>
              <w:rPr>
                <w:b/>
                <w:color w:val="000000" w:themeColor="text1"/>
                <w:kern w:val="0"/>
                <w:sz w:val="24"/>
                <w:u w:val="single"/>
                <w14:textFill>
                  <w14:solidFill>
                    <w14:schemeClr w14:val="tx1"/>
                  </w14:solidFill>
                </w14:textFill>
              </w:rPr>
              <w:t>②污水厂可行性分析</w:t>
            </w:r>
          </w:p>
          <w:p>
            <w:pPr>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湘阴县第三污水处理厂位于湖南省岳阳市湘阴县金龙镇金华村，34863.75m</w:t>
            </w:r>
            <w:r>
              <w:rPr>
                <w:color w:val="000000" w:themeColor="text1"/>
                <w:sz w:val="24"/>
                <w:u w:val="single"/>
                <w:vertAlign w:val="superscript"/>
                <w14:textFill>
                  <w14:solidFill>
                    <w14:schemeClr w14:val="tx1"/>
                  </w14:solidFill>
                </w14:textFill>
              </w:rPr>
              <w:t>2</w:t>
            </w:r>
            <w:r>
              <w:rPr>
                <w:color w:val="000000" w:themeColor="text1"/>
                <w:sz w:val="24"/>
                <w:u w:val="single"/>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目前</w:t>
            </w:r>
            <w:r>
              <w:rPr>
                <w:color w:val="000000" w:themeColor="text1"/>
                <w:sz w:val="24"/>
                <w:u w:val="single"/>
                <w14:textFill>
                  <w14:solidFill>
                    <w14:schemeClr w14:val="tx1"/>
                  </w14:solidFill>
                </w14:textFill>
              </w:rPr>
              <w:t>湘阴县第三污水处理厂设计规模为</w:t>
            </w:r>
            <w:r>
              <w:rPr>
                <w:rFonts w:hint="eastAsia"/>
                <w:color w:val="000000" w:themeColor="text1"/>
                <w:sz w:val="24"/>
                <w:u w:val="single"/>
                <w:lang w:val="en-US" w:eastAsia="zh-CN"/>
                <w14:textFill>
                  <w14:solidFill>
                    <w14:schemeClr w14:val="tx1"/>
                  </w14:solidFill>
                </w14:textFill>
              </w:rPr>
              <w:t>1</w:t>
            </w:r>
            <w:r>
              <w:rPr>
                <w:color w:val="000000" w:themeColor="text1"/>
                <w:sz w:val="24"/>
                <w:u w:val="single"/>
                <w14:textFill>
                  <w14:solidFill>
                    <w14:schemeClr w14:val="tx1"/>
                  </w14:solidFill>
                </w14:textFill>
              </w:rPr>
              <w:t>.0万m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/d。其工程服务范围为收集湘阴县金龙镇区域约20km</w:t>
            </w:r>
            <w:r>
              <w:rPr>
                <w:color w:val="000000" w:themeColor="text1"/>
                <w:sz w:val="24"/>
                <w:u w:val="single"/>
                <w:vertAlign w:val="superscript"/>
                <w14:textFill>
                  <w14:solidFill>
                    <w14:schemeClr w14:val="tx1"/>
                  </w14:solidFill>
                </w14:textFill>
              </w:rPr>
              <w:t>2</w:t>
            </w:r>
            <w:r>
              <w:rPr>
                <w:color w:val="000000" w:themeColor="text1"/>
                <w:sz w:val="24"/>
                <w:u w:val="single"/>
                <w14:textFill>
                  <w14:solidFill>
                    <w14:schemeClr w14:val="tx1"/>
                  </w14:solidFill>
                </w14:textFill>
              </w:rPr>
              <w:t>的生活污水和金龙工业小区的工业污水。</w:t>
            </w:r>
          </w:p>
          <w:p>
            <w:pPr>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湘阴县第三污水处理厂已于2021年投入运行，目前金龙新区已建道路均配套建设雨水管网及污水管网。根据湘阴县第三污水处理厂的纳污规划，金龙工业小区污水已纳入湘阴县第三污水处理厂设计容量，湘阴县第三污水处理厂厂在时间和空间上均可接受并容纳本项目废水。</w:t>
            </w:r>
          </w:p>
          <w:p>
            <w:pPr>
              <w:spacing w:line="360" w:lineRule="auto"/>
              <w:ind w:firstLine="480" w:firstLineChars="200"/>
              <w:jc w:val="left"/>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湘阴县第三污水处理厂采用A</w:t>
            </w:r>
            <w:r>
              <w:rPr>
                <w:color w:val="000000" w:themeColor="text1"/>
                <w:sz w:val="24"/>
                <w:u w:val="single"/>
                <w:vertAlign w:val="superscript"/>
                <w14:textFill>
                  <w14:solidFill>
                    <w14:schemeClr w14:val="tx1"/>
                  </w14:solidFill>
                </w14:textFill>
              </w:rPr>
              <w:t>2</w:t>
            </w:r>
            <w:r>
              <w:rPr>
                <w:color w:val="000000" w:themeColor="text1"/>
                <w:sz w:val="24"/>
                <w:u w:val="single"/>
                <w14:textFill>
                  <w14:solidFill>
                    <w14:schemeClr w14:val="tx1"/>
                  </w14:solidFill>
                </w14:textFill>
              </w:rPr>
              <w:t>/C氧化沟+高效沉淀的污水处理工艺，污水经进水泵房提升后，进入细格栅间及涡流沉砂池处理，然后进入氧化沟进行生物处理，再进入二沉池进行泥水分离后达标排放。二沉池泥水分离过程中产生的污泥一部分通过回流泵房进入氧化沟循环利用，一部分以剩余污泥的形式进入脱水车间经脱水后形成干污泥，再外运填埋处理。</w:t>
            </w:r>
          </w:p>
          <w:p>
            <w:pPr>
              <w:widowControl/>
              <w:spacing w:line="360" w:lineRule="auto"/>
              <w:ind w:firstLine="480" w:firstLineChars="200"/>
              <w:rPr>
                <w:color w:val="000000" w:themeColor="text1"/>
                <w:sz w:val="24"/>
                <w:u w:val="single"/>
                <w14:textFill>
                  <w14:solidFill>
                    <w14:schemeClr w14:val="tx1"/>
                  </w14:solidFill>
                </w14:textFill>
              </w:rPr>
            </w:pPr>
            <w:r>
              <w:rPr>
                <w:color w:val="000000" w:themeColor="text1"/>
                <w:kern w:val="0"/>
                <w:sz w:val="24"/>
                <w:u w:val="single"/>
                <w14:textFill>
                  <w14:solidFill>
                    <w14:schemeClr w14:val="tx1"/>
                  </w14:solidFill>
                </w14:textFill>
              </w:rPr>
              <w:t>项目处于湘阴县第三污水处理厂纳污范围内，可接纳本项目产生废水。</w:t>
            </w:r>
            <w:r>
              <w:rPr>
                <w:color w:val="000000" w:themeColor="text1"/>
                <w:sz w:val="24"/>
                <w:u w:val="single"/>
                <w14:textFill>
                  <w14:solidFill>
                    <w14:schemeClr w14:val="tx1"/>
                  </w14:solidFill>
                </w14:textFill>
              </w:rPr>
              <w:t>本项目污水量为12180t/a（40.6m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/d），日处理量仅占污水处理厂处理量的</w:t>
            </w:r>
            <w:r>
              <w:rPr>
                <w:rFonts w:hint="eastAsia"/>
                <w:color w:val="000000" w:themeColor="text1"/>
                <w:sz w:val="24"/>
                <w:u w:val="single"/>
                <w:lang w:val="en-US" w:eastAsia="zh-CN"/>
                <w14:textFill>
                  <w14:solidFill>
                    <w14:schemeClr w14:val="tx1"/>
                  </w14:solidFill>
                </w14:textFill>
              </w:rPr>
              <w:t>4.06</w:t>
            </w:r>
            <w:r>
              <w:rPr>
                <w:color w:val="000000" w:themeColor="text1"/>
                <w:sz w:val="24"/>
                <w:u w:val="single"/>
                <w14:textFill>
                  <w14:solidFill>
                    <w14:schemeClr w14:val="tx1"/>
                  </w14:solidFill>
                </w14:textFill>
              </w:rPr>
              <w:t>‰，</w:t>
            </w:r>
            <w:r>
              <w:rPr>
                <w:color w:val="000000" w:themeColor="text1"/>
                <w:kern w:val="0"/>
                <w:sz w:val="24"/>
                <w:u w:val="single"/>
                <w14:textFill>
                  <w14:solidFill>
                    <w14:schemeClr w14:val="tx1"/>
                  </w14:solidFill>
                </w14:textFill>
              </w:rPr>
              <w:t>项目废水主要污染物为COD</w:t>
            </w:r>
            <w:r>
              <w:rPr>
                <w:color w:val="000000" w:themeColor="text1"/>
                <w:kern w:val="0"/>
                <w:sz w:val="24"/>
                <w:u w:val="single"/>
                <w:vertAlign w:val="subscript"/>
                <w14:textFill>
                  <w14:solidFill>
                    <w14:schemeClr w14:val="tx1"/>
                  </w14:solidFill>
                </w14:textFill>
              </w:rPr>
              <w:t>Cr</w:t>
            </w:r>
            <w:r>
              <w:rPr>
                <w:color w:val="000000" w:themeColor="text1"/>
                <w:kern w:val="0"/>
                <w:sz w:val="24"/>
                <w:u w:val="single"/>
                <w14:textFill>
                  <w14:solidFill>
                    <w14:schemeClr w14:val="tx1"/>
                  </w14:solidFill>
                </w14:textFill>
              </w:rPr>
              <w:t>、NH</w:t>
            </w:r>
            <w:r>
              <w:rPr>
                <w:color w:val="000000" w:themeColor="text1"/>
                <w:kern w:val="0"/>
                <w:sz w:val="24"/>
                <w:u w:val="single"/>
                <w:vertAlign w:val="subscript"/>
                <w14:textFill>
                  <w14:solidFill>
                    <w14:schemeClr w14:val="tx1"/>
                  </w14:solidFill>
                </w14:textFill>
              </w:rPr>
              <w:t>3</w:t>
            </w:r>
            <w:r>
              <w:rPr>
                <w:color w:val="000000" w:themeColor="text1"/>
                <w:kern w:val="0"/>
                <w:sz w:val="24"/>
                <w:u w:val="single"/>
                <w14:textFill>
                  <w14:solidFill>
                    <w14:schemeClr w14:val="tx1"/>
                  </w14:solidFill>
                </w14:textFill>
              </w:rPr>
              <w:t>-N、SS均为污水处理厂常规处理项目，废水经处理达到《污水综合排放标准》（GB8978-1996）中三级标准进入湘阴县第三污水处理厂集中处理，不会对该厂水质、水量造成冲击。</w:t>
            </w:r>
            <w:r>
              <w:rPr>
                <w:color w:val="000000" w:themeColor="text1"/>
                <w:sz w:val="24"/>
                <w:u w:val="single"/>
                <w14:textFill>
                  <w14:solidFill>
                    <w14:schemeClr w14:val="tx1"/>
                  </w14:solidFill>
                </w14:textFill>
              </w:rPr>
              <w:t>故本项目废水通过上述措施处理后可达标排放，不会对周边环境造成明显的影响。</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综上所述，本项目预处理达标后的废水依托</w:t>
            </w:r>
            <w:r>
              <w:rPr>
                <w:color w:val="000000" w:themeColor="text1"/>
                <w:kern w:val="0"/>
                <w:sz w:val="24"/>
                <w:u w:val="single"/>
                <w14:textFill>
                  <w14:solidFill>
                    <w14:schemeClr w14:val="tx1"/>
                  </w14:solidFill>
                </w14:textFill>
              </w:rPr>
              <w:t>湘阴县第三污水处理厂</w:t>
            </w:r>
            <w:r>
              <w:rPr>
                <w:color w:val="000000" w:themeColor="text1"/>
                <w:sz w:val="24"/>
                <w:u w:val="single"/>
                <w14:textFill>
                  <w14:solidFill>
                    <w14:schemeClr w14:val="tx1"/>
                  </w14:solidFill>
                </w14:textFill>
              </w:rPr>
              <w:t>处理是可行的。</w:t>
            </w:r>
          </w:p>
          <w:p>
            <w:pPr>
              <w:spacing w:line="360" w:lineRule="auto"/>
              <w:ind w:firstLine="482" w:firstLineChars="200"/>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（3）噪声污染源分析</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项目营运期产生的噪声主要有生产车间设备运行噪声和运输车辆产生的噪声，设备噪声级在60～90dB(A)。为确保项目生产过程中厂界噪声达标排放，并进一步减轻噪声对周边环境的影响，环评根据现场踏勘建议建设单位采取以下措施：</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①在声源处降低噪声：在满足工艺设计的前提下，尽量选用满足国际标准的低噪声、低振动型号的设备，降低噪声源强。</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②采取各类减振降噪措施：为防止振动产生的噪声污染，本项目应对生产线内噪声相对较大的机械设备加设减振垫，以防治振动产生噪音。</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③加强职工环保意识教育，提倡文明生产，防止人为噪声；建立设备定期维护，保养的管理制度，以防止设备故障形成的非正常生产噪声，同时确保环保措施发挥最佳有效的功能；</w:t>
            </w:r>
          </w:p>
          <w:p>
            <w:pPr>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本项目主要噪声产生、治理情况、排放情况及与环境保护目标达标情况见下表：</w:t>
            </w:r>
          </w:p>
          <w:p>
            <w:pPr>
              <w:jc w:val="center"/>
              <w:rPr>
                <w:color w:val="000000" w:themeColor="text1"/>
                <w:u w:val="single"/>
                <w14:textFill>
                  <w14:solidFill>
                    <w14:schemeClr w14:val="tx1"/>
                  </w14:solidFill>
                </w14:textFill>
              </w:rPr>
            </w:pPr>
            <w:r>
              <w:rPr>
                <w:b/>
                <w:bCs/>
                <w:color w:val="000000" w:themeColor="text1"/>
                <w:sz w:val="24"/>
                <w:u w:val="single"/>
                <w14:textFill>
                  <w14:solidFill>
                    <w14:schemeClr w14:val="tx1"/>
                  </w14:solidFill>
                </w14:textFill>
              </w:rPr>
              <w:t>表4-</w:t>
            </w:r>
            <w:r>
              <w:rPr>
                <w:rFonts w:hint="eastAsia"/>
                <w:b/>
                <w:bCs/>
                <w:color w:val="000000" w:themeColor="text1"/>
                <w:sz w:val="24"/>
                <w:u w:val="single"/>
                <w14:textFill>
                  <w14:solidFill>
                    <w14:schemeClr w14:val="tx1"/>
                  </w14:solidFill>
                </w14:textFill>
              </w:rPr>
              <w:t>7</w:t>
            </w:r>
            <w:r>
              <w:rPr>
                <w:b/>
                <w:bCs/>
                <w:color w:val="000000" w:themeColor="text1"/>
                <w:sz w:val="24"/>
                <w:u w:val="single"/>
                <w14:textFill>
                  <w14:solidFill>
                    <w14:schemeClr w14:val="tx1"/>
                  </w14:solidFill>
                </w14:textFill>
              </w:rPr>
              <w:t xml:space="preserve">   主要噪声产生位置、强度及处置措施表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34"/>
              <w:gridCol w:w="971"/>
              <w:gridCol w:w="971"/>
              <w:gridCol w:w="1419"/>
              <w:gridCol w:w="2275"/>
              <w:gridCol w:w="1134"/>
              <w:gridCol w:w="6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78" w:hRule="atLeast"/>
                <w:jc w:val="center"/>
              </w:trPr>
              <w:tc>
                <w:tcPr>
                  <w:tcW w:w="50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声源</w:t>
                  </w:r>
                </w:p>
              </w:tc>
              <w:tc>
                <w:tcPr>
                  <w:tcW w:w="588" w:type="pct"/>
                  <w:noWrap w:val="0"/>
                  <w:vAlign w:val="center"/>
                </w:tcPr>
                <w:p>
                  <w:pPr>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设备数量</w:t>
                  </w:r>
                </w:p>
              </w:tc>
              <w:tc>
                <w:tcPr>
                  <w:tcW w:w="588"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产生强度</w:t>
                  </w:r>
                </w:p>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dB(A)</w:t>
                  </w:r>
                </w:p>
              </w:tc>
              <w:tc>
                <w:tcPr>
                  <w:tcW w:w="859" w:type="pct"/>
                  <w:noWrap w:val="0"/>
                  <w:vAlign w:val="center"/>
                </w:tcPr>
                <w:p>
                  <w:pPr>
                    <w:jc w:val="center"/>
                    <w:rPr>
                      <w:rFonts w:hint="eastAsia"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叠加值</w:t>
                  </w:r>
                </w:p>
              </w:tc>
              <w:tc>
                <w:tcPr>
                  <w:tcW w:w="1377" w:type="pct"/>
                  <w:noWrap w:val="0"/>
                  <w:vAlign w:val="center"/>
                </w:tcPr>
                <w:p>
                  <w:pPr>
                    <w:pStyle w:val="81"/>
                    <w:widowControl w:val="0"/>
                    <w:pBdr>
                      <w:left w:val="none" w:color="auto" w:sz="0" w:space="0"/>
                      <w:right w:val="none" w:color="auto" w:sz="0" w:space="0"/>
                    </w:pBdr>
                    <w:adjustRightInd w:val="0"/>
                    <w:spacing w:before="0" w:after="0"/>
                    <w:textAlignment w:val="baseline"/>
                    <w:rPr>
                      <w:color w:val="000000" w:themeColor="text1"/>
                      <w:szCs w:val="21"/>
                      <w:u w:val="single"/>
                      <w14:textFill>
                        <w14:solidFill>
                          <w14:schemeClr w14:val="tx1"/>
                        </w14:solidFill>
                      </w14:textFill>
                    </w:rPr>
                  </w:pPr>
                  <w:r>
                    <w:rPr>
                      <w:rFonts w:ascii="Times New Roman" w:hAnsi="Times New Roman"/>
                      <w:color w:val="000000" w:themeColor="text1"/>
                      <w:sz w:val="21"/>
                      <w:szCs w:val="21"/>
                      <w:u w:val="single"/>
                      <w14:textFill>
                        <w14:solidFill>
                          <w14:schemeClr w14:val="tx1"/>
                        </w14:solidFill>
                      </w14:textFill>
                    </w:rPr>
                    <w:t>降噪措施</w:t>
                  </w:r>
                </w:p>
              </w:tc>
              <w:tc>
                <w:tcPr>
                  <w:tcW w:w="686" w:type="pct"/>
                  <w:noWrap w:val="0"/>
                  <w:vAlign w:val="center"/>
                </w:tcPr>
                <w:p>
                  <w:pPr>
                    <w:pStyle w:val="81"/>
                    <w:widowControl w:val="0"/>
                    <w:pBdr>
                      <w:left w:val="none" w:color="auto" w:sz="0" w:space="0"/>
                      <w:right w:val="none" w:color="auto" w:sz="0" w:space="0"/>
                    </w:pBdr>
                    <w:adjustRightInd w:val="0"/>
                    <w:spacing w:before="0" w:after="0"/>
                    <w:textAlignment w:val="baseline"/>
                    <w:rPr>
                      <w:rFonts w:hint="eastAsia" w:ascii="Times New Roman" w:hAnsi="Times New Roman"/>
                      <w:color w:val="000000" w:themeColor="text1"/>
                      <w:sz w:val="21"/>
                      <w:szCs w:val="21"/>
                      <w:u w:val="single"/>
                      <w14:textFill>
                        <w14:solidFill>
                          <w14:schemeClr w14:val="tx1"/>
                        </w14:solidFill>
                      </w14:textFill>
                    </w:rPr>
                  </w:pPr>
                  <w:r>
                    <w:rPr>
                      <w:rFonts w:hint="eastAsia" w:ascii="Times New Roman" w:hAnsi="Times New Roman"/>
                      <w:color w:val="000000" w:themeColor="text1"/>
                      <w:sz w:val="21"/>
                      <w:szCs w:val="21"/>
                      <w:u w:val="single"/>
                      <w14:textFill>
                        <w14:solidFill>
                          <w14:schemeClr w14:val="tx1"/>
                        </w14:solidFill>
                      </w14:textFill>
                    </w:rPr>
                    <w:t>削减值</w:t>
                  </w:r>
                </w:p>
                <w:p>
                  <w:pPr>
                    <w:pStyle w:val="81"/>
                    <w:widowControl w:val="0"/>
                    <w:pBdr>
                      <w:left w:val="none" w:color="auto" w:sz="0" w:space="0"/>
                      <w:right w:val="none" w:color="auto" w:sz="0" w:space="0"/>
                    </w:pBdr>
                    <w:adjustRightInd w:val="0"/>
                    <w:spacing w:before="0" w:after="0"/>
                    <w:textAlignment w:val="baseline"/>
                    <w:rPr>
                      <w:rFonts w:ascii="Times New Roman" w:hAnsi="Times New Roman"/>
                      <w:color w:val="000000" w:themeColor="text1"/>
                      <w:sz w:val="21"/>
                      <w:szCs w:val="21"/>
                      <w:u w:val="single"/>
                      <w14:textFill>
                        <w14:solidFill>
                          <w14:schemeClr w14:val="tx1"/>
                        </w14:solidFill>
                      </w14:textFill>
                    </w:rPr>
                  </w:pPr>
                  <w:r>
                    <w:rPr>
                      <w:color w:val="000000" w:themeColor="text1"/>
                      <w:szCs w:val="21"/>
                      <w:u w:val="single"/>
                      <w14:textFill>
                        <w14:solidFill>
                          <w14:schemeClr w14:val="tx1"/>
                        </w14:solidFill>
                      </w14:textFill>
                    </w:rPr>
                    <w:t>dB(A)</w:t>
                  </w:r>
                </w:p>
              </w:tc>
              <w:tc>
                <w:tcPr>
                  <w:tcW w:w="394" w:type="pct"/>
                  <w:noWrap w:val="0"/>
                  <w:vAlign w:val="center"/>
                </w:tcPr>
                <w:p>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排放值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6" w:hRule="atLeast"/>
                <w:jc w:val="center"/>
              </w:trPr>
              <w:tc>
                <w:tcPr>
                  <w:tcW w:w="505" w:type="pct"/>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数控车床</w:t>
                  </w:r>
                </w:p>
              </w:tc>
              <w:tc>
                <w:tcPr>
                  <w:tcW w:w="588" w:type="pct"/>
                  <w:noWrap w:val="0"/>
                  <w:vAlign w:val="center"/>
                </w:tcPr>
                <w:p>
                  <w:pPr>
                    <w:widowControl/>
                    <w:adjustRightInd w:val="0"/>
                    <w:snapToGrid w:val="0"/>
                    <w:jc w:val="center"/>
                    <w:textAlignment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8</w:t>
                  </w:r>
                </w:p>
              </w:tc>
              <w:tc>
                <w:tcPr>
                  <w:tcW w:w="588" w:type="pct"/>
                  <w:noWrap w:val="0"/>
                  <w:vAlign w:val="center"/>
                </w:tcPr>
                <w:p>
                  <w:pPr>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80</w:t>
                  </w:r>
                </w:p>
              </w:tc>
              <w:tc>
                <w:tcPr>
                  <w:tcW w:w="859" w:type="pct"/>
                  <w:noWrap w:val="0"/>
                  <w:vAlign w:val="center"/>
                </w:tcPr>
                <w:p>
                  <w:pPr>
                    <w:jc w:val="center"/>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86.99</w:t>
                  </w:r>
                </w:p>
              </w:tc>
              <w:tc>
                <w:tcPr>
                  <w:tcW w:w="1377" w:type="pct"/>
                  <w:vMerge w:val="restart"/>
                  <w:noWrap w:val="0"/>
                  <w:vAlign w:val="center"/>
                </w:tcPr>
                <w:p>
                  <w:pPr>
                    <w:jc w:val="center"/>
                    <w:rPr>
                      <w:rFonts w:hint="default" w:eastAsia="宋体"/>
                      <w:color w:val="000000" w:themeColor="text1"/>
                      <w:u w:val="single"/>
                      <w:lang w:val="en-US" w:eastAsia="zh-CN"/>
                      <w14:textFill>
                        <w14:solidFill>
                          <w14:schemeClr w14:val="tx1"/>
                        </w14:solidFill>
                      </w14:textFill>
                    </w:rPr>
                  </w:pPr>
                  <w:r>
                    <w:rPr>
                      <w:color w:val="000000" w:themeColor="text1"/>
                      <w:u w:val="single"/>
                      <w14:textFill>
                        <w14:solidFill>
                          <w14:schemeClr w14:val="tx1"/>
                        </w14:solidFill>
                      </w14:textFill>
                    </w:rPr>
                    <w:t>选用低噪设备、安装减震垫、建筑隔声</w:t>
                  </w:r>
                  <w:r>
                    <w:rPr>
                      <w:rFonts w:hint="eastAsia"/>
                      <w:color w:val="000000" w:themeColor="text1"/>
                      <w:u w:val="single"/>
                      <w:lang w:eastAsia="zh-CN"/>
                      <w14:textFill>
                        <w14:solidFill>
                          <w14:schemeClr w14:val="tx1"/>
                        </w14:solidFill>
                      </w14:textFill>
                    </w:rPr>
                    <w:t>、</w:t>
                  </w:r>
                  <w:r>
                    <w:rPr>
                      <w:rFonts w:hint="eastAsia"/>
                      <w:color w:val="000000" w:themeColor="text1"/>
                      <w:u w:val="single"/>
                      <w:lang w:val="en-US" w:eastAsia="zh-CN"/>
                      <w14:textFill>
                        <w14:solidFill>
                          <w14:schemeClr w14:val="tx1"/>
                        </w14:solidFill>
                      </w14:textFill>
                    </w:rPr>
                    <w:t>距离衰减</w:t>
                  </w:r>
                </w:p>
              </w:tc>
              <w:tc>
                <w:tcPr>
                  <w:tcW w:w="686" w:type="pct"/>
                  <w:vMerge w:val="restart"/>
                  <w:noWrap w:val="0"/>
                  <w:vAlign w:val="center"/>
                </w:tcPr>
                <w:p>
                  <w:pPr>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u w:val="single"/>
                      <w14:textFill>
                        <w14:solidFill>
                          <w14:schemeClr w14:val="tx1"/>
                        </w14:solidFill>
                      </w14:textFill>
                    </w:rPr>
                    <w:t>-</w:t>
                  </w:r>
                  <w:r>
                    <w:rPr>
                      <w:rFonts w:hint="eastAsia"/>
                      <w:color w:val="000000" w:themeColor="text1"/>
                      <w:u w:val="single"/>
                      <w:lang w:val="en-US" w:eastAsia="zh-CN"/>
                      <w14:textFill>
                        <w14:solidFill>
                          <w14:schemeClr w14:val="tx1"/>
                        </w14:solidFill>
                      </w14:textFill>
                    </w:rPr>
                    <w:t>30</w:t>
                  </w:r>
                </w:p>
              </w:tc>
              <w:tc>
                <w:tcPr>
                  <w:tcW w:w="394" w:type="pct"/>
                  <w:noWrap w:val="0"/>
                  <w:vAlign w:val="center"/>
                </w:tcPr>
                <w:p>
                  <w:pPr>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8" w:hRule="atLeast"/>
                <w:jc w:val="center"/>
              </w:trPr>
              <w:tc>
                <w:tcPr>
                  <w:tcW w:w="505" w:type="pct"/>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数控深孔钻镗床</w:t>
                  </w:r>
                </w:p>
              </w:tc>
              <w:tc>
                <w:tcPr>
                  <w:tcW w:w="588" w:type="pct"/>
                  <w:noWrap w:val="0"/>
                  <w:vAlign w:val="center"/>
                </w:tcPr>
                <w:p>
                  <w:pPr>
                    <w:widowControl/>
                    <w:adjustRightInd w:val="0"/>
                    <w:snapToGrid w:val="0"/>
                    <w:jc w:val="center"/>
                    <w:textAlignment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2</w:t>
                  </w:r>
                </w:p>
              </w:tc>
              <w:tc>
                <w:tcPr>
                  <w:tcW w:w="588" w:type="pct"/>
                  <w:noWrap w:val="0"/>
                  <w:vAlign w:val="center"/>
                </w:tcPr>
                <w:p>
                  <w:pPr>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79</w:t>
                  </w:r>
                </w:p>
              </w:tc>
              <w:tc>
                <w:tcPr>
                  <w:tcW w:w="859" w:type="pct"/>
                  <w:noWrap w:val="0"/>
                  <w:vAlign w:val="center"/>
                </w:tcPr>
                <w:p>
                  <w:pPr>
                    <w:jc w:val="center"/>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81.01</w:t>
                  </w:r>
                </w:p>
              </w:tc>
              <w:tc>
                <w:tcPr>
                  <w:tcW w:w="1377" w:type="pct"/>
                  <w:vMerge w:val="continue"/>
                  <w:noWrap w:val="0"/>
                  <w:vAlign w:val="center"/>
                </w:tcPr>
                <w:p>
                  <w:pPr>
                    <w:jc w:val="center"/>
                    <w:rPr>
                      <w:rFonts w:hint="eastAsia"/>
                      <w:color w:val="000000" w:themeColor="text1"/>
                      <w:u w:val="single"/>
                      <w14:textFill>
                        <w14:solidFill>
                          <w14:schemeClr w14:val="tx1"/>
                        </w14:solidFill>
                      </w14:textFill>
                    </w:rPr>
                  </w:pPr>
                </w:p>
              </w:tc>
              <w:tc>
                <w:tcPr>
                  <w:tcW w:w="686" w:type="pct"/>
                  <w:vMerge w:val="continue"/>
                  <w:noWrap w:val="0"/>
                  <w:vAlign w:val="center"/>
                </w:tcPr>
                <w:p>
                  <w:pPr>
                    <w:jc w:val="center"/>
                    <w:rPr>
                      <w:color w:val="000000" w:themeColor="text1"/>
                      <w:u w:val="single"/>
                      <w14:textFill>
                        <w14:solidFill>
                          <w14:schemeClr w14:val="tx1"/>
                        </w14:solidFill>
                      </w14:textFill>
                    </w:rPr>
                  </w:pPr>
                </w:p>
              </w:tc>
              <w:tc>
                <w:tcPr>
                  <w:tcW w:w="394" w:type="pct"/>
                  <w:noWrap w:val="0"/>
                  <w:vAlign w:val="center"/>
                </w:tcPr>
                <w:p>
                  <w:pPr>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8" w:hRule="atLeast"/>
                <w:jc w:val="center"/>
              </w:trPr>
              <w:tc>
                <w:tcPr>
                  <w:tcW w:w="505" w:type="pct"/>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color w:val="000000" w:themeColor="text1"/>
                      <w:kern w:val="0"/>
                      <w:sz w:val="22"/>
                      <w:szCs w:val="22"/>
                      <w:lang w:bidi="ar"/>
                      <w14:textFill>
                        <w14:solidFill>
                          <w14:schemeClr w14:val="tx1"/>
                        </w14:solidFill>
                      </w14:textFill>
                    </w:rPr>
                    <w:t>铣床</w:t>
                  </w:r>
                </w:p>
              </w:tc>
              <w:tc>
                <w:tcPr>
                  <w:tcW w:w="588" w:type="pct"/>
                  <w:noWrap w:val="0"/>
                  <w:vAlign w:val="center"/>
                </w:tcPr>
                <w:p>
                  <w:pPr>
                    <w:widowControl/>
                    <w:adjustRightInd w:val="0"/>
                    <w:snapToGrid w:val="0"/>
                    <w:jc w:val="center"/>
                    <w:textAlignment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6</w:t>
                  </w:r>
                </w:p>
              </w:tc>
              <w:tc>
                <w:tcPr>
                  <w:tcW w:w="588" w:type="pct"/>
                  <w:noWrap w:val="0"/>
                  <w:vAlign w:val="center"/>
                </w:tcPr>
                <w:p>
                  <w:pPr>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78</w:t>
                  </w:r>
                </w:p>
              </w:tc>
              <w:tc>
                <w:tcPr>
                  <w:tcW w:w="859" w:type="pct"/>
                  <w:noWrap w:val="0"/>
                  <w:vAlign w:val="center"/>
                </w:tcPr>
                <w:p>
                  <w:pPr>
                    <w:jc w:val="center"/>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84.99</w:t>
                  </w:r>
                </w:p>
              </w:tc>
              <w:tc>
                <w:tcPr>
                  <w:tcW w:w="1377" w:type="pct"/>
                  <w:vMerge w:val="continue"/>
                  <w:noWrap w:val="0"/>
                  <w:vAlign w:val="center"/>
                </w:tcPr>
                <w:p>
                  <w:pPr>
                    <w:jc w:val="center"/>
                    <w:rPr>
                      <w:rFonts w:hint="eastAsia"/>
                      <w:color w:val="000000" w:themeColor="text1"/>
                      <w:u w:val="single"/>
                      <w14:textFill>
                        <w14:solidFill>
                          <w14:schemeClr w14:val="tx1"/>
                        </w14:solidFill>
                      </w14:textFill>
                    </w:rPr>
                  </w:pPr>
                </w:p>
              </w:tc>
              <w:tc>
                <w:tcPr>
                  <w:tcW w:w="686" w:type="pct"/>
                  <w:vMerge w:val="continue"/>
                  <w:noWrap w:val="0"/>
                  <w:vAlign w:val="center"/>
                </w:tcPr>
                <w:p>
                  <w:pPr>
                    <w:jc w:val="center"/>
                    <w:rPr>
                      <w:color w:val="000000" w:themeColor="text1"/>
                      <w:u w:val="single"/>
                      <w14:textFill>
                        <w14:solidFill>
                          <w14:schemeClr w14:val="tx1"/>
                        </w14:solidFill>
                      </w14:textFill>
                    </w:rPr>
                  </w:pPr>
                </w:p>
              </w:tc>
              <w:tc>
                <w:tcPr>
                  <w:tcW w:w="394" w:type="pct"/>
                  <w:noWrap w:val="0"/>
                  <w:vAlign w:val="center"/>
                </w:tcPr>
                <w:p>
                  <w:pPr>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8" w:hRule="atLeast"/>
                <w:jc w:val="center"/>
              </w:trPr>
              <w:tc>
                <w:tcPr>
                  <w:tcW w:w="505" w:type="pct"/>
                  <w:noWrap w:val="0"/>
                  <w:vAlign w:val="center"/>
                </w:tcPr>
                <w:p>
                  <w:pPr>
                    <w:widowControl/>
                    <w:adjustRightInd w:val="0"/>
                    <w:snapToGrid w:val="0"/>
                    <w:jc w:val="center"/>
                    <w:textAlignment w:val="center"/>
                    <w:rPr>
                      <w:color w:val="000000" w:themeColor="text1"/>
                      <w:kern w:val="0"/>
                      <w:szCs w:val="21"/>
                      <w:u w:val="single"/>
                      <w14:textFill>
                        <w14:solidFill>
                          <w14:schemeClr w14:val="tx1"/>
                        </w14:solidFill>
                      </w14:textFill>
                    </w:rPr>
                  </w:pPr>
                  <w:r>
                    <w:rPr>
                      <w:rFonts w:hint="eastAsia"/>
                      <w:color w:val="000000" w:themeColor="text1"/>
                      <w:u w:val="single"/>
                      <w14:textFill>
                        <w14:solidFill>
                          <w14:schemeClr w14:val="tx1"/>
                        </w14:solidFill>
                      </w14:textFill>
                    </w:rPr>
                    <w:t>平面磨床</w:t>
                  </w:r>
                </w:p>
              </w:tc>
              <w:tc>
                <w:tcPr>
                  <w:tcW w:w="588" w:type="pct"/>
                  <w:noWrap w:val="0"/>
                  <w:vAlign w:val="center"/>
                </w:tcPr>
                <w:p>
                  <w:pPr>
                    <w:widowControl/>
                    <w:adjustRightInd w:val="0"/>
                    <w:snapToGrid w:val="0"/>
                    <w:jc w:val="center"/>
                    <w:textAlignment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6</w:t>
                  </w:r>
                </w:p>
              </w:tc>
              <w:tc>
                <w:tcPr>
                  <w:tcW w:w="588" w:type="pct"/>
                  <w:noWrap w:val="0"/>
                  <w:vAlign w:val="center"/>
                </w:tcPr>
                <w:p>
                  <w:pPr>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82</w:t>
                  </w:r>
                </w:p>
              </w:tc>
              <w:tc>
                <w:tcPr>
                  <w:tcW w:w="859" w:type="pct"/>
                  <w:noWrap w:val="0"/>
                  <w:vAlign w:val="center"/>
                </w:tcPr>
                <w:p>
                  <w:pPr>
                    <w:jc w:val="center"/>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88.99</w:t>
                  </w:r>
                </w:p>
              </w:tc>
              <w:tc>
                <w:tcPr>
                  <w:tcW w:w="1377" w:type="pct"/>
                  <w:vMerge w:val="continue"/>
                  <w:noWrap w:val="0"/>
                  <w:vAlign w:val="center"/>
                </w:tcPr>
                <w:p>
                  <w:pPr>
                    <w:jc w:val="center"/>
                    <w:rPr>
                      <w:rFonts w:hint="eastAsia"/>
                      <w:color w:val="000000" w:themeColor="text1"/>
                      <w:u w:val="single"/>
                      <w14:textFill>
                        <w14:solidFill>
                          <w14:schemeClr w14:val="tx1"/>
                        </w14:solidFill>
                      </w14:textFill>
                    </w:rPr>
                  </w:pPr>
                </w:p>
              </w:tc>
              <w:tc>
                <w:tcPr>
                  <w:tcW w:w="686" w:type="pct"/>
                  <w:vMerge w:val="continue"/>
                  <w:noWrap w:val="0"/>
                  <w:vAlign w:val="center"/>
                </w:tcPr>
                <w:p>
                  <w:pPr>
                    <w:jc w:val="center"/>
                    <w:rPr>
                      <w:color w:val="000000" w:themeColor="text1"/>
                      <w:u w:val="single"/>
                      <w14:textFill>
                        <w14:solidFill>
                          <w14:schemeClr w14:val="tx1"/>
                        </w14:solidFill>
                      </w14:textFill>
                    </w:rPr>
                  </w:pPr>
                </w:p>
              </w:tc>
              <w:tc>
                <w:tcPr>
                  <w:tcW w:w="394" w:type="pct"/>
                  <w:noWrap w:val="0"/>
                  <w:vAlign w:val="center"/>
                </w:tcPr>
                <w:p>
                  <w:pPr>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58.99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9" w:hRule="atLeast"/>
                <w:jc w:val="center"/>
              </w:trPr>
              <w:tc>
                <w:tcPr>
                  <w:tcW w:w="505" w:type="pct"/>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攻丝机（台式）</w:t>
                  </w:r>
                </w:p>
              </w:tc>
              <w:tc>
                <w:tcPr>
                  <w:tcW w:w="588" w:type="pct"/>
                  <w:noWrap w:val="0"/>
                  <w:vAlign w:val="center"/>
                </w:tcPr>
                <w:p>
                  <w:pPr>
                    <w:widowControl/>
                    <w:adjustRightInd w:val="0"/>
                    <w:snapToGrid w:val="0"/>
                    <w:jc w:val="center"/>
                    <w:textAlignment w:val="center"/>
                    <w:rPr>
                      <w:rFonts w:hint="eastAsia"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2</w:t>
                  </w:r>
                </w:p>
              </w:tc>
              <w:tc>
                <w:tcPr>
                  <w:tcW w:w="588" w:type="pct"/>
                  <w:noWrap w:val="0"/>
                  <w:vAlign w:val="center"/>
                </w:tcPr>
                <w:p>
                  <w:pPr>
                    <w:jc w:val="center"/>
                    <w:rPr>
                      <w:rFonts w:hint="eastAsia"/>
                      <w:color w:val="000000" w:themeColor="text1"/>
                      <w:u w:val="single"/>
                      <w14:textFill>
                        <w14:solidFill>
                          <w14:schemeClr w14:val="tx1"/>
                        </w14:solidFill>
                      </w14:textFill>
                    </w:rPr>
                  </w:pPr>
                  <w:r>
                    <w:rPr>
                      <w:color w:val="000000" w:themeColor="text1"/>
                      <w:u w:val="single"/>
                      <w14:textFill>
                        <w14:solidFill>
                          <w14:schemeClr w14:val="tx1"/>
                        </w14:solidFill>
                      </w14:textFill>
                    </w:rPr>
                    <w:t>8</w:t>
                  </w:r>
                  <w:r>
                    <w:rPr>
                      <w:rFonts w:hint="eastAsia"/>
                      <w:color w:val="000000" w:themeColor="text1"/>
                      <w:u w:val="single"/>
                      <w14:textFill>
                        <w14:solidFill>
                          <w14:schemeClr w14:val="tx1"/>
                        </w14:solidFill>
                      </w14:textFill>
                    </w:rPr>
                    <w:t>1</w:t>
                  </w:r>
                </w:p>
              </w:tc>
              <w:tc>
                <w:tcPr>
                  <w:tcW w:w="859" w:type="pct"/>
                  <w:noWrap w:val="0"/>
                  <w:vAlign w:val="center"/>
                </w:tcPr>
                <w:p>
                  <w:pPr>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84.01</w:t>
                  </w:r>
                </w:p>
              </w:tc>
              <w:tc>
                <w:tcPr>
                  <w:tcW w:w="1377" w:type="pct"/>
                  <w:vMerge w:val="continue"/>
                  <w:noWrap w:val="0"/>
                  <w:vAlign w:val="center"/>
                </w:tcPr>
                <w:p>
                  <w:pPr>
                    <w:jc w:val="center"/>
                    <w:rPr>
                      <w:color w:val="000000" w:themeColor="text1"/>
                      <w:u w:val="single"/>
                      <w14:textFill>
                        <w14:solidFill>
                          <w14:schemeClr w14:val="tx1"/>
                        </w14:solidFill>
                      </w14:textFill>
                    </w:rPr>
                  </w:pPr>
                </w:p>
              </w:tc>
              <w:tc>
                <w:tcPr>
                  <w:tcW w:w="686" w:type="pct"/>
                  <w:vMerge w:val="continue"/>
                  <w:noWrap w:val="0"/>
                  <w:vAlign w:val="center"/>
                </w:tcPr>
                <w:p>
                  <w:pPr>
                    <w:jc w:val="center"/>
                    <w:rPr>
                      <w:color w:val="000000" w:themeColor="text1"/>
                      <w:u w:val="single"/>
                      <w14:textFill>
                        <w14:solidFill>
                          <w14:schemeClr w14:val="tx1"/>
                        </w14:solidFill>
                      </w14:textFill>
                    </w:rPr>
                  </w:pPr>
                </w:p>
              </w:tc>
              <w:tc>
                <w:tcPr>
                  <w:tcW w:w="394" w:type="pct"/>
                  <w:noWrap w:val="0"/>
                  <w:vAlign w:val="center"/>
                </w:tcPr>
                <w:p>
                  <w:pPr>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8" w:hRule="atLeast"/>
                <w:jc w:val="center"/>
              </w:trPr>
              <w:tc>
                <w:tcPr>
                  <w:tcW w:w="505" w:type="pct"/>
                  <w:noWrap w:val="0"/>
                  <w:vAlign w:val="center"/>
                </w:tcPr>
                <w:p>
                  <w:pPr>
                    <w:widowControl/>
                    <w:adjustRightInd w:val="0"/>
                    <w:snapToGrid w:val="0"/>
                    <w:jc w:val="center"/>
                    <w:textAlignment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加工中心</w:t>
                  </w:r>
                </w:p>
              </w:tc>
              <w:tc>
                <w:tcPr>
                  <w:tcW w:w="588" w:type="pct"/>
                  <w:noWrap w:val="0"/>
                  <w:vAlign w:val="center"/>
                </w:tcPr>
                <w:p>
                  <w:pPr>
                    <w:widowControl/>
                    <w:adjustRightInd w:val="0"/>
                    <w:snapToGrid w:val="0"/>
                    <w:jc w:val="center"/>
                    <w:textAlignment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39</w:t>
                  </w:r>
                </w:p>
              </w:tc>
              <w:tc>
                <w:tcPr>
                  <w:tcW w:w="588" w:type="pct"/>
                  <w:noWrap w:val="0"/>
                  <w:vAlign w:val="center"/>
                </w:tcPr>
                <w:p>
                  <w:pPr>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83</w:t>
                  </w:r>
                </w:p>
              </w:tc>
              <w:tc>
                <w:tcPr>
                  <w:tcW w:w="859" w:type="pct"/>
                  <w:noWrap w:val="0"/>
                  <w:vAlign w:val="center"/>
                </w:tcPr>
                <w:p>
                  <w:pPr>
                    <w:jc w:val="center"/>
                    <w:rPr>
                      <w:rFonts w:hint="eastAsia"/>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89.99</w:t>
                  </w:r>
                </w:p>
              </w:tc>
              <w:tc>
                <w:tcPr>
                  <w:tcW w:w="1377" w:type="pct"/>
                  <w:vMerge w:val="continue"/>
                  <w:noWrap w:val="0"/>
                  <w:vAlign w:val="center"/>
                </w:tcPr>
                <w:p>
                  <w:pPr>
                    <w:jc w:val="center"/>
                    <w:rPr>
                      <w:rFonts w:hint="eastAsia"/>
                      <w:color w:val="000000" w:themeColor="text1"/>
                      <w:u w:val="single"/>
                      <w14:textFill>
                        <w14:solidFill>
                          <w14:schemeClr w14:val="tx1"/>
                        </w14:solidFill>
                      </w14:textFill>
                    </w:rPr>
                  </w:pPr>
                </w:p>
              </w:tc>
              <w:tc>
                <w:tcPr>
                  <w:tcW w:w="686" w:type="pct"/>
                  <w:vMerge w:val="continue"/>
                  <w:noWrap w:val="0"/>
                  <w:vAlign w:val="center"/>
                </w:tcPr>
                <w:p>
                  <w:pPr>
                    <w:jc w:val="center"/>
                    <w:rPr>
                      <w:color w:val="000000" w:themeColor="text1"/>
                      <w:u w:val="single"/>
                      <w14:textFill>
                        <w14:solidFill>
                          <w14:schemeClr w14:val="tx1"/>
                        </w14:solidFill>
                      </w14:textFill>
                    </w:rPr>
                  </w:pPr>
                </w:p>
              </w:tc>
              <w:tc>
                <w:tcPr>
                  <w:tcW w:w="394" w:type="pct"/>
                  <w:noWrap w:val="0"/>
                  <w:vAlign w:val="center"/>
                </w:tcPr>
                <w:p>
                  <w:pPr>
                    <w:jc w:val="center"/>
                    <w:rPr>
                      <w:rFonts w:hint="default" w:eastAsia="宋体"/>
                      <w:color w:val="000000" w:themeColor="text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59.99</w:t>
                  </w:r>
                </w:p>
              </w:tc>
            </w:tr>
          </w:tbl>
          <w:p>
            <w:pPr>
              <w:spacing w:line="360" w:lineRule="auto"/>
              <w:ind w:firstLine="480" w:firstLineChars="200"/>
              <w:rPr>
                <w:color w:val="000000" w:themeColor="text1"/>
                <w:kern w:val="1"/>
                <w:sz w:val="24"/>
                <w:u w:val="single"/>
                <w14:textFill>
                  <w14:solidFill>
                    <w14:schemeClr w14:val="tx1"/>
                  </w14:solidFill>
                </w14:textFill>
              </w:rPr>
            </w:pPr>
            <w:r>
              <w:rPr>
                <w:color w:val="000000" w:themeColor="text1"/>
                <w:kern w:val="1"/>
                <w:sz w:val="24"/>
                <w:u w:val="single"/>
                <w14:textFill>
                  <w14:solidFill>
                    <w14:schemeClr w14:val="tx1"/>
                  </w14:solidFill>
                </w14:textFill>
              </w:rPr>
              <w:t>在实行以上措施后，可以大大减轻生产噪声对周围环境的影响，噪声</w:t>
            </w:r>
            <w:r>
              <w:rPr>
                <w:rFonts w:hint="eastAsia"/>
                <w:color w:val="000000" w:themeColor="text1"/>
                <w:kern w:val="1"/>
                <w:sz w:val="24"/>
                <w:u w:val="single"/>
                <w14:textFill>
                  <w14:solidFill>
                    <w14:schemeClr w14:val="tx1"/>
                  </w14:solidFill>
                </w14:textFill>
              </w:rPr>
              <w:t>满足</w:t>
            </w:r>
            <w:r>
              <w:rPr>
                <w:color w:val="000000" w:themeColor="text1"/>
                <w:kern w:val="1"/>
                <w:sz w:val="24"/>
                <w:u w:val="single"/>
                <w14:textFill>
                  <w14:solidFill>
                    <w14:schemeClr w14:val="tx1"/>
                  </w14:solidFill>
                </w14:textFill>
              </w:rPr>
              <w:t>《工业企业厂界环境噪声排放标准》（GB12348-2008）中3类（昼间≤65dB（A）、夜间≤55dB（A））项目生产噪声对周围环境影响不大。</w:t>
            </w:r>
          </w:p>
          <w:p>
            <w:pPr>
              <w:spacing w:line="360" w:lineRule="auto"/>
              <w:ind w:firstLine="482" w:firstLineChars="200"/>
              <w:jc w:val="left"/>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（4）固体废物污染分析</w:t>
            </w:r>
          </w:p>
          <w:p>
            <w:pPr>
              <w:spacing w:line="360" w:lineRule="auto"/>
              <w:ind w:firstLine="480" w:firstLineChars="200"/>
              <w:rPr>
                <w:color w:val="000000" w:themeColor="text1"/>
                <w:kern w:val="1"/>
                <w:sz w:val="24"/>
                <w:u w:val="single"/>
                <w14:textFill>
                  <w14:solidFill>
                    <w14:schemeClr w14:val="tx1"/>
                  </w14:solidFill>
                </w14:textFill>
              </w:rPr>
            </w:pPr>
            <w:r>
              <w:rPr>
                <w:color w:val="000000" w:themeColor="text1"/>
                <w:kern w:val="1"/>
                <w:sz w:val="24"/>
                <w:u w:val="single"/>
                <w14:textFill>
                  <w14:solidFill>
                    <w14:schemeClr w14:val="tx1"/>
                  </w14:solidFill>
                </w14:textFill>
              </w:rPr>
              <w:t>本项目工业固体废物：主要为运营期产生的</w:t>
            </w:r>
            <w:r>
              <w:rPr>
                <w:rFonts w:hint="eastAsia"/>
                <w:color w:val="000000" w:themeColor="text1"/>
                <w:kern w:val="1"/>
                <w:sz w:val="24"/>
                <w:u w:val="single"/>
                <w14:textFill>
                  <w14:solidFill>
                    <w14:schemeClr w14:val="tx1"/>
                  </w14:solidFill>
                </w14:textFill>
              </w:rPr>
              <w:t>金属粉尘</w:t>
            </w:r>
            <w:r>
              <w:rPr>
                <w:color w:val="000000" w:themeColor="text1"/>
                <w:kern w:val="1"/>
                <w:sz w:val="24"/>
                <w:u w:val="single"/>
                <w14:textFill>
                  <w14:solidFill>
                    <w14:schemeClr w14:val="tx1"/>
                  </w14:solidFill>
                </w14:textFill>
              </w:rPr>
              <w:t>、不合格产品及废切削液、废润滑油，含油抹布、手套</w:t>
            </w:r>
            <w:r>
              <w:rPr>
                <w:rFonts w:hint="eastAsia"/>
                <w:color w:val="000000" w:themeColor="text1"/>
                <w:kern w:val="1"/>
                <w:sz w:val="24"/>
                <w:u w:val="single"/>
                <w14:textFill>
                  <w14:solidFill>
                    <w14:schemeClr w14:val="tx1"/>
                  </w14:solidFill>
                </w14:textFill>
              </w:rPr>
              <w:t>、废清洗水</w:t>
            </w:r>
            <w:r>
              <w:rPr>
                <w:color w:val="000000" w:themeColor="text1"/>
                <w:kern w:val="1"/>
                <w:sz w:val="24"/>
                <w:u w:val="single"/>
                <w14:textFill>
                  <w14:solidFill>
                    <w14:schemeClr w14:val="tx1"/>
                  </w14:solidFill>
                </w14:textFill>
              </w:rPr>
              <w:t>等。</w:t>
            </w:r>
          </w:p>
          <w:p>
            <w:pPr>
              <w:spacing w:line="360" w:lineRule="auto"/>
              <w:ind w:firstLine="480" w:firstLineChars="200"/>
              <w:rPr>
                <w:color w:val="000000" w:themeColor="text1"/>
                <w:kern w:val="1"/>
                <w:sz w:val="24"/>
                <w:u w:val="single"/>
                <w14:textFill>
                  <w14:solidFill>
                    <w14:schemeClr w14:val="tx1"/>
                  </w14:solidFill>
                </w14:textFill>
              </w:rPr>
            </w:pPr>
            <w:r>
              <w:rPr>
                <w:color w:val="000000" w:themeColor="text1"/>
                <w:kern w:val="1"/>
                <w:sz w:val="24"/>
                <w:u w:val="single"/>
                <w14:textFill>
                  <w14:solidFill>
                    <w14:schemeClr w14:val="tx1"/>
                  </w14:solidFill>
                </w14:textFill>
              </w:rPr>
              <w:t>①不合格产品、废铁渣：表面粗加工及按照设计要求进行钻孔，产生大量的废铁渣，产品检验过程中则会淘汰少量的不合格产品。根据对同类型的生产加工行业生产过程中产品的类比调查，项目生产中产品不合格率约为1‰，则年生产不合格产品量为1.6t/a，同时产生的生产废铁渣为5.264t/a，该部分固体废物定性为一般固体废物，共计6.864‬t/a，利用价值高，可收集后交废旧物资回收公司进行回收综合利用。</w:t>
            </w:r>
          </w:p>
          <w:p>
            <w:pPr>
              <w:spacing w:line="360" w:lineRule="auto"/>
              <w:ind w:firstLine="480" w:firstLineChars="200"/>
              <w:rPr>
                <w:color w:val="000000" w:themeColor="text1"/>
                <w:kern w:val="1"/>
                <w:sz w:val="24"/>
                <w:u w:val="single"/>
                <w14:textFill>
                  <w14:solidFill>
                    <w14:schemeClr w14:val="tx1"/>
                  </w14:solidFill>
                </w14:textFill>
              </w:rPr>
            </w:pPr>
            <w:r>
              <w:rPr>
                <w:color w:val="000000" w:themeColor="text1"/>
                <w:kern w:val="1"/>
                <w:sz w:val="24"/>
                <w:u w:val="single"/>
                <w14:textFill>
                  <w14:solidFill>
                    <w14:schemeClr w14:val="tx1"/>
                  </w14:solidFill>
                </w14:textFill>
              </w:rPr>
              <w:t>②废切削液、废润滑油：废切削液的产生主要是机械钻孔、表面精加工、打磨及半成品吹洗过程产生的危险废物，产生量约为</w:t>
            </w:r>
            <w:r>
              <w:rPr>
                <w:rFonts w:hint="eastAsia"/>
                <w:color w:val="000000" w:themeColor="text1"/>
                <w:kern w:val="1"/>
                <w:sz w:val="24"/>
                <w:u w:val="single"/>
                <w:lang w:val="en-US" w:eastAsia="zh-CN"/>
                <w14:textFill>
                  <w14:solidFill>
                    <w14:schemeClr w14:val="tx1"/>
                  </w14:solidFill>
                </w14:textFill>
              </w:rPr>
              <w:t>6</w:t>
            </w:r>
            <w:r>
              <w:rPr>
                <w:color w:val="000000" w:themeColor="text1"/>
                <w:kern w:val="1"/>
                <w:sz w:val="24"/>
                <w:u w:val="single"/>
                <w14:textFill>
                  <w14:solidFill>
                    <w14:schemeClr w14:val="tx1"/>
                  </w14:solidFill>
                </w14:textFill>
              </w:rPr>
              <w:t>t/a，废润滑油为设备定期维护时更换产生，为危险废物，产生量约为1t/a。本项目产生废润滑油、废切削液分别属于《国家危险废物名录》（2021版）中的HW08和HW09，依据国家相关环保规定及园区环评结论，于厂内设置专用收集桶回收废切削液和废润滑油，放置于密闭容器中，再置于托盘上，暂存于危废暂存间内，避免泄漏，最后交由有资质的单位处理。</w:t>
            </w:r>
          </w:p>
          <w:p>
            <w:pPr>
              <w:spacing w:line="360" w:lineRule="auto"/>
              <w:ind w:firstLine="480" w:firstLineChars="200"/>
              <w:rPr>
                <w:color w:val="000000" w:themeColor="text1"/>
                <w:kern w:val="1"/>
                <w:sz w:val="24"/>
                <w:u w:val="single"/>
                <w14:textFill>
                  <w14:solidFill>
                    <w14:schemeClr w14:val="tx1"/>
                  </w14:solidFill>
                </w14:textFill>
              </w:rPr>
            </w:pPr>
            <w:r>
              <w:rPr>
                <w:color w:val="000000" w:themeColor="text1"/>
                <w:kern w:val="1"/>
                <w:sz w:val="24"/>
                <w:u w:val="single"/>
                <w14:textFill>
                  <w14:solidFill>
                    <w14:schemeClr w14:val="tx1"/>
                  </w14:solidFill>
                </w14:textFill>
              </w:rPr>
              <w:t>③含油抹布、手套：含油抹布、手套为设备定期维护时更换产生，为危险废物，产生量约为0.5t/a，属于《国家危险废物名录》（2021版）中的HW49，暂存于危废暂存间内，交由有资质的单位处理。</w:t>
            </w:r>
          </w:p>
          <w:p>
            <w:pPr>
              <w:spacing w:line="360" w:lineRule="auto"/>
              <w:ind w:firstLine="480" w:firstLineChars="200"/>
              <w:rPr>
                <w:color w:val="000000" w:themeColor="text1"/>
                <w:kern w:val="1"/>
                <w:sz w:val="24"/>
                <w:u w:val="single"/>
                <w14:textFill>
                  <w14:solidFill>
                    <w14:schemeClr w14:val="tx1"/>
                  </w14:solidFill>
                </w14:textFill>
              </w:rPr>
            </w:pPr>
            <w:r>
              <w:rPr>
                <w:color w:val="000000" w:themeColor="text1"/>
                <w:kern w:val="1"/>
                <w:sz w:val="24"/>
                <w:u w:val="single"/>
                <w14:textFill>
                  <w14:solidFill>
                    <w14:schemeClr w14:val="tx1"/>
                  </w14:solidFill>
                </w14:textFill>
              </w:rPr>
              <w:t>④生产过程中使用清洗剂配水进行清洗，清洗采用清洗剂配水（配比为清洗剂：水 =1:</w:t>
            </w:r>
            <w:r>
              <w:rPr>
                <w:rFonts w:hint="eastAsia"/>
                <w:color w:val="000000" w:themeColor="text1"/>
                <w:kern w:val="1"/>
                <w:sz w:val="24"/>
                <w:u w:val="single"/>
                <w:lang w:val="en-US" w:eastAsia="zh-CN"/>
                <w14:textFill>
                  <w14:solidFill>
                    <w14:schemeClr w14:val="tx1"/>
                  </w14:solidFill>
                </w14:textFill>
              </w:rPr>
              <w:t>2</w:t>
            </w:r>
            <w:r>
              <w:rPr>
                <w:color w:val="000000" w:themeColor="text1"/>
                <w:kern w:val="1"/>
                <w:sz w:val="24"/>
                <w:u w:val="single"/>
                <w14:textFill>
                  <w14:solidFill>
                    <w14:schemeClr w14:val="tx1"/>
                  </w14:solidFill>
                </w14:textFill>
              </w:rPr>
              <w:t>0），有清洗废液产生，超声波清洗机清洗废水循环使用定期外排，</w:t>
            </w:r>
            <w:r>
              <w:rPr>
                <w:color w:val="000000" w:themeColor="text1"/>
                <w:sz w:val="24"/>
                <w:u w:val="single"/>
                <w14:textFill>
                  <w14:solidFill>
                    <w14:schemeClr w14:val="tx1"/>
                  </w14:solidFill>
                </w14:textFill>
              </w:rPr>
              <w:t>配水比例</w:t>
            </w:r>
            <w:r>
              <w:rPr>
                <w:rFonts w:hint="eastAsia"/>
                <w:color w:val="000000" w:themeColor="text1"/>
                <w:sz w:val="24"/>
                <w:u w:val="single"/>
                <w14:textFill>
                  <w14:solidFill>
                    <w14:schemeClr w14:val="tx1"/>
                  </w14:solidFill>
                </w14:textFill>
              </w:rPr>
              <w:t xml:space="preserve"> 1:20</w:t>
            </w:r>
            <w:r>
              <w:rPr>
                <w:color w:val="000000" w:themeColor="text1"/>
                <w:sz w:val="24"/>
                <w:u w:val="single"/>
                <w14:textFill>
                  <w14:solidFill>
                    <w14:schemeClr w14:val="tx1"/>
                  </w14:solidFill>
                </w14:textFill>
              </w:rPr>
              <w:t>，清洗剂用量0.9t，所以 本项目用水为</w:t>
            </w:r>
            <w:r>
              <w:rPr>
                <w:rFonts w:hint="eastAsia"/>
                <w:color w:val="000000" w:themeColor="text1"/>
                <w:sz w:val="24"/>
                <w:u w:val="single"/>
                <w14:textFill>
                  <w14:solidFill>
                    <w14:schemeClr w14:val="tx1"/>
                  </w14:solidFill>
                </w14:textFill>
              </w:rPr>
              <w:t>18</w:t>
            </w:r>
            <w:r>
              <w:rPr>
                <w:color w:val="000000" w:themeColor="text1"/>
                <w:sz w:val="24"/>
                <w:u w:val="single"/>
                <w14:textFill>
                  <w14:solidFill>
                    <w14:schemeClr w14:val="tx1"/>
                  </w14:solidFill>
                </w14:textFill>
              </w:rPr>
              <w:t>t/a，损耗比例按80%计算，产生量约为</w:t>
            </w:r>
            <w:r>
              <w:rPr>
                <w:rFonts w:hint="eastAsia"/>
                <w:color w:val="000000" w:themeColor="text1"/>
                <w:sz w:val="24"/>
                <w:u w:val="single"/>
                <w14:textFill>
                  <w14:solidFill>
                    <w14:schemeClr w14:val="tx1"/>
                  </w14:solidFill>
                </w14:textFill>
              </w:rPr>
              <w:t>14.4t/a</w:t>
            </w:r>
            <w:r>
              <w:rPr>
                <w:color w:val="000000" w:themeColor="text1"/>
                <w:sz w:val="24"/>
                <w:u w:val="single"/>
                <w14:textFill>
                  <w14:solidFill>
                    <w14:schemeClr w14:val="tx1"/>
                  </w14:solidFill>
                </w14:textFill>
              </w:rPr>
              <w:t>；超声波清洗废水属于《国家危险废物名</w:t>
            </w:r>
            <w:r>
              <w:rPr>
                <w:color w:val="000000" w:themeColor="text1"/>
                <w:kern w:val="1"/>
                <w:sz w:val="24"/>
                <w:u w:val="single"/>
                <w14:textFill>
                  <w14:solidFill>
                    <w14:schemeClr w14:val="tx1"/>
                  </w14:solidFill>
                </w14:textFill>
              </w:rPr>
              <w:t>录》（2021版）中的HW</w:t>
            </w:r>
            <w:r>
              <w:rPr>
                <w:rFonts w:hint="eastAsia"/>
                <w:color w:val="000000" w:themeColor="text1"/>
                <w:kern w:val="1"/>
                <w:sz w:val="24"/>
                <w:u w:val="single"/>
                <w:lang w:val="en-US" w:eastAsia="zh-CN"/>
                <w14:textFill>
                  <w14:solidFill>
                    <w14:schemeClr w14:val="tx1"/>
                  </w14:solidFill>
                </w14:textFill>
              </w:rPr>
              <w:t>17</w:t>
            </w:r>
            <w:r>
              <w:rPr>
                <w:color w:val="000000" w:themeColor="text1"/>
                <w:kern w:val="1"/>
                <w:sz w:val="24"/>
                <w:u w:val="single"/>
                <w14:textFill>
                  <w14:solidFill>
                    <w14:schemeClr w14:val="tx1"/>
                  </w14:solidFill>
                </w14:textFill>
              </w:rPr>
              <w:t>，暂存于危废暂存间内，交由有资质的单位处理。</w:t>
            </w:r>
          </w:p>
          <w:p>
            <w:pPr>
              <w:spacing w:line="360" w:lineRule="auto"/>
              <w:ind w:firstLine="480" w:firstLineChars="200"/>
              <w:rPr>
                <w:color w:val="000000" w:themeColor="text1"/>
                <w:kern w:val="1"/>
                <w:sz w:val="24"/>
                <w:u w:val="single"/>
                <w14:textFill>
                  <w14:solidFill>
                    <w14:schemeClr w14:val="tx1"/>
                  </w14:solidFill>
                </w14:textFill>
              </w:rPr>
            </w:pPr>
            <w:r>
              <w:rPr>
                <w:color w:val="000000" w:themeColor="text1"/>
                <w:kern w:val="1"/>
                <w:sz w:val="24"/>
                <w:u w:val="single"/>
                <w14:textFill>
                  <w14:solidFill>
                    <w14:schemeClr w14:val="tx1"/>
                  </w14:solidFill>
                </w14:textFill>
              </w:rPr>
              <w:t>⑤生活垃圾</w:t>
            </w:r>
          </w:p>
          <w:p>
            <w:pPr>
              <w:spacing w:line="360" w:lineRule="auto"/>
              <w:ind w:firstLine="480" w:firstLineChars="200"/>
              <w:rPr>
                <w:color w:val="000000" w:themeColor="text1"/>
                <w:kern w:val="1"/>
                <w:sz w:val="24"/>
                <w:u w:val="single"/>
                <w14:textFill>
                  <w14:solidFill>
                    <w14:schemeClr w14:val="tx1"/>
                  </w14:solidFill>
                </w14:textFill>
              </w:rPr>
            </w:pPr>
            <w:r>
              <w:rPr>
                <w:color w:val="000000" w:themeColor="text1"/>
                <w:kern w:val="1"/>
                <w:sz w:val="24"/>
                <w:u w:val="single"/>
                <w14:textFill>
                  <w14:solidFill>
                    <w14:schemeClr w14:val="tx1"/>
                  </w14:solidFill>
                </w14:textFill>
              </w:rPr>
              <w:t>项目年生产300天，员工350人，其中10人厂区内住宿，则生活垃圾产生量为82.5t/a，拟由环卫部门定期清运，统一处理。</w:t>
            </w:r>
          </w:p>
          <w:p>
            <w:pPr>
              <w:spacing w:line="360" w:lineRule="auto"/>
              <w:ind w:firstLine="480" w:firstLineChars="200"/>
              <w:rPr>
                <w:color w:val="000000" w:themeColor="text1"/>
                <w:kern w:val="1"/>
                <w:sz w:val="24"/>
                <w:u w:val="single"/>
                <w14:textFill>
                  <w14:solidFill>
                    <w14:schemeClr w14:val="tx1"/>
                  </w14:solidFill>
                </w14:textFill>
              </w:rPr>
            </w:pPr>
            <w:r>
              <w:rPr>
                <w:rFonts w:hint="eastAsia"/>
                <w:color w:val="000000" w:themeColor="text1"/>
                <w:kern w:val="1"/>
                <w:sz w:val="24"/>
                <w:u w:val="single"/>
                <w14:textFill>
                  <w14:solidFill>
                    <w14:schemeClr w14:val="tx1"/>
                  </w14:solidFill>
                </w14:textFill>
              </w:rPr>
              <w:t>⑥废包装物</w:t>
            </w:r>
          </w:p>
          <w:p>
            <w:pPr>
              <w:spacing w:line="360" w:lineRule="auto"/>
              <w:ind w:firstLine="480" w:firstLineChars="200"/>
              <w:rPr>
                <w:color w:val="000000" w:themeColor="text1"/>
                <w:kern w:val="1"/>
                <w:sz w:val="24"/>
                <w:u w:val="single"/>
                <w14:textFill>
                  <w14:solidFill>
                    <w14:schemeClr w14:val="tx1"/>
                  </w14:solidFill>
                </w14:textFill>
              </w:rPr>
            </w:pPr>
            <w:r>
              <w:rPr>
                <w:color w:val="000000" w:themeColor="text1"/>
                <w:kern w:val="1"/>
                <w:sz w:val="24"/>
                <w:u w:val="single"/>
                <w14:textFill>
                  <w14:solidFill>
                    <w14:schemeClr w14:val="tx1"/>
                  </w14:solidFill>
                </w14:textFill>
              </w:rPr>
              <w:t>本项目</w:t>
            </w:r>
            <w:r>
              <w:rPr>
                <w:rFonts w:hint="eastAsia"/>
                <w:color w:val="000000" w:themeColor="text1"/>
                <w:kern w:val="1"/>
                <w:sz w:val="24"/>
                <w:u w:val="single"/>
                <w14:textFill>
                  <w14:solidFill>
                    <w14:schemeClr w14:val="tx1"/>
                  </w14:solidFill>
                </w14:textFill>
              </w:rPr>
              <w:t>会有少量废包装物产生，</w:t>
            </w:r>
            <w:r>
              <w:rPr>
                <w:color w:val="000000" w:themeColor="text1"/>
                <w:kern w:val="1"/>
                <w:sz w:val="24"/>
                <w:u w:val="single"/>
                <w14:textFill>
                  <w14:solidFill>
                    <w14:schemeClr w14:val="tx1"/>
                  </w14:solidFill>
                </w14:textFill>
              </w:rPr>
              <w:t>使用过程产生的</w:t>
            </w:r>
            <w:r>
              <w:rPr>
                <w:rFonts w:hint="eastAsia"/>
                <w:color w:val="000000" w:themeColor="text1"/>
                <w:kern w:val="1"/>
                <w:sz w:val="24"/>
                <w:u w:val="single"/>
                <w14:textFill>
                  <w14:solidFill>
                    <w14:schemeClr w14:val="tx1"/>
                  </w14:solidFill>
                </w14:textFill>
              </w:rPr>
              <w:t>废包装物</w:t>
            </w:r>
            <w:r>
              <w:rPr>
                <w:color w:val="000000" w:themeColor="text1"/>
                <w:kern w:val="1"/>
                <w:sz w:val="24"/>
                <w:u w:val="single"/>
                <w14:textFill>
                  <w14:solidFill>
                    <w14:schemeClr w14:val="tx1"/>
                  </w14:solidFill>
                </w14:textFill>
              </w:rPr>
              <w:t>约0.1t/a，可集中收集外售。</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本项目将</w:t>
            </w:r>
            <w:r>
              <w:rPr>
                <w:rFonts w:hint="eastAsia"/>
                <w:color w:val="000000" w:themeColor="text1"/>
                <w:sz w:val="24"/>
                <w:u w:val="single"/>
                <w14:textFill>
                  <w14:solidFill>
                    <w14:schemeClr w14:val="tx1"/>
                  </w14:solidFill>
                </w14:textFill>
              </w:rPr>
              <w:t>危险废物</w:t>
            </w:r>
            <w:r>
              <w:rPr>
                <w:color w:val="000000" w:themeColor="text1"/>
                <w:sz w:val="24"/>
                <w:u w:val="single"/>
                <w14:textFill>
                  <w14:solidFill>
                    <w14:schemeClr w14:val="tx1"/>
                  </w14:solidFill>
                </w14:textFill>
              </w:rPr>
              <w:t>暂存于危险废物暂存间</w:t>
            </w:r>
            <w:r>
              <w:rPr>
                <w:rFonts w:hint="eastAsia"/>
                <w:color w:val="000000" w:themeColor="text1"/>
                <w:sz w:val="24"/>
                <w:u w:val="single"/>
                <w14:textFill>
                  <w14:solidFill>
                    <w14:schemeClr w14:val="tx1"/>
                  </w14:solidFill>
                </w14:textFill>
              </w:rPr>
              <w:t>，危废间拟设置在设备车间西南角占地面积</w:t>
            </w:r>
            <w:r>
              <w:rPr>
                <w:rFonts w:hint="eastAsia"/>
                <w:color w:val="000000" w:themeColor="text1"/>
                <w:sz w:val="24"/>
                <w:u w:val="single"/>
                <w:lang w:val="en-US" w:eastAsia="zh-CN"/>
                <w14:textFill>
                  <w14:solidFill>
                    <w14:schemeClr w14:val="tx1"/>
                  </w14:solidFill>
                </w14:textFill>
              </w:rPr>
              <w:t>5</w:t>
            </w:r>
            <w:r>
              <w:rPr>
                <w:rFonts w:hint="eastAsia"/>
                <w:color w:val="000000" w:themeColor="text1"/>
                <w:sz w:val="24"/>
                <w:u w:val="single"/>
                <w14:textFill>
                  <w14:solidFill>
                    <w14:schemeClr w14:val="tx1"/>
                  </w14:solidFill>
                </w14:textFill>
              </w:rPr>
              <w:t>0m</w:t>
            </w:r>
            <w:r>
              <w:rPr>
                <w:rFonts w:hint="eastAsia"/>
                <w:color w:val="000000" w:themeColor="text1"/>
                <w:sz w:val="24"/>
                <w:u w:val="single"/>
                <w:vertAlign w:val="superscript"/>
                <w14:textFill>
                  <w14:solidFill>
                    <w14:schemeClr w14:val="tx1"/>
                  </w14:solidFill>
                </w14:textFill>
              </w:rPr>
              <w:t>2</w:t>
            </w:r>
            <w:r>
              <w:rPr>
                <w:color w:val="000000" w:themeColor="text1"/>
                <w:sz w:val="24"/>
                <w:u w:val="single"/>
                <w14:textFill>
                  <w14:solidFill>
                    <w14:schemeClr w14:val="tx1"/>
                  </w14:solidFill>
                </w14:textFill>
              </w:rPr>
              <w:t>，暂存后由有处理资质单位统一回收处理。危险废物储存必须严格按照《危险废物贮存污染控制标准》 (GB18597-2001，2013 修订)的要求进行，贮存去应根据不同性质的危险废物进行分区贮存，禁止将不相容（相互反应）的危险废物在同一容器内混装，并做好防渗、消防等防范措施。危险废物贮存前应进行检查，并注册登记，做好记录，记录上需注明危险废物的名称，来源、日期、存放位置及去向；建立档案管理制度，长期保存供随时查阅；定期对贮存危险废物的容器及设施进行检查，发现破损应及时采取措施清理更换，并做好记录；建设单位必须严格遵守有关危险废物贮存的规定，建立完善的管理体制，危险废物转移活动需按照《危险废物转移联单管理办法》要求进行转移记录。</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经上述措施处理后，本项目产生的固体废物均将得到妥善处置，将不会对环境造成明显影响。</w:t>
            </w:r>
          </w:p>
          <w:p>
            <w:pPr>
              <w:pStyle w:val="10"/>
              <w:adjustRightInd w:val="0"/>
              <w:spacing w:before="0" w:after="0" w:line="240" w:lineRule="auto"/>
              <w:ind w:right="0"/>
              <w:jc w:val="center"/>
              <w:rPr>
                <w:b/>
                <w:bCs/>
                <w:color w:val="000000" w:themeColor="text1"/>
                <w:sz w:val="21"/>
                <w:szCs w:val="21"/>
                <w:u w:val="single"/>
                <w14:textFill>
                  <w14:solidFill>
                    <w14:schemeClr w14:val="tx1"/>
                  </w14:solidFill>
                </w14:textFill>
              </w:rPr>
            </w:pPr>
            <w:r>
              <w:rPr>
                <w:b/>
                <w:bCs/>
                <w:color w:val="000000" w:themeColor="text1"/>
                <w:sz w:val="21"/>
                <w:szCs w:val="21"/>
                <w:u w:val="single"/>
                <w14:textFill>
                  <w14:solidFill>
                    <w14:schemeClr w14:val="tx1"/>
                  </w14:solidFill>
                </w14:textFill>
              </w:rPr>
              <w:t>表</w:t>
            </w:r>
            <w:r>
              <w:rPr>
                <w:rFonts w:hint="eastAsia"/>
                <w:b/>
                <w:bCs/>
                <w:color w:val="000000" w:themeColor="text1"/>
                <w:sz w:val="21"/>
                <w:szCs w:val="21"/>
                <w:u w:val="single"/>
                <w14:textFill>
                  <w14:solidFill>
                    <w14:schemeClr w14:val="tx1"/>
                  </w14:solidFill>
                </w14:textFill>
              </w:rPr>
              <w:t>4-8</w:t>
            </w:r>
            <w:r>
              <w:rPr>
                <w:b/>
                <w:bCs/>
                <w:color w:val="000000" w:themeColor="text1"/>
                <w:sz w:val="21"/>
                <w:szCs w:val="21"/>
                <w:u w:val="single"/>
                <w14:textFill>
                  <w14:solidFill>
                    <w14:schemeClr w14:val="tx1"/>
                  </w14:solidFill>
                </w14:textFill>
              </w:rPr>
              <w:t xml:space="preserve">   建设项目危险废物贮存场所（设施）基本情况样表</w:t>
            </w:r>
          </w:p>
          <w:tbl>
            <w:tblPr>
              <w:tblStyle w:val="23"/>
              <w:tblW w:w="5000"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1295"/>
              <w:gridCol w:w="794"/>
              <w:gridCol w:w="1199"/>
              <w:gridCol w:w="729"/>
              <w:gridCol w:w="772"/>
              <w:gridCol w:w="810"/>
              <w:gridCol w:w="719"/>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9" w:type="pct"/>
                  <w:noWrap w:val="0"/>
                  <w:vAlign w:val="center"/>
                </w:tcPr>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贮存场所（设施）</w:t>
                  </w:r>
                </w:p>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名称</w:t>
                  </w:r>
                </w:p>
              </w:tc>
              <w:tc>
                <w:tcPr>
                  <w:tcW w:w="783" w:type="pct"/>
                  <w:noWrap w:val="0"/>
                  <w:vAlign w:val="center"/>
                </w:tcPr>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危险废物名称</w:t>
                  </w:r>
                </w:p>
              </w:tc>
              <w:tc>
                <w:tcPr>
                  <w:tcW w:w="480" w:type="pct"/>
                  <w:noWrap w:val="0"/>
                  <w:vAlign w:val="center"/>
                </w:tcPr>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危险废物类别</w:t>
                  </w:r>
                </w:p>
              </w:tc>
              <w:tc>
                <w:tcPr>
                  <w:tcW w:w="725" w:type="pct"/>
                  <w:noWrap w:val="0"/>
                  <w:vAlign w:val="center"/>
                </w:tcPr>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危险废物代码</w:t>
                  </w:r>
                </w:p>
              </w:tc>
              <w:tc>
                <w:tcPr>
                  <w:tcW w:w="441" w:type="pct"/>
                  <w:noWrap w:val="0"/>
                  <w:vAlign w:val="center"/>
                </w:tcPr>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位置</w:t>
                  </w:r>
                </w:p>
              </w:tc>
              <w:tc>
                <w:tcPr>
                  <w:tcW w:w="467" w:type="pct"/>
                  <w:noWrap w:val="0"/>
                  <w:vAlign w:val="center"/>
                </w:tcPr>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占地面积</w:t>
                  </w:r>
                </w:p>
              </w:tc>
              <w:tc>
                <w:tcPr>
                  <w:tcW w:w="490" w:type="pct"/>
                  <w:noWrap w:val="0"/>
                  <w:vAlign w:val="center"/>
                </w:tcPr>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贮存方式</w:t>
                  </w:r>
                </w:p>
              </w:tc>
              <w:tc>
                <w:tcPr>
                  <w:tcW w:w="435" w:type="pct"/>
                  <w:noWrap w:val="0"/>
                  <w:vAlign w:val="center"/>
                </w:tcPr>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贮存</w:t>
                  </w:r>
                </w:p>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能力</w:t>
                  </w:r>
                </w:p>
              </w:tc>
              <w:tc>
                <w:tcPr>
                  <w:tcW w:w="515" w:type="pct"/>
                  <w:noWrap w:val="0"/>
                  <w:vAlign w:val="center"/>
                </w:tcPr>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贮存</w:t>
                  </w:r>
                </w:p>
                <w:p>
                  <w:pPr>
                    <w:adjustRightInd w:val="0"/>
                    <w:jc w:val="center"/>
                    <w:textAlignment w:val="baseline"/>
                    <w:rPr>
                      <w:b/>
                      <w:bCs/>
                      <w:color w:val="000000" w:themeColor="text1"/>
                      <w:u w:val="single"/>
                      <w14:textFill>
                        <w14:solidFill>
                          <w14:schemeClr w14:val="tx1"/>
                        </w14:solidFill>
                      </w14:textFill>
                    </w:rPr>
                  </w:pPr>
                  <w:r>
                    <w:rPr>
                      <w:b/>
                      <w:bCs/>
                      <w:color w:val="000000" w:themeColor="text1"/>
                      <w:u w:val="single"/>
                      <w14:textFill>
                        <w14:solidFill>
                          <w14:schemeClr w14:val="tx1"/>
                        </w14:solidFill>
                      </w14:textFill>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659" w:type="pct"/>
                  <w:vMerge w:val="restar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危险废物</w:t>
                  </w:r>
                </w:p>
              </w:tc>
              <w:tc>
                <w:tcPr>
                  <w:tcW w:w="783" w:type="pct"/>
                  <w:noWrap w:val="0"/>
                  <w:vAlign w:val="center"/>
                </w:tcPr>
                <w:p>
                  <w:pPr>
                    <w:jc w:val="center"/>
                    <w:rPr>
                      <w:rFonts w:hint="eastAsia"/>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废润滑油</w:t>
                  </w:r>
                </w:p>
              </w:tc>
              <w:tc>
                <w:tcPr>
                  <w:tcW w:w="480" w:type="pct"/>
                  <w:noWrap w:val="0"/>
                  <w:vAlign w:val="center"/>
                </w:tcPr>
                <w:p>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HW08</w:t>
                  </w:r>
                </w:p>
              </w:tc>
              <w:tc>
                <w:tcPr>
                  <w:tcW w:w="725"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900-</w:t>
                  </w:r>
                  <w:r>
                    <w:rPr>
                      <w:color w:val="000000" w:themeColor="text1"/>
                      <w:szCs w:val="21"/>
                      <w:u w:val="single"/>
                      <w14:textFill>
                        <w14:solidFill>
                          <w14:schemeClr w14:val="tx1"/>
                        </w14:solidFill>
                      </w14:textFill>
                    </w:rPr>
                    <w:t>214</w:t>
                  </w:r>
                  <w:r>
                    <w:rPr>
                      <w:rFonts w:hint="eastAsia"/>
                      <w:color w:val="000000" w:themeColor="text1"/>
                      <w:szCs w:val="21"/>
                      <w:u w:val="single"/>
                      <w14:textFill>
                        <w14:solidFill>
                          <w14:schemeClr w14:val="tx1"/>
                        </w14:solidFill>
                      </w14:textFill>
                    </w:rPr>
                    <w:t>-08</w:t>
                  </w:r>
                </w:p>
              </w:tc>
              <w:tc>
                <w:tcPr>
                  <w:tcW w:w="441" w:type="pct"/>
                  <w:vMerge w:val="restar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危废暂存间</w:t>
                  </w:r>
                </w:p>
              </w:tc>
              <w:tc>
                <w:tcPr>
                  <w:tcW w:w="467" w:type="pct"/>
                  <w:vMerge w:val="restart"/>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lang w:val="en-US" w:eastAsia="zh-CN"/>
                      <w14:textFill>
                        <w14:solidFill>
                          <w14:schemeClr w14:val="tx1"/>
                        </w14:solidFill>
                      </w14:textFill>
                    </w:rPr>
                    <w:t>5</w:t>
                  </w:r>
                  <w:r>
                    <w:rPr>
                      <w:color w:val="000000" w:themeColor="text1"/>
                      <w:sz w:val="21"/>
                      <w:szCs w:val="21"/>
                      <w:u w:val="single"/>
                      <w14:textFill>
                        <w14:solidFill>
                          <w14:schemeClr w14:val="tx1"/>
                        </w14:solidFill>
                      </w14:textFill>
                    </w:rPr>
                    <w:t>0m</w:t>
                  </w:r>
                  <w:r>
                    <w:rPr>
                      <w:color w:val="000000" w:themeColor="text1"/>
                      <w:sz w:val="21"/>
                      <w:szCs w:val="21"/>
                      <w:u w:val="single"/>
                      <w:vertAlign w:val="superscript"/>
                      <w14:textFill>
                        <w14:solidFill>
                          <w14:schemeClr w14:val="tx1"/>
                        </w14:solidFill>
                      </w14:textFill>
                    </w:rPr>
                    <w:t>2</w:t>
                  </w:r>
                </w:p>
              </w:tc>
              <w:tc>
                <w:tcPr>
                  <w:tcW w:w="490" w:type="pct"/>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桶装</w:t>
                  </w:r>
                </w:p>
              </w:tc>
              <w:tc>
                <w:tcPr>
                  <w:tcW w:w="435" w:type="pct"/>
                  <w:vMerge w:val="restart"/>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lang w:val="en-US" w:eastAsia="zh-CN"/>
                      <w14:textFill>
                        <w14:solidFill>
                          <w14:schemeClr w14:val="tx1"/>
                        </w14:solidFill>
                      </w14:textFill>
                    </w:rPr>
                    <w:t>30</w:t>
                  </w:r>
                  <w:r>
                    <w:rPr>
                      <w:color w:val="000000" w:themeColor="text1"/>
                      <w:sz w:val="21"/>
                      <w:szCs w:val="21"/>
                      <w:u w:val="single"/>
                      <w14:textFill>
                        <w14:solidFill>
                          <w14:schemeClr w14:val="tx1"/>
                        </w14:solidFill>
                      </w14:textFill>
                    </w:rPr>
                    <w:t>t</w:t>
                  </w:r>
                </w:p>
              </w:tc>
              <w:tc>
                <w:tcPr>
                  <w:tcW w:w="515" w:type="pct"/>
                  <w:vMerge w:val="restart"/>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lang w:val="en-US" w:eastAsia="zh-CN"/>
                      <w14:textFill>
                        <w14:solidFill>
                          <w14:schemeClr w14:val="tx1"/>
                        </w14:solidFill>
                      </w14:textFill>
                    </w:rPr>
                    <w:t>180</w:t>
                  </w:r>
                  <w:r>
                    <w:rPr>
                      <w:rFonts w:hint="eastAsia"/>
                      <w:color w:val="000000" w:themeColor="text1"/>
                      <w:sz w:val="21"/>
                      <w:szCs w:val="21"/>
                      <w:u w:val="single"/>
                      <w14:textFill>
                        <w14:solidFill>
                          <w14:schemeClr w14:val="tx1"/>
                        </w14:solidFill>
                      </w14:textFill>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659" w:type="pct"/>
                  <w:vMerge w:val="continue"/>
                  <w:noWrap w:val="0"/>
                  <w:vAlign w:val="center"/>
                </w:tcPr>
                <w:p>
                  <w:pPr>
                    <w:jc w:val="center"/>
                    <w:rPr>
                      <w:rFonts w:hint="eastAsia"/>
                      <w:color w:val="000000" w:themeColor="text1"/>
                      <w:szCs w:val="21"/>
                      <w:u w:val="single"/>
                      <w14:textFill>
                        <w14:solidFill>
                          <w14:schemeClr w14:val="tx1"/>
                        </w14:solidFill>
                      </w14:textFill>
                    </w:rPr>
                  </w:pPr>
                </w:p>
              </w:tc>
              <w:tc>
                <w:tcPr>
                  <w:tcW w:w="783" w:type="pct"/>
                  <w:noWrap w:val="0"/>
                  <w:vAlign w:val="center"/>
                </w:tcPr>
                <w:p>
                  <w:pPr>
                    <w:jc w:val="center"/>
                    <w:rPr>
                      <w:rFonts w:hint="eastAsia"/>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废切削液</w:t>
                  </w:r>
                </w:p>
              </w:tc>
              <w:tc>
                <w:tcPr>
                  <w:tcW w:w="480"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HW09</w:t>
                  </w:r>
                </w:p>
              </w:tc>
              <w:tc>
                <w:tcPr>
                  <w:tcW w:w="725"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900-006-09</w:t>
                  </w:r>
                </w:p>
              </w:tc>
              <w:tc>
                <w:tcPr>
                  <w:tcW w:w="441" w:type="pct"/>
                  <w:vMerge w:val="continue"/>
                  <w:noWrap w:val="0"/>
                  <w:vAlign w:val="center"/>
                </w:tcPr>
                <w:p>
                  <w:pPr>
                    <w:jc w:val="center"/>
                    <w:rPr>
                      <w:rFonts w:hint="eastAsia"/>
                      <w:color w:val="000000" w:themeColor="text1"/>
                      <w:szCs w:val="21"/>
                      <w:u w:val="single"/>
                      <w14:textFill>
                        <w14:solidFill>
                          <w14:schemeClr w14:val="tx1"/>
                        </w14:solidFill>
                      </w14:textFill>
                    </w:rPr>
                  </w:pPr>
                </w:p>
              </w:tc>
              <w:tc>
                <w:tcPr>
                  <w:tcW w:w="467" w:type="pct"/>
                  <w:vMerge w:val="continue"/>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p>
              </w:tc>
              <w:tc>
                <w:tcPr>
                  <w:tcW w:w="490" w:type="pct"/>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桶装</w:t>
                  </w:r>
                </w:p>
              </w:tc>
              <w:tc>
                <w:tcPr>
                  <w:tcW w:w="435" w:type="pct"/>
                  <w:vMerge w:val="continue"/>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p>
              </w:tc>
              <w:tc>
                <w:tcPr>
                  <w:tcW w:w="515" w:type="pct"/>
                  <w:vMerge w:val="continue"/>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659" w:type="pct"/>
                  <w:vMerge w:val="continue"/>
                  <w:noWrap w:val="0"/>
                  <w:vAlign w:val="center"/>
                </w:tcPr>
                <w:p>
                  <w:pPr>
                    <w:jc w:val="center"/>
                    <w:rPr>
                      <w:rFonts w:hint="eastAsia"/>
                      <w:color w:val="000000" w:themeColor="text1"/>
                      <w:szCs w:val="21"/>
                      <w:u w:val="single"/>
                      <w14:textFill>
                        <w14:solidFill>
                          <w14:schemeClr w14:val="tx1"/>
                        </w14:solidFill>
                      </w14:textFill>
                    </w:rPr>
                  </w:pPr>
                </w:p>
              </w:tc>
              <w:tc>
                <w:tcPr>
                  <w:tcW w:w="78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超声波清洗废水</w:t>
                  </w:r>
                </w:p>
              </w:tc>
              <w:tc>
                <w:tcPr>
                  <w:tcW w:w="480" w:type="pct"/>
                  <w:noWrap w:val="0"/>
                  <w:vAlign w:val="center"/>
                </w:tcPr>
                <w:p>
                  <w:pPr>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14:textFill>
                        <w14:solidFill>
                          <w14:schemeClr w14:val="tx1"/>
                        </w14:solidFill>
                      </w14:textFill>
                    </w:rPr>
                    <w:t>HW</w:t>
                  </w:r>
                  <w:r>
                    <w:rPr>
                      <w:rFonts w:hint="eastAsia"/>
                      <w:color w:val="000000" w:themeColor="text1"/>
                      <w:szCs w:val="21"/>
                      <w:u w:val="single"/>
                      <w:lang w:val="en-US" w:eastAsia="zh-CN"/>
                      <w14:textFill>
                        <w14:solidFill>
                          <w14:schemeClr w14:val="tx1"/>
                        </w14:solidFill>
                      </w14:textFill>
                    </w:rPr>
                    <w:t>17</w:t>
                  </w:r>
                </w:p>
              </w:tc>
              <w:tc>
                <w:tcPr>
                  <w:tcW w:w="725" w:type="pct"/>
                  <w:noWrap w:val="0"/>
                  <w:vAlign w:val="center"/>
                </w:tcPr>
                <w:p>
                  <w:pPr>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eastAsia="zh-CN"/>
                      <w14:textFill>
                        <w14:solidFill>
                          <w14:schemeClr w14:val="tx1"/>
                        </w14:solidFill>
                      </w14:textFill>
                    </w:rPr>
                    <w:t>336-064-17</w:t>
                  </w:r>
                </w:p>
              </w:tc>
              <w:tc>
                <w:tcPr>
                  <w:tcW w:w="441" w:type="pct"/>
                  <w:vMerge w:val="continue"/>
                  <w:noWrap w:val="0"/>
                  <w:vAlign w:val="center"/>
                </w:tcPr>
                <w:p>
                  <w:pPr>
                    <w:jc w:val="center"/>
                    <w:rPr>
                      <w:rFonts w:hint="eastAsia"/>
                      <w:color w:val="000000" w:themeColor="text1"/>
                      <w:szCs w:val="21"/>
                      <w:u w:val="single"/>
                      <w14:textFill>
                        <w14:solidFill>
                          <w14:schemeClr w14:val="tx1"/>
                        </w14:solidFill>
                      </w14:textFill>
                    </w:rPr>
                  </w:pPr>
                </w:p>
              </w:tc>
              <w:tc>
                <w:tcPr>
                  <w:tcW w:w="467" w:type="pct"/>
                  <w:vMerge w:val="continue"/>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p>
              </w:tc>
              <w:tc>
                <w:tcPr>
                  <w:tcW w:w="490" w:type="pct"/>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桶装</w:t>
                  </w:r>
                </w:p>
              </w:tc>
              <w:tc>
                <w:tcPr>
                  <w:tcW w:w="435" w:type="pct"/>
                  <w:vMerge w:val="continue"/>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p>
              </w:tc>
              <w:tc>
                <w:tcPr>
                  <w:tcW w:w="515" w:type="pct"/>
                  <w:vMerge w:val="continue"/>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659" w:type="pct"/>
                  <w:vMerge w:val="continue"/>
                  <w:noWrap w:val="0"/>
                  <w:vAlign w:val="center"/>
                </w:tcPr>
                <w:p>
                  <w:pPr>
                    <w:jc w:val="center"/>
                    <w:rPr>
                      <w:rFonts w:hint="eastAsia"/>
                      <w:color w:val="000000" w:themeColor="text1"/>
                      <w:szCs w:val="21"/>
                      <w:u w:val="single"/>
                      <w14:textFill>
                        <w14:solidFill>
                          <w14:schemeClr w14:val="tx1"/>
                        </w14:solidFill>
                      </w14:textFill>
                    </w:rPr>
                  </w:pPr>
                </w:p>
              </w:tc>
              <w:tc>
                <w:tcPr>
                  <w:tcW w:w="78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含油抹布、手套</w:t>
                  </w:r>
                </w:p>
              </w:tc>
              <w:tc>
                <w:tcPr>
                  <w:tcW w:w="480" w:type="pct"/>
                  <w:noWrap w:val="0"/>
                  <w:vAlign w:val="center"/>
                </w:tcPr>
                <w:p>
                  <w:pPr>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14:textFill>
                        <w14:solidFill>
                          <w14:schemeClr w14:val="tx1"/>
                        </w14:solidFill>
                      </w14:textFill>
                    </w:rPr>
                    <w:t>HW</w:t>
                  </w:r>
                  <w:r>
                    <w:rPr>
                      <w:rFonts w:hint="eastAsia"/>
                      <w:color w:val="000000" w:themeColor="text1"/>
                      <w:szCs w:val="21"/>
                      <w:u w:val="single"/>
                      <w:lang w:val="en-US" w:eastAsia="zh-CN"/>
                      <w14:textFill>
                        <w14:solidFill>
                          <w14:schemeClr w14:val="tx1"/>
                        </w14:solidFill>
                      </w14:textFill>
                    </w:rPr>
                    <w:t>49</w:t>
                  </w:r>
                </w:p>
              </w:tc>
              <w:tc>
                <w:tcPr>
                  <w:tcW w:w="725" w:type="pct"/>
                  <w:noWrap w:val="0"/>
                  <w:vAlign w:val="center"/>
                </w:tcPr>
                <w:p>
                  <w:pPr>
                    <w:jc w:val="center"/>
                    <w:rPr>
                      <w:rFonts w:hint="eastAsia"/>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900-041-49</w:t>
                  </w:r>
                </w:p>
              </w:tc>
              <w:tc>
                <w:tcPr>
                  <w:tcW w:w="441" w:type="pct"/>
                  <w:vMerge w:val="continue"/>
                  <w:noWrap w:val="0"/>
                  <w:vAlign w:val="center"/>
                </w:tcPr>
                <w:p>
                  <w:pPr>
                    <w:jc w:val="center"/>
                    <w:rPr>
                      <w:rFonts w:hint="eastAsia"/>
                      <w:color w:val="000000" w:themeColor="text1"/>
                      <w:szCs w:val="21"/>
                      <w:u w:val="single"/>
                      <w14:textFill>
                        <w14:solidFill>
                          <w14:schemeClr w14:val="tx1"/>
                        </w14:solidFill>
                      </w14:textFill>
                    </w:rPr>
                  </w:pPr>
                </w:p>
              </w:tc>
              <w:tc>
                <w:tcPr>
                  <w:tcW w:w="467" w:type="pct"/>
                  <w:vMerge w:val="continue"/>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p>
              </w:tc>
              <w:tc>
                <w:tcPr>
                  <w:tcW w:w="490" w:type="pct"/>
                  <w:noWrap w:val="0"/>
                  <w:vAlign w:val="center"/>
                </w:tcPr>
                <w:p>
                  <w:pPr>
                    <w:pStyle w:val="10"/>
                    <w:adjustRightInd w:val="0"/>
                    <w:spacing w:line="240" w:lineRule="auto"/>
                    <w:jc w:val="center"/>
                    <w:rPr>
                      <w:rFonts w:hint="eastAsia"/>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袋装</w:t>
                  </w:r>
                </w:p>
              </w:tc>
              <w:tc>
                <w:tcPr>
                  <w:tcW w:w="435" w:type="pct"/>
                  <w:vMerge w:val="continue"/>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p>
              </w:tc>
              <w:tc>
                <w:tcPr>
                  <w:tcW w:w="515" w:type="pct"/>
                  <w:vMerge w:val="continue"/>
                  <w:noWrap w:val="0"/>
                  <w:vAlign w:val="center"/>
                </w:tcPr>
                <w:p>
                  <w:pPr>
                    <w:pStyle w:val="10"/>
                    <w:adjustRightInd w:val="0"/>
                    <w:spacing w:line="240" w:lineRule="auto"/>
                    <w:jc w:val="center"/>
                    <w:rPr>
                      <w:color w:val="000000" w:themeColor="text1"/>
                      <w:sz w:val="21"/>
                      <w:szCs w:val="21"/>
                      <w:u w:val="single"/>
                      <w14:textFill>
                        <w14:solidFill>
                          <w14:schemeClr w14:val="tx1"/>
                        </w14:solidFill>
                      </w14:textFill>
                    </w:rPr>
                  </w:pPr>
                </w:p>
              </w:tc>
            </w:tr>
          </w:tbl>
          <w:p>
            <w:pPr>
              <w:pStyle w:val="29"/>
              <w:rPr>
                <w:color w:val="000000" w:themeColor="text1"/>
                <w:u w:val="single"/>
                <w14:textFill>
                  <w14:solidFill>
                    <w14:schemeClr w14:val="tx1"/>
                  </w14:solidFill>
                </w14:textFill>
              </w:rPr>
            </w:pPr>
          </w:p>
          <w:p>
            <w:pPr>
              <w:spacing w:line="480" w:lineRule="exact"/>
              <w:jc w:val="center"/>
              <w:rPr>
                <w:b/>
                <w:bCs/>
                <w:color w:val="000000" w:themeColor="text1"/>
                <w:szCs w:val="21"/>
                <w:u w:val="single"/>
                <w14:textFill>
                  <w14:solidFill>
                    <w14:schemeClr w14:val="tx1"/>
                  </w14:solidFill>
                </w14:textFill>
              </w:rPr>
            </w:pPr>
          </w:p>
          <w:p>
            <w:pPr>
              <w:spacing w:line="480" w:lineRule="exact"/>
              <w:jc w:val="center"/>
              <w:rPr>
                <w:b/>
                <w:bCs/>
                <w:color w:val="000000" w:themeColor="text1"/>
                <w:szCs w:val="21"/>
                <w:u w:val="single"/>
                <w14:textFill>
                  <w14:solidFill>
                    <w14:schemeClr w14:val="tx1"/>
                  </w14:solidFill>
                </w14:textFill>
              </w:rPr>
            </w:pPr>
            <w:r>
              <w:rPr>
                <w:b/>
                <w:bCs/>
                <w:color w:val="000000" w:themeColor="text1"/>
                <w:szCs w:val="21"/>
                <w:u w:val="single"/>
                <w14:textFill>
                  <w14:solidFill>
                    <w14:schemeClr w14:val="tx1"/>
                  </w14:solidFill>
                </w14:textFill>
              </w:rPr>
              <w:t>表4-9  项目固体废物产生情况及治理措施一览表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46"/>
              <w:gridCol w:w="1372"/>
              <w:gridCol w:w="1607"/>
              <w:gridCol w:w="946"/>
              <w:gridCol w:w="1025"/>
              <w:gridCol w:w="1891"/>
              <w:gridCol w:w="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1"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83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固废名称</w:t>
                  </w:r>
                </w:p>
              </w:tc>
              <w:tc>
                <w:tcPr>
                  <w:tcW w:w="972"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代码</w:t>
                  </w:r>
                </w:p>
              </w:tc>
              <w:tc>
                <w:tcPr>
                  <w:tcW w:w="5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性状</w:t>
                  </w:r>
                </w:p>
              </w:tc>
              <w:tc>
                <w:tcPr>
                  <w:tcW w:w="62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产生量</w:t>
                  </w:r>
                </w:p>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（t/a）</w:t>
                  </w:r>
                </w:p>
              </w:tc>
              <w:tc>
                <w:tcPr>
                  <w:tcW w:w="114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治理措施</w:t>
                  </w:r>
                </w:p>
              </w:tc>
              <w:tc>
                <w:tcPr>
                  <w:tcW w:w="46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排放量</w:t>
                  </w:r>
                </w:p>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1"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w:t>
                  </w:r>
                </w:p>
              </w:tc>
              <w:tc>
                <w:tcPr>
                  <w:tcW w:w="83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不合格产品、废铁渣</w:t>
                  </w:r>
                </w:p>
              </w:tc>
              <w:tc>
                <w:tcPr>
                  <w:tcW w:w="9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SW99-6.</w:t>
                  </w:r>
                  <w:r>
                    <w:rPr>
                      <w:rFonts w:hint="eastAsia"/>
                      <w:color w:val="000000" w:themeColor="text1"/>
                      <w:szCs w:val="21"/>
                      <w:u w:val="single"/>
                      <w14:textFill>
                        <w14:solidFill>
                          <w14:schemeClr w14:val="tx1"/>
                        </w14:solidFill>
                      </w14:textFill>
                    </w:rPr>
                    <w:t>废金属</w:t>
                  </w:r>
                </w:p>
              </w:tc>
              <w:tc>
                <w:tcPr>
                  <w:tcW w:w="5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固体</w:t>
                  </w:r>
                </w:p>
              </w:tc>
              <w:tc>
                <w:tcPr>
                  <w:tcW w:w="62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6.864‬‬</w:t>
                  </w:r>
                </w:p>
              </w:tc>
              <w:tc>
                <w:tcPr>
                  <w:tcW w:w="1144" w:type="pct"/>
                  <w:vMerge w:val="restar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妥善收集至一般固废暂存区后定期回用于生产或外售</w:t>
                  </w:r>
                </w:p>
              </w:tc>
              <w:tc>
                <w:tcPr>
                  <w:tcW w:w="46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1"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w:t>
                  </w:r>
                </w:p>
              </w:tc>
              <w:tc>
                <w:tcPr>
                  <w:tcW w:w="830" w:type="pct"/>
                  <w:noWrap w:val="0"/>
                  <w:vAlign w:val="center"/>
                </w:tcPr>
                <w:p>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废包装物</w:t>
                  </w:r>
                </w:p>
              </w:tc>
              <w:tc>
                <w:tcPr>
                  <w:tcW w:w="9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SW99-15.</w:t>
                  </w:r>
                  <w:r>
                    <w:rPr>
                      <w:rFonts w:hint="eastAsia"/>
                      <w:color w:val="000000" w:themeColor="text1"/>
                      <w:szCs w:val="21"/>
                      <w:u w:val="single"/>
                      <w14:textFill>
                        <w14:solidFill>
                          <w14:schemeClr w14:val="tx1"/>
                        </w14:solidFill>
                      </w14:textFill>
                    </w:rPr>
                    <w:t>废纸类</w:t>
                  </w:r>
                </w:p>
              </w:tc>
              <w:tc>
                <w:tcPr>
                  <w:tcW w:w="5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固体</w:t>
                  </w:r>
                </w:p>
              </w:tc>
              <w:tc>
                <w:tcPr>
                  <w:tcW w:w="620" w:type="pct"/>
                  <w:noWrap w:val="0"/>
                  <w:vAlign w:val="center"/>
                </w:tcPr>
                <w:p>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0.5</w:t>
                  </w:r>
                  <w:r>
                    <w:rPr>
                      <w:color w:val="000000" w:themeColor="text1"/>
                      <w:szCs w:val="21"/>
                      <w:u w:val="single"/>
                      <w14:textFill>
                        <w14:solidFill>
                          <w14:schemeClr w14:val="tx1"/>
                        </w14:solidFill>
                      </w14:textFill>
                    </w:rPr>
                    <w:t>‬‬</w:t>
                  </w:r>
                </w:p>
              </w:tc>
              <w:tc>
                <w:tcPr>
                  <w:tcW w:w="1144" w:type="pct"/>
                  <w:vMerge w:val="continue"/>
                  <w:noWrap w:val="0"/>
                  <w:vAlign w:val="center"/>
                </w:tcPr>
                <w:p>
                  <w:pPr>
                    <w:jc w:val="center"/>
                    <w:rPr>
                      <w:color w:val="000000" w:themeColor="text1"/>
                      <w:szCs w:val="21"/>
                      <w:u w:val="single"/>
                      <w14:textFill>
                        <w14:solidFill>
                          <w14:schemeClr w14:val="tx1"/>
                        </w14:solidFill>
                      </w14:textFill>
                    </w:rPr>
                  </w:pPr>
                </w:p>
              </w:tc>
              <w:tc>
                <w:tcPr>
                  <w:tcW w:w="467" w:type="pct"/>
                  <w:noWrap w:val="0"/>
                  <w:vAlign w:val="center"/>
                </w:tcPr>
                <w:p>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1"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3</w:t>
                  </w:r>
                </w:p>
              </w:tc>
              <w:tc>
                <w:tcPr>
                  <w:tcW w:w="83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废润滑油</w:t>
                  </w:r>
                </w:p>
              </w:tc>
              <w:tc>
                <w:tcPr>
                  <w:tcW w:w="972" w:type="pct"/>
                  <w:noWrap w:val="0"/>
                  <w:vAlign w:val="center"/>
                </w:tcPr>
                <w:p>
                  <w:pPr>
                    <w:jc w:val="center"/>
                    <w:rPr>
                      <w:rFonts w:hint="eastAsia" w:eastAsia="宋体"/>
                      <w:color w:val="000000" w:themeColor="text1"/>
                      <w:szCs w:val="21"/>
                      <w:u w:val="single"/>
                      <w:lang w:eastAsia="zh-CN"/>
                      <w14:textFill>
                        <w14:solidFill>
                          <w14:schemeClr w14:val="tx1"/>
                        </w14:solidFill>
                      </w14:textFill>
                    </w:rPr>
                  </w:pPr>
                  <w:r>
                    <w:rPr>
                      <w:color w:val="000000" w:themeColor="text1"/>
                      <w:szCs w:val="21"/>
                      <w:u w:val="single"/>
                      <w14:textFill>
                        <w14:solidFill>
                          <w14:schemeClr w14:val="tx1"/>
                        </w14:solidFill>
                      </w14:textFill>
                    </w:rPr>
                    <w:t>危险固废HW08，</w:t>
                  </w:r>
                  <w:r>
                    <w:rPr>
                      <w:rFonts w:hint="eastAsia"/>
                      <w:color w:val="000000" w:themeColor="text1"/>
                      <w:szCs w:val="21"/>
                      <w:u w:val="single"/>
                      <w:lang w:eastAsia="zh-CN"/>
                      <w14:textFill>
                        <w14:solidFill>
                          <w14:schemeClr w14:val="tx1"/>
                        </w14:solidFill>
                      </w14:textFill>
                    </w:rPr>
                    <w:t>900-214-08</w:t>
                  </w:r>
                </w:p>
              </w:tc>
              <w:tc>
                <w:tcPr>
                  <w:tcW w:w="5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固体</w:t>
                  </w:r>
                </w:p>
              </w:tc>
              <w:tc>
                <w:tcPr>
                  <w:tcW w:w="62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w:t>
                  </w:r>
                </w:p>
              </w:tc>
              <w:tc>
                <w:tcPr>
                  <w:tcW w:w="1144" w:type="pct"/>
                  <w:vMerge w:val="restar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在危废暂存间内暂存后，定期交由有资质单位统一安全处置</w:t>
                  </w:r>
                </w:p>
              </w:tc>
              <w:tc>
                <w:tcPr>
                  <w:tcW w:w="46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1"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w:t>
                  </w:r>
                </w:p>
              </w:tc>
              <w:tc>
                <w:tcPr>
                  <w:tcW w:w="83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废切削液</w:t>
                  </w:r>
                </w:p>
              </w:tc>
              <w:tc>
                <w:tcPr>
                  <w:tcW w:w="9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危险固废HW09，900-006-09</w:t>
                  </w:r>
                </w:p>
              </w:tc>
              <w:tc>
                <w:tcPr>
                  <w:tcW w:w="572" w:type="pct"/>
                  <w:noWrap w:val="0"/>
                  <w:vAlign w:val="center"/>
                </w:tcPr>
                <w:p>
                  <w:pPr>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液体</w:t>
                  </w:r>
                </w:p>
              </w:tc>
              <w:tc>
                <w:tcPr>
                  <w:tcW w:w="620" w:type="pct"/>
                  <w:noWrap w:val="0"/>
                  <w:vAlign w:val="center"/>
                </w:tcPr>
                <w:p>
                  <w:pPr>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6</w:t>
                  </w:r>
                </w:p>
              </w:tc>
              <w:tc>
                <w:tcPr>
                  <w:tcW w:w="1144" w:type="pct"/>
                  <w:vMerge w:val="continue"/>
                  <w:noWrap w:val="0"/>
                  <w:vAlign w:val="center"/>
                </w:tcPr>
                <w:p>
                  <w:pPr>
                    <w:jc w:val="center"/>
                    <w:rPr>
                      <w:color w:val="000000" w:themeColor="text1"/>
                      <w:szCs w:val="21"/>
                      <w:u w:val="single"/>
                      <w14:textFill>
                        <w14:solidFill>
                          <w14:schemeClr w14:val="tx1"/>
                        </w14:solidFill>
                      </w14:textFill>
                    </w:rPr>
                  </w:pPr>
                </w:p>
              </w:tc>
              <w:tc>
                <w:tcPr>
                  <w:tcW w:w="46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1"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5</w:t>
                  </w:r>
                </w:p>
              </w:tc>
              <w:tc>
                <w:tcPr>
                  <w:tcW w:w="83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含油抹布、手套</w:t>
                  </w:r>
                </w:p>
              </w:tc>
              <w:tc>
                <w:tcPr>
                  <w:tcW w:w="972" w:type="pct"/>
                  <w:noWrap w:val="0"/>
                  <w:vAlign w:val="center"/>
                </w:tcPr>
                <w:p>
                  <w:pPr>
                    <w:jc w:val="center"/>
                    <w:rPr>
                      <w:rFonts w:hint="eastAsia" w:eastAsia="宋体"/>
                      <w:color w:val="000000" w:themeColor="text1"/>
                      <w:szCs w:val="21"/>
                      <w:u w:val="single"/>
                      <w:lang w:eastAsia="zh-CN"/>
                      <w14:textFill>
                        <w14:solidFill>
                          <w14:schemeClr w14:val="tx1"/>
                        </w14:solidFill>
                      </w14:textFill>
                    </w:rPr>
                  </w:pPr>
                  <w:r>
                    <w:rPr>
                      <w:color w:val="000000" w:themeColor="text1"/>
                      <w:szCs w:val="21"/>
                      <w:u w:val="single"/>
                      <w14:textFill>
                        <w14:solidFill>
                          <w14:schemeClr w14:val="tx1"/>
                        </w14:solidFill>
                      </w14:textFill>
                    </w:rPr>
                    <w:t>危险固废HW</w:t>
                  </w:r>
                  <w:r>
                    <w:rPr>
                      <w:rFonts w:hint="eastAsia"/>
                      <w:color w:val="000000" w:themeColor="text1"/>
                      <w:szCs w:val="21"/>
                      <w:u w:val="single"/>
                      <w:lang w:val="en-US" w:eastAsia="zh-CN"/>
                      <w14:textFill>
                        <w14:solidFill>
                          <w14:schemeClr w14:val="tx1"/>
                        </w14:solidFill>
                      </w14:textFill>
                    </w:rPr>
                    <w:t>49</w:t>
                  </w:r>
                  <w:r>
                    <w:rPr>
                      <w:color w:val="000000" w:themeColor="text1"/>
                      <w:szCs w:val="21"/>
                      <w:u w:val="single"/>
                      <w14:textFill>
                        <w14:solidFill>
                          <w14:schemeClr w14:val="tx1"/>
                        </w14:solidFill>
                      </w14:textFill>
                    </w:rPr>
                    <w:t>，</w:t>
                  </w:r>
                  <w:r>
                    <w:rPr>
                      <w:rFonts w:hint="eastAsia"/>
                      <w:color w:val="000000" w:themeColor="text1"/>
                      <w:szCs w:val="21"/>
                      <w:u w:val="single"/>
                      <w:lang w:eastAsia="zh-CN"/>
                      <w14:textFill>
                        <w14:solidFill>
                          <w14:schemeClr w14:val="tx1"/>
                        </w14:solidFill>
                      </w14:textFill>
                    </w:rPr>
                    <w:t>900-041-49</w:t>
                  </w:r>
                </w:p>
              </w:tc>
              <w:tc>
                <w:tcPr>
                  <w:tcW w:w="572" w:type="pct"/>
                  <w:noWrap w:val="0"/>
                  <w:vAlign w:val="center"/>
                </w:tcPr>
                <w:p>
                  <w:pPr>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液体</w:t>
                  </w:r>
                </w:p>
              </w:tc>
              <w:tc>
                <w:tcPr>
                  <w:tcW w:w="62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0.5</w:t>
                  </w:r>
                </w:p>
              </w:tc>
              <w:tc>
                <w:tcPr>
                  <w:tcW w:w="1144" w:type="pct"/>
                  <w:vMerge w:val="continue"/>
                  <w:noWrap w:val="0"/>
                  <w:vAlign w:val="center"/>
                </w:tcPr>
                <w:p>
                  <w:pPr>
                    <w:jc w:val="center"/>
                    <w:rPr>
                      <w:color w:val="000000" w:themeColor="text1"/>
                      <w:szCs w:val="21"/>
                      <w:u w:val="single"/>
                      <w14:textFill>
                        <w14:solidFill>
                          <w14:schemeClr w14:val="tx1"/>
                        </w14:solidFill>
                      </w14:textFill>
                    </w:rPr>
                  </w:pPr>
                </w:p>
              </w:tc>
              <w:tc>
                <w:tcPr>
                  <w:tcW w:w="46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1"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6</w:t>
                  </w:r>
                </w:p>
              </w:tc>
              <w:tc>
                <w:tcPr>
                  <w:tcW w:w="83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超声波清洗废水</w:t>
                  </w:r>
                </w:p>
              </w:tc>
              <w:tc>
                <w:tcPr>
                  <w:tcW w:w="972" w:type="pct"/>
                  <w:noWrap w:val="0"/>
                  <w:vAlign w:val="center"/>
                </w:tcPr>
                <w:p>
                  <w:pPr>
                    <w:jc w:val="center"/>
                    <w:rPr>
                      <w:rFonts w:hint="eastAsia" w:eastAsia="宋体"/>
                      <w:color w:val="000000" w:themeColor="text1"/>
                      <w:szCs w:val="21"/>
                      <w:u w:val="single"/>
                      <w:lang w:eastAsia="zh-CN"/>
                      <w14:textFill>
                        <w14:solidFill>
                          <w14:schemeClr w14:val="tx1"/>
                        </w14:solidFill>
                      </w14:textFill>
                    </w:rPr>
                  </w:pPr>
                  <w:r>
                    <w:rPr>
                      <w:color w:val="000000" w:themeColor="text1"/>
                      <w:szCs w:val="21"/>
                      <w:u w:val="single"/>
                      <w14:textFill>
                        <w14:solidFill>
                          <w14:schemeClr w14:val="tx1"/>
                        </w14:solidFill>
                      </w14:textFill>
                    </w:rPr>
                    <w:t>危险固废HW</w:t>
                  </w:r>
                  <w:r>
                    <w:rPr>
                      <w:rFonts w:hint="eastAsia"/>
                      <w:color w:val="000000" w:themeColor="text1"/>
                      <w:szCs w:val="21"/>
                      <w:u w:val="single"/>
                      <w:lang w:val="en-US" w:eastAsia="zh-CN"/>
                      <w14:textFill>
                        <w14:solidFill>
                          <w14:schemeClr w14:val="tx1"/>
                        </w14:solidFill>
                      </w14:textFill>
                    </w:rPr>
                    <w:t>17</w:t>
                  </w:r>
                  <w:r>
                    <w:rPr>
                      <w:color w:val="000000" w:themeColor="text1"/>
                      <w:szCs w:val="21"/>
                      <w:u w:val="single"/>
                      <w14:textFill>
                        <w14:solidFill>
                          <w14:schemeClr w14:val="tx1"/>
                        </w14:solidFill>
                      </w14:textFill>
                    </w:rPr>
                    <w:t>，</w:t>
                  </w:r>
                  <w:r>
                    <w:rPr>
                      <w:rFonts w:hint="eastAsia"/>
                      <w:color w:val="000000" w:themeColor="text1"/>
                      <w:szCs w:val="21"/>
                      <w:u w:val="single"/>
                      <w:lang w:eastAsia="zh-CN"/>
                      <w14:textFill>
                        <w14:solidFill>
                          <w14:schemeClr w14:val="tx1"/>
                        </w14:solidFill>
                      </w14:textFill>
                    </w:rPr>
                    <w:t>336-064-17</w:t>
                  </w:r>
                </w:p>
              </w:tc>
              <w:tc>
                <w:tcPr>
                  <w:tcW w:w="572" w:type="pct"/>
                  <w:noWrap w:val="0"/>
                  <w:vAlign w:val="center"/>
                </w:tcPr>
                <w:p>
                  <w:pPr>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液体</w:t>
                  </w:r>
                </w:p>
              </w:tc>
              <w:tc>
                <w:tcPr>
                  <w:tcW w:w="620" w:type="pct"/>
                  <w:noWrap w:val="0"/>
                  <w:vAlign w:val="center"/>
                </w:tcPr>
                <w:p>
                  <w:pPr>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14.4</w:t>
                  </w:r>
                </w:p>
              </w:tc>
              <w:tc>
                <w:tcPr>
                  <w:tcW w:w="1144" w:type="pct"/>
                  <w:vMerge w:val="continue"/>
                  <w:noWrap w:val="0"/>
                  <w:vAlign w:val="center"/>
                </w:tcPr>
                <w:p>
                  <w:pPr>
                    <w:jc w:val="center"/>
                    <w:rPr>
                      <w:color w:val="000000" w:themeColor="text1"/>
                      <w:szCs w:val="21"/>
                      <w:u w:val="single"/>
                      <w14:textFill>
                        <w14:solidFill>
                          <w14:schemeClr w14:val="tx1"/>
                        </w14:solidFill>
                      </w14:textFill>
                    </w:rPr>
                  </w:pPr>
                </w:p>
              </w:tc>
              <w:tc>
                <w:tcPr>
                  <w:tcW w:w="46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1" w:type="pct"/>
                  <w:noWrap w:val="0"/>
                  <w:vAlign w:val="center"/>
                </w:tcPr>
                <w:p>
                  <w:pPr>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7</w:t>
                  </w:r>
                </w:p>
              </w:tc>
              <w:tc>
                <w:tcPr>
                  <w:tcW w:w="83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生活垃圾</w:t>
                  </w:r>
                </w:p>
              </w:tc>
              <w:tc>
                <w:tcPr>
                  <w:tcW w:w="9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5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固体</w:t>
                  </w:r>
                </w:p>
              </w:tc>
              <w:tc>
                <w:tcPr>
                  <w:tcW w:w="620"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82.5</w:t>
                  </w:r>
                </w:p>
              </w:tc>
              <w:tc>
                <w:tcPr>
                  <w:tcW w:w="1144" w:type="pct"/>
                  <w:noWrap w:val="0"/>
                  <w:vAlign w:val="center"/>
                </w:tcPr>
                <w:p>
                  <w:pPr>
                    <w:jc w:val="center"/>
                    <w:rPr>
                      <w:color w:val="000000" w:themeColor="text1"/>
                      <w:szCs w:val="21"/>
                      <w:u w:val="single"/>
                      <w14:textFill>
                        <w14:solidFill>
                          <w14:schemeClr w14:val="tx1"/>
                        </w14:solidFill>
                      </w14:textFill>
                    </w:rPr>
                  </w:pPr>
                </w:p>
              </w:tc>
              <w:tc>
                <w:tcPr>
                  <w:tcW w:w="46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w:t>
                  </w:r>
                </w:p>
              </w:tc>
            </w:tr>
          </w:tbl>
          <w:p>
            <w:pPr>
              <w:adjustRightInd w:val="0"/>
              <w:snapToGrid w:val="0"/>
              <w:spacing w:line="360" w:lineRule="auto"/>
              <w:ind w:firstLine="480" w:firstLineChars="200"/>
              <w:rPr>
                <w:snapToGrid w:val="0"/>
                <w:color w:val="000000" w:themeColor="text1"/>
                <w:kern w:val="0"/>
                <w:sz w:val="24"/>
                <w:szCs w:val="32"/>
                <w14:textFill>
                  <w14:solidFill>
                    <w14:schemeClr w14:val="tx1"/>
                  </w14:solidFill>
                </w14:textFill>
              </w:rPr>
            </w:pPr>
            <w:r>
              <w:rPr>
                <w:snapToGrid w:val="0"/>
                <w:color w:val="000000" w:themeColor="text1"/>
                <w:kern w:val="0"/>
                <w:sz w:val="24"/>
                <w:szCs w:val="32"/>
                <w14:textFill>
                  <w14:solidFill>
                    <w14:schemeClr w14:val="tx1"/>
                  </w14:solidFill>
                </w14:textFill>
              </w:rPr>
              <w:t>综上所述，在采取以上措施后，可有效控制本项目固废收集、贮存过程中产生的二次污染，各类固废去向明确，对周围环境影响较小。</w:t>
            </w:r>
          </w:p>
          <w:p>
            <w:pPr>
              <w:snapToGrid w:val="0"/>
              <w:spacing w:line="360" w:lineRule="auto"/>
              <w:ind w:firstLine="482" w:firstLineChars="200"/>
              <w:rPr>
                <w:b/>
                <w:snapToGrid w:val="0"/>
                <w:color w:val="000000" w:themeColor="text1"/>
                <w:sz w:val="24"/>
                <w14:textFill>
                  <w14:solidFill>
                    <w14:schemeClr w14:val="tx1"/>
                  </w14:solidFill>
                </w14:textFill>
              </w:rPr>
            </w:pPr>
            <w:r>
              <w:rPr>
                <w:b/>
                <w:snapToGrid w:val="0"/>
                <w:color w:val="000000" w:themeColor="text1"/>
                <w:sz w:val="24"/>
                <w14:textFill>
                  <w14:solidFill>
                    <w14:schemeClr w14:val="tx1"/>
                  </w14:solidFill>
                </w14:textFill>
              </w:rPr>
              <w:t>（</w:t>
            </w:r>
            <w:r>
              <w:rPr>
                <w:rFonts w:hint="eastAsia"/>
                <w:b/>
                <w:snapToGrid w:val="0"/>
                <w:color w:val="000000" w:themeColor="text1"/>
                <w:sz w:val="24"/>
                <w14:textFill>
                  <w14:solidFill>
                    <w14:schemeClr w14:val="tx1"/>
                  </w14:solidFill>
                </w14:textFill>
              </w:rPr>
              <w:t>5</w:t>
            </w:r>
            <w:r>
              <w:rPr>
                <w:b/>
                <w:snapToGrid w:val="0"/>
                <w:color w:val="000000" w:themeColor="text1"/>
                <w:sz w:val="24"/>
                <w14:textFill>
                  <w14:solidFill>
                    <w14:schemeClr w14:val="tx1"/>
                  </w14:solidFill>
                </w14:textFill>
              </w:rPr>
              <w:t>）</w:t>
            </w:r>
            <w:r>
              <w:rPr>
                <w:rFonts w:hint="eastAsia"/>
                <w:b/>
                <w:snapToGrid w:val="0"/>
                <w:color w:val="000000" w:themeColor="text1"/>
                <w:sz w:val="24"/>
                <w14:textFill>
                  <w14:solidFill>
                    <w14:schemeClr w14:val="tx1"/>
                  </w14:solidFill>
                </w14:textFill>
              </w:rPr>
              <w:t>土壤及地下水</w:t>
            </w:r>
            <w:r>
              <w:rPr>
                <w:b/>
                <w:snapToGrid w:val="0"/>
                <w:color w:val="000000" w:themeColor="text1"/>
                <w:sz w:val="24"/>
                <w14:textFill>
                  <w14:solidFill>
                    <w14:schemeClr w14:val="tx1"/>
                  </w14:solidFill>
                </w14:textFill>
              </w:rPr>
              <w:t>分析</w:t>
            </w:r>
          </w:p>
          <w:p>
            <w:pPr>
              <w:adjustRightInd w:val="0"/>
              <w:snapToGrid w:val="0"/>
              <w:spacing w:line="360" w:lineRule="auto"/>
              <w:ind w:firstLine="480" w:firstLineChars="200"/>
              <w:rPr>
                <w:snapToGrid w:val="0"/>
                <w:color w:val="000000" w:themeColor="text1"/>
                <w:kern w:val="0"/>
                <w:sz w:val="24"/>
                <w:szCs w:val="32"/>
                <w14:textFill>
                  <w14:solidFill>
                    <w14:schemeClr w14:val="tx1"/>
                  </w14:solidFill>
                </w14:textFill>
              </w:rPr>
            </w:pPr>
            <w:r>
              <w:rPr>
                <w:snapToGrid w:val="0"/>
                <w:color w:val="000000" w:themeColor="text1"/>
                <w:kern w:val="0"/>
                <w:sz w:val="24"/>
                <w:szCs w:val="32"/>
                <w14:textFill>
                  <w14:solidFill>
                    <w14:schemeClr w14:val="tx1"/>
                  </w14:solidFill>
                </w14:textFill>
              </w:rPr>
              <w:t>本项目位于</w:t>
            </w:r>
            <w:r>
              <w:rPr>
                <w:rFonts w:hint="eastAsia"/>
                <w:snapToGrid w:val="0"/>
                <w:color w:val="000000" w:themeColor="text1"/>
                <w:kern w:val="0"/>
                <w:sz w:val="24"/>
                <w:szCs w:val="32"/>
                <w14:textFill>
                  <w14:solidFill>
                    <w14:schemeClr w14:val="tx1"/>
                  </w14:solidFill>
                </w14:textFill>
              </w:rPr>
              <w:t>湖南省湘阴县高新区金龙片区安康路以东燎原路以北根据《建设项目环境影响报告表编制技术指南（污染影响类）（试行）》，</w:t>
            </w:r>
            <w:r>
              <w:rPr>
                <w:snapToGrid w:val="0"/>
                <w:color w:val="000000" w:themeColor="text1"/>
                <w:kern w:val="0"/>
                <w:sz w:val="24"/>
                <w:szCs w:val="32"/>
                <w14:textFill>
                  <w14:solidFill>
                    <w14:schemeClr w14:val="tx1"/>
                  </w14:solidFill>
                </w14:textFill>
              </w:rPr>
              <w:t xml:space="preserve">土壤、声环境 </w:t>
            </w:r>
            <w:r>
              <w:rPr>
                <w:rFonts w:hint="eastAsia"/>
                <w:snapToGrid w:val="0"/>
                <w:color w:val="000000" w:themeColor="text1"/>
                <w:kern w:val="0"/>
                <w:sz w:val="24"/>
                <w:szCs w:val="32"/>
                <w14:textFill>
                  <w14:solidFill>
                    <w14:schemeClr w14:val="tx1"/>
                  </w14:solidFill>
                </w14:textFill>
              </w:rPr>
              <w:t>不开展专项评价。地下水原则上不开展专项评价，涉及集中式饮用水水源和热水、矿泉水、温泉等特殊地下水资源保护区的开展地下水专项评价工作。本项目地下水涉及饮用水水源和热水、矿泉水、温泉等特殊地下水资源保护区，因此不开展地下水专项评价。</w:t>
            </w:r>
          </w:p>
          <w:p>
            <w:pPr>
              <w:snapToGrid w:val="0"/>
              <w:spacing w:line="360" w:lineRule="auto"/>
              <w:ind w:firstLine="482" w:firstLineChars="200"/>
              <w:rPr>
                <w:b/>
                <w:color w:val="000000" w:themeColor="text1"/>
                <w:sz w:val="24"/>
                <w14:textFill>
                  <w14:solidFill>
                    <w14:schemeClr w14:val="tx1"/>
                  </w14:solidFill>
                </w14:textFill>
              </w:rPr>
            </w:pPr>
            <w:r>
              <w:rPr>
                <w:b/>
                <w:snapToGrid w:val="0"/>
                <w:color w:val="000000" w:themeColor="text1"/>
                <w:sz w:val="24"/>
                <w14:textFill>
                  <w14:solidFill>
                    <w14:schemeClr w14:val="tx1"/>
                  </w14:solidFill>
                </w14:textFill>
              </w:rPr>
              <w:t>（</w:t>
            </w:r>
            <w:r>
              <w:rPr>
                <w:rFonts w:hint="eastAsia"/>
                <w:b/>
                <w:snapToGrid w:val="0"/>
                <w:color w:val="000000" w:themeColor="text1"/>
                <w:sz w:val="24"/>
                <w14:textFill>
                  <w14:solidFill>
                    <w14:schemeClr w14:val="tx1"/>
                  </w14:solidFill>
                </w14:textFill>
              </w:rPr>
              <w:t>6</w:t>
            </w:r>
            <w:r>
              <w:rPr>
                <w:b/>
                <w:snapToGrid w:val="0"/>
                <w:color w:val="000000" w:themeColor="text1"/>
                <w:sz w:val="24"/>
                <w14:textFill>
                  <w14:solidFill>
                    <w14:schemeClr w14:val="tx1"/>
                  </w14:solidFill>
                </w14:textFill>
              </w:rPr>
              <w:t>）环境风险分析</w:t>
            </w:r>
          </w:p>
          <w:p>
            <w:pPr>
              <w:pStyle w:val="17"/>
              <w:spacing w:line="360" w:lineRule="auto"/>
              <w:ind w:firstLine="480" w:firstLineChars="200"/>
              <w:rPr>
                <w:rFonts w:ascii="Times New Roman"/>
                <w:b w:val="0"/>
                <w:i w:val="0"/>
                <w:color w:val="000000" w:themeColor="text1"/>
                <w:szCs w:val="24"/>
                <w:u w:val="single"/>
                <w14:textFill>
                  <w14:solidFill>
                    <w14:schemeClr w14:val="tx1"/>
                  </w14:solidFill>
                </w14:textFill>
              </w:rPr>
            </w:pPr>
            <w:r>
              <w:rPr>
                <w:rFonts w:ascii="Times New Roman"/>
                <w:b w:val="0"/>
                <w:i w:val="0"/>
                <w:color w:val="000000" w:themeColor="text1"/>
                <w:szCs w:val="24"/>
                <w:u w:val="single"/>
                <w14:textFill>
                  <w14:solidFill>
                    <w14:schemeClr w14:val="tx1"/>
                  </w14:solidFill>
                </w14:textFill>
              </w:rPr>
              <w:t>根据该建设项目的工程性质、作业方式及当地环境特征，确定项目风险类型，提出合理可行的防范、应急与减缓措施，以使建设项目事故率、损失和环境影响达到可接受水平。</w:t>
            </w:r>
          </w:p>
          <w:p>
            <w:pPr>
              <w:pStyle w:val="17"/>
              <w:spacing w:line="360" w:lineRule="auto"/>
              <w:ind w:firstLine="480" w:firstLineChars="200"/>
              <w:rPr>
                <w:rFonts w:ascii="Times New Roman"/>
                <w:b w:val="0"/>
                <w:i w:val="0"/>
                <w:color w:val="000000" w:themeColor="text1"/>
                <w:szCs w:val="24"/>
                <w:u w:val="single"/>
                <w14:textFill>
                  <w14:solidFill>
                    <w14:schemeClr w14:val="tx1"/>
                  </w14:solidFill>
                </w14:textFill>
              </w:rPr>
            </w:pPr>
            <w:r>
              <w:rPr>
                <w:rFonts w:ascii="Times New Roman"/>
                <w:b w:val="0"/>
                <w:i w:val="0"/>
                <w:color w:val="000000" w:themeColor="text1"/>
                <w:szCs w:val="24"/>
                <w:u w:val="single"/>
                <w14:textFill>
                  <w14:solidFill>
                    <w14:schemeClr w14:val="tx1"/>
                  </w14:solidFill>
                </w14:textFill>
              </w:rPr>
              <w:t>根据按照《建设项目环境风险评价技术导则》（HJ169-2018）附录B及《重大危险源辨识》（GB18218-2018），本项目涉及有毒有害和易燃易爆等危险化学品主要为超声波清洗剂、防锈剂、切削液和润滑油。</w:t>
            </w:r>
          </w:p>
          <w:p>
            <w:pPr>
              <w:spacing w:line="360" w:lineRule="auto"/>
              <w:jc w:val="center"/>
              <w:rPr>
                <w:b/>
                <w:color w:val="000000" w:themeColor="text1"/>
                <w:szCs w:val="21"/>
                <w:u w:val="single"/>
                <w14:textFill>
                  <w14:solidFill>
                    <w14:schemeClr w14:val="tx1"/>
                  </w14:solidFill>
                </w14:textFill>
              </w:rPr>
            </w:pPr>
          </w:p>
          <w:p>
            <w:pPr>
              <w:spacing w:line="360" w:lineRule="auto"/>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表4-1</w:t>
            </w:r>
            <w:r>
              <w:rPr>
                <w:rFonts w:hint="eastAsia"/>
                <w:b/>
                <w:color w:val="000000" w:themeColor="text1"/>
                <w:szCs w:val="21"/>
                <w:u w:val="single"/>
                <w14:textFill>
                  <w14:solidFill>
                    <w14:schemeClr w14:val="tx1"/>
                  </w14:solidFill>
                </w14:textFill>
              </w:rPr>
              <w:t>0</w:t>
            </w:r>
            <w:r>
              <w:rPr>
                <w:b/>
                <w:color w:val="000000" w:themeColor="text1"/>
                <w:szCs w:val="21"/>
                <w:u w:val="single"/>
                <w14:textFill>
                  <w14:solidFill>
                    <w14:schemeClr w14:val="tx1"/>
                  </w14:solidFill>
                </w14:textFill>
              </w:rPr>
              <w:t xml:space="preserve">  评价工作等级划分</w:t>
            </w:r>
          </w:p>
          <w:tbl>
            <w:tblPr>
              <w:tblStyle w:val="23"/>
              <w:tblW w:w="4999" w:type="pct"/>
              <w:tblInd w:w="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1650"/>
              <w:gridCol w:w="1650"/>
              <w:gridCol w:w="1650"/>
              <w:gridCol w:w="1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0"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环境风险潜势</w:t>
                  </w:r>
                </w:p>
              </w:tc>
              <w:tc>
                <w:tcPr>
                  <w:tcW w:w="999"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Ⅳ、Ⅳ+</w:t>
                  </w:r>
                </w:p>
              </w:tc>
              <w:tc>
                <w:tcPr>
                  <w:tcW w:w="999"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Ⅲ</w:t>
                  </w:r>
                </w:p>
              </w:tc>
              <w:tc>
                <w:tcPr>
                  <w:tcW w:w="999"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Ⅱ</w:t>
                  </w:r>
                </w:p>
              </w:tc>
              <w:tc>
                <w:tcPr>
                  <w:tcW w:w="1002"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0"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评价工作等级</w:t>
                  </w:r>
                </w:p>
              </w:tc>
              <w:tc>
                <w:tcPr>
                  <w:tcW w:w="999"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一</w:t>
                  </w:r>
                </w:p>
              </w:tc>
              <w:tc>
                <w:tcPr>
                  <w:tcW w:w="999"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二</w:t>
                  </w:r>
                </w:p>
              </w:tc>
              <w:tc>
                <w:tcPr>
                  <w:tcW w:w="999"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三</w:t>
                  </w:r>
                </w:p>
              </w:tc>
              <w:tc>
                <w:tcPr>
                  <w:tcW w:w="1002" w:type="pct"/>
                  <w:noWrap w:val="0"/>
                  <w:vAlign w:val="center"/>
                </w:tcPr>
                <w:p>
                  <w:pPr>
                    <w:autoSpaceDE w:val="0"/>
                    <w:autoSpaceDN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5000" w:type="pct"/>
                  <w:gridSpan w:val="5"/>
                  <w:noWrap w:val="0"/>
                  <w:vAlign w:val="center"/>
                </w:tcPr>
                <w:p>
                  <w:pPr>
                    <w:autoSpaceDE w:val="0"/>
                    <w:autoSpaceDN w:val="0"/>
                    <w:jc w:val="left"/>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备注：“简单分析”是相对于详细评价工作内容而言，在描述危险物质、环境影响途径、环境危害后果、风险防范措施等方面给出定性的说明。</w:t>
                  </w:r>
                </w:p>
              </w:tc>
            </w:tr>
          </w:tbl>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按下式计算物质总量与其临界量比值（Q）。</w:t>
            </w:r>
          </w:p>
          <w:p>
            <w:pPr>
              <w:spacing w:line="360" w:lineRule="auto"/>
              <w:jc w:val="center"/>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Q=q</w:t>
            </w:r>
            <w:r>
              <w:rPr>
                <w:color w:val="000000" w:themeColor="text1"/>
                <w:sz w:val="24"/>
                <w:u w:val="single"/>
                <w:vertAlign w:val="subscript"/>
                <w14:textFill>
                  <w14:solidFill>
                    <w14:schemeClr w14:val="tx1"/>
                  </w14:solidFill>
                </w14:textFill>
              </w:rPr>
              <w:t>1</w:t>
            </w: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1</w:t>
            </w: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2</w:t>
            </w: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2</w:t>
            </w: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n</w:t>
            </w: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n</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式中：q</w:t>
            </w:r>
            <w:r>
              <w:rPr>
                <w:color w:val="000000" w:themeColor="text1"/>
                <w:sz w:val="24"/>
                <w:u w:val="single"/>
                <w:vertAlign w:val="subscript"/>
                <w14:textFill>
                  <w14:solidFill>
                    <w14:schemeClr w14:val="tx1"/>
                  </w14:solidFill>
                </w14:textFill>
              </w:rPr>
              <w:t>1</w:t>
            </w: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2</w:t>
            </w: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n</w:t>
            </w:r>
            <w:r>
              <w:rPr>
                <w:color w:val="000000" w:themeColor="text1"/>
                <w:sz w:val="24"/>
                <w:u w:val="single"/>
                <w14:textFill>
                  <w14:solidFill>
                    <w14:schemeClr w14:val="tx1"/>
                  </w14:solidFill>
                </w14:textFill>
              </w:rPr>
              <w:t>——每种危险物质的最大存在总量，t；</w:t>
            </w:r>
          </w:p>
          <w:p>
            <w:pPr>
              <w:spacing w:line="360" w:lineRule="auto"/>
              <w:ind w:firstLine="1200" w:firstLineChars="5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1</w:t>
            </w: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2</w:t>
            </w:r>
            <w:r>
              <w:rPr>
                <w:color w:val="000000" w:themeColor="text1"/>
                <w:sz w:val="24"/>
                <w:u w:val="single"/>
                <w14:textFill>
                  <w14:solidFill>
                    <w14:schemeClr w14:val="tx1"/>
                  </w14:solidFill>
                </w14:textFill>
              </w:rPr>
              <w:t>，…，Q</w:t>
            </w:r>
            <w:r>
              <w:rPr>
                <w:color w:val="000000" w:themeColor="text1"/>
                <w:sz w:val="24"/>
                <w:u w:val="single"/>
                <w:vertAlign w:val="subscript"/>
                <w14:textFill>
                  <w14:solidFill>
                    <w14:schemeClr w14:val="tx1"/>
                  </w14:solidFill>
                </w14:textFill>
              </w:rPr>
              <w:t>n</w:t>
            </w:r>
            <w:r>
              <w:rPr>
                <w:color w:val="000000" w:themeColor="text1"/>
                <w:sz w:val="24"/>
                <w:u w:val="single"/>
                <w14:textFill>
                  <w14:solidFill>
                    <w14:schemeClr w14:val="tx1"/>
                  </w14:solidFill>
                </w14:textFill>
              </w:rPr>
              <w:t>——每种危险物质的临界量，t。</w:t>
            </w:r>
          </w:p>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本项目危险物质数量与临界量比值（Q）计算过程见下表。</w:t>
            </w:r>
          </w:p>
          <w:p>
            <w:pPr>
              <w:jc w:val="center"/>
              <w:rPr>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表4-1</w:t>
            </w:r>
            <w:r>
              <w:rPr>
                <w:rFonts w:hint="eastAsia"/>
                <w:b/>
                <w:color w:val="000000" w:themeColor="text1"/>
                <w:szCs w:val="21"/>
                <w:u w:val="single"/>
                <w14:textFill>
                  <w14:solidFill>
                    <w14:schemeClr w14:val="tx1"/>
                  </w14:solidFill>
                </w14:textFill>
              </w:rPr>
              <w:t>1</w:t>
            </w:r>
            <w:r>
              <w:rPr>
                <w:b/>
                <w:color w:val="000000" w:themeColor="text1"/>
                <w:szCs w:val="21"/>
                <w:u w:val="single"/>
                <w14:textFill>
                  <w14:solidFill>
                    <w14:schemeClr w14:val="tx1"/>
                  </w14:solidFill>
                </w14:textFill>
              </w:rPr>
              <w:t xml:space="preserve"> 危险物质数量与临界量比值（Q）计算过程</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4"/>
              <w:gridCol w:w="1440"/>
              <w:gridCol w:w="1440"/>
              <w:gridCol w:w="1442"/>
              <w:gridCol w:w="1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物质名称</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q</w:t>
                  </w:r>
                  <w:r>
                    <w:rPr>
                      <w:color w:val="000000" w:themeColor="text1"/>
                      <w:szCs w:val="21"/>
                      <w:u w:val="single"/>
                      <w:vertAlign w:val="subscript"/>
                      <w14:textFill>
                        <w14:solidFill>
                          <w14:schemeClr w14:val="tx1"/>
                        </w14:solidFill>
                      </w14:textFill>
                    </w:rPr>
                    <w:t>n</w:t>
                  </w:r>
                  <w:r>
                    <w:rPr>
                      <w:color w:val="000000" w:themeColor="text1"/>
                      <w:szCs w:val="21"/>
                      <w:u w:val="single"/>
                      <w14:textFill>
                        <w14:solidFill>
                          <w14:schemeClr w14:val="tx1"/>
                        </w14:solidFill>
                      </w14:textFill>
                    </w:rPr>
                    <w:t>（t）</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Q</w:t>
                  </w:r>
                  <w:r>
                    <w:rPr>
                      <w:color w:val="000000" w:themeColor="text1"/>
                      <w:szCs w:val="21"/>
                      <w:u w:val="single"/>
                      <w:vertAlign w:val="subscript"/>
                      <w14:textFill>
                        <w14:solidFill>
                          <w14:schemeClr w14:val="tx1"/>
                        </w14:solidFill>
                      </w14:textFill>
                    </w:rPr>
                    <w:t>n</w:t>
                  </w:r>
                  <w:r>
                    <w:rPr>
                      <w:color w:val="000000" w:themeColor="text1"/>
                      <w:szCs w:val="21"/>
                      <w:u w:val="single"/>
                      <w14:textFill>
                        <w14:solidFill>
                          <w14:schemeClr w14:val="tx1"/>
                        </w14:solidFill>
                      </w14:textFill>
                    </w:rPr>
                    <w:t>（t）</w:t>
                  </w:r>
                </w:p>
              </w:tc>
              <w:tc>
                <w:tcPr>
                  <w:tcW w:w="87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q</w:t>
                  </w:r>
                  <w:r>
                    <w:rPr>
                      <w:color w:val="000000" w:themeColor="text1"/>
                      <w:szCs w:val="21"/>
                      <w:u w:val="single"/>
                      <w:vertAlign w:val="subscript"/>
                      <w14:textFill>
                        <w14:solidFill>
                          <w14:schemeClr w14:val="tx1"/>
                        </w14:solidFill>
                      </w14:textFill>
                    </w:rPr>
                    <w:t>n</w:t>
                  </w:r>
                  <w:r>
                    <w:rPr>
                      <w:color w:val="000000" w:themeColor="text1"/>
                      <w:szCs w:val="21"/>
                      <w:u w:val="single"/>
                      <w14:textFill>
                        <w14:solidFill>
                          <w14:schemeClr w14:val="tx1"/>
                        </w14:solidFill>
                      </w14:textFill>
                    </w:rPr>
                    <w:t>/Q</w:t>
                  </w:r>
                  <w:r>
                    <w:rPr>
                      <w:color w:val="000000" w:themeColor="text1"/>
                      <w:szCs w:val="21"/>
                      <w:u w:val="single"/>
                      <w:vertAlign w:val="subscript"/>
                      <w14:textFill>
                        <w14:solidFill>
                          <w14:schemeClr w14:val="tx1"/>
                        </w14:solidFill>
                      </w14:textFill>
                    </w:rPr>
                    <w:t>n</w:t>
                  </w:r>
                </w:p>
              </w:tc>
              <w:tc>
                <w:tcPr>
                  <w:tcW w:w="878" w:type="pct"/>
                  <w:vMerge w:val="restar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切削液</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20.7</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200</w:t>
                  </w:r>
                </w:p>
              </w:tc>
              <w:tc>
                <w:tcPr>
                  <w:tcW w:w="87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0.1035</w:t>
                  </w:r>
                </w:p>
              </w:tc>
              <w:tc>
                <w:tcPr>
                  <w:tcW w:w="878" w:type="pct"/>
                  <w:vMerge w:val="continue"/>
                  <w:noWrap w:val="0"/>
                  <w:vAlign w:val="center"/>
                </w:tcPr>
                <w:p>
                  <w:pPr>
                    <w:jc w:val="center"/>
                    <w:rPr>
                      <w:color w:val="000000" w:themeColor="text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润滑油</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2.6‬</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2500</w:t>
                  </w:r>
                </w:p>
              </w:tc>
              <w:tc>
                <w:tcPr>
                  <w:tcW w:w="87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0.00104</w:t>
                  </w:r>
                </w:p>
              </w:tc>
              <w:tc>
                <w:tcPr>
                  <w:tcW w:w="878" w:type="pct"/>
                  <w:vMerge w:val="restart"/>
                  <w:noWrap w:val="0"/>
                  <w:vAlign w:val="center"/>
                </w:tcPr>
                <w:p>
                  <w:pPr>
                    <w:widowControl/>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0.14204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超声波清洗剂</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22.5</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200</w:t>
                  </w:r>
                </w:p>
              </w:tc>
              <w:tc>
                <w:tcPr>
                  <w:tcW w:w="87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0.1125‬</w:t>
                  </w:r>
                </w:p>
              </w:tc>
              <w:tc>
                <w:tcPr>
                  <w:tcW w:w="878" w:type="pct"/>
                  <w:vMerge w:val="continue"/>
                  <w:noWrap w:val="0"/>
                  <w:vAlign w:val="center"/>
                </w:tcPr>
                <w:p>
                  <w:pPr>
                    <w:jc w:val="center"/>
                    <w:rPr>
                      <w:color w:val="000000" w:themeColor="text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防锈剂</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7.5</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200</w:t>
                  </w:r>
                </w:p>
              </w:tc>
              <w:tc>
                <w:tcPr>
                  <w:tcW w:w="873"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0.0375</w:t>
                  </w:r>
                </w:p>
              </w:tc>
              <w:tc>
                <w:tcPr>
                  <w:tcW w:w="878" w:type="pct"/>
                  <w:vMerge w:val="continue"/>
                  <w:noWrap w:val="0"/>
                  <w:vAlign w:val="center"/>
                </w:tcPr>
                <w:p>
                  <w:pPr>
                    <w:jc w:val="center"/>
                    <w:rPr>
                      <w:color w:val="000000" w:themeColor="text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4"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危险废物</w:t>
                  </w:r>
                </w:p>
              </w:tc>
              <w:tc>
                <w:tcPr>
                  <w:tcW w:w="872" w:type="pct"/>
                  <w:noWrap w:val="0"/>
                  <w:vAlign w:val="center"/>
                </w:tcPr>
                <w:p>
                  <w:pPr>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21.9</w:t>
                  </w:r>
                  <w:r>
                    <w:rPr>
                      <w:color w:val="000000" w:themeColor="text1"/>
                      <w:szCs w:val="21"/>
                      <w:u w:val="single"/>
                      <w14:textFill>
                        <w14:solidFill>
                          <w14:schemeClr w14:val="tx1"/>
                        </w14:solidFill>
                      </w14:textFill>
                    </w:rPr>
                    <w:t>‬</w:t>
                  </w:r>
                </w:p>
              </w:tc>
              <w:tc>
                <w:tcPr>
                  <w:tcW w:w="872"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200</w:t>
                  </w:r>
                </w:p>
              </w:tc>
              <w:tc>
                <w:tcPr>
                  <w:tcW w:w="873" w:type="pct"/>
                  <w:noWrap w:val="0"/>
                  <w:vAlign w:val="center"/>
                </w:tcPr>
                <w:p>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0.1095</w:t>
                  </w:r>
                  <w:r>
                    <w:rPr>
                      <w:color w:val="000000" w:themeColor="text1"/>
                      <w:szCs w:val="21"/>
                      <w:u w:val="single"/>
                      <w14:textFill>
                        <w14:solidFill>
                          <w14:schemeClr w14:val="tx1"/>
                        </w14:solidFill>
                      </w14:textFill>
                    </w:rPr>
                    <w:t>‬</w:t>
                  </w:r>
                </w:p>
              </w:tc>
              <w:tc>
                <w:tcPr>
                  <w:tcW w:w="878" w:type="pct"/>
                  <w:vMerge w:val="continue"/>
                  <w:noWrap w:val="0"/>
                  <w:vAlign w:val="center"/>
                </w:tcPr>
                <w:p>
                  <w:pPr>
                    <w:jc w:val="center"/>
                    <w:rPr>
                      <w:color w:val="000000" w:themeColor="text1"/>
                      <w:szCs w:val="21"/>
                      <w:u w:val="single"/>
                      <w14:textFill>
                        <w14:solidFill>
                          <w14:schemeClr w14:val="tx1"/>
                        </w14:solidFill>
                      </w14:textFill>
                    </w:rPr>
                  </w:pPr>
                </w:p>
              </w:tc>
            </w:tr>
          </w:tbl>
          <w:p>
            <w:pPr>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经计算得， Q=0.14204＜1。本项目环境风险潜势为Ⅰ，可开展简单分析。</w:t>
            </w:r>
          </w:p>
          <w:p>
            <w:pPr>
              <w:spacing w:line="360" w:lineRule="auto"/>
              <w:jc w:val="center"/>
              <w:rPr>
                <w:b/>
                <w:color w:val="000000" w:themeColor="text1"/>
                <w:szCs w:val="21"/>
                <w:u w:val="single"/>
                <w14:textFill>
                  <w14:solidFill>
                    <w14:schemeClr w14:val="tx1"/>
                  </w14:solidFill>
                </w14:textFill>
              </w:rPr>
            </w:pPr>
          </w:p>
          <w:p>
            <w:pPr>
              <w:jc w:val="center"/>
              <w:rPr>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表4-1</w:t>
            </w:r>
            <w:r>
              <w:rPr>
                <w:rFonts w:hint="eastAsia"/>
                <w:b/>
                <w:color w:val="000000" w:themeColor="text1"/>
                <w:szCs w:val="21"/>
                <w:u w:val="single"/>
                <w14:textFill>
                  <w14:solidFill>
                    <w14:schemeClr w14:val="tx1"/>
                  </w14:solidFill>
                </w14:textFill>
              </w:rPr>
              <w:t>2</w:t>
            </w:r>
            <w:r>
              <w:rPr>
                <w:b/>
                <w:color w:val="000000" w:themeColor="text1"/>
                <w:szCs w:val="21"/>
                <w:u w:val="single"/>
                <w14:textFill>
                  <w14:solidFill>
                    <w14:schemeClr w14:val="tx1"/>
                  </w14:solidFill>
                </w14:textFill>
              </w:rPr>
              <w:t xml:space="preserve"> </w:t>
            </w:r>
            <w:r>
              <w:rPr>
                <w:rFonts w:hint="eastAsia"/>
                <w:b/>
                <w:color w:val="000000" w:themeColor="text1"/>
                <w:szCs w:val="21"/>
                <w:u w:val="single"/>
                <w14:textFill>
                  <w14:solidFill>
                    <w14:schemeClr w14:val="tx1"/>
                  </w14:solidFill>
                </w14:textFill>
              </w:rPr>
              <w:t xml:space="preserve">  </w:t>
            </w:r>
            <w:r>
              <w:rPr>
                <w:b/>
                <w:color w:val="000000" w:themeColor="text1"/>
                <w:szCs w:val="21"/>
                <w:u w:val="single"/>
                <w14:textFill>
                  <w14:solidFill>
                    <w14:schemeClr w14:val="tx1"/>
                  </w14:solidFill>
                </w14:textFill>
              </w:rPr>
              <w:t>建设项目环境风险简单分析内容表</w:t>
            </w:r>
          </w:p>
          <w:tbl>
            <w:tblPr>
              <w:tblStyle w:val="23"/>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9"/>
              <w:gridCol w:w="1877"/>
              <w:gridCol w:w="2095"/>
              <w:gridCol w:w="818"/>
              <w:gridCol w:w="1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项目名称</w:t>
                  </w:r>
                </w:p>
              </w:tc>
              <w:tc>
                <w:tcPr>
                  <w:tcW w:w="4103" w:type="pct"/>
                  <w:gridSpan w:val="4"/>
                  <w:noWrap w:val="0"/>
                  <w:vAlign w:val="center"/>
                </w:tcPr>
                <w:p>
                  <w:pPr>
                    <w:jc w:val="center"/>
                    <w:rPr>
                      <w:rFonts w:hint="eastAsia" w:eastAsia="宋体"/>
                      <w:color w:val="000000" w:themeColor="text1"/>
                      <w:szCs w:val="21"/>
                      <w:u w:val="single"/>
                      <w:lang w:eastAsia="zh-CN"/>
                      <w14:textFill>
                        <w14:solidFill>
                          <w14:schemeClr w14:val="tx1"/>
                        </w14:solidFill>
                      </w14:textFill>
                    </w:rPr>
                  </w:pPr>
                  <w:r>
                    <w:rPr>
                      <w:rFonts w:hint="eastAsia"/>
                      <w:color w:val="000000" w:themeColor="text1"/>
                      <w:szCs w:val="21"/>
                      <w:u w:val="single"/>
                      <w:lang w:eastAsia="zh-CN"/>
                      <w14:textFill>
                        <w14:solidFill>
                          <w14:schemeClr w14:val="tx1"/>
                        </w14:solidFill>
                      </w14:textFill>
                    </w:rPr>
                    <w:t>液压阀块及精密液压组件总成（44.5万件/年）产业化项目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建设地点</w:t>
                  </w:r>
                </w:p>
              </w:tc>
              <w:tc>
                <w:tcPr>
                  <w:tcW w:w="4103" w:type="pct"/>
                  <w:gridSpan w:val="4"/>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湖南省湘阴县高新区金龙片区安康路以东燎原路以北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地理坐标</w:t>
                  </w:r>
                </w:p>
              </w:tc>
              <w:tc>
                <w:tcPr>
                  <w:tcW w:w="1137"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经度</w:t>
                  </w:r>
                </w:p>
              </w:tc>
              <w:tc>
                <w:tcPr>
                  <w:tcW w:w="1269"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东经112.5509264</w:t>
                  </w:r>
                </w:p>
              </w:tc>
              <w:tc>
                <w:tcPr>
                  <w:tcW w:w="495"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纬度</w:t>
                  </w:r>
                </w:p>
              </w:tc>
              <w:tc>
                <w:tcPr>
                  <w:tcW w:w="1199"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北纬28.3149208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主要危险物质及分布</w:t>
                  </w:r>
                </w:p>
              </w:tc>
              <w:tc>
                <w:tcPr>
                  <w:tcW w:w="4103" w:type="pct"/>
                  <w:gridSpan w:val="4"/>
                  <w:noWrap w:val="0"/>
                  <w:vAlign w:val="center"/>
                </w:tcPr>
                <w:p>
                  <w:pPr>
                    <w:jc w:val="lef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切削液：生产车间，最大存在总量20.7t</w:t>
                  </w:r>
                </w:p>
                <w:p>
                  <w:pPr>
                    <w:jc w:val="lef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润滑油生产厂房原料区，最大存在总量1.8t</w:t>
                  </w:r>
                </w:p>
                <w:p>
                  <w:pPr>
                    <w:jc w:val="lef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超声波清洗剂：生产厂房原料区，最大存在总量22.5t</w:t>
                  </w:r>
                </w:p>
                <w:p>
                  <w:pPr>
                    <w:jc w:val="left"/>
                    <w:rPr>
                      <w:color w:val="000000" w:themeColor="text1"/>
                      <w:u w:val="single"/>
                      <w14:textFill>
                        <w14:solidFill>
                          <w14:schemeClr w14:val="tx1"/>
                        </w14:solidFill>
                      </w14:textFill>
                    </w:rPr>
                  </w:pPr>
                  <w:r>
                    <w:rPr>
                      <w:color w:val="000000" w:themeColor="text1"/>
                      <w:szCs w:val="21"/>
                      <w:u w:val="single"/>
                      <w14:textFill>
                        <w14:solidFill>
                          <w14:schemeClr w14:val="tx1"/>
                        </w14:solidFill>
                      </w14:textFill>
                    </w:rPr>
                    <w:t>防锈剂：生产厂房原料区，最大存在总量7.5t</w:t>
                  </w:r>
                </w:p>
                <w:p>
                  <w:pPr>
                    <w:jc w:val="lef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其他危险废物：危险废物暂存间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环境影响途径及危害后果</w:t>
                  </w:r>
                </w:p>
              </w:tc>
              <w:tc>
                <w:tcPr>
                  <w:tcW w:w="4103" w:type="pct"/>
                  <w:gridSpan w:val="4"/>
                  <w:noWrap w:val="0"/>
                  <w:vAlign w:val="center"/>
                </w:tcPr>
                <w:p>
                  <w:pPr>
                    <w:jc w:val="lef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润滑油泄漏：引发火灾</w:t>
                  </w:r>
                </w:p>
                <w:p>
                  <w:pPr>
                    <w:jc w:val="lef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危险物质、切削液、超声波清洗剂泄漏：通过雨水管网进入水体，造成水质恶化。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6" w:type="pct"/>
                  <w:noWrap w:val="0"/>
                  <w:vAlign w:val="center"/>
                </w:tcPr>
                <w:p>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风险防范措施要求</w:t>
                  </w:r>
                </w:p>
              </w:tc>
              <w:tc>
                <w:tcPr>
                  <w:tcW w:w="4103" w:type="pct"/>
                  <w:gridSpan w:val="4"/>
                  <w:noWrap w:val="0"/>
                  <w:vAlign w:val="center"/>
                </w:tcPr>
                <w:p>
                  <w:pPr>
                    <w:jc w:val="lef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对生产厂房基础进行防渗，采用硬化地面，且表面无裂缝。</w:t>
                  </w:r>
                </w:p>
                <w:p>
                  <w:pPr>
                    <w:jc w:val="lef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编制企业突发环境事件应急预案。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noWrap w:val="0"/>
                  <w:vAlign w:val="center"/>
                </w:tcPr>
                <w:p>
                  <w:pPr>
                    <w:jc w:val="left"/>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通过落实以上风险防范措施要求，本项目环境风险可防控。</w:t>
                  </w:r>
                </w:p>
              </w:tc>
            </w:tr>
          </w:tbl>
          <w:p>
            <w:pPr>
              <w:spacing w:line="360" w:lineRule="auto"/>
              <w:ind w:firstLine="482" w:firstLineChars="200"/>
              <w:outlineLvl w:val="3"/>
              <w:rPr>
                <w:b/>
                <w:bCs/>
                <w:color w:val="000000" w:themeColor="text1"/>
                <w:kern w:val="20"/>
                <w:sz w:val="24"/>
                <w14:textFill>
                  <w14:solidFill>
                    <w14:schemeClr w14:val="tx1"/>
                  </w14:solidFill>
                </w14:textFill>
              </w:rPr>
            </w:pP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.1</w:t>
            </w:r>
            <w:r>
              <w:rPr>
                <w:b/>
                <w:bCs/>
                <w:color w:val="000000" w:themeColor="text1"/>
                <w:kern w:val="20"/>
                <w:sz w:val="24"/>
                <w14:textFill>
                  <w14:solidFill>
                    <w14:schemeClr w14:val="tx1"/>
                  </w14:solidFill>
                </w14:textFill>
              </w:rPr>
              <w:t>火灾风险影响分析</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1、产品存储环境因素分析</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原料及产品储存过程中存在的环境风险为火灾风险。诱发火灾的因素主要有：违章吸烟、动火；使用气焊、电焊等进行设备维修时，未采取有效防护措施；电气线路和电气设施在开关断开、接触不良、短路、漏电时产生火花，以及静电放电火花；未采取有效避雷措施，或者避雷措施失效而导致雷击失火等。</w:t>
            </w:r>
          </w:p>
          <w:p>
            <w:pPr>
              <w:autoSpaceDE w:val="0"/>
              <w:autoSpaceDN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2、事故次生/伴生污染影响分析</w:t>
            </w:r>
          </w:p>
          <w:p>
            <w:pPr>
              <w:autoSpaceDE w:val="0"/>
              <w:autoSpaceDN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（1）大气环境影响</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发生火灾对环境的污染影响主要来自物料燃烧释放的大量CO等有害气体。据以往报道，在火灾而造成的人员死亡中，3/4的人死于有害气体，而且有害气体中一氧化碳是主要的有毒物质。空气中含有大量的氮气，无论对植物还是人类均没有危害作用。但当空气中的氮被转化成氮氧化物和氮氢化物（如二氧化氮、一氧化氮、氨气等）时，其危害作用显著增加。二氧化氮具有强烈的刺激性，能引起哮喘、支气管炎、肺水肿等多种疾病。当空气中二氧化氮浓度达到0.05%时，就会使人致死。在火场之外的开阔的空间内，由于烟雾扩散，二氧化氮的浓度被迅速稀释，不会对人体健康造成危害。</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火灾发生时虽不可避免的对厂区内人员安全与生产设施产生较大的不利影响，但火灾发生时有害气体对周围敏感点环境空气质量只产生暂时性影响，短时内会造成周围敏感点环境空气质量一定成程度的恶化，但不会对人体健康造成损害。</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（2）水环境影响</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发生火灾事故后，会产生大量消防污水，如果下渗或者外排则会影响区域地下水和地表水环境，造成地下水和地表水污染。</w:t>
            </w:r>
          </w:p>
          <w:p>
            <w:pPr>
              <w:spacing w:line="360" w:lineRule="auto"/>
              <w:ind w:firstLine="482" w:firstLineChars="200"/>
              <w:outlineLvl w:val="3"/>
              <w:rPr>
                <w:b/>
                <w:bCs/>
                <w:color w:val="000000" w:themeColor="text1"/>
                <w:kern w:val="20"/>
                <w:sz w:val="24"/>
                <w14:textFill>
                  <w14:solidFill>
                    <w14:schemeClr w14:val="tx1"/>
                  </w14:solidFill>
                </w14:textFill>
              </w:rPr>
            </w:pPr>
            <w:r>
              <w:rPr>
                <w:rFonts w:hint="eastAsia"/>
                <w:b/>
                <w:bCs/>
                <w:color w:val="000000" w:themeColor="text1"/>
                <w:kern w:val="20"/>
                <w:sz w:val="24"/>
                <w14:textFill>
                  <w14:solidFill>
                    <w14:schemeClr w14:val="tx1"/>
                  </w14:solidFill>
                </w14:textFill>
              </w:rPr>
              <w:t>6</w:t>
            </w:r>
            <w:r>
              <w:rPr>
                <w:b/>
                <w:bCs/>
                <w:color w:val="000000" w:themeColor="text1"/>
                <w:kern w:val="20"/>
                <w:sz w:val="24"/>
                <w14:textFill>
                  <w14:solidFill>
                    <w14:schemeClr w14:val="tx1"/>
                  </w14:solidFill>
                </w14:textFill>
              </w:rPr>
              <w:t>.2危险废物环境风险事故分析</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危险废物为废切削液、废清洗水、废润滑油，危险废物存放于危废暂存间，正常存放情况下，不会对周边环境产生不良影响。若随意丢弃，不按规范摆放和贮存，可能造成危险废物中含有的有毒有害物质的泄漏、流失，若直接进入环境，可能造成残留物污染水体、土壤、地下水，影响地表水水质、土壤土质、地下水水质，对周边环境将造成较大影响。</w:t>
            </w:r>
          </w:p>
          <w:p>
            <w:pPr>
              <w:spacing w:line="360" w:lineRule="auto"/>
              <w:ind w:firstLine="482" w:firstLineChars="200"/>
              <w:outlineLvl w:val="3"/>
              <w:rPr>
                <w:b/>
                <w:bCs/>
                <w:color w:val="000000" w:themeColor="text1"/>
                <w:kern w:val="20"/>
                <w:sz w:val="24"/>
                <w14:textFill>
                  <w14:solidFill>
                    <w14:schemeClr w14:val="tx1"/>
                  </w14:solidFill>
                </w14:textFill>
              </w:rPr>
            </w:pPr>
            <w:r>
              <w:rPr>
                <w:rFonts w:hint="eastAsia"/>
                <w:b/>
                <w:bCs/>
                <w:color w:val="000000" w:themeColor="text1"/>
                <w:kern w:val="20"/>
                <w:sz w:val="24"/>
                <w14:textFill>
                  <w14:solidFill>
                    <w14:schemeClr w14:val="tx1"/>
                  </w14:solidFill>
                </w14:textFill>
              </w:rPr>
              <w:t>6</w:t>
            </w:r>
            <w:r>
              <w:rPr>
                <w:b/>
                <w:bCs/>
                <w:color w:val="000000" w:themeColor="text1"/>
                <w:kern w:val="20"/>
                <w:sz w:val="24"/>
                <w14:textFill>
                  <w14:solidFill>
                    <w14:schemeClr w14:val="tx1"/>
                  </w14:solidFill>
                </w14:textFill>
              </w:rPr>
              <w:t>.3环境设施发生故障导致的环境风险分析</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废水直接排入污水处理厂，会对污水处理厂产生一定的影响。本评价要求建设单位加强废水处理设施运行管理，杜绝废水事故排放。</w:t>
            </w:r>
          </w:p>
          <w:p>
            <w:pPr>
              <w:tabs>
                <w:tab w:val="left" w:pos="567"/>
                <w:tab w:val="left" w:pos="851"/>
              </w:tabs>
              <w:adjustRightInd w:val="0"/>
              <w:spacing w:line="360" w:lineRule="auto"/>
              <w:ind w:firstLine="482" w:firstLineChars="200"/>
              <w:outlineLvl w:val="2"/>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.4环境风险防范措施及应急要求</w:t>
            </w:r>
          </w:p>
          <w:p>
            <w:pPr>
              <w:spacing w:line="360" w:lineRule="auto"/>
              <w:ind w:firstLine="482" w:firstLineChars="200"/>
              <w:outlineLvl w:val="3"/>
              <w:rPr>
                <w:b/>
                <w:bCs/>
                <w:color w:val="000000" w:themeColor="text1"/>
                <w:kern w:val="20"/>
                <w:sz w:val="24"/>
                <w14:textFill>
                  <w14:solidFill>
                    <w14:schemeClr w14:val="tx1"/>
                  </w14:solidFill>
                </w14:textFill>
              </w:rPr>
            </w:pPr>
            <w:r>
              <w:rPr>
                <w:b/>
                <w:bCs/>
                <w:color w:val="000000" w:themeColor="text1"/>
                <w:kern w:val="20"/>
                <w:sz w:val="24"/>
                <w14:textFill>
                  <w14:solidFill>
                    <w14:schemeClr w14:val="tx1"/>
                  </w14:solidFill>
                </w14:textFill>
              </w:rPr>
              <w:t>火灾事故风险防范措施</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1、消除和控制明火源：在生产区及原料区及成品存放区内设置严禁烟火标志，严禁携带火柴、打火机等；在各厂房处配灭火器、消防栓、消防沙等消防物资，以便及时扑灭初期火灾。</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2、防止电气火花：采取有效措施防止电气线路和电气设施在开关断开、接触不良、短路、漏电时产生火花，防止静电放电火花；采取防雷接地措施，防止雷电放电火花。</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3、原料、成品储存于阴凉、通风处。库温不超过30℃，相对湿度不超过85％，保持干燥通风。</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4、定期对原料使用过程中的相关人员，如联络员、仓管员、直接使用人员进行过程监查，定期对上述人员进行相关知识教育和岗位职责培训。</w:t>
            </w:r>
          </w:p>
          <w:p>
            <w:pPr>
              <w:spacing w:line="360" w:lineRule="auto"/>
              <w:ind w:firstLine="482" w:firstLineChars="200"/>
              <w:outlineLvl w:val="3"/>
              <w:rPr>
                <w:b/>
                <w:bCs/>
                <w:color w:val="000000" w:themeColor="text1"/>
                <w:kern w:val="20"/>
                <w:sz w:val="24"/>
                <w14:textFill>
                  <w14:solidFill>
                    <w14:schemeClr w14:val="tx1"/>
                  </w14:solidFill>
                </w14:textFill>
              </w:rPr>
            </w:pPr>
            <w:r>
              <w:rPr>
                <w:b/>
                <w:bCs/>
                <w:color w:val="000000" w:themeColor="text1"/>
                <w:kern w:val="20"/>
                <w:sz w:val="24"/>
                <w14:textFill>
                  <w14:solidFill>
                    <w14:schemeClr w14:val="tx1"/>
                  </w14:solidFill>
                </w14:textFill>
              </w:rPr>
              <w:t>原辅材料运输安全防范措施</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涉及的物料为易燃物质，该物料在起运时包装要完整，装载应稳妥。运输过程中严禁与易燃物或可燃物、食用化学品等混装混运。运输途中应防曝晒、雨淋，防高温。公路运输时要按规定路线行驶，尽量避开经过居民区和人口稠密区。</w:t>
            </w:r>
          </w:p>
          <w:p>
            <w:pPr>
              <w:spacing w:line="360" w:lineRule="auto"/>
              <w:ind w:firstLine="482" w:firstLineChars="200"/>
              <w:outlineLvl w:val="3"/>
              <w:rPr>
                <w:b/>
                <w:bCs/>
                <w:color w:val="000000" w:themeColor="text1"/>
                <w:kern w:val="20"/>
                <w:sz w:val="24"/>
                <w14:textFill>
                  <w14:solidFill>
                    <w14:schemeClr w14:val="tx1"/>
                  </w14:solidFill>
                </w14:textFill>
              </w:rPr>
            </w:pPr>
            <w:r>
              <w:rPr>
                <w:b/>
                <w:bCs/>
                <w:color w:val="000000" w:themeColor="text1"/>
                <w:kern w:val="20"/>
                <w:sz w:val="24"/>
                <w14:textFill>
                  <w14:solidFill>
                    <w14:schemeClr w14:val="tx1"/>
                  </w14:solidFill>
                </w14:textFill>
              </w:rPr>
              <w:t>危险废物泄漏事故防范措施</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1、危险废物贮存满足《危险废物贮存污染控制标准》（GB18597-2001）及其2013年修改单要求。</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2、设置危废暂存间并使用醒目的标识，并定期由专门技术人员对标识进行检查，每月一次。如果标识破碎或其他原因导致其无法识别，立即更换。</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3、危险废物的存放和转移派专门负责人进行记录登记，其中包括存放和转移的量以及日期等，及时联系有资质的单位进行处置。</w:t>
            </w:r>
          </w:p>
          <w:p>
            <w:pPr>
              <w:spacing w:line="360" w:lineRule="auto"/>
              <w:ind w:firstLine="482" w:firstLineChars="200"/>
              <w:outlineLvl w:val="3"/>
              <w:rPr>
                <w:b/>
                <w:bCs/>
                <w:color w:val="000000" w:themeColor="text1"/>
                <w:kern w:val="20"/>
                <w:sz w:val="24"/>
                <w14:textFill>
                  <w14:solidFill>
                    <w14:schemeClr w14:val="tx1"/>
                  </w14:solidFill>
                </w14:textFill>
              </w:rPr>
            </w:pPr>
            <w:r>
              <w:rPr>
                <w:b/>
                <w:bCs/>
                <w:color w:val="000000" w:themeColor="text1"/>
                <w:kern w:val="20"/>
                <w:sz w:val="24"/>
                <w14:textFill>
                  <w14:solidFill>
                    <w14:schemeClr w14:val="tx1"/>
                  </w14:solidFill>
                </w14:textFill>
              </w:rPr>
              <w:t>水污染事故防范措施</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1、制定相关的操作规程，以规范员工的操作，同时加强对员工工作岗位的培训，使他们熟练工艺，避免失误操作导致清洗废水事故排放。</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2、定期对污水处理设施进行检测，防止设备不正常运转导致的污水事故。</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3、做好雨污分流。</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4、加强管道等的保养，防止其因腐蚀、沉降等导致污水外溢污染周边水体。当污水处理设施发生故障时应停止生产，避免废水事故排放，待故障排除后，废水经处理达标后方可排放。</w:t>
            </w:r>
          </w:p>
          <w:p>
            <w:pPr>
              <w:spacing w:line="360" w:lineRule="auto"/>
              <w:ind w:firstLine="482" w:firstLineChars="200"/>
              <w:outlineLvl w:val="3"/>
              <w:rPr>
                <w:b/>
                <w:bCs/>
                <w:color w:val="000000" w:themeColor="text1"/>
                <w:kern w:val="20"/>
                <w:sz w:val="24"/>
                <w14:textFill>
                  <w14:solidFill>
                    <w14:schemeClr w14:val="tx1"/>
                  </w14:solidFill>
                </w14:textFill>
              </w:rPr>
            </w:pPr>
            <w:r>
              <w:rPr>
                <w:b/>
                <w:bCs/>
                <w:color w:val="000000" w:themeColor="text1"/>
                <w:kern w:val="20"/>
                <w:sz w:val="24"/>
                <w14:textFill>
                  <w14:solidFill>
                    <w14:schemeClr w14:val="tx1"/>
                  </w14:solidFill>
                </w14:textFill>
              </w:rPr>
              <w:t>建立健全的安全环境管理制度</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1、制定和强化健康/安全/环境管理制度，并严格予以执行。</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严格执行我国有关劳动安全、环保与卫生的规范和标准，在设计、施工和运行过程中必须针对可能存在的不安全、不卫生因素采取相应的安全防卫措施，消除事故隐患，一旦发生事故应采取有效措施，降低因事故引起的损失和对环境的污染。</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3、加强原料区及成品存放区的安全环保管理，对公司职工进行安全环保的教育和培训，做到持证上岗，减少人为风险事故（如误操作）的发生。</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4、建立应急预案，并与当地的应急预案衔接，一旦出现事故可借助社会救援，使损失和对环境的污染降到最低。</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5、加强设备、仪表的维修、保养，定期检查各种设备，杜绝事故隐患，降低事故发生概率。定期检查和更换危险化学品的储存输送设备，杜绝由于设备劳损、折旧带来的事故隐患。</w:t>
            </w:r>
          </w:p>
          <w:p>
            <w:pPr>
              <w:pStyle w:val="60"/>
              <w:spacing w:before="0" w:line="360" w:lineRule="auto"/>
              <w:ind w:firstLine="482"/>
              <w:rPr>
                <w:rFonts w:ascii="Times New Roman" w:hAnsi="Times New Roman"/>
                <w:b/>
                <w:color w:val="000000" w:themeColor="text1"/>
                <w14:textFill>
                  <w14:solidFill>
                    <w14:schemeClr w14:val="tx1"/>
                  </w14:solidFill>
                </w14:textFill>
              </w:rPr>
            </w:pPr>
            <w:r>
              <w:rPr>
                <w:rFonts w:ascii="Times New Roman" w:hAnsi="Times New Roman"/>
                <w:b/>
                <w:color w:val="000000" w:themeColor="text1"/>
                <w14:textFill>
                  <w14:solidFill>
                    <w14:schemeClr w14:val="tx1"/>
                  </w14:solidFill>
                </w14:textFill>
              </w:rPr>
              <w:t>⑦结论</w:t>
            </w:r>
          </w:p>
          <w:p>
            <w:pPr>
              <w:tabs>
                <w:tab w:val="left" w:pos="8918"/>
              </w:tabs>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综上所述，该项目一旦发生泄漏和火灾爆炸事故对周围环境有一定影响，但在风险可接受范围内。企业应该认真做好各项风险防范措施，完善现有生产管理制度，储运过程应该严格操作，杜绝风险事故。</w:t>
            </w:r>
          </w:p>
          <w:p>
            <w:pPr>
              <w:tabs>
                <w:tab w:val="left" w:pos="8918"/>
              </w:tabs>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环评要求建设单位严格履行风险应急预案，一旦发生突发事故，企业除了根据内部制定和履行最快最有效的应急预案自救外，应立即报当地环保部门。在上级环保部门到达之后，要从大局考虑，服从环保部门的领导，共同协商统一部署，将污染事故降低到最低。</w:t>
            </w:r>
          </w:p>
          <w:p>
            <w:pPr>
              <w:snapToGrid w:val="0"/>
              <w:spacing w:line="360" w:lineRule="auto"/>
              <w:ind w:firstLine="482" w:firstLineChars="200"/>
              <w:rPr>
                <w:color w:val="000000" w:themeColor="text1"/>
                <w:kern w:val="0"/>
                <w:szCs w:val="21"/>
                <w14:textFill>
                  <w14:solidFill>
                    <w14:schemeClr w14:val="tx1"/>
                  </w14:solidFill>
                </w14:textFill>
              </w:rPr>
            </w:pPr>
            <w:r>
              <w:rPr>
                <w:b/>
                <w:snapToGrid w:val="0"/>
                <w:color w:val="000000" w:themeColor="text1"/>
                <w:sz w:val="24"/>
                <w14:textFill>
                  <w14:solidFill>
                    <w14:schemeClr w14:val="tx1"/>
                  </w14:solidFill>
                </w14:textFill>
              </w:rPr>
              <w:t>（</w:t>
            </w:r>
            <w:r>
              <w:rPr>
                <w:rFonts w:hint="eastAsia"/>
                <w:b/>
                <w:snapToGrid w:val="0"/>
                <w:color w:val="000000" w:themeColor="text1"/>
                <w:sz w:val="24"/>
                <w14:textFill>
                  <w14:solidFill>
                    <w14:schemeClr w14:val="tx1"/>
                  </w14:solidFill>
                </w14:textFill>
              </w:rPr>
              <w:t>7</w:t>
            </w:r>
            <w:r>
              <w:rPr>
                <w:b/>
                <w:snapToGrid w:val="0"/>
                <w:color w:val="000000" w:themeColor="text1"/>
                <w:sz w:val="24"/>
                <w14:textFill>
                  <w14:solidFill>
                    <w14:schemeClr w14:val="tx1"/>
                  </w14:solidFill>
                </w14:textFill>
              </w:rPr>
              <w:t>）</w:t>
            </w:r>
            <w:r>
              <w:rPr>
                <w:rFonts w:hint="eastAsia"/>
                <w:b/>
                <w:snapToGrid w:val="0"/>
                <w:color w:val="000000" w:themeColor="text1"/>
                <w:sz w:val="24"/>
                <w14:textFill>
                  <w14:solidFill>
                    <w14:schemeClr w14:val="tx1"/>
                  </w14:solidFill>
                </w14:textFill>
              </w:rPr>
              <w:t>环保投资</w:t>
            </w:r>
          </w:p>
          <w:p>
            <w:pPr>
              <w:tabs>
                <w:tab w:val="left" w:pos="8918"/>
              </w:tabs>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本项目总投资15000万元，根据项目排污情况分析，估计环保投资约</w:t>
            </w:r>
            <w:r>
              <w:rPr>
                <w:rFonts w:hint="eastAsia"/>
                <w:color w:val="000000" w:themeColor="text1"/>
                <w:sz w:val="24"/>
                <w:lang w:val="en-US" w:eastAsia="zh-CN"/>
                <w14:textFill>
                  <w14:solidFill>
                    <w14:schemeClr w14:val="tx1"/>
                  </w14:solidFill>
                </w14:textFill>
              </w:rPr>
              <w:t>241</w:t>
            </w:r>
            <w:r>
              <w:rPr>
                <w:color w:val="000000" w:themeColor="text1"/>
                <w:sz w:val="24"/>
                <w14:textFill>
                  <w14:solidFill>
                    <w14:schemeClr w14:val="tx1"/>
                  </w14:solidFill>
                </w14:textFill>
              </w:rPr>
              <w:t>万元，环保投资占项目总投资</w:t>
            </w:r>
            <w:r>
              <w:rPr>
                <w:rFonts w:hint="eastAsia"/>
                <w:color w:val="000000" w:themeColor="text1"/>
                <w:sz w:val="24"/>
                <w14:textFill>
                  <w14:solidFill>
                    <w14:schemeClr w14:val="tx1"/>
                  </w14:solidFill>
                </w14:textFill>
              </w:rPr>
              <w:t>1.</w:t>
            </w:r>
            <w:r>
              <w:rPr>
                <w:rFonts w:hint="eastAsia"/>
                <w:color w:val="000000" w:themeColor="text1"/>
                <w:sz w:val="24"/>
                <w:lang w:val="en-US" w:eastAsia="zh-CN"/>
                <w14:textFill>
                  <w14:solidFill>
                    <w14:schemeClr w14:val="tx1"/>
                  </w14:solidFill>
                </w14:textFill>
              </w:rPr>
              <w:t>6</w:t>
            </w:r>
            <w:r>
              <w:rPr>
                <w:color w:val="000000" w:themeColor="text1"/>
                <w:sz w:val="24"/>
                <w14:textFill>
                  <w14:solidFill>
                    <w14:schemeClr w14:val="tx1"/>
                  </w14:solidFill>
                </w14:textFill>
              </w:rPr>
              <w:t>%。项目环保投资估算见表4-15。</w:t>
            </w:r>
          </w:p>
          <w:p>
            <w:pPr>
              <w:keepNext/>
              <w:widowControl/>
              <w:adjustRightInd w:val="0"/>
              <w:snapToGrid w:val="0"/>
              <w:jc w:val="center"/>
              <w:rPr>
                <w:b/>
                <w:color w:val="000000" w:themeColor="text1"/>
                <w:kern w:val="0"/>
                <w:szCs w:val="21"/>
                <w14:textFill>
                  <w14:solidFill>
                    <w14:schemeClr w14:val="tx1"/>
                  </w14:solidFill>
                </w14:textFill>
              </w:rPr>
            </w:pPr>
            <w:r>
              <w:rPr>
                <w:b/>
                <w:color w:val="000000" w:themeColor="text1"/>
                <w:kern w:val="0"/>
                <w:szCs w:val="21"/>
                <w14:textFill>
                  <w14:solidFill>
                    <w14:schemeClr w14:val="tx1"/>
                  </w14:solidFill>
                </w14:textFill>
              </w:rPr>
              <w:t>表4-1</w:t>
            </w:r>
            <w:r>
              <w:rPr>
                <w:rFonts w:hint="eastAsia"/>
                <w:b/>
                <w:color w:val="000000" w:themeColor="text1"/>
                <w:kern w:val="0"/>
                <w:szCs w:val="21"/>
                <w14:textFill>
                  <w14:solidFill>
                    <w14:schemeClr w14:val="tx1"/>
                  </w14:solidFill>
                </w14:textFill>
              </w:rPr>
              <w:t>3</w:t>
            </w:r>
            <w:r>
              <w:rPr>
                <w:b/>
                <w:color w:val="000000" w:themeColor="text1"/>
                <w:kern w:val="0"/>
                <w:szCs w:val="21"/>
                <w14:textFill>
                  <w14:solidFill>
                    <w14:schemeClr w14:val="tx1"/>
                  </w14:solidFill>
                </w14:textFill>
              </w:rPr>
              <w:t xml:space="preserve">   环保投资估算一览表</w:t>
            </w:r>
          </w:p>
          <w:tbl>
            <w:tblPr>
              <w:tblStyle w:val="23"/>
              <w:tblW w:w="79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5"/>
              <w:gridCol w:w="1594"/>
              <w:gridCol w:w="3014"/>
              <w:gridCol w:w="2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849" w:type="dxa"/>
                  <w:gridSpan w:val="2"/>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项目</w:t>
                  </w:r>
                </w:p>
              </w:tc>
              <w:tc>
                <w:tcPr>
                  <w:tcW w:w="3014"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内容</w:t>
                  </w:r>
                </w:p>
              </w:tc>
              <w:tc>
                <w:tcPr>
                  <w:tcW w:w="2123"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7986" w:type="dxa"/>
                  <w:gridSpan w:val="4"/>
                  <w:noWrap w:val="0"/>
                  <w:vAlign w:val="center"/>
                </w:tcPr>
                <w:p>
                  <w:pPr>
                    <w:adjustRightInd w:val="0"/>
                    <w:snapToGrid w:val="0"/>
                    <w:jc w:val="center"/>
                    <w:rPr>
                      <w:rFonts w:hint="eastAsia"/>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施工期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8" w:hRule="atLeast"/>
                <w:jc w:val="center"/>
              </w:trPr>
              <w:tc>
                <w:tcPr>
                  <w:tcW w:w="2849" w:type="dxa"/>
                  <w:gridSpan w:val="2"/>
                  <w:noWrap w:val="0"/>
                  <w:vAlign w:val="center"/>
                </w:tcPr>
                <w:p>
                  <w:pPr>
                    <w:pStyle w:val="46"/>
                    <w:spacing w:line="320" w:lineRule="exact"/>
                    <w:rPr>
                      <w:bCs/>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施工期</w:t>
                  </w:r>
                  <w:r>
                    <w:rPr>
                      <w:color w:val="000000" w:themeColor="text1"/>
                      <w:u w:val="single"/>
                      <w14:textFill>
                        <w14:solidFill>
                          <w14:schemeClr w14:val="tx1"/>
                        </w14:solidFill>
                      </w14:textFill>
                    </w:rPr>
                    <w:t>废水</w:t>
                  </w:r>
                  <w:r>
                    <w:rPr>
                      <w:bCs/>
                      <w:color w:val="000000" w:themeColor="text1"/>
                      <w:u w:val="single"/>
                      <w14:textFill>
                        <w14:solidFill>
                          <w14:schemeClr w14:val="tx1"/>
                        </w14:solidFill>
                      </w14:textFill>
                    </w:rPr>
                    <w:t>治理</w:t>
                  </w:r>
                </w:p>
              </w:tc>
              <w:tc>
                <w:tcPr>
                  <w:tcW w:w="3014" w:type="dxa"/>
                  <w:noWrap w:val="0"/>
                  <w:vAlign w:val="center"/>
                </w:tcPr>
                <w:p>
                  <w:pPr>
                    <w:pStyle w:val="46"/>
                    <w:spacing w:line="320" w:lineRule="exact"/>
                    <w:rPr>
                      <w:bCs/>
                      <w:color w:val="000000" w:themeColor="text1"/>
                      <w:u w:val="single"/>
                      <w14:textFill>
                        <w14:solidFill>
                          <w14:schemeClr w14:val="tx1"/>
                        </w14:solidFill>
                      </w14:textFill>
                    </w:rPr>
                  </w:pPr>
                  <w:r>
                    <w:rPr>
                      <w:color w:val="000000" w:themeColor="text1"/>
                      <w:u w:val="single"/>
                      <w14:textFill>
                        <w14:solidFill>
                          <w14:schemeClr w14:val="tx1"/>
                        </w14:solidFill>
                      </w14:textFill>
                    </w:rPr>
                    <w:t>化粪池、隔油池、沉淀池</w:t>
                  </w:r>
                </w:p>
              </w:tc>
              <w:tc>
                <w:tcPr>
                  <w:tcW w:w="2123" w:type="dxa"/>
                  <w:noWrap w:val="0"/>
                  <w:vAlign w:val="center"/>
                </w:tcPr>
                <w:p>
                  <w:pPr>
                    <w:pStyle w:val="46"/>
                    <w:spacing w:line="320" w:lineRule="exact"/>
                    <w:rPr>
                      <w:bCs/>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849" w:type="dxa"/>
                  <w:gridSpan w:val="2"/>
                  <w:noWrap w:val="0"/>
                  <w:vAlign w:val="center"/>
                </w:tcPr>
                <w:p>
                  <w:pPr>
                    <w:pStyle w:val="46"/>
                    <w:spacing w:line="320" w:lineRule="exact"/>
                    <w:rPr>
                      <w:bCs/>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施工期</w:t>
                  </w:r>
                  <w:r>
                    <w:rPr>
                      <w:color w:val="000000" w:themeColor="text1"/>
                      <w:u w:val="single"/>
                      <w14:textFill>
                        <w14:solidFill>
                          <w14:schemeClr w14:val="tx1"/>
                        </w14:solidFill>
                      </w14:textFill>
                    </w:rPr>
                    <w:t>废气</w:t>
                  </w:r>
                  <w:r>
                    <w:rPr>
                      <w:bCs/>
                      <w:color w:val="000000" w:themeColor="text1"/>
                      <w:u w:val="single"/>
                      <w14:textFill>
                        <w14:solidFill>
                          <w14:schemeClr w14:val="tx1"/>
                        </w14:solidFill>
                      </w14:textFill>
                    </w:rPr>
                    <w:t>治理</w:t>
                  </w:r>
                </w:p>
              </w:tc>
              <w:tc>
                <w:tcPr>
                  <w:tcW w:w="3014" w:type="dxa"/>
                  <w:noWrap w:val="0"/>
                  <w:vAlign w:val="center"/>
                </w:tcPr>
                <w:p>
                  <w:pPr>
                    <w:pStyle w:val="46"/>
                    <w:spacing w:line="320" w:lineRule="exact"/>
                    <w:rPr>
                      <w:bCs/>
                      <w:color w:val="000000" w:themeColor="text1"/>
                      <w:u w:val="single"/>
                      <w14:textFill>
                        <w14:solidFill>
                          <w14:schemeClr w14:val="tx1"/>
                        </w14:solidFill>
                      </w14:textFill>
                    </w:rPr>
                  </w:pPr>
                  <w:r>
                    <w:rPr>
                      <w:color w:val="000000" w:themeColor="text1"/>
                      <w:u w:val="single"/>
                      <w14:textFill>
                        <w14:solidFill>
                          <w14:schemeClr w14:val="tx1"/>
                        </w14:solidFill>
                      </w14:textFill>
                    </w:rPr>
                    <w:t>喷水降尘设施</w:t>
                  </w:r>
                </w:p>
              </w:tc>
              <w:tc>
                <w:tcPr>
                  <w:tcW w:w="2123" w:type="dxa"/>
                  <w:noWrap w:val="0"/>
                  <w:vAlign w:val="center"/>
                </w:tcPr>
                <w:p>
                  <w:pPr>
                    <w:pStyle w:val="46"/>
                    <w:spacing w:line="320" w:lineRule="exact"/>
                    <w:rPr>
                      <w:bCs/>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849" w:type="dxa"/>
                  <w:gridSpan w:val="2"/>
                  <w:noWrap w:val="0"/>
                  <w:vAlign w:val="center"/>
                </w:tcPr>
                <w:p>
                  <w:pPr>
                    <w:pStyle w:val="46"/>
                    <w:spacing w:line="320" w:lineRule="exact"/>
                    <w:rPr>
                      <w:bCs/>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施工期</w:t>
                  </w:r>
                  <w:r>
                    <w:rPr>
                      <w:color w:val="000000" w:themeColor="text1"/>
                      <w:u w:val="single"/>
                      <w14:textFill>
                        <w14:solidFill>
                          <w14:schemeClr w14:val="tx1"/>
                        </w14:solidFill>
                      </w14:textFill>
                    </w:rPr>
                    <w:t>噪声</w:t>
                  </w:r>
                  <w:r>
                    <w:rPr>
                      <w:bCs/>
                      <w:color w:val="000000" w:themeColor="text1"/>
                      <w:u w:val="single"/>
                      <w14:textFill>
                        <w14:solidFill>
                          <w14:schemeClr w14:val="tx1"/>
                        </w14:solidFill>
                      </w14:textFill>
                    </w:rPr>
                    <w:t>治理</w:t>
                  </w:r>
                </w:p>
              </w:tc>
              <w:tc>
                <w:tcPr>
                  <w:tcW w:w="3014" w:type="dxa"/>
                  <w:noWrap w:val="0"/>
                  <w:vAlign w:val="center"/>
                </w:tcPr>
                <w:p>
                  <w:pPr>
                    <w:pStyle w:val="46"/>
                    <w:spacing w:line="320" w:lineRule="exact"/>
                    <w:rPr>
                      <w:bCs/>
                      <w:color w:val="000000" w:themeColor="text1"/>
                      <w:u w:val="single"/>
                      <w14:textFill>
                        <w14:solidFill>
                          <w14:schemeClr w14:val="tx1"/>
                        </w14:solidFill>
                      </w14:textFill>
                    </w:rPr>
                  </w:pPr>
                  <w:r>
                    <w:rPr>
                      <w:color w:val="000000" w:themeColor="text1"/>
                      <w:u w:val="single"/>
                      <w14:textFill>
                        <w14:solidFill>
                          <w14:schemeClr w14:val="tx1"/>
                        </w14:solidFill>
                      </w14:textFill>
                    </w:rPr>
                    <w:t>隔声屏障、选用低噪声设备</w:t>
                  </w:r>
                </w:p>
              </w:tc>
              <w:tc>
                <w:tcPr>
                  <w:tcW w:w="2123" w:type="dxa"/>
                  <w:noWrap w:val="0"/>
                  <w:vAlign w:val="center"/>
                </w:tcPr>
                <w:p>
                  <w:pPr>
                    <w:pStyle w:val="46"/>
                    <w:spacing w:line="320" w:lineRule="exact"/>
                    <w:rPr>
                      <w:bCs/>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849" w:type="dxa"/>
                  <w:gridSpan w:val="2"/>
                  <w:noWrap w:val="0"/>
                  <w:vAlign w:val="center"/>
                </w:tcPr>
                <w:p>
                  <w:pPr>
                    <w:pStyle w:val="46"/>
                    <w:spacing w:line="320" w:lineRule="exact"/>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施工期</w:t>
                  </w:r>
                  <w:r>
                    <w:rPr>
                      <w:color w:val="000000" w:themeColor="text1"/>
                      <w:u w:val="single"/>
                      <w14:textFill>
                        <w14:solidFill>
                          <w14:schemeClr w14:val="tx1"/>
                        </w14:solidFill>
                      </w14:textFill>
                    </w:rPr>
                    <w:t>固废</w:t>
                  </w:r>
                  <w:r>
                    <w:rPr>
                      <w:bCs/>
                      <w:color w:val="000000" w:themeColor="text1"/>
                      <w:u w:val="single"/>
                      <w14:textFill>
                        <w14:solidFill>
                          <w14:schemeClr w14:val="tx1"/>
                        </w14:solidFill>
                      </w14:textFill>
                    </w:rPr>
                    <w:t>治理</w:t>
                  </w:r>
                </w:p>
              </w:tc>
              <w:tc>
                <w:tcPr>
                  <w:tcW w:w="3014" w:type="dxa"/>
                  <w:noWrap w:val="0"/>
                  <w:vAlign w:val="center"/>
                </w:tcPr>
                <w:p>
                  <w:pPr>
                    <w:pStyle w:val="46"/>
                    <w:spacing w:line="320" w:lineRule="exact"/>
                    <w:rPr>
                      <w:color w:val="000000" w:themeColor="text1"/>
                      <w:u w:val="single"/>
                      <w14:textFill>
                        <w14:solidFill>
                          <w14:schemeClr w14:val="tx1"/>
                        </w14:solidFill>
                      </w14:textFill>
                    </w:rPr>
                  </w:pPr>
                  <w:r>
                    <w:rPr>
                      <w:color w:val="000000" w:themeColor="text1"/>
                      <w:u w:val="single"/>
                      <w14:textFill>
                        <w14:solidFill>
                          <w14:schemeClr w14:val="tx1"/>
                        </w14:solidFill>
                      </w14:textFill>
                    </w:rPr>
                    <w:t>建筑垃圾、生活垃圾清运</w:t>
                  </w:r>
                </w:p>
              </w:tc>
              <w:tc>
                <w:tcPr>
                  <w:tcW w:w="2123" w:type="dxa"/>
                  <w:noWrap w:val="0"/>
                  <w:vAlign w:val="center"/>
                </w:tcPr>
                <w:p>
                  <w:pPr>
                    <w:pStyle w:val="46"/>
                    <w:spacing w:line="320" w:lineRule="exact"/>
                    <w:rPr>
                      <w:bCs/>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7986" w:type="dxa"/>
                  <w:gridSpan w:val="4"/>
                  <w:noWrap w:val="0"/>
                  <w:vAlign w:val="center"/>
                </w:tcPr>
                <w:p>
                  <w:pPr>
                    <w:pStyle w:val="46"/>
                    <w:spacing w:line="320" w:lineRule="exact"/>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营运期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1255" w:type="dxa"/>
                  <w:vMerge w:val="restart"/>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废水治理</w:t>
                  </w:r>
                </w:p>
              </w:tc>
              <w:tc>
                <w:tcPr>
                  <w:tcW w:w="1594" w:type="dxa"/>
                  <w:noWrap w:val="0"/>
                  <w:vAlign w:val="center"/>
                </w:tcPr>
                <w:p>
                  <w:pPr>
                    <w:widowControl/>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生活污水</w:t>
                  </w:r>
                </w:p>
              </w:tc>
              <w:tc>
                <w:tcPr>
                  <w:tcW w:w="3014" w:type="dxa"/>
                  <w:noWrap w:val="0"/>
                  <w:vAlign w:val="center"/>
                </w:tcPr>
                <w:p>
                  <w:pPr>
                    <w:widowControl/>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隔油池+化粪池</w:t>
                  </w:r>
                </w:p>
              </w:tc>
              <w:tc>
                <w:tcPr>
                  <w:tcW w:w="2123"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1255" w:type="dxa"/>
                  <w:vMerge w:val="continue"/>
                  <w:noWrap w:val="0"/>
                  <w:vAlign w:val="center"/>
                </w:tcPr>
                <w:p>
                  <w:pPr>
                    <w:adjustRightInd w:val="0"/>
                    <w:snapToGrid w:val="0"/>
                    <w:jc w:val="center"/>
                    <w:rPr>
                      <w:bCs/>
                      <w:color w:val="000000" w:themeColor="text1"/>
                      <w:szCs w:val="21"/>
                      <w:u w:val="single"/>
                      <w14:textFill>
                        <w14:solidFill>
                          <w14:schemeClr w14:val="tx1"/>
                        </w14:solidFill>
                      </w14:textFill>
                    </w:rPr>
                  </w:pPr>
                </w:p>
              </w:tc>
              <w:tc>
                <w:tcPr>
                  <w:tcW w:w="1594" w:type="dxa"/>
                  <w:noWrap w:val="0"/>
                  <w:vAlign w:val="center"/>
                </w:tcPr>
                <w:p>
                  <w:pPr>
                    <w:widowControl/>
                    <w:jc w:val="center"/>
                    <w:textAlignment w:val="baseline"/>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管网建设</w:t>
                  </w:r>
                </w:p>
              </w:tc>
              <w:tc>
                <w:tcPr>
                  <w:tcW w:w="3014" w:type="dxa"/>
                  <w:noWrap w:val="0"/>
                  <w:vAlign w:val="center"/>
                </w:tcPr>
                <w:p>
                  <w:pPr>
                    <w:widowControl/>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雨污管网建设</w:t>
                  </w:r>
                </w:p>
              </w:tc>
              <w:tc>
                <w:tcPr>
                  <w:tcW w:w="2123" w:type="dxa"/>
                  <w:noWrap w:val="0"/>
                  <w:vAlign w:val="center"/>
                </w:tcPr>
                <w:p>
                  <w:pPr>
                    <w:adjustRightInd w:val="0"/>
                    <w:snapToGrid w:val="0"/>
                    <w:jc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255"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废气治理</w:t>
                  </w:r>
                </w:p>
              </w:tc>
              <w:tc>
                <w:tcPr>
                  <w:tcW w:w="1594"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金属颗粒物</w:t>
                  </w:r>
                </w:p>
              </w:tc>
              <w:tc>
                <w:tcPr>
                  <w:tcW w:w="3014"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自然沉降</w:t>
                  </w:r>
                </w:p>
              </w:tc>
              <w:tc>
                <w:tcPr>
                  <w:tcW w:w="2123"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255" w:type="dxa"/>
                  <w:vMerge w:val="restart"/>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固废处置</w:t>
                  </w:r>
                </w:p>
              </w:tc>
              <w:tc>
                <w:tcPr>
                  <w:tcW w:w="1594"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生活垃圾</w:t>
                  </w:r>
                </w:p>
              </w:tc>
              <w:tc>
                <w:tcPr>
                  <w:tcW w:w="3014"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垃圾桶分类收集</w:t>
                  </w:r>
                </w:p>
              </w:tc>
              <w:tc>
                <w:tcPr>
                  <w:tcW w:w="2123"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255" w:type="dxa"/>
                  <w:vMerge w:val="continue"/>
                  <w:noWrap w:val="0"/>
                  <w:vAlign w:val="center"/>
                </w:tcPr>
                <w:p>
                  <w:pPr>
                    <w:adjustRightInd w:val="0"/>
                    <w:snapToGrid w:val="0"/>
                    <w:jc w:val="center"/>
                    <w:rPr>
                      <w:bCs/>
                      <w:color w:val="000000" w:themeColor="text1"/>
                      <w:szCs w:val="21"/>
                      <w:u w:val="single"/>
                      <w14:textFill>
                        <w14:solidFill>
                          <w14:schemeClr w14:val="tx1"/>
                        </w14:solidFill>
                      </w14:textFill>
                    </w:rPr>
                  </w:pPr>
                </w:p>
              </w:tc>
              <w:tc>
                <w:tcPr>
                  <w:tcW w:w="1594"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一般工业固体废物</w:t>
                  </w:r>
                </w:p>
              </w:tc>
              <w:tc>
                <w:tcPr>
                  <w:tcW w:w="3014"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收集后外售综合利用</w:t>
                  </w:r>
                </w:p>
              </w:tc>
              <w:tc>
                <w:tcPr>
                  <w:tcW w:w="2123"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255" w:type="dxa"/>
                  <w:vMerge w:val="continue"/>
                  <w:noWrap w:val="0"/>
                  <w:vAlign w:val="center"/>
                </w:tcPr>
                <w:p>
                  <w:pPr>
                    <w:adjustRightInd w:val="0"/>
                    <w:snapToGrid w:val="0"/>
                    <w:jc w:val="center"/>
                    <w:rPr>
                      <w:bCs/>
                      <w:color w:val="000000" w:themeColor="text1"/>
                      <w:szCs w:val="21"/>
                      <w:u w:val="single"/>
                      <w14:textFill>
                        <w14:solidFill>
                          <w14:schemeClr w14:val="tx1"/>
                        </w14:solidFill>
                      </w14:textFill>
                    </w:rPr>
                  </w:pPr>
                </w:p>
              </w:tc>
              <w:tc>
                <w:tcPr>
                  <w:tcW w:w="1594"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危险废物</w:t>
                  </w:r>
                </w:p>
              </w:tc>
              <w:tc>
                <w:tcPr>
                  <w:tcW w:w="3014" w:type="dxa"/>
                  <w:noWrap w:val="0"/>
                  <w:vAlign w:val="center"/>
                </w:tcPr>
                <w:p>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在设备车间西南角设置危废间，占地面积</w:t>
                  </w:r>
                  <w:r>
                    <w:rPr>
                      <w:rFonts w:hint="eastAsia"/>
                      <w:bCs/>
                      <w:color w:val="000000" w:themeColor="text1"/>
                      <w:szCs w:val="21"/>
                      <w:u w:val="single"/>
                      <w:lang w:val="en-US" w:eastAsia="zh-CN"/>
                      <w14:textFill>
                        <w14:solidFill>
                          <w14:schemeClr w14:val="tx1"/>
                        </w14:solidFill>
                      </w14:textFill>
                    </w:rPr>
                    <w:t>5</w:t>
                  </w:r>
                  <w:r>
                    <w:rPr>
                      <w:rFonts w:hint="eastAsia"/>
                      <w:bCs/>
                      <w:color w:val="000000" w:themeColor="text1"/>
                      <w:szCs w:val="21"/>
                      <w:u w:val="single"/>
                      <w14:textFill>
                        <w14:solidFill>
                          <w14:schemeClr w14:val="tx1"/>
                        </w14:solidFill>
                      </w14:textFill>
                    </w:rPr>
                    <w:t>0m</w:t>
                  </w:r>
                  <w:r>
                    <w:rPr>
                      <w:rFonts w:hint="eastAsia"/>
                      <w:bCs/>
                      <w:color w:val="000000" w:themeColor="text1"/>
                      <w:szCs w:val="21"/>
                      <w:u w:val="single"/>
                      <w:vertAlign w:val="superscript"/>
                      <w14:textFill>
                        <w14:solidFill>
                          <w14:schemeClr w14:val="tx1"/>
                        </w14:solidFill>
                      </w14:textFill>
                    </w:rPr>
                    <w:t>2</w:t>
                  </w:r>
                  <w:r>
                    <w:rPr>
                      <w:bCs/>
                      <w:color w:val="000000" w:themeColor="text1"/>
                      <w:szCs w:val="21"/>
                      <w:u w:val="single"/>
                      <w14:textFill>
                        <w14:solidFill>
                          <w14:schemeClr w14:val="tx1"/>
                        </w14:solidFill>
                      </w14:textFill>
                    </w:rPr>
                    <w:t>，交由有资质的单位处置</w:t>
                  </w:r>
                </w:p>
              </w:tc>
              <w:tc>
                <w:tcPr>
                  <w:tcW w:w="2123"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849" w:type="dxa"/>
                  <w:gridSpan w:val="2"/>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噪声控制</w:t>
                  </w:r>
                </w:p>
              </w:tc>
              <w:tc>
                <w:tcPr>
                  <w:tcW w:w="3014" w:type="dxa"/>
                  <w:noWrap w:val="0"/>
                  <w:vAlign w:val="center"/>
                </w:tcPr>
                <w:p>
                  <w:pPr>
                    <w:adjustRightInd w:val="0"/>
                    <w:snapToGrid w:val="0"/>
                    <w:jc w:val="center"/>
                    <w:rPr>
                      <w:color w:val="000000" w:themeColor="text1"/>
                      <w:kern w:val="0"/>
                      <w:szCs w:val="21"/>
                      <w:u w:val="single"/>
                      <w14:textFill>
                        <w14:solidFill>
                          <w14:schemeClr w14:val="tx1"/>
                        </w14:solidFill>
                      </w14:textFill>
                    </w:rPr>
                  </w:pPr>
                  <w:r>
                    <w:rPr>
                      <w:bCs/>
                      <w:color w:val="000000" w:themeColor="text1"/>
                      <w:szCs w:val="21"/>
                      <w:u w:val="single"/>
                      <w14:textFill>
                        <w14:solidFill>
                          <w14:schemeClr w14:val="tx1"/>
                        </w14:solidFill>
                      </w14:textFill>
                    </w:rPr>
                    <w:t>隔声、减振措施；加强设备维修和保养</w:t>
                  </w:r>
                </w:p>
              </w:tc>
              <w:tc>
                <w:tcPr>
                  <w:tcW w:w="2123"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849" w:type="dxa"/>
                  <w:gridSpan w:val="2"/>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地下水、土壤</w:t>
                  </w:r>
                </w:p>
              </w:tc>
              <w:tc>
                <w:tcPr>
                  <w:tcW w:w="3014" w:type="dxa"/>
                  <w:noWrap w:val="0"/>
                  <w:vAlign w:val="center"/>
                </w:tcPr>
                <w:p>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地面硬化</w:t>
                  </w:r>
                </w:p>
              </w:tc>
              <w:tc>
                <w:tcPr>
                  <w:tcW w:w="2123" w:type="dxa"/>
                  <w:noWrap w:val="0"/>
                  <w:vAlign w:val="center"/>
                </w:tcPr>
                <w:p>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100</w:t>
                  </w:r>
                  <w:r>
                    <w:rPr>
                      <w:bCs/>
                      <w:color w:val="000000" w:themeColor="text1"/>
                      <w:szCs w:val="21"/>
                      <w:u w:val="singl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849" w:type="dxa"/>
                  <w:gridSpan w:val="2"/>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风险</w:t>
                  </w:r>
                </w:p>
              </w:tc>
              <w:tc>
                <w:tcPr>
                  <w:tcW w:w="3014" w:type="dxa"/>
                  <w:noWrap w:val="0"/>
                  <w:vAlign w:val="center"/>
                </w:tcPr>
                <w:p>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应急物资、风险防范措施等</w:t>
                  </w:r>
                </w:p>
              </w:tc>
              <w:tc>
                <w:tcPr>
                  <w:tcW w:w="2123" w:type="dxa"/>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5863" w:type="dxa"/>
                  <w:gridSpan w:val="3"/>
                  <w:noWrap w:val="0"/>
                  <w:vAlign w:val="center"/>
                </w:tcPr>
                <w:p>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合计</w:t>
                  </w:r>
                </w:p>
              </w:tc>
              <w:tc>
                <w:tcPr>
                  <w:tcW w:w="2123" w:type="dxa"/>
                  <w:noWrap w:val="0"/>
                  <w:vAlign w:val="center"/>
                </w:tcPr>
                <w:p>
                  <w:pPr>
                    <w:adjustRightInd w:val="0"/>
                    <w:snapToGrid w:val="0"/>
                    <w:jc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241</w:t>
                  </w:r>
                </w:p>
              </w:tc>
            </w:tr>
          </w:tbl>
          <w:p>
            <w:pPr>
              <w:tabs>
                <w:tab w:val="left" w:pos="713"/>
              </w:tabs>
              <w:adjustRightInd w:val="0"/>
              <w:snapToGrid w:val="0"/>
              <w:rPr>
                <w:bCs/>
                <w:color w:val="000000" w:themeColor="text1"/>
                <w:spacing w:val="-10"/>
                <w:szCs w:val="21"/>
                <w14:textFill>
                  <w14:solidFill>
                    <w14:schemeClr w14:val="tx1"/>
                  </w14:solidFill>
                </w14:textFill>
              </w:rPr>
            </w:pPr>
          </w:p>
        </w:tc>
      </w:tr>
    </w:tbl>
    <w:p>
      <w:pPr>
        <w:adjustRightInd w:val="0"/>
        <w:snapToGrid w:val="0"/>
        <w:spacing w:line="360" w:lineRule="auto"/>
        <w:rPr>
          <w:b/>
          <w:color w:val="000000" w:themeColor="text1"/>
          <w:kern w:val="0"/>
          <w:sz w:val="28"/>
          <w:szCs w:val="28"/>
          <w14:textFill>
            <w14:solidFill>
              <w14:schemeClr w14:val="tx1"/>
            </w14:solidFill>
          </w14:textFill>
        </w:rPr>
        <w:sectPr>
          <w:pgSz w:w="11907" w:h="16840"/>
          <w:pgMar w:top="1701" w:right="1531" w:bottom="2127" w:left="1531" w:header="851" w:footer="851" w:gutter="0"/>
          <w:cols w:space="720" w:num="1"/>
          <w:docGrid w:linePitch="312" w:charSpace="0"/>
        </w:sectPr>
      </w:pPr>
    </w:p>
    <w:p>
      <w:pPr>
        <w:pStyle w:val="19"/>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0"/>
          <w:szCs w:val="30"/>
          <w14:textFill>
            <w14:solidFill>
              <w14:schemeClr w14:val="tx1"/>
            </w14:solidFill>
          </w14:textFill>
        </w:rPr>
        <w:t>五、</w:t>
      </w:r>
      <w:bookmarkStart w:id="8" w:name="_Hlk54167917"/>
      <w:r>
        <w:rPr>
          <w:rFonts w:ascii="Times New Roman" w:hAnsi="Times New Roman" w:eastAsia="黑体"/>
          <w:snapToGrid w:val="0"/>
          <w:color w:val="000000" w:themeColor="text1"/>
          <w:sz w:val="30"/>
          <w:szCs w:val="30"/>
          <w14:textFill>
            <w14:solidFill>
              <w14:schemeClr w14:val="tx1"/>
            </w14:solidFill>
          </w14:textFill>
        </w:rPr>
        <w:t>环境保护措施监督检查清单</w:t>
      </w:r>
      <w:bookmarkEnd w:id="8"/>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980"/>
        <w:gridCol w:w="1920"/>
        <w:gridCol w:w="23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pPr>
              <w:adjustRightInd w:val="0"/>
              <w:snapToGrid w:val="0"/>
              <w:ind w:firstLine="840"/>
              <w:rPr>
                <w:color w:val="000000" w:themeColor="text1"/>
                <w:sz w:val="24"/>
                <w14:textFill>
                  <w14:solidFill>
                    <w14:schemeClr w14:val="tx1"/>
                  </w14:solidFill>
                </w14:textFill>
              </w:rPr>
            </w:pPr>
            <w:r>
              <w:rPr>
                <w:color w:val="000000" w:themeColor="text1"/>
                <w:sz w:val="24"/>
                <w14:textFill>
                  <w14:solidFill>
                    <w14:schemeClr w14:val="tx1"/>
                  </w14:solidFill>
                </w14:textFill>
              </w:rPr>
              <w:t>内容</w:t>
            </w:r>
          </w:p>
          <w:p>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要素</w:t>
            </w:r>
          </w:p>
        </w:tc>
        <w:tc>
          <w:tcPr>
            <w:tcW w:w="1755"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排放口（编号、</w:t>
            </w:r>
          </w:p>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名称）/污染源</w:t>
            </w:r>
          </w:p>
        </w:tc>
        <w:tc>
          <w:tcPr>
            <w:tcW w:w="98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污染物项目</w:t>
            </w:r>
          </w:p>
        </w:tc>
        <w:tc>
          <w:tcPr>
            <w:tcW w:w="192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环境保护措施</w:t>
            </w:r>
          </w:p>
        </w:tc>
        <w:tc>
          <w:tcPr>
            <w:tcW w:w="2367"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大气环境</w:t>
            </w:r>
          </w:p>
        </w:tc>
        <w:tc>
          <w:tcPr>
            <w:tcW w:w="1755"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厂区</w:t>
            </w:r>
          </w:p>
        </w:tc>
        <w:tc>
          <w:tcPr>
            <w:tcW w:w="98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颗粒物</w:t>
            </w:r>
          </w:p>
        </w:tc>
        <w:tc>
          <w:tcPr>
            <w:tcW w:w="192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自然沉降</w:t>
            </w:r>
          </w:p>
        </w:tc>
        <w:tc>
          <w:tcPr>
            <w:tcW w:w="2367"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《大气污染物综合排放标准》（GB16297-1996）无组织排放限值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地表水环境</w:t>
            </w:r>
          </w:p>
        </w:tc>
        <w:tc>
          <w:tcPr>
            <w:tcW w:w="1755"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员工</w:t>
            </w:r>
          </w:p>
        </w:tc>
        <w:tc>
          <w:tcPr>
            <w:tcW w:w="98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生活污水</w:t>
            </w:r>
          </w:p>
        </w:tc>
        <w:tc>
          <w:tcPr>
            <w:tcW w:w="192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经化粪池处理排入园区管网，进入湘阴第三污水处理厂处理达标排放</w:t>
            </w:r>
          </w:p>
        </w:tc>
        <w:tc>
          <w:tcPr>
            <w:tcW w:w="2367"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《污水综合排放标准》（GB8978-1996）中三级排放标准。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声环境</w:t>
            </w:r>
          </w:p>
        </w:tc>
        <w:tc>
          <w:tcPr>
            <w:tcW w:w="1755"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厂区各生产设备及车辆</w:t>
            </w:r>
          </w:p>
        </w:tc>
        <w:tc>
          <w:tcPr>
            <w:tcW w:w="98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噪声</w:t>
            </w:r>
          </w:p>
        </w:tc>
        <w:tc>
          <w:tcPr>
            <w:tcW w:w="192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隔声减振，运输车辆行驶过程少鸣笛、低速，装卸时轻拿轻放等措施，噪声对周围环境影响较小。</w:t>
            </w:r>
          </w:p>
        </w:tc>
        <w:tc>
          <w:tcPr>
            <w:tcW w:w="2367"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《工业企业厂界环境噪声排放标准》（GB12348-2008）中3类标准（昼间≤65dB（A）、夜间≤55dB（A））。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电磁辐射</w:t>
            </w:r>
          </w:p>
        </w:tc>
        <w:tc>
          <w:tcPr>
            <w:tcW w:w="1755"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w:t>
            </w:r>
          </w:p>
        </w:tc>
        <w:tc>
          <w:tcPr>
            <w:tcW w:w="98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w:t>
            </w:r>
          </w:p>
        </w:tc>
        <w:tc>
          <w:tcPr>
            <w:tcW w:w="1920"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w:t>
            </w:r>
          </w:p>
        </w:tc>
        <w:tc>
          <w:tcPr>
            <w:tcW w:w="2367"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778"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固体废物</w:t>
            </w:r>
          </w:p>
        </w:tc>
        <w:tc>
          <w:tcPr>
            <w:tcW w:w="7022" w:type="dxa"/>
            <w:gridSpan w:val="4"/>
            <w:noWrap w:val="0"/>
            <w:vAlign w:val="center"/>
          </w:tcPr>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1、对于一般固废，在厂区内设置一般固废暂存间，一般固废暂存间的设置需满足</w:t>
            </w:r>
            <w:r>
              <w:rPr>
                <w:rFonts w:hint="eastAsia"/>
                <w:color w:val="000000" w:themeColor="text1"/>
                <w:sz w:val="24"/>
                <w14:textFill>
                  <w14:solidFill>
                    <w14:schemeClr w14:val="tx1"/>
                  </w14:solidFill>
                </w14:textFill>
              </w:rPr>
              <w:t>《一般工业固体废物贮存和填埋污染控制标准》（GB 18599-2020）中防渗漏、防雨淋和防扬尘等要求。</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2、对于生活垃圾，厂区设置垃圾桶，垃圾收集后交由环卫部门处置。</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对于危险废物，厂区设置危废暂存间，危废暂存间的设置需满足按照《危险废物贮存污染控制标准》（GB18597-2001）及其2013年修改单的要求，企业须与有资质的单位签订危废处理协议，企业对于危废的入库出库等须做好台账记录；</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4、严禁随意丢弃项目产生的固废。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1778"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土壤及地下水</w:t>
            </w:r>
          </w:p>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污染防治措施</w:t>
            </w:r>
          </w:p>
        </w:tc>
        <w:tc>
          <w:tcPr>
            <w:tcW w:w="7022" w:type="dxa"/>
            <w:gridSpan w:val="4"/>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6" w:hRule="atLeast"/>
          <w:jc w:val="center"/>
        </w:trPr>
        <w:tc>
          <w:tcPr>
            <w:tcW w:w="1778" w:type="dxa"/>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生态保护措施</w:t>
            </w:r>
          </w:p>
        </w:tc>
        <w:tc>
          <w:tcPr>
            <w:tcW w:w="7022" w:type="dxa"/>
            <w:gridSpan w:val="4"/>
            <w:noWrap w:val="0"/>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1778" w:type="dxa"/>
            <w:noWrap w:val="0"/>
            <w:vAlign w:val="center"/>
          </w:tcPr>
          <w:p>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环境风险</w:t>
            </w:r>
          </w:p>
          <w:p>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防范措施</w:t>
            </w:r>
          </w:p>
        </w:tc>
        <w:tc>
          <w:tcPr>
            <w:tcW w:w="7022" w:type="dxa"/>
            <w:gridSpan w:val="4"/>
            <w:noWrap w:val="0"/>
            <w:vAlign w:val="center"/>
          </w:tcPr>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1、消除和控制明火源：在生产区及原料区及成品存放区内设置严禁烟火标志，严禁携带火柴、打火机等；在各厂房处配灭火器、消防栓、消防沙等消防物资，以便及时扑灭初期火灾。</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2、防止电气火花：采取有效措施防止电气线路和电气设施在开关断开、接触不良、短路、漏电时产生火花，防止静电放电火花；采取防雷接地措施，防止雷电放电火花。</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3、原料、成品储存于阴凉、通风处。库温不超过30℃，相对湿度不超过85％，保持干燥通风。</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4、定期对原料使用过程中的相关人员，如联络员、仓管员、直接使用人员进行过程监查，定期对上述人员进行相关知识教育和岗位职责培训。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其他环境</w:t>
            </w:r>
          </w:p>
          <w:p>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管理要求</w:t>
            </w:r>
          </w:p>
        </w:tc>
        <w:tc>
          <w:tcPr>
            <w:tcW w:w="7022" w:type="dxa"/>
            <w:gridSpan w:val="4"/>
            <w:noWrap w:val="0"/>
            <w:vAlign w:val="center"/>
          </w:tcPr>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必须严格执行建设项目竣工环保验收制度，对项目废气、废水、噪声、固废采取相应的治理措施，并将环保治理措施上报环保管理部门备案。项目建成后根据《建设项目竣工环境保护验收暂行办法》经自主验收后方可投入运营。</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2、运营期切实执行各种防治措施，加强环保设施维护管理，以确保处理设施正常运行，污染物稳定达标排放。</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3、加强对有机废气收集处置措施的管理，保证废气处理设施正常运行，当废气处理设施出现故障不能正常运行时，应尽快停产进行维修。</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4、为了能使各项污染防治措施达到较好的实际使用效果，企业应建立健全的环境保护制度，经常性的监督管理工作。加强各种处理设施的维修、保养及管理，确保污染治理设施的正常运转。</w:t>
            </w:r>
          </w:p>
          <w:p>
            <w:pPr>
              <w:adjustRightInd w:val="0"/>
              <w:snapToGrid w:val="0"/>
              <w:jc w:val="center"/>
              <w:rPr>
                <w:color w:val="000000" w:themeColor="text1"/>
                <w:sz w:val="24"/>
                <w14:textFill>
                  <w14:solidFill>
                    <w14:schemeClr w14:val="tx1"/>
                  </w14:solidFill>
                </w14:textFill>
              </w:rPr>
            </w:pPr>
          </w:p>
        </w:tc>
      </w:tr>
    </w:tbl>
    <w:p>
      <w:pPr>
        <w:pStyle w:val="19"/>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snapToGrid w:val="0"/>
          <w:color w:val="000000" w:themeColor="text1"/>
          <w14:textFill>
            <w14:solidFill>
              <w14:schemeClr w14:val="tx1"/>
            </w14:solidFill>
          </w14:textFill>
        </w:rPr>
        <w:br w:type="page"/>
      </w:r>
      <w:r>
        <w:rPr>
          <w:rFonts w:ascii="Times New Roman" w:hAnsi="Times New Roman" w:eastAsia="黑体"/>
          <w:snapToGrid w:val="0"/>
          <w:color w:val="000000" w:themeColor="text1"/>
          <w:sz w:val="30"/>
          <w:szCs w:val="30"/>
          <w14:textFill>
            <w14:solidFill>
              <w14:schemeClr w14:val="tx1"/>
            </w14:solidFill>
          </w14:textFill>
        </w:rPr>
        <w:t>六、结论</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spacing w:line="360" w:lineRule="auto"/>
              <w:ind w:firstLine="480" w:firstLineChars="200"/>
              <w:rPr>
                <w:snapToGrid w:val="0"/>
                <w:color w:val="000000" w:themeColor="text1"/>
                <w:kern w:val="0"/>
                <w:sz w:val="24"/>
                <w14:textFill>
                  <w14:solidFill>
                    <w14:schemeClr w14:val="tx1"/>
                  </w14:solidFill>
                </w14:textFill>
              </w:rPr>
            </w:pPr>
            <w:r>
              <w:rPr>
                <w:color w:val="000000" w:themeColor="text1"/>
                <w:sz w:val="24"/>
                <w14:textFill>
                  <w14:solidFill>
                    <w14:schemeClr w14:val="tx1"/>
                  </w14:solidFill>
                </w14:textFill>
              </w:rPr>
              <w:t>综上所述，项目的建设符合国家相关产业政策，用地符合用地性质，</w:t>
            </w:r>
            <w:r>
              <w:rPr>
                <w:snapToGrid w:val="0"/>
                <w:color w:val="000000" w:themeColor="text1"/>
                <w:kern w:val="0"/>
                <w:sz w:val="24"/>
                <w14:textFill>
                  <w14:solidFill>
                    <w14:schemeClr w14:val="tx1"/>
                  </w14:solidFill>
                </w14:textFill>
              </w:rPr>
              <w:t>具有较好的环境效益。严格落实报告中提出的一系列的环保措施，确保污染物达标排放，固废得到妥善处置的前提下，项目实施后对地表水、环境空气、声环境产生影响很小</w:t>
            </w:r>
            <w:r>
              <w:rPr>
                <w:bCs/>
                <w:color w:val="000000" w:themeColor="text1"/>
                <w:sz w:val="24"/>
                <w14:textFill>
                  <w14:solidFill>
                    <w14:schemeClr w14:val="tx1"/>
                  </w14:solidFill>
                </w14:textFill>
              </w:rPr>
              <w:t>。</w:t>
            </w:r>
            <w:r>
              <w:rPr>
                <w:snapToGrid w:val="0"/>
                <w:color w:val="000000" w:themeColor="text1"/>
                <w:kern w:val="0"/>
                <w:sz w:val="24"/>
                <w14:textFill>
                  <w14:solidFill>
                    <w14:schemeClr w14:val="tx1"/>
                  </w14:solidFill>
                </w14:textFill>
              </w:rPr>
              <w:t>因此，从环境保护的角度而言，项目的选址和建设是可行的。</w:t>
            </w:r>
          </w:p>
          <w:p>
            <w:pPr>
              <w:spacing w:line="360" w:lineRule="auto"/>
              <w:rPr>
                <w:color w:val="000000" w:themeColor="text1"/>
                <w:sz w:val="24"/>
                <w14:textFill>
                  <w14:solidFill>
                    <w14:schemeClr w14:val="tx1"/>
                  </w14:solidFill>
                </w14:textFill>
              </w:rPr>
            </w:pPr>
          </w:p>
        </w:tc>
      </w:tr>
    </w:tbl>
    <w:p>
      <w:pPr>
        <w:rPr>
          <w:color w:val="000000" w:themeColor="text1"/>
          <w14:textFill>
            <w14:solidFill>
              <w14:schemeClr w14:val="tx1"/>
            </w14:solidFill>
          </w14:textFill>
        </w:rPr>
        <w:sectPr>
          <w:pgSz w:w="11906" w:h="16838"/>
          <w:pgMar w:top="1701" w:right="1531" w:bottom="1701" w:left="1531" w:header="851" w:footer="851" w:gutter="0"/>
          <w:cols w:space="720" w:num="1"/>
          <w:docGrid w:linePitch="312" w:charSpace="0"/>
        </w:sectPr>
      </w:pPr>
    </w:p>
    <w:p>
      <w:pPr>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附图：</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附图1  项目地理位置图</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附图2  项目平面布置</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附图3  环境保护目标图</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附图</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 xml:space="preserve">  项目周边情况图</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附图</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 xml:space="preserve">  湘阴高新技术产业开发区排水规划图</w:t>
      </w:r>
    </w:p>
    <w:p>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附图6  区域水系图</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附图</w:t>
      </w:r>
      <w:r>
        <w:rPr>
          <w:rFonts w:hint="eastAsia"/>
          <w:color w:val="000000" w:themeColor="text1"/>
          <w:sz w:val="24"/>
          <w14:textFill>
            <w14:solidFill>
              <w14:schemeClr w14:val="tx1"/>
            </w14:solidFill>
          </w14:textFill>
        </w:rPr>
        <w:t>7</w:t>
      </w:r>
      <w:r>
        <w:rPr>
          <w:color w:val="000000" w:themeColor="text1"/>
          <w:sz w:val="24"/>
          <w14:textFill>
            <w14:solidFill>
              <w14:schemeClr w14:val="tx1"/>
            </w14:solidFill>
          </w14:textFill>
        </w:rPr>
        <w:t xml:space="preserve">  项目周边环境现状图</w:t>
      </w:r>
    </w:p>
    <w:p>
      <w:pPr>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附件：</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附件1  委托书</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附件2  营业执照</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附件3  招商合同</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附件4  园区环评批复</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附件</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 xml:space="preserve">  立项批复</w:t>
      </w:r>
    </w:p>
    <w:p>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附件6  联审表</w:t>
      </w:r>
    </w:p>
    <w:p>
      <w:pPr>
        <w:adjustRightInd w:val="0"/>
        <w:snapToGrid w:val="0"/>
        <w:spacing w:line="360" w:lineRule="auto"/>
        <w:rPr>
          <w:b/>
          <w:color w:val="000000" w:themeColor="text1"/>
          <w:sz w:val="24"/>
          <w14:textFill>
            <w14:solidFill>
              <w14:schemeClr w14:val="tx1"/>
            </w14:solidFill>
          </w14:textFill>
        </w:rPr>
      </w:pPr>
    </w:p>
    <w:p>
      <w:pPr>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附表：建设项目污染物排放量汇总表</w:t>
      </w:r>
    </w:p>
    <w:p>
      <w:pPr>
        <w:pStyle w:val="29"/>
        <w:rPr>
          <w:rFonts w:ascii="Times New Roman" w:cs="Times New Roman"/>
          <w:color w:val="000000" w:themeColor="text1"/>
          <w14:textFill>
            <w14:solidFill>
              <w14:schemeClr w14:val="tx1"/>
            </w14:solidFill>
          </w14:textFill>
        </w:rPr>
      </w:pPr>
    </w:p>
    <w:p>
      <w:pPr>
        <w:pStyle w:val="19"/>
        <w:adjustRightInd w:val="0"/>
        <w:snapToGrid w:val="0"/>
        <w:spacing w:before="0" w:beforeAutospacing="0" w:after="0" w:afterAutospacing="0" w:line="648" w:lineRule="auto"/>
        <w:outlineLvl w:val="0"/>
        <w:rPr>
          <w:rFonts w:ascii="Times New Roman" w:hAnsi="Times New Roman" w:eastAsia="黑体"/>
          <w:snapToGrid w:val="0"/>
          <w:color w:val="000000" w:themeColor="text1"/>
          <w:sz w:val="32"/>
          <w:szCs w:val="32"/>
          <w14:textFill>
            <w14:solidFill>
              <w14:schemeClr w14:val="tx1"/>
            </w14:solidFill>
          </w14:textFill>
        </w:rPr>
      </w:pPr>
    </w:p>
    <w:p>
      <w:pPr>
        <w:pStyle w:val="19"/>
        <w:adjustRightInd w:val="0"/>
        <w:snapToGrid w:val="0"/>
        <w:spacing w:before="0" w:beforeAutospacing="0" w:after="0" w:afterAutospacing="0" w:line="648" w:lineRule="auto"/>
        <w:outlineLvl w:val="0"/>
        <w:rPr>
          <w:rFonts w:ascii="Times New Roman" w:hAnsi="Times New Roman" w:eastAsia="黑体"/>
          <w:snapToGrid w:val="0"/>
          <w:color w:val="000000" w:themeColor="text1"/>
          <w:sz w:val="32"/>
          <w:szCs w:val="32"/>
          <w14:textFill>
            <w14:solidFill>
              <w14:schemeClr w14:val="tx1"/>
            </w14:solidFill>
          </w14:textFill>
        </w:rPr>
        <w:sectPr>
          <w:footerReference r:id="rId6" w:type="default"/>
          <w:pgSz w:w="11906" w:h="16838"/>
          <w:pgMar w:top="1531" w:right="1701" w:bottom="1531" w:left="1701" w:header="851" w:footer="851" w:gutter="0"/>
          <w:cols w:space="720" w:num="1"/>
          <w:docGrid w:linePitch="312" w:charSpace="0"/>
        </w:sectPr>
      </w:pPr>
    </w:p>
    <w:p>
      <w:pPr>
        <w:pStyle w:val="19"/>
        <w:adjustRightInd w:val="0"/>
        <w:snapToGrid w:val="0"/>
        <w:spacing w:before="0" w:beforeAutospacing="0" w:after="0" w:afterAutospacing="0" w:line="648" w:lineRule="auto"/>
        <w:outlineLvl w:val="0"/>
        <w:rPr>
          <w:rFonts w:ascii="Times New Roman" w:hAnsi="Times New Roman" w:eastAsia="黑体"/>
          <w:snapToGrid w:val="0"/>
          <w:color w:val="000000" w:themeColor="text1"/>
          <w:sz w:val="32"/>
          <w:szCs w:val="32"/>
          <w14:textFill>
            <w14:solidFill>
              <w14:schemeClr w14:val="tx1"/>
            </w14:solidFill>
          </w14:textFill>
        </w:rPr>
      </w:pPr>
      <w:r>
        <w:rPr>
          <w:rFonts w:ascii="Times New Roman" w:hAnsi="Times New Roman" w:eastAsia="黑体"/>
          <w:snapToGrid w:val="0"/>
          <w:color w:val="000000" w:themeColor="text1"/>
          <w:sz w:val="32"/>
          <w:szCs w:val="32"/>
          <w14:textFill>
            <w14:solidFill>
              <w14:schemeClr w14:val="tx1"/>
            </w14:solidFill>
          </w14:textFill>
        </w:rPr>
        <w:t>附表</w:t>
      </w:r>
    </w:p>
    <w:p>
      <w:pPr>
        <w:pStyle w:val="19"/>
        <w:adjustRightInd w:val="0"/>
        <w:snapToGrid w:val="0"/>
        <w:spacing w:before="0" w:beforeAutospacing="0" w:after="0" w:afterAutospacing="0"/>
        <w:jc w:val="center"/>
        <w:outlineLvl w:val="0"/>
        <w:rPr>
          <w:rFonts w:ascii="Times New Roman" w:hAnsi="Times New Roman" w:eastAsia="方正小标宋_GBK"/>
          <w:snapToGrid w:val="0"/>
          <w:color w:val="000000" w:themeColor="text1"/>
          <w:sz w:val="36"/>
          <w:szCs w:val="36"/>
          <w14:textFill>
            <w14:solidFill>
              <w14:schemeClr w14:val="tx1"/>
            </w14:solidFill>
          </w14:textFill>
        </w:rPr>
      </w:pPr>
      <w:r>
        <w:rPr>
          <w:rFonts w:ascii="Times New Roman" w:hAnsi="Times New Roman" w:eastAsia="方正小标宋_GBK"/>
          <w:snapToGrid w:val="0"/>
          <w:color w:val="000000" w:themeColor="text1"/>
          <w:sz w:val="36"/>
          <w:szCs w:val="36"/>
          <w14:textFill>
            <w14:solidFill>
              <w14:schemeClr w14:val="tx1"/>
            </w14:solidFill>
          </w14:textFill>
        </w:rPr>
        <w:t>建设项目污染物排放量汇总表</w:t>
      </w:r>
    </w:p>
    <w:tbl>
      <w:tblPr>
        <w:tblStyle w:val="2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2060"/>
        <w:gridCol w:w="1564"/>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082" w:type="dxa"/>
            <w:tcBorders>
              <w:tl2br w:val="single" w:color="auto" w:sz="4" w:space="0"/>
            </w:tcBorders>
            <w:noWrap w:val="0"/>
            <w:tcMar>
              <w:left w:w="28" w:type="dxa"/>
              <w:right w:w="28" w:type="dxa"/>
            </w:tcMar>
            <w:vAlign w:val="center"/>
          </w:tcPr>
          <w:p>
            <w:pPr>
              <w:pStyle w:val="45"/>
              <w:spacing w:beforeLines="0" w:afterLines="0" w:line="240" w:lineRule="auto"/>
              <w:jc w:val="right"/>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项目</w:t>
            </w:r>
          </w:p>
          <w:p>
            <w:pPr>
              <w:pStyle w:val="45"/>
              <w:spacing w:beforeLines="0" w:afterLines="0" w:line="240" w:lineRule="auto"/>
              <w:jc w:val="left"/>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分类</w:t>
            </w:r>
          </w:p>
        </w:tc>
        <w:tc>
          <w:tcPr>
            <w:tcW w:w="2060" w:type="dxa"/>
            <w:noWrap w:val="0"/>
            <w:tcMar>
              <w:left w:w="28" w:type="dxa"/>
              <w:right w:w="28" w:type="dxa"/>
            </w:tcMar>
            <w:vAlign w:val="center"/>
          </w:tcPr>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污染物名称</w:t>
            </w:r>
          </w:p>
        </w:tc>
        <w:tc>
          <w:tcPr>
            <w:tcW w:w="1564" w:type="dxa"/>
            <w:noWrap w:val="0"/>
            <w:tcMar>
              <w:left w:w="28" w:type="dxa"/>
              <w:right w:w="28" w:type="dxa"/>
            </w:tcMar>
            <w:vAlign w:val="center"/>
          </w:tcPr>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现有工程</w:t>
            </w:r>
          </w:p>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排放量（固体废物产生量）</w:t>
            </w:r>
            <w:r>
              <w:rPr>
                <w:rFonts w:ascii="Times New Roman" w:eastAsia="黑体"/>
                <w:snapToGrid w:val="0"/>
                <w:color w:val="000000" w:themeColor="text1"/>
                <w:spacing w:val="-6"/>
                <w:kern w:val="21"/>
                <w:szCs w:val="21"/>
                <w:u w:val="single"/>
                <w14:textFill>
                  <w14:solidFill>
                    <w14:schemeClr w14:val="tx1"/>
                  </w14:solidFill>
                </w14:textFill>
              </w:rPr>
              <w:fldChar w:fldCharType="begin"/>
            </w:r>
            <w:r>
              <w:rPr>
                <w:rFonts w:ascii="Times New Roman" w:eastAsia="黑体"/>
                <w:snapToGrid w:val="0"/>
                <w:color w:val="000000" w:themeColor="text1"/>
                <w:spacing w:val="-6"/>
                <w:kern w:val="21"/>
                <w:szCs w:val="21"/>
                <w:u w:val="single"/>
                <w14:textFill>
                  <w14:solidFill>
                    <w14:schemeClr w14:val="tx1"/>
                  </w14:solidFill>
                </w14:textFill>
              </w:rPr>
              <w:instrText xml:space="preserve"> = 1 \* GB3 \* MERGEFORMAT </w:instrText>
            </w:r>
            <w:r>
              <w:rPr>
                <w:rFonts w:ascii="Times New Roman" w:eastAsia="黑体"/>
                <w:snapToGrid w:val="0"/>
                <w:color w:val="000000" w:themeColor="text1"/>
                <w:spacing w:val="-6"/>
                <w:kern w:val="21"/>
                <w:szCs w:val="21"/>
                <w:u w:val="single"/>
                <w14:textFill>
                  <w14:solidFill>
                    <w14:schemeClr w14:val="tx1"/>
                  </w14:solidFill>
                </w14:textFill>
              </w:rPr>
              <w:fldChar w:fldCharType="separate"/>
            </w:r>
            <w:r>
              <w:rPr>
                <w:rFonts w:ascii="Times New Roman" w:eastAsia="黑体"/>
                <w:color w:val="000000" w:themeColor="text1"/>
                <w:kern w:val="2"/>
                <w:szCs w:val="21"/>
                <w:u w:val="single"/>
                <w14:textFill>
                  <w14:solidFill>
                    <w14:schemeClr w14:val="tx1"/>
                  </w14:solidFill>
                </w14:textFill>
              </w:rPr>
              <w:t>①</w:t>
            </w:r>
            <w:r>
              <w:rPr>
                <w:rFonts w:ascii="Times New Roman" w:eastAsia="黑体"/>
                <w:snapToGrid w:val="0"/>
                <w:color w:val="000000" w:themeColor="text1"/>
                <w:spacing w:val="-6"/>
                <w:kern w:val="21"/>
                <w:szCs w:val="21"/>
                <w:u w:val="single"/>
                <w14:textFill>
                  <w14:solidFill>
                    <w14:schemeClr w14:val="tx1"/>
                  </w14:solidFill>
                </w14:textFill>
              </w:rPr>
              <w:fldChar w:fldCharType="end"/>
            </w:r>
          </w:p>
        </w:tc>
        <w:tc>
          <w:tcPr>
            <w:tcW w:w="1276" w:type="dxa"/>
            <w:noWrap w:val="0"/>
            <w:tcMar>
              <w:left w:w="28" w:type="dxa"/>
              <w:right w:w="28" w:type="dxa"/>
            </w:tcMar>
            <w:vAlign w:val="center"/>
          </w:tcPr>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现有工程</w:t>
            </w:r>
          </w:p>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许可排放量</w:t>
            </w:r>
          </w:p>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fldChar w:fldCharType="begin"/>
            </w:r>
            <w:r>
              <w:rPr>
                <w:rFonts w:ascii="Times New Roman" w:eastAsia="黑体"/>
                <w:snapToGrid w:val="0"/>
                <w:color w:val="000000" w:themeColor="text1"/>
                <w:spacing w:val="-6"/>
                <w:kern w:val="21"/>
                <w:szCs w:val="21"/>
                <w:u w:val="single"/>
                <w14:textFill>
                  <w14:solidFill>
                    <w14:schemeClr w14:val="tx1"/>
                  </w14:solidFill>
                </w14:textFill>
              </w:rPr>
              <w:instrText xml:space="preserve"> = 2 \* GB3 \* MERGEFORMAT </w:instrText>
            </w:r>
            <w:r>
              <w:rPr>
                <w:rFonts w:ascii="Times New Roman" w:eastAsia="黑体"/>
                <w:snapToGrid w:val="0"/>
                <w:color w:val="000000" w:themeColor="text1"/>
                <w:spacing w:val="-6"/>
                <w:kern w:val="21"/>
                <w:szCs w:val="21"/>
                <w:u w:val="single"/>
                <w14:textFill>
                  <w14:solidFill>
                    <w14:schemeClr w14:val="tx1"/>
                  </w14:solidFill>
                </w14:textFill>
              </w:rPr>
              <w:fldChar w:fldCharType="separate"/>
            </w:r>
            <w:r>
              <w:rPr>
                <w:rFonts w:ascii="Times New Roman" w:eastAsia="黑体"/>
                <w:snapToGrid w:val="0"/>
                <w:color w:val="000000" w:themeColor="text1"/>
                <w:spacing w:val="-6"/>
                <w:kern w:val="21"/>
                <w:szCs w:val="21"/>
                <w:u w:val="single"/>
                <w14:textFill>
                  <w14:solidFill>
                    <w14:schemeClr w14:val="tx1"/>
                  </w14:solidFill>
                </w14:textFill>
              </w:rPr>
              <w:t>②</w:t>
            </w:r>
            <w:r>
              <w:rPr>
                <w:rFonts w:ascii="Times New Roman" w:eastAsia="黑体"/>
                <w:snapToGrid w:val="0"/>
                <w:color w:val="000000" w:themeColor="text1"/>
                <w:spacing w:val="-6"/>
                <w:kern w:val="21"/>
                <w:szCs w:val="21"/>
                <w:u w:val="single"/>
                <w14:textFill>
                  <w14:solidFill>
                    <w14:schemeClr w14:val="tx1"/>
                  </w14:solidFill>
                </w14:textFill>
              </w:rPr>
              <w:fldChar w:fldCharType="end"/>
            </w:r>
          </w:p>
        </w:tc>
        <w:tc>
          <w:tcPr>
            <w:tcW w:w="1701" w:type="dxa"/>
            <w:noWrap w:val="0"/>
            <w:tcMar>
              <w:left w:w="28" w:type="dxa"/>
              <w:right w:w="28" w:type="dxa"/>
            </w:tcMar>
            <w:vAlign w:val="center"/>
          </w:tcPr>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在建工程</w:t>
            </w:r>
          </w:p>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排放量（固体废物产生量）</w:t>
            </w:r>
            <w:r>
              <w:rPr>
                <w:rFonts w:ascii="Times New Roman" w:eastAsia="黑体"/>
                <w:snapToGrid w:val="0"/>
                <w:color w:val="000000" w:themeColor="text1"/>
                <w:spacing w:val="-6"/>
                <w:kern w:val="21"/>
                <w:szCs w:val="21"/>
                <w:u w:val="single"/>
                <w14:textFill>
                  <w14:solidFill>
                    <w14:schemeClr w14:val="tx1"/>
                  </w14:solidFill>
                </w14:textFill>
              </w:rPr>
              <w:fldChar w:fldCharType="begin"/>
            </w:r>
            <w:r>
              <w:rPr>
                <w:rFonts w:ascii="Times New Roman" w:eastAsia="黑体"/>
                <w:snapToGrid w:val="0"/>
                <w:color w:val="000000" w:themeColor="text1"/>
                <w:spacing w:val="-6"/>
                <w:kern w:val="21"/>
                <w:szCs w:val="21"/>
                <w:u w:val="single"/>
                <w14:textFill>
                  <w14:solidFill>
                    <w14:schemeClr w14:val="tx1"/>
                  </w14:solidFill>
                </w14:textFill>
              </w:rPr>
              <w:instrText xml:space="preserve"> = 3 \* GB3 \* MERGEFORMAT </w:instrText>
            </w:r>
            <w:r>
              <w:rPr>
                <w:rFonts w:ascii="Times New Roman" w:eastAsia="黑体"/>
                <w:snapToGrid w:val="0"/>
                <w:color w:val="000000" w:themeColor="text1"/>
                <w:spacing w:val="-6"/>
                <w:kern w:val="21"/>
                <w:szCs w:val="21"/>
                <w:u w:val="single"/>
                <w14:textFill>
                  <w14:solidFill>
                    <w14:schemeClr w14:val="tx1"/>
                  </w14:solidFill>
                </w14:textFill>
              </w:rPr>
              <w:fldChar w:fldCharType="separate"/>
            </w:r>
            <w:r>
              <w:rPr>
                <w:rFonts w:ascii="Times New Roman" w:eastAsia="黑体"/>
                <w:color w:val="000000" w:themeColor="text1"/>
                <w:kern w:val="2"/>
                <w:szCs w:val="21"/>
                <w:u w:val="single"/>
                <w14:textFill>
                  <w14:solidFill>
                    <w14:schemeClr w14:val="tx1"/>
                  </w14:solidFill>
                </w14:textFill>
              </w:rPr>
              <w:t>③</w:t>
            </w:r>
            <w:r>
              <w:rPr>
                <w:rFonts w:ascii="Times New Roman" w:eastAsia="黑体"/>
                <w:snapToGrid w:val="0"/>
                <w:color w:val="000000" w:themeColor="text1"/>
                <w:spacing w:val="-6"/>
                <w:kern w:val="21"/>
                <w:szCs w:val="21"/>
                <w:u w:val="single"/>
                <w14:textFill>
                  <w14:solidFill>
                    <w14:schemeClr w14:val="tx1"/>
                  </w14:solidFill>
                </w14:textFill>
              </w:rPr>
              <w:fldChar w:fldCharType="end"/>
            </w:r>
          </w:p>
        </w:tc>
        <w:tc>
          <w:tcPr>
            <w:tcW w:w="1559" w:type="dxa"/>
            <w:noWrap w:val="0"/>
            <w:tcMar>
              <w:left w:w="28" w:type="dxa"/>
              <w:right w:w="28" w:type="dxa"/>
            </w:tcMar>
            <w:vAlign w:val="center"/>
          </w:tcPr>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本项目</w:t>
            </w:r>
          </w:p>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排放量（固体废物产生量）</w:t>
            </w:r>
            <w:r>
              <w:rPr>
                <w:rFonts w:ascii="Times New Roman" w:eastAsia="黑体"/>
                <w:snapToGrid w:val="0"/>
                <w:color w:val="000000" w:themeColor="text1"/>
                <w:spacing w:val="-6"/>
                <w:kern w:val="21"/>
                <w:szCs w:val="21"/>
                <w:u w:val="single"/>
                <w14:textFill>
                  <w14:solidFill>
                    <w14:schemeClr w14:val="tx1"/>
                  </w14:solidFill>
                </w14:textFill>
              </w:rPr>
              <w:fldChar w:fldCharType="begin"/>
            </w:r>
            <w:r>
              <w:rPr>
                <w:rFonts w:ascii="Times New Roman" w:eastAsia="黑体"/>
                <w:snapToGrid w:val="0"/>
                <w:color w:val="000000" w:themeColor="text1"/>
                <w:spacing w:val="-6"/>
                <w:kern w:val="21"/>
                <w:szCs w:val="21"/>
                <w:u w:val="single"/>
                <w14:textFill>
                  <w14:solidFill>
                    <w14:schemeClr w14:val="tx1"/>
                  </w14:solidFill>
                </w14:textFill>
              </w:rPr>
              <w:instrText xml:space="preserve"> = 4 \* GB3 \* MERGEFORMAT </w:instrText>
            </w:r>
            <w:r>
              <w:rPr>
                <w:rFonts w:ascii="Times New Roman" w:eastAsia="黑体"/>
                <w:snapToGrid w:val="0"/>
                <w:color w:val="000000" w:themeColor="text1"/>
                <w:spacing w:val="-6"/>
                <w:kern w:val="21"/>
                <w:szCs w:val="21"/>
                <w:u w:val="single"/>
                <w14:textFill>
                  <w14:solidFill>
                    <w14:schemeClr w14:val="tx1"/>
                  </w14:solidFill>
                </w14:textFill>
              </w:rPr>
              <w:fldChar w:fldCharType="separate"/>
            </w:r>
            <w:r>
              <w:rPr>
                <w:rFonts w:ascii="Times New Roman" w:eastAsia="黑体"/>
                <w:color w:val="000000" w:themeColor="text1"/>
                <w:kern w:val="2"/>
                <w:szCs w:val="21"/>
                <w:u w:val="single"/>
                <w14:textFill>
                  <w14:solidFill>
                    <w14:schemeClr w14:val="tx1"/>
                  </w14:solidFill>
                </w14:textFill>
              </w:rPr>
              <w:t>④</w:t>
            </w:r>
            <w:r>
              <w:rPr>
                <w:rFonts w:ascii="Times New Roman" w:eastAsia="黑体"/>
                <w:snapToGrid w:val="0"/>
                <w:color w:val="000000" w:themeColor="text1"/>
                <w:spacing w:val="-6"/>
                <w:kern w:val="21"/>
                <w:szCs w:val="21"/>
                <w:u w:val="single"/>
                <w14:textFill>
                  <w14:solidFill>
                    <w14:schemeClr w14:val="tx1"/>
                  </w14:solidFill>
                </w14:textFill>
              </w:rPr>
              <w:fldChar w:fldCharType="end"/>
            </w:r>
          </w:p>
        </w:tc>
        <w:tc>
          <w:tcPr>
            <w:tcW w:w="1761" w:type="dxa"/>
            <w:noWrap w:val="0"/>
            <w:tcMar>
              <w:left w:w="28" w:type="dxa"/>
              <w:right w:w="28" w:type="dxa"/>
            </w:tcMar>
            <w:vAlign w:val="center"/>
          </w:tcPr>
          <w:p>
            <w:pPr>
              <w:pStyle w:val="45"/>
              <w:spacing w:beforeLines="0" w:afterLines="0" w:line="240" w:lineRule="auto"/>
              <w:rPr>
                <w:rFonts w:ascii="Times New Roman" w:eastAsia="黑体"/>
                <w:snapToGrid w:val="0"/>
                <w:color w:val="000000" w:themeColor="text1"/>
                <w:spacing w:val="-16"/>
                <w:kern w:val="21"/>
                <w:szCs w:val="21"/>
                <w:u w:val="single"/>
                <w14:textFill>
                  <w14:solidFill>
                    <w14:schemeClr w14:val="tx1"/>
                  </w14:solidFill>
                </w14:textFill>
              </w:rPr>
            </w:pPr>
            <w:r>
              <w:rPr>
                <w:rFonts w:ascii="Times New Roman" w:eastAsia="黑体"/>
                <w:snapToGrid w:val="0"/>
                <w:color w:val="000000" w:themeColor="text1"/>
                <w:spacing w:val="-16"/>
                <w:kern w:val="21"/>
                <w:szCs w:val="21"/>
                <w:u w:val="single"/>
                <w14:textFill>
                  <w14:solidFill>
                    <w14:schemeClr w14:val="tx1"/>
                  </w14:solidFill>
                </w14:textFill>
              </w:rPr>
              <w:t>以新带老削减量</w:t>
            </w:r>
          </w:p>
          <w:p>
            <w:pPr>
              <w:pStyle w:val="45"/>
              <w:spacing w:beforeLines="0" w:afterLines="0" w:line="240" w:lineRule="auto"/>
              <w:rPr>
                <w:rFonts w:ascii="Times New Roman" w:eastAsia="黑体"/>
                <w:snapToGrid w:val="0"/>
                <w:color w:val="000000" w:themeColor="text1"/>
                <w:spacing w:val="-16"/>
                <w:kern w:val="21"/>
                <w:szCs w:val="21"/>
                <w:u w:val="single"/>
                <w14:textFill>
                  <w14:solidFill>
                    <w14:schemeClr w14:val="tx1"/>
                  </w14:solidFill>
                </w14:textFill>
              </w:rPr>
            </w:pPr>
            <w:r>
              <w:rPr>
                <w:rFonts w:ascii="Times New Roman" w:eastAsia="黑体"/>
                <w:snapToGrid w:val="0"/>
                <w:color w:val="000000" w:themeColor="text1"/>
                <w:spacing w:val="-16"/>
                <w:kern w:val="21"/>
                <w:szCs w:val="21"/>
                <w:u w:val="single"/>
                <w14:textFill>
                  <w14:solidFill>
                    <w14:schemeClr w14:val="tx1"/>
                  </w14:solidFill>
                </w14:textFill>
              </w:rPr>
              <w:t>（新建项目不填）</w:t>
            </w:r>
            <w:r>
              <w:rPr>
                <w:rFonts w:ascii="Times New Roman" w:eastAsia="黑体"/>
                <w:snapToGrid w:val="0"/>
                <w:color w:val="000000" w:themeColor="text1"/>
                <w:spacing w:val="-16"/>
                <w:kern w:val="21"/>
                <w:szCs w:val="21"/>
                <w:u w:val="single"/>
                <w14:textFill>
                  <w14:solidFill>
                    <w14:schemeClr w14:val="tx1"/>
                  </w14:solidFill>
                </w14:textFill>
              </w:rPr>
              <w:fldChar w:fldCharType="begin"/>
            </w:r>
            <w:r>
              <w:rPr>
                <w:rFonts w:ascii="Times New Roman" w:eastAsia="黑体"/>
                <w:snapToGrid w:val="0"/>
                <w:color w:val="000000" w:themeColor="text1"/>
                <w:spacing w:val="-16"/>
                <w:kern w:val="21"/>
                <w:szCs w:val="21"/>
                <w:u w:val="single"/>
                <w14:textFill>
                  <w14:solidFill>
                    <w14:schemeClr w14:val="tx1"/>
                  </w14:solidFill>
                </w14:textFill>
              </w:rPr>
              <w:instrText xml:space="preserve"> = 5 \* GB3 \* MERGEFORMAT </w:instrText>
            </w:r>
            <w:r>
              <w:rPr>
                <w:rFonts w:ascii="Times New Roman" w:eastAsia="黑体"/>
                <w:snapToGrid w:val="0"/>
                <w:color w:val="000000" w:themeColor="text1"/>
                <w:spacing w:val="-16"/>
                <w:kern w:val="21"/>
                <w:szCs w:val="21"/>
                <w:u w:val="single"/>
                <w14:textFill>
                  <w14:solidFill>
                    <w14:schemeClr w14:val="tx1"/>
                  </w14:solidFill>
                </w14:textFill>
              </w:rPr>
              <w:fldChar w:fldCharType="separate"/>
            </w:r>
            <w:r>
              <w:rPr>
                <w:rFonts w:ascii="Times New Roman" w:eastAsia="黑体"/>
                <w:color w:val="000000" w:themeColor="text1"/>
                <w:kern w:val="2"/>
                <w:szCs w:val="21"/>
                <w:u w:val="single"/>
                <w14:textFill>
                  <w14:solidFill>
                    <w14:schemeClr w14:val="tx1"/>
                  </w14:solidFill>
                </w14:textFill>
              </w:rPr>
              <w:t>⑤</w:t>
            </w:r>
            <w:r>
              <w:rPr>
                <w:rFonts w:ascii="Times New Roman" w:eastAsia="黑体"/>
                <w:snapToGrid w:val="0"/>
                <w:color w:val="000000" w:themeColor="text1"/>
                <w:spacing w:val="-16"/>
                <w:kern w:val="21"/>
                <w:szCs w:val="21"/>
                <w:u w:val="single"/>
                <w14:textFill>
                  <w14:solidFill>
                    <w14:schemeClr w14:val="tx1"/>
                  </w14:solidFill>
                </w14:textFill>
              </w:rPr>
              <w:fldChar w:fldCharType="end"/>
            </w:r>
          </w:p>
        </w:tc>
        <w:tc>
          <w:tcPr>
            <w:tcW w:w="1959" w:type="dxa"/>
            <w:noWrap w:val="0"/>
            <w:tcMar>
              <w:left w:w="28" w:type="dxa"/>
              <w:right w:w="28" w:type="dxa"/>
            </w:tcMar>
            <w:vAlign w:val="center"/>
          </w:tcPr>
          <w:p>
            <w:pPr>
              <w:pStyle w:val="45"/>
              <w:spacing w:beforeLines="0" w:afterLines="0" w:line="240" w:lineRule="auto"/>
              <w:rPr>
                <w:rFonts w:ascii="Times New Roman" w:eastAsia="黑体"/>
                <w:snapToGrid w:val="0"/>
                <w:color w:val="000000" w:themeColor="text1"/>
                <w:spacing w:val="-16"/>
                <w:kern w:val="21"/>
                <w:szCs w:val="21"/>
                <w:u w:val="single"/>
                <w14:textFill>
                  <w14:solidFill>
                    <w14:schemeClr w14:val="tx1"/>
                  </w14:solidFill>
                </w14:textFill>
              </w:rPr>
            </w:pPr>
            <w:r>
              <w:rPr>
                <w:rFonts w:ascii="Times New Roman" w:eastAsia="黑体"/>
                <w:snapToGrid w:val="0"/>
                <w:color w:val="000000" w:themeColor="text1"/>
                <w:spacing w:val="-16"/>
                <w:kern w:val="21"/>
                <w:szCs w:val="21"/>
                <w:u w:val="single"/>
                <w14:textFill>
                  <w14:solidFill>
                    <w14:schemeClr w14:val="tx1"/>
                  </w14:solidFill>
                </w14:textFill>
              </w:rPr>
              <w:t>本项目建成后</w:t>
            </w:r>
          </w:p>
          <w:p>
            <w:pPr>
              <w:pStyle w:val="45"/>
              <w:spacing w:beforeLines="0" w:afterLines="0" w:line="240" w:lineRule="auto"/>
              <w:rPr>
                <w:rFonts w:ascii="Times New Roman" w:eastAsia="黑体"/>
                <w:snapToGrid w:val="0"/>
                <w:color w:val="000000" w:themeColor="text1"/>
                <w:spacing w:val="-16"/>
                <w:kern w:val="21"/>
                <w:szCs w:val="21"/>
                <w:u w:val="single"/>
                <w14:textFill>
                  <w14:solidFill>
                    <w14:schemeClr w14:val="tx1"/>
                  </w14:solidFill>
                </w14:textFill>
              </w:rPr>
            </w:pPr>
            <w:r>
              <w:rPr>
                <w:rFonts w:ascii="Times New Roman" w:eastAsia="黑体"/>
                <w:snapToGrid w:val="0"/>
                <w:color w:val="000000" w:themeColor="text1"/>
                <w:spacing w:val="-16"/>
                <w:kern w:val="21"/>
                <w:szCs w:val="21"/>
                <w:u w:val="single"/>
                <w14:textFill>
                  <w14:solidFill>
                    <w14:schemeClr w14:val="tx1"/>
                  </w14:solidFill>
                </w14:textFill>
              </w:rPr>
              <w:t>全厂排放量（固体废物产生量）</w:t>
            </w:r>
            <w:r>
              <w:rPr>
                <w:rFonts w:ascii="Times New Roman" w:eastAsia="黑体"/>
                <w:snapToGrid w:val="0"/>
                <w:color w:val="000000" w:themeColor="text1"/>
                <w:spacing w:val="-16"/>
                <w:kern w:val="21"/>
                <w:szCs w:val="21"/>
                <w:u w:val="single"/>
                <w14:textFill>
                  <w14:solidFill>
                    <w14:schemeClr w14:val="tx1"/>
                  </w14:solidFill>
                </w14:textFill>
              </w:rPr>
              <w:fldChar w:fldCharType="begin"/>
            </w:r>
            <w:r>
              <w:rPr>
                <w:rFonts w:ascii="Times New Roman" w:eastAsia="黑体"/>
                <w:snapToGrid w:val="0"/>
                <w:color w:val="000000" w:themeColor="text1"/>
                <w:spacing w:val="-16"/>
                <w:kern w:val="21"/>
                <w:szCs w:val="21"/>
                <w:u w:val="single"/>
                <w14:textFill>
                  <w14:solidFill>
                    <w14:schemeClr w14:val="tx1"/>
                  </w14:solidFill>
                </w14:textFill>
              </w:rPr>
              <w:instrText xml:space="preserve"> = 6 \* GB3 \* MERGEFORMAT </w:instrText>
            </w:r>
            <w:r>
              <w:rPr>
                <w:rFonts w:ascii="Times New Roman" w:eastAsia="黑体"/>
                <w:snapToGrid w:val="0"/>
                <w:color w:val="000000" w:themeColor="text1"/>
                <w:spacing w:val="-16"/>
                <w:kern w:val="21"/>
                <w:szCs w:val="21"/>
                <w:u w:val="single"/>
                <w14:textFill>
                  <w14:solidFill>
                    <w14:schemeClr w14:val="tx1"/>
                  </w14:solidFill>
                </w14:textFill>
              </w:rPr>
              <w:fldChar w:fldCharType="separate"/>
            </w:r>
            <w:r>
              <w:rPr>
                <w:rFonts w:ascii="Times New Roman" w:eastAsia="黑体"/>
                <w:color w:val="000000" w:themeColor="text1"/>
                <w:kern w:val="2"/>
                <w:szCs w:val="21"/>
                <w:u w:val="single"/>
                <w14:textFill>
                  <w14:solidFill>
                    <w14:schemeClr w14:val="tx1"/>
                  </w14:solidFill>
                </w14:textFill>
              </w:rPr>
              <w:t>⑥</w:t>
            </w:r>
            <w:r>
              <w:rPr>
                <w:rFonts w:ascii="Times New Roman" w:eastAsia="黑体"/>
                <w:snapToGrid w:val="0"/>
                <w:color w:val="000000" w:themeColor="text1"/>
                <w:spacing w:val="-16"/>
                <w:kern w:val="21"/>
                <w:szCs w:val="21"/>
                <w:u w:val="single"/>
                <w14:textFill>
                  <w14:solidFill>
                    <w14:schemeClr w14:val="tx1"/>
                  </w14:solidFill>
                </w14:textFill>
              </w:rPr>
              <w:fldChar w:fldCharType="end"/>
            </w:r>
          </w:p>
        </w:tc>
        <w:tc>
          <w:tcPr>
            <w:tcW w:w="826" w:type="dxa"/>
            <w:noWrap w:val="0"/>
            <w:tcMar>
              <w:left w:w="28" w:type="dxa"/>
              <w:right w:w="28" w:type="dxa"/>
            </w:tcMar>
            <w:vAlign w:val="center"/>
          </w:tcPr>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t>变化量</w:t>
            </w:r>
          </w:p>
          <w:p>
            <w:pPr>
              <w:pStyle w:val="45"/>
              <w:spacing w:beforeLines="0" w:afterLines="0" w:line="240" w:lineRule="auto"/>
              <w:rPr>
                <w:rFonts w:ascii="Times New Roman" w:eastAsia="黑体"/>
                <w:snapToGrid w:val="0"/>
                <w:color w:val="000000" w:themeColor="text1"/>
                <w:spacing w:val="-6"/>
                <w:kern w:val="21"/>
                <w:szCs w:val="21"/>
                <w:u w:val="single"/>
                <w14:textFill>
                  <w14:solidFill>
                    <w14:schemeClr w14:val="tx1"/>
                  </w14:solidFill>
                </w14:textFill>
              </w:rPr>
            </w:pPr>
            <w:r>
              <w:rPr>
                <w:rFonts w:ascii="Times New Roman" w:eastAsia="黑体"/>
                <w:snapToGrid w:val="0"/>
                <w:color w:val="000000" w:themeColor="text1"/>
                <w:spacing w:val="-6"/>
                <w:kern w:val="21"/>
                <w:szCs w:val="21"/>
                <w:u w:val="single"/>
                <w14:textFill>
                  <w14:solidFill>
                    <w14:schemeClr w14:val="tx1"/>
                  </w14:solidFill>
                </w14:textFill>
              </w:rPr>
              <w:fldChar w:fldCharType="begin"/>
            </w:r>
            <w:r>
              <w:rPr>
                <w:rFonts w:ascii="Times New Roman" w:eastAsia="黑体"/>
                <w:snapToGrid w:val="0"/>
                <w:color w:val="000000" w:themeColor="text1"/>
                <w:spacing w:val="-6"/>
                <w:kern w:val="21"/>
                <w:szCs w:val="21"/>
                <w:u w:val="single"/>
                <w14:textFill>
                  <w14:solidFill>
                    <w14:schemeClr w14:val="tx1"/>
                  </w14:solidFill>
                </w14:textFill>
              </w:rPr>
              <w:instrText xml:space="preserve"> = 7 \* GB3 \* MERGEFORMAT </w:instrText>
            </w:r>
            <w:r>
              <w:rPr>
                <w:rFonts w:ascii="Times New Roman" w:eastAsia="黑体"/>
                <w:snapToGrid w:val="0"/>
                <w:color w:val="000000" w:themeColor="text1"/>
                <w:spacing w:val="-6"/>
                <w:kern w:val="21"/>
                <w:szCs w:val="21"/>
                <w:u w:val="single"/>
                <w14:textFill>
                  <w14:solidFill>
                    <w14:schemeClr w14:val="tx1"/>
                  </w14:solidFill>
                </w14:textFill>
              </w:rPr>
              <w:fldChar w:fldCharType="separate"/>
            </w:r>
            <w:r>
              <w:rPr>
                <w:rFonts w:ascii="Times New Roman" w:eastAsia="黑体"/>
                <w:color w:val="000000" w:themeColor="text1"/>
                <w:kern w:val="2"/>
                <w:szCs w:val="21"/>
                <w:u w:val="single"/>
                <w14:textFill>
                  <w14:solidFill>
                    <w14:schemeClr w14:val="tx1"/>
                  </w14:solidFill>
                </w14:textFill>
              </w:rPr>
              <w:t>⑦</w:t>
            </w:r>
            <w:r>
              <w:rPr>
                <w:rFonts w:ascii="Times New Roman" w:eastAsia="黑体"/>
                <w:snapToGrid w:val="0"/>
                <w:color w:val="000000" w:themeColor="text1"/>
                <w:spacing w:val="-6"/>
                <w:kern w:val="21"/>
                <w:szCs w:val="21"/>
                <w:u w:val="single"/>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废气</w:t>
            </w:r>
          </w:p>
        </w:tc>
        <w:tc>
          <w:tcPr>
            <w:tcW w:w="2060"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颗粒物</w:t>
            </w:r>
          </w:p>
        </w:tc>
        <w:tc>
          <w:tcPr>
            <w:tcW w:w="1564"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276"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70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559"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hint="eastAsia" w:ascii="Times New Roman"/>
                <w:snapToGrid w:val="0"/>
                <w:color w:val="000000" w:themeColor="text1"/>
                <w:kern w:val="21"/>
                <w:szCs w:val="21"/>
                <w:u w:val="single"/>
                <w14:textFill>
                  <w14:solidFill>
                    <w14:schemeClr w14:val="tx1"/>
                  </w14:solidFill>
                </w14:textFill>
              </w:rPr>
              <w:t>5.264</w:t>
            </w:r>
            <w:r>
              <w:rPr>
                <w:rFonts w:ascii="Times New Roman"/>
                <w:snapToGrid w:val="0"/>
                <w:color w:val="000000" w:themeColor="text1"/>
                <w:kern w:val="21"/>
                <w:szCs w:val="21"/>
                <w:u w:val="single"/>
                <w14:textFill>
                  <w14:solidFill>
                    <w14:schemeClr w14:val="tx1"/>
                  </w14:solidFill>
                </w14:textFill>
              </w:rPr>
              <w:t>t/a</w:t>
            </w:r>
          </w:p>
        </w:tc>
        <w:tc>
          <w:tcPr>
            <w:tcW w:w="176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959"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0</w:t>
            </w:r>
          </w:p>
        </w:tc>
        <w:tc>
          <w:tcPr>
            <w:tcW w:w="826"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hint="eastAsia" w:ascii="Times New Roman"/>
                <w:snapToGrid w:val="0"/>
                <w:color w:val="000000" w:themeColor="text1"/>
                <w:kern w:val="21"/>
                <w:szCs w:val="21"/>
                <w:u w:val="single"/>
                <w14:textFill>
                  <w14:solidFill>
                    <w14:schemeClr w14:val="tx1"/>
                  </w14:solidFill>
                </w14:textFill>
              </w:rPr>
              <w:t>+5.264</w:t>
            </w:r>
            <w:r>
              <w:rPr>
                <w:rFonts w:ascii="Times New Roman"/>
                <w:snapToGrid w:val="0"/>
                <w:color w:val="000000" w:themeColor="text1"/>
                <w:kern w:val="21"/>
                <w:szCs w:val="21"/>
                <w:u w:val="single"/>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vMerge w:val="restart"/>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废水</w:t>
            </w:r>
          </w:p>
        </w:tc>
        <w:tc>
          <w:tcPr>
            <w:tcW w:w="2060"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CODcr</w:t>
            </w:r>
          </w:p>
        </w:tc>
        <w:tc>
          <w:tcPr>
            <w:tcW w:w="1564"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276"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70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5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0.609</w:t>
            </w:r>
            <w:r>
              <w:rPr>
                <w:snapToGrid w:val="0"/>
                <w:color w:val="000000" w:themeColor="text1"/>
                <w:kern w:val="21"/>
                <w:szCs w:val="21"/>
                <w:u w:val="single"/>
                <w14:textFill>
                  <w14:solidFill>
                    <w14:schemeClr w14:val="tx1"/>
                  </w14:solidFill>
                </w14:textFill>
              </w:rPr>
              <w:t>t/a</w:t>
            </w:r>
          </w:p>
        </w:tc>
        <w:tc>
          <w:tcPr>
            <w:tcW w:w="176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9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0.609</w:t>
            </w:r>
            <w:r>
              <w:rPr>
                <w:snapToGrid w:val="0"/>
                <w:color w:val="000000" w:themeColor="text1"/>
                <w:kern w:val="21"/>
                <w:szCs w:val="21"/>
                <w:u w:val="single"/>
                <w14:textFill>
                  <w14:solidFill>
                    <w14:schemeClr w14:val="tx1"/>
                  </w14:solidFill>
                </w14:textFill>
              </w:rPr>
              <w:t>t/a</w:t>
            </w:r>
          </w:p>
        </w:tc>
        <w:tc>
          <w:tcPr>
            <w:tcW w:w="826"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0.609</w:t>
            </w:r>
            <w:r>
              <w:rPr>
                <w:snapToGrid w:val="0"/>
                <w:color w:val="000000" w:themeColor="text1"/>
                <w:kern w:val="21"/>
                <w:szCs w:val="21"/>
                <w:u w:val="single"/>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vMerge w:val="continue"/>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p>
        </w:tc>
        <w:tc>
          <w:tcPr>
            <w:tcW w:w="2060"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BOD</w:t>
            </w:r>
            <w:r>
              <w:rPr>
                <w:color w:val="000000" w:themeColor="text1"/>
                <w:szCs w:val="21"/>
                <w:u w:val="single"/>
                <w:vertAlign w:val="subscript"/>
                <w14:textFill>
                  <w14:solidFill>
                    <w14:schemeClr w14:val="tx1"/>
                  </w14:solidFill>
                </w14:textFill>
              </w:rPr>
              <w:t>5</w:t>
            </w:r>
          </w:p>
        </w:tc>
        <w:tc>
          <w:tcPr>
            <w:tcW w:w="1564"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276"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70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5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0.122</w:t>
            </w:r>
            <w:r>
              <w:rPr>
                <w:snapToGrid w:val="0"/>
                <w:color w:val="000000" w:themeColor="text1"/>
                <w:kern w:val="21"/>
                <w:szCs w:val="21"/>
                <w:u w:val="single"/>
                <w14:textFill>
                  <w14:solidFill>
                    <w14:schemeClr w14:val="tx1"/>
                  </w14:solidFill>
                </w14:textFill>
              </w:rPr>
              <w:t>t/a</w:t>
            </w:r>
          </w:p>
        </w:tc>
        <w:tc>
          <w:tcPr>
            <w:tcW w:w="176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9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0.122</w:t>
            </w:r>
            <w:r>
              <w:rPr>
                <w:snapToGrid w:val="0"/>
                <w:color w:val="000000" w:themeColor="text1"/>
                <w:kern w:val="21"/>
                <w:szCs w:val="21"/>
                <w:u w:val="single"/>
                <w14:textFill>
                  <w14:solidFill>
                    <w14:schemeClr w14:val="tx1"/>
                  </w14:solidFill>
                </w14:textFill>
              </w:rPr>
              <w:t>t/a</w:t>
            </w:r>
          </w:p>
        </w:tc>
        <w:tc>
          <w:tcPr>
            <w:tcW w:w="826"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0.122</w:t>
            </w:r>
            <w:r>
              <w:rPr>
                <w:snapToGrid w:val="0"/>
                <w:color w:val="000000" w:themeColor="text1"/>
                <w:kern w:val="21"/>
                <w:szCs w:val="21"/>
                <w:u w:val="single"/>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vMerge w:val="continue"/>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p>
        </w:tc>
        <w:tc>
          <w:tcPr>
            <w:tcW w:w="2060"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SS</w:t>
            </w:r>
          </w:p>
        </w:tc>
        <w:tc>
          <w:tcPr>
            <w:tcW w:w="1564"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276"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70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5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0.122</w:t>
            </w:r>
            <w:r>
              <w:rPr>
                <w:snapToGrid w:val="0"/>
                <w:color w:val="000000" w:themeColor="text1"/>
                <w:kern w:val="21"/>
                <w:szCs w:val="21"/>
                <w:u w:val="single"/>
                <w14:textFill>
                  <w14:solidFill>
                    <w14:schemeClr w14:val="tx1"/>
                  </w14:solidFill>
                </w14:textFill>
              </w:rPr>
              <w:t>t/a</w:t>
            </w:r>
          </w:p>
        </w:tc>
        <w:tc>
          <w:tcPr>
            <w:tcW w:w="176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9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0.122</w:t>
            </w:r>
            <w:r>
              <w:rPr>
                <w:snapToGrid w:val="0"/>
                <w:color w:val="000000" w:themeColor="text1"/>
                <w:kern w:val="21"/>
                <w:szCs w:val="21"/>
                <w:u w:val="single"/>
                <w14:textFill>
                  <w14:solidFill>
                    <w14:schemeClr w14:val="tx1"/>
                  </w14:solidFill>
                </w14:textFill>
              </w:rPr>
              <w:t>t/a</w:t>
            </w:r>
          </w:p>
        </w:tc>
        <w:tc>
          <w:tcPr>
            <w:tcW w:w="826"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0.122</w:t>
            </w:r>
            <w:r>
              <w:rPr>
                <w:snapToGrid w:val="0"/>
                <w:color w:val="000000" w:themeColor="text1"/>
                <w:kern w:val="21"/>
                <w:szCs w:val="21"/>
                <w:u w:val="single"/>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vMerge w:val="continue"/>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p>
        </w:tc>
        <w:tc>
          <w:tcPr>
            <w:tcW w:w="2060"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氨氮</w:t>
            </w:r>
          </w:p>
        </w:tc>
        <w:tc>
          <w:tcPr>
            <w:tcW w:w="1564"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276"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70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5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0.061</w:t>
            </w:r>
            <w:r>
              <w:rPr>
                <w:snapToGrid w:val="0"/>
                <w:color w:val="000000" w:themeColor="text1"/>
                <w:kern w:val="21"/>
                <w:szCs w:val="21"/>
                <w:u w:val="single"/>
                <w14:textFill>
                  <w14:solidFill>
                    <w14:schemeClr w14:val="tx1"/>
                  </w14:solidFill>
                </w14:textFill>
              </w:rPr>
              <w:t>t/a</w:t>
            </w:r>
          </w:p>
        </w:tc>
        <w:tc>
          <w:tcPr>
            <w:tcW w:w="176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9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0.061</w:t>
            </w:r>
            <w:r>
              <w:rPr>
                <w:snapToGrid w:val="0"/>
                <w:color w:val="000000" w:themeColor="text1"/>
                <w:kern w:val="21"/>
                <w:szCs w:val="21"/>
                <w:u w:val="single"/>
                <w14:textFill>
                  <w14:solidFill>
                    <w14:schemeClr w14:val="tx1"/>
                  </w14:solidFill>
                </w14:textFill>
              </w:rPr>
              <w:t>t/a</w:t>
            </w:r>
          </w:p>
        </w:tc>
        <w:tc>
          <w:tcPr>
            <w:tcW w:w="826"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0.061</w:t>
            </w:r>
            <w:r>
              <w:rPr>
                <w:snapToGrid w:val="0"/>
                <w:color w:val="000000" w:themeColor="text1"/>
                <w:kern w:val="21"/>
                <w:szCs w:val="21"/>
                <w:u w:val="single"/>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一般工业</w:t>
            </w:r>
          </w:p>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固体废物</w:t>
            </w:r>
          </w:p>
        </w:tc>
        <w:tc>
          <w:tcPr>
            <w:tcW w:w="2060"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color w:val="000000" w:themeColor="text1"/>
                <w:szCs w:val="21"/>
                <w:u w:val="single"/>
                <w14:textFill>
                  <w14:solidFill>
                    <w14:schemeClr w14:val="tx1"/>
                  </w14:solidFill>
                </w14:textFill>
              </w:rPr>
              <w:t>不合格产品、废铁渣</w:t>
            </w:r>
          </w:p>
        </w:tc>
        <w:tc>
          <w:tcPr>
            <w:tcW w:w="1564"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276"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701"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559"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color w:val="000000" w:themeColor="text1"/>
                <w:szCs w:val="21"/>
                <w:u w:val="single"/>
                <w14:textFill>
                  <w14:solidFill>
                    <w14:schemeClr w14:val="tx1"/>
                  </w14:solidFill>
                </w14:textFill>
              </w:rPr>
              <w:t>17.6</w:t>
            </w:r>
            <w:r>
              <w:rPr>
                <w:rFonts w:ascii="Times New Roman"/>
                <w:snapToGrid w:val="0"/>
                <w:color w:val="000000" w:themeColor="text1"/>
                <w:kern w:val="21"/>
                <w:szCs w:val="21"/>
                <w:u w:val="single"/>
                <w14:textFill>
                  <w14:solidFill>
                    <w14:schemeClr w14:val="tx1"/>
                  </w14:solidFill>
                </w14:textFill>
              </w:rPr>
              <w:t>t/a</w:t>
            </w:r>
          </w:p>
        </w:tc>
        <w:tc>
          <w:tcPr>
            <w:tcW w:w="1761"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959"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color w:val="000000" w:themeColor="text1"/>
                <w:szCs w:val="21"/>
                <w:u w:val="single"/>
                <w14:textFill>
                  <w14:solidFill>
                    <w14:schemeClr w14:val="tx1"/>
                  </w14:solidFill>
                </w14:textFill>
              </w:rPr>
              <w:t>17.6</w:t>
            </w:r>
            <w:r>
              <w:rPr>
                <w:rFonts w:ascii="Times New Roman"/>
                <w:snapToGrid w:val="0"/>
                <w:color w:val="000000" w:themeColor="text1"/>
                <w:kern w:val="21"/>
                <w:szCs w:val="21"/>
                <w:u w:val="single"/>
                <w14:textFill>
                  <w14:solidFill>
                    <w14:schemeClr w14:val="tx1"/>
                  </w14:solidFill>
                </w14:textFill>
              </w:rPr>
              <w:t>t/a</w:t>
            </w:r>
          </w:p>
        </w:tc>
        <w:tc>
          <w:tcPr>
            <w:tcW w:w="826"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hint="eastAsia" w:ascii="Times New Roman"/>
                <w:color w:val="000000" w:themeColor="text1"/>
                <w:szCs w:val="21"/>
                <w:u w:val="single"/>
                <w14:textFill>
                  <w14:solidFill>
                    <w14:schemeClr w14:val="tx1"/>
                  </w14:solidFill>
                </w14:textFill>
              </w:rPr>
              <w:t>+</w:t>
            </w:r>
            <w:r>
              <w:rPr>
                <w:rFonts w:ascii="Times New Roman"/>
                <w:color w:val="000000" w:themeColor="text1"/>
                <w:szCs w:val="21"/>
                <w:u w:val="single"/>
                <w14:textFill>
                  <w14:solidFill>
                    <w14:schemeClr w14:val="tx1"/>
                  </w14:solidFill>
                </w14:textFill>
              </w:rPr>
              <w:t>17.6</w:t>
            </w:r>
            <w:r>
              <w:rPr>
                <w:rFonts w:ascii="Times New Roman"/>
                <w:snapToGrid w:val="0"/>
                <w:color w:val="000000" w:themeColor="text1"/>
                <w:kern w:val="21"/>
                <w:szCs w:val="21"/>
                <w:u w:val="single"/>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vMerge w:val="restart"/>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危险废物</w:t>
            </w:r>
          </w:p>
        </w:tc>
        <w:tc>
          <w:tcPr>
            <w:tcW w:w="2060"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废润滑油</w:t>
            </w:r>
          </w:p>
        </w:tc>
        <w:tc>
          <w:tcPr>
            <w:tcW w:w="1564"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276"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701"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559"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w:t>
            </w:r>
            <w:r>
              <w:rPr>
                <w:snapToGrid w:val="0"/>
                <w:color w:val="000000" w:themeColor="text1"/>
                <w:kern w:val="21"/>
                <w:szCs w:val="21"/>
                <w:u w:val="single"/>
                <w14:textFill>
                  <w14:solidFill>
                    <w14:schemeClr w14:val="tx1"/>
                  </w14:solidFill>
                </w14:textFill>
              </w:rPr>
              <w:t>t/a</w:t>
            </w:r>
          </w:p>
        </w:tc>
        <w:tc>
          <w:tcPr>
            <w:tcW w:w="1761"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959"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w:t>
            </w:r>
            <w:r>
              <w:rPr>
                <w:snapToGrid w:val="0"/>
                <w:color w:val="000000" w:themeColor="text1"/>
                <w:kern w:val="21"/>
                <w:szCs w:val="21"/>
                <w:u w:val="single"/>
                <w14:textFill>
                  <w14:solidFill>
                    <w14:schemeClr w14:val="tx1"/>
                  </w14:solidFill>
                </w14:textFill>
              </w:rPr>
              <w:t>t/a</w:t>
            </w:r>
          </w:p>
        </w:tc>
        <w:tc>
          <w:tcPr>
            <w:tcW w:w="826"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rFonts w:hint="eastAsia"/>
                <w:color w:val="000000" w:themeColor="text1"/>
                <w:szCs w:val="21"/>
                <w:u w:val="single"/>
                <w:lang w:val="en-US" w:eastAsia="zh-CN"/>
                <w14:textFill>
                  <w14:solidFill>
                    <w14:schemeClr w14:val="tx1"/>
                  </w14:solidFill>
                </w14:textFill>
              </w:rPr>
              <w:t>1</w:t>
            </w:r>
            <w:r>
              <w:rPr>
                <w:snapToGrid w:val="0"/>
                <w:color w:val="000000" w:themeColor="text1"/>
                <w:kern w:val="21"/>
                <w:szCs w:val="21"/>
                <w:u w:val="single"/>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vMerge w:val="continue"/>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p>
        </w:tc>
        <w:tc>
          <w:tcPr>
            <w:tcW w:w="2060"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废乳化液</w:t>
            </w:r>
          </w:p>
        </w:tc>
        <w:tc>
          <w:tcPr>
            <w:tcW w:w="1564"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276"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70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559"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6</w:t>
            </w:r>
            <w:r>
              <w:rPr>
                <w:snapToGrid w:val="0"/>
                <w:color w:val="000000" w:themeColor="text1"/>
                <w:kern w:val="21"/>
                <w:szCs w:val="21"/>
                <w:u w:val="single"/>
                <w14:textFill>
                  <w14:solidFill>
                    <w14:schemeClr w14:val="tx1"/>
                  </w14:solidFill>
                </w14:textFill>
              </w:rPr>
              <w:t>t/a</w:t>
            </w:r>
          </w:p>
        </w:tc>
        <w:tc>
          <w:tcPr>
            <w:tcW w:w="176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959"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6</w:t>
            </w:r>
            <w:r>
              <w:rPr>
                <w:snapToGrid w:val="0"/>
                <w:color w:val="000000" w:themeColor="text1"/>
                <w:kern w:val="21"/>
                <w:szCs w:val="21"/>
                <w:u w:val="single"/>
                <w14:textFill>
                  <w14:solidFill>
                    <w14:schemeClr w14:val="tx1"/>
                  </w14:solidFill>
                </w14:textFill>
              </w:rPr>
              <w:t>t/a</w:t>
            </w:r>
          </w:p>
        </w:tc>
        <w:tc>
          <w:tcPr>
            <w:tcW w:w="826"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rFonts w:hint="eastAsia"/>
                <w:color w:val="000000" w:themeColor="text1"/>
                <w:szCs w:val="21"/>
                <w:u w:val="single"/>
                <w:lang w:val="en-US" w:eastAsia="zh-CN"/>
                <w14:textFill>
                  <w14:solidFill>
                    <w14:schemeClr w14:val="tx1"/>
                  </w14:solidFill>
                </w14:textFill>
              </w:rPr>
              <w:t>6</w:t>
            </w:r>
            <w:r>
              <w:rPr>
                <w:snapToGrid w:val="0"/>
                <w:color w:val="000000" w:themeColor="text1"/>
                <w:kern w:val="21"/>
                <w:szCs w:val="21"/>
                <w:u w:val="single"/>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vMerge w:val="continue"/>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p>
        </w:tc>
        <w:tc>
          <w:tcPr>
            <w:tcW w:w="2060"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含油抹布、手套</w:t>
            </w:r>
          </w:p>
        </w:tc>
        <w:tc>
          <w:tcPr>
            <w:tcW w:w="1564"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276"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70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5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0.5</w:t>
            </w:r>
            <w:r>
              <w:rPr>
                <w:snapToGrid w:val="0"/>
                <w:color w:val="000000" w:themeColor="text1"/>
                <w:kern w:val="21"/>
                <w:szCs w:val="21"/>
                <w:u w:val="single"/>
                <w14:textFill>
                  <w14:solidFill>
                    <w14:schemeClr w14:val="tx1"/>
                  </w14:solidFill>
                </w14:textFill>
              </w:rPr>
              <w:t>t/a</w:t>
            </w:r>
          </w:p>
        </w:tc>
        <w:tc>
          <w:tcPr>
            <w:tcW w:w="1761"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959"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0.5</w:t>
            </w:r>
            <w:r>
              <w:rPr>
                <w:snapToGrid w:val="0"/>
                <w:color w:val="000000" w:themeColor="text1"/>
                <w:kern w:val="21"/>
                <w:szCs w:val="21"/>
                <w:u w:val="single"/>
                <w14:textFill>
                  <w14:solidFill>
                    <w14:schemeClr w14:val="tx1"/>
                  </w14:solidFill>
                </w14:textFill>
              </w:rPr>
              <w:t>t/a</w:t>
            </w:r>
          </w:p>
        </w:tc>
        <w:tc>
          <w:tcPr>
            <w:tcW w:w="826" w:type="dxa"/>
            <w:noWrap w:val="0"/>
            <w:vAlign w:val="center"/>
          </w:tcPr>
          <w:p>
            <w:pPr>
              <w:jc w:val="center"/>
              <w:rPr>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0.5</w:t>
            </w:r>
            <w:r>
              <w:rPr>
                <w:snapToGrid w:val="0"/>
                <w:color w:val="000000" w:themeColor="text1"/>
                <w:kern w:val="21"/>
                <w:szCs w:val="21"/>
                <w:u w:val="single"/>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082" w:type="dxa"/>
            <w:vMerge w:val="continue"/>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p>
        </w:tc>
        <w:tc>
          <w:tcPr>
            <w:tcW w:w="2060" w:type="dxa"/>
            <w:noWrap w:val="0"/>
            <w:vAlign w:val="center"/>
          </w:tcPr>
          <w:p>
            <w:pPr>
              <w:jc w:val="center"/>
              <w:rPr>
                <w:snapToGrid w:val="0"/>
                <w:color w:val="000000" w:themeColor="text1"/>
                <w:kern w:val="21"/>
                <w:szCs w:val="21"/>
                <w:u w:val="single"/>
                <w14:textFill>
                  <w14:solidFill>
                    <w14:schemeClr w14:val="tx1"/>
                  </w14:solidFill>
                </w14:textFill>
              </w:rPr>
            </w:pPr>
            <w:r>
              <w:rPr>
                <w:color w:val="000000" w:themeColor="text1"/>
                <w:szCs w:val="21"/>
                <w:u w:val="single"/>
                <w14:textFill>
                  <w14:solidFill>
                    <w14:schemeClr w14:val="tx1"/>
                  </w14:solidFill>
                </w14:textFill>
              </w:rPr>
              <w:t>超声波清洗废水</w:t>
            </w:r>
          </w:p>
        </w:tc>
        <w:tc>
          <w:tcPr>
            <w:tcW w:w="1564"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276" w:type="dxa"/>
            <w:noWrap w:val="0"/>
            <w:vAlign w:val="center"/>
          </w:tcPr>
          <w:p>
            <w:pPr>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1701"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559" w:type="dxa"/>
            <w:noWrap w:val="0"/>
            <w:vAlign w:val="center"/>
          </w:tcPr>
          <w:p>
            <w:pPr>
              <w:jc w:val="center"/>
              <w:rPr>
                <w:rFonts w:hint="eastAsia"/>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14.4t/a</w:t>
            </w:r>
          </w:p>
        </w:tc>
        <w:tc>
          <w:tcPr>
            <w:tcW w:w="1761" w:type="dxa"/>
            <w:noWrap w:val="0"/>
            <w:vAlign w:val="center"/>
          </w:tcPr>
          <w:p>
            <w:pPr>
              <w:pStyle w:val="45"/>
              <w:spacing w:beforeLines="0" w:afterLines="0" w:line="240" w:lineRule="auto"/>
              <w:rPr>
                <w:rFonts w:ascii="Times New Roman"/>
                <w:snapToGrid w:val="0"/>
                <w:color w:val="000000" w:themeColor="text1"/>
                <w:kern w:val="21"/>
                <w:szCs w:val="21"/>
                <w:u w:val="single"/>
                <w14:textFill>
                  <w14:solidFill>
                    <w14:schemeClr w14:val="tx1"/>
                  </w14:solidFill>
                </w14:textFill>
              </w:rPr>
            </w:pPr>
            <w:r>
              <w:rPr>
                <w:rFonts w:ascii="Times New Roman"/>
                <w:snapToGrid w:val="0"/>
                <w:color w:val="000000" w:themeColor="text1"/>
                <w:kern w:val="21"/>
                <w:szCs w:val="21"/>
                <w:u w:val="single"/>
                <w14:textFill>
                  <w14:solidFill>
                    <w14:schemeClr w14:val="tx1"/>
                  </w14:solidFill>
                </w14:textFill>
              </w:rPr>
              <w:t>/</w:t>
            </w:r>
          </w:p>
        </w:tc>
        <w:tc>
          <w:tcPr>
            <w:tcW w:w="1959" w:type="dxa"/>
            <w:noWrap w:val="0"/>
            <w:vAlign w:val="center"/>
          </w:tcPr>
          <w:p>
            <w:pPr>
              <w:jc w:val="center"/>
              <w:rPr>
                <w:rFonts w:hint="eastAsia"/>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14.4t/a</w:t>
            </w:r>
          </w:p>
        </w:tc>
        <w:tc>
          <w:tcPr>
            <w:tcW w:w="826" w:type="dxa"/>
            <w:noWrap w:val="0"/>
            <w:vAlign w:val="center"/>
          </w:tcPr>
          <w:p>
            <w:pPr>
              <w:jc w:val="center"/>
              <w:rPr>
                <w:rFonts w:hint="eastAsia"/>
                <w:snapToGrid w:val="0"/>
                <w:color w:val="000000" w:themeColor="text1"/>
                <w:kern w:val="2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+14.4t/a</w:t>
            </w:r>
          </w:p>
        </w:tc>
      </w:tr>
    </w:tbl>
    <w:p>
      <w:pPr>
        <w:pStyle w:val="45"/>
        <w:spacing w:before="192" w:beforeLines="80" w:after="24"/>
        <w:jc w:val="left"/>
        <w:rPr>
          <w:rFonts w:ascii="Times New Roman"/>
          <w:color w:val="000000" w:themeColor="text1"/>
          <w14:textFill>
            <w14:solidFill>
              <w14:schemeClr w14:val="tx1"/>
            </w14:solidFill>
          </w14:textFill>
        </w:rPr>
        <w:sectPr>
          <w:pgSz w:w="16838" w:h="11906" w:orient="landscape"/>
          <w:pgMar w:top="1701" w:right="1531" w:bottom="1701" w:left="1531" w:header="851" w:footer="851" w:gutter="0"/>
          <w:cols w:space="720" w:num="1"/>
          <w:docGrid w:linePitch="312" w:charSpace="0"/>
        </w:sectPr>
      </w:pPr>
      <w:r>
        <w:rPr>
          <w:rFonts w:ascii="Times New Roman"/>
          <w:snapToGrid w:val="0"/>
          <w:color w:val="000000" w:themeColor="text1"/>
          <w:kern w:val="21"/>
          <w:szCs w:val="21"/>
          <w14:textFill>
            <w14:solidFill>
              <w14:schemeClr w14:val="tx1"/>
            </w14:solidFill>
          </w14:textFill>
        </w:rPr>
        <w:t>注：</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3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③</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4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④</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5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⑤</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7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⑦</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p>
    <w:p>
      <w:pPr>
        <w:rPr>
          <w:rFonts w:eastAsia="黑体"/>
          <w:color w:val="000000" w:themeColor="text1"/>
          <w:sz w:val="24"/>
          <w:szCs w:val="32"/>
          <w14:textFill>
            <w14:solidFill>
              <w14:schemeClr w14:val="tx1"/>
            </w14:solidFill>
          </w14:textFill>
        </w:rPr>
      </w:pPr>
      <w:r>
        <w:rPr>
          <w:rFonts w:eastAsia="黑体"/>
          <w:color w:val="000000" w:themeColor="text1"/>
          <w:sz w:val="24"/>
          <w:szCs w:val="32"/>
          <w14:textFill>
            <w14:solidFill>
              <w14:schemeClr w14:val="tx1"/>
            </w14:solidFill>
          </w14:textFill>
        </w:rPr>
        <w:t>附件1：委托书</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2"/>
        <w:rPr>
          <w:rFonts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drawing>
          <wp:inline distT="0" distB="0" distL="114300" distR="114300">
            <wp:extent cx="4894580" cy="7938135"/>
            <wp:effectExtent l="0" t="0" r="1270" b="5715"/>
            <wp:docPr id="17" name="图片 40" descr="49d4d89b8b599714d93a78a5f4156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0" descr="49d4d89b8b599714d93a78a5f4156ea"/>
                    <pic:cNvPicPr>
                      <a:picLocks noChangeAspect="1"/>
                    </pic:cNvPicPr>
                  </pic:nvPicPr>
                  <pic:blipFill>
                    <a:blip r:embed="rId22"/>
                    <a:stretch>
                      <a:fillRect/>
                    </a:stretch>
                  </pic:blipFill>
                  <pic:spPr>
                    <a:xfrm>
                      <a:off x="0" y="0"/>
                      <a:ext cx="4894580" cy="7938135"/>
                    </a:xfrm>
                    <a:prstGeom prst="rect">
                      <a:avLst/>
                    </a:prstGeom>
                    <a:noFill/>
                    <a:ln>
                      <a:noFill/>
                    </a:ln>
                  </pic:spPr>
                </pic:pic>
              </a:graphicData>
            </a:graphic>
          </wp:inline>
        </w:drawing>
      </w:r>
    </w:p>
    <w:p>
      <w:pPr>
        <w:pStyle w:val="2"/>
        <w:rPr>
          <w:rFonts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t>附件2：营业执照</w:t>
      </w:r>
    </w:p>
    <w:p>
      <w:pPr>
        <w:pStyle w:val="2"/>
        <w:rPr>
          <w:rFonts w:ascii="Times New Roman" w:hAnsi="Times New Roman"/>
          <w:color w:val="000000" w:themeColor="text1"/>
          <w14:textFill>
            <w14:solidFill>
              <w14:schemeClr w14:val="tx1"/>
            </w14:solidFill>
          </w14:textFill>
        </w:rPr>
        <w:sectPr>
          <w:footerReference r:id="rId7" w:type="default"/>
          <w:pgSz w:w="11906" w:h="16838"/>
          <w:pgMar w:top="1701" w:right="1531" w:bottom="1701" w:left="1531" w:header="851" w:footer="851" w:gutter="0"/>
          <w:cols w:space="720" w:num="1"/>
          <w:docGrid w:linePitch="312" w:charSpace="0"/>
        </w:sectPr>
      </w:pPr>
      <w:r>
        <w:rPr>
          <w:rFonts w:ascii="Times New Roman" w:hAnsi="Times New Roman"/>
          <w:color w:val="000000" w:themeColor="text1"/>
          <w14:textFill>
            <w14:solidFill>
              <w14:schemeClr w14:val="tx1"/>
            </w14:solidFill>
          </w14:textFill>
        </w:rPr>
        <w:drawing>
          <wp:inline distT="0" distB="0" distL="114300" distR="114300">
            <wp:extent cx="5608320" cy="7477760"/>
            <wp:effectExtent l="0" t="0" r="11430" b="8890"/>
            <wp:docPr id="18" name="图片 7" descr="C:/Users/xiaorui/AppData/Local/Temp/picturecompress_202106150926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descr="C:/Users/xiaorui/AppData/Local/Temp/picturecompress_20210615092631/output_1.jpgoutput_1"/>
                    <pic:cNvPicPr>
                      <a:picLocks noChangeAspect="1"/>
                    </pic:cNvPicPr>
                  </pic:nvPicPr>
                  <pic:blipFill>
                    <a:blip r:embed="rId23"/>
                    <a:stretch>
                      <a:fillRect/>
                    </a:stretch>
                  </pic:blipFill>
                  <pic:spPr>
                    <a:xfrm>
                      <a:off x="0" y="0"/>
                      <a:ext cx="5608320" cy="7477760"/>
                    </a:xfrm>
                    <a:prstGeom prst="rect">
                      <a:avLst/>
                    </a:prstGeom>
                    <a:noFill/>
                    <a:ln>
                      <a:noFill/>
                    </a:ln>
                  </pic:spPr>
                </pic:pic>
              </a:graphicData>
            </a:graphic>
          </wp:inline>
        </w:drawing>
      </w:r>
    </w:p>
    <w:p>
      <w:pPr>
        <w:pStyle w:val="2"/>
        <w:rPr>
          <w:rFonts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t>附件3：招商合同</w:t>
      </w:r>
    </w:p>
    <w:p>
      <w:pPr>
        <w:pStyle w:val="2"/>
        <w:rPr>
          <w:rFonts w:ascii="Times New Roman" w:hAnsi="Times New Roman"/>
          <w:color w:val="000000" w:themeColor="text1"/>
          <w14:textFill>
            <w14:solidFill>
              <w14:schemeClr w14:val="tx1"/>
            </w14:solidFill>
          </w14:textFill>
        </w:rPr>
      </w:pPr>
    </w:p>
    <w:p>
      <w:pPr>
        <w:pStyle w:val="2"/>
        <w:rPr>
          <w:rFonts w:ascii="Times New Roman" w:hAnsi="Times New Roman"/>
          <w:color w:val="000000" w:themeColor="text1"/>
          <w14:textFill>
            <w14:solidFill>
              <w14:schemeClr w14:val="tx1"/>
            </w14:solidFill>
          </w14:textFill>
        </w:rPr>
        <w:sectPr>
          <w:pgSz w:w="11906" w:h="16838"/>
          <w:pgMar w:top="1701" w:right="1531" w:bottom="1701" w:left="1531" w:header="851" w:footer="851" w:gutter="0"/>
          <w:cols w:space="720" w:num="1"/>
          <w:docGrid w:linePitch="312" w:charSpace="0"/>
        </w:sectPr>
      </w:pPr>
      <w:r>
        <w:rPr>
          <w:rFonts w:ascii="Times New Roman" w:hAnsi="Times New Roman"/>
          <w:color w:val="000000" w:themeColor="text1"/>
          <w14:textFill>
            <w14:solidFill>
              <w14:schemeClr w14:val="tx1"/>
            </w14:solidFill>
          </w14:textFill>
        </w:rPr>
        <w:drawing>
          <wp:inline distT="0" distB="0" distL="114300" distR="114300">
            <wp:extent cx="5613400" cy="7937500"/>
            <wp:effectExtent l="0" t="0" r="6350" b="635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24"/>
                    <a:stretch>
                      <a:fillRect/>
                    </a:stretch>
                  </pic:blipFill>
                  <pic:spPr>
                    <a:xfrm>
                      <a:off x="0" y="0"/>
                      <a:ext cx="5613400" cy="793750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595620" cy="8566785"/>
            <wp:effectExtent l="0" t="0" r="5080" b="5715"/>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25"/>
                    <a:stretch>
                      <a:fillRect/>
                    </a:stretch>
                  </pic:blipFill>
                  <pic:spPr>
                    <a:xfrm>
                      <a:off x="0" y="0"/>
                      <a:ext cx="5595620" cy="8566785"/>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11495" cy="8597265"/>
            <wp:effectExtent l="0" t="0" r="8255" b="1333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26"/>
                    <a:stretch>
                      <a:fillRect/>
                    </a:stretch>
                  </pic:blipFill>
                  <pic:spPr>
                    <a:xfrm>
                      <a:off x="0" y="0"/>
                      <a:ext cx="5611495" cy="8597265"/>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596255" cy="8672830"/>
            <wp:effectExtent l="0" t="0" r="4445" b="13970"/>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27"/>
                    <a:stretch>
                      <a:fillRect/>
                    </a:stretch>
                  </pic:blipFill>
                  <pic:spPr>
                    <a:xfrm>
                      <a:off x="0" y="0"/>
                      <a:ext cx="5596255" cy="867283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06415" cy="8549640"/>
            <wp:effectExtent l="0" t="0" r="13335" b="3810"/>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28"/>
                    <a:stretch>
                      <a:fillRect/>
                    </a:stretch>
                  </pic:blipFill>
                  <pic:spPr>
                    <a:xfrm>
                      <a:off x="0" y="0"/>
                      <a:ext cx="5606415" cy="854964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08320" cy="8552180"/>
            <wp:effectExtent l="0" t="0" r="11430" b="127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29"/>
                    <a:stretch>
                      <a:fillRect/>
                    </a:stretch>
                  </pic:blipFill>
                  <pic:spPr>
                    <a:xfrm>
                      <a:off x="0" y="0"/>
                      <a:ext cx="5608320" cy="855218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05780" cy="8484870"/>
            <wp:effectExtent l="0" t="0" r="13970" b="11430"/>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30"/>
                    <a:stretch>
                      <a:fillRect/>
                    </a:stretch>
                  </pic:blipFill>
                  <pic:spPr>
                    <a:xfrm>
                      <a:off x="0" y="0"/>
                      <a:ext cx="5605780" cy="848487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04510" cy="8486140"/>
            <wp:effectExtent l="0" t="0" r="15240" b="10160"/>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31"/>
                    <a:stretch>
                      <a:fillRect/>
                    </a:stretch>
                  </pic:blipFill>
                  <pic:spPr>
                    <a:xfrm>
                      <a:off x="0" y="0"/>
                      <a:ext cx="5604510" cy="848614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598795" cy="8670925"/>
            <wp:effectExtent l="0" t="0" r="1905" b="15875"/>
            <wp:docPr id="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pic:cNvPicPr>
                      <a:picLocks noChangeAspect="1"/>
                    </pic:cNvPicPr>
                  </pic:nvPicPr>
                  <pic:blipFill>
                    <a:blip r:embed="rId32"/>
                    <a:stretch>
                      <a:fillRect/>
                    </a:stretch>
                  </pic:blipFill>
                  <pic:spPr>
                    <a:xfrm>
                      <a:off x="0" y="0"/>
                      <a:ext cx="5598795" cy="8670925"/>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596255" cy="8661400"/>
            <wp:effectExtent l="0" t="0" r="4445" b="6350"/>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33"/>
                    <a:stretch>
                      <a:fillRect/>
                    </a:stretch>
                  </pic:blipFill>
                  <pic:spPr>
                    <a:xfrm>
                      <a:off x="0" y="0"/>
                      <a:ext cx="5596255" cy="8661400"/>
                    </a:xfrm>
                    <a:prstGeom prst="rect">
                      <a:avLst/>
                    </a:prstGeom>
                    <a:noFill/>
                    <a:ln>
                      <a:noFill/>
                    </a:ln>
                  </pic:spPr>
                </pic:pic>
              </a:graphicData>
            </a:graphic>
          </wp:inline>
        </w:drawing>
      </w:r>
    </w:p>
    <w:p>
      <w:pPr>
        <w:pStyle w:val="2"/>
        <w:rPr>
          <w:rFonts w:ascii="Times New Roman" w:hAnsi="Times New Roman"/>
          <w:color w:val="000000" w:themeColor="text1"/>
          <w14:textFill>
            <w14:solidFill>
              <w14:schemeClr w14:val="tx1"/>
            </w14:solidFill>
          </w14:textFill>
        </w:rPr>
        <w:sectPr>
          <w:pgSz w:w="11906" w:h="16838"/>
          <w:pgMar w:top="1701" w:right="1531" w:bottom="1701" w:left="1531" w:header="851" w:footer="851" w:gutter="0"/>
          <w:cols w:space="720" w:num="1"/>
          <w:docGrid w:linePitch="312" w:charSpace="0"/>
        </w:sectPr>
      </w:pPr>
      <w:r>
        <w:rPr>
          <w:rFonts w:ascii="Times New Roman" w:hAnsi="Times New Roman"/>
          <w:color w:val="000000" w:themeColor="text1"/>
          <w14:textFill>
            <w14:solidFill>
              <w14:schemeClr w14:val="tx1"/>
            </w14:solidFill>
          </w14:textFill>
        </w:rPr>
        <w:drawing>
          <wp:inline distT="0" distB="0" distL="114300" distR="114300">
            <wp:extent cx="5604510" cy="8749030"/>
            <wp:effectExtent l="0" t="0" r="15240" b="1397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34"/>
                    <a:stretch>
                      <a:fillRect/>
                    </a:stretch>
                  </pic:blipFill>
                  <pic:spPr>
                    <a:xfrm>
                      <a:off x="0" y="0"/>
                      <a:ext cx="5604510" cy="8749030"/>
                    </a:xfrm>
                    <a:prstGeom prst="rect">
                      <a:avLst/>
                    </a:prstGeom>
                    <a:noFill/>
                    <a:ln>
                      <a:noFill/>
                    </a:ln>
                  </pic:spPr>
                </pic:pic>
              </a:graphicData>
            </a:graphic>
          </wp:inline>
        </w:drawing>
      </w:r>
    </w:p>
    <w:p>
      <w:pPr>
        <w:pStyle w:val="2"/>
        <w:rPr>
          <w:rFonts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t>附件4：园区环评</w:t>
      </w:r>
    </w:p>
    <w:p>
      <w:pPr>
        <w:pStyle w:val="2"/>
        <w:rPr>
          <w:rFonts w:ascii="Times New Roman" w:hAnsi="Times New Roman"/>
          <w:color w:val="000000" w:themeColor="text1"/>
          <w14:textFill>
            <w14:solidFill>
              <w14:schemeClr w14:val="tx1"/>
            </w14:solidFill>
          </w14:textFill>
        </w:rPr>
      </w:pPr>
    </w:p>
    <w:p>
      <w:pPr>
        <w:pStyle w:val="2"/>
        <w:rPr>
          <w:rFonts w:ascii="Times New Roman" w:hAnsi="Times New Roman"/>
          <w:color w:val="000000" w:themeColor="text1"/>
          <w14:textFill>
            <w14:solidFill>
              <w14:schemeClr w14:val="tx1"/>
            </w14:solidFill>
          </w14:textFill>
        </w:rPr>
        <w:sectPr>
          <w:pgSz w:w="11906" w:h="16838"/>
          <w:pgMar w:top="1701" w:right="1531" w:bottom="1701" w:left="1531" w:header="851" w:footer="851" w:gutter="0"/>
          <w:cols w:space="720" w:num="1"/>
          <w:docGrid w:linePitch="312" w:charSpace="0"/>
        </w:sectPr>
      </w:pPr>
      <w:r>
        <w:rPr>
          <w:rFonts w:ascii="Times New Roman" w:hAnsi="Times New Roman"/>
          <w:color w:val="000000" w:themeColor="text1"/>
          <w14:textFill>
            <w14:solidFill>
              <w14:schemeClr w14:val="tx1"/>
            </w14:solidFill>
          </w14:textFill>
        </w:rPr>
        <w:drawing>
          <wp:inline distT="0" distB="0" distL="114300" distR="114300">
            <wp:extent cx="5606415" cy="8061960"/>
            <wp:effectExtent l="0" t="0" r="13335" b="15240"/>
            <wp:docPr id="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5"/>
                    <pic:cNvPicPr>
                      <a:picLocks noChangeAspect="1"/>
                    </pic:cNvPicPr>
                  </pic:nvPicPr>
                  <pic:blipFill>
                    <a:blip r:embed="rId35"/>
                    <a:stretch>
                      <a:fillRect/>
                    </a:stretch>
                  </pic:blipFill>
                  <pic:spPr>
                    <a:xfrm>
                      <a:off x="0" y="0"/>
                      <a:ext cx="5606415" cy="806196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06415" cy="8009890"/>
            <wp:effectExtent l="0" t="0" r="13335" b="10160"/>
            <wp:docPr id="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6"/>
                    <pic:cNvPicPr>
                      <a:picLocks noChangeAspect="1"/>
                    </pic:cNvPicPr>
                  </pic:nvPicPr>
                  <pic:blipFill>
                    <a:blip r:embed="rId36"/>
                    <a:stretch>
                      <a:fillRect/>
                    </a:stretch>
                  </pic:blipFill>
                  <pic:spPr>
                    <a:xfrm>
                      <a:off x="0" y="0"/>
                      <a:ext cx="5606415" cy="800989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06415" cy="8004810"/>
            <wp:effectExtent l="0" t="0" r="13335" b="15240"/>
            <wp:docPr id="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pic:cNvPicPr>
                      <a:picLocks noChangeAspect="1"/>
                    </pic:cNvPicPr>
                  </pic:nvPicPr>
                  <pic:blipFill>
                    <a:blip r:embed="rId37"/>
                    <a:stretch>
                      <a:fillRect/>
                    </a:stretch>
                  </pic:blipFill>
                  <pic:spPr>
                    <a:xfrm>
                      <a:off x="0" y="0"/>
                      <a:ext cx="5606415" cy="800481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06415" cy="7666990"/>
            <wp:effectExtent l="0" t="0" r="13335" b="10160"/>
            <wp:docPr id="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pic:cNvPicPr>
                      <a:picLocks noChangeAspect="1"/>
                    </pic:cNvPicPr>
                  </pic:nvPicPr>
                  <pic:blipFill>
                    <a:blip r:embed="rId38"/>
                    <a:stretch>
                      <a:fillRect/>
                    </a:stretch>
                  </pic:blipFill>
                  <pic:spPr>
                    <a:xfrm>
                      <a:off x="0" y="0"/>
                      <a:ext cx="5606415" cy="766699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14670" cy="8337550"/>
            <wp:effectExtent l="0" t="0" r="5080" b="6350"/>
            <wp:docPr id="3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9"/>
                    <pic:cNvPicPr>
                      <a:picLocks noChangeAspect="1"/>
                    </pic:cNvPicPr>
                  </pic:nvPicPr>
                  <pic:blipFill>
                    <a:blip r:embed="rId39"/>
                    <a:stretch>
                      <a:fillRect/>
                    </a:stretch>
                  </pic:blipFill>
                  <pic:spPr>
                    <a:xfrm>
                      <a:off x="0" y="0"/>
                      <a:ext cx="5614670" cy="8337550"/>
                    </a:xfrm>
                    <a:prstGeom prst="rect">
                      <a:avLst/>
                    </a:prstGeom>
                    <a:noFill/>
                    <a:ln>
                      <a:noFill/>
                    </a:ln>
                  </pic:spPr>
                </pic:pic>
              </a:graphicData>
            </a:graphic>
          </wp:inline>
        </w:drawing>
      </w:r>
    </w:p>
    <w:p>
      <w:pPr>
        <w:pStyle w:val="2"/>
        <w:rPr>
          <w:rFonts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t>附件5  立项文件</w:t>
      </w:r>
    </w:p>
    <w:p>
      <w:pPr>
        <w:pStyle w:val="2"/>
        <w:rPr>
          <w:rFonts w:ascii="Times New Roman" w:hAnsi="Times New Roman"/>
          <w:color w:val="000000" w:themeColor="text1"/>
          <w14:textFill>
            <w14:solidFill>
              <w14:schemeClr w14:val="tx1"/>
            </w14:solidFill>
          </w14:textFill>
        </w:rPr>
      </w:pPr>
    </w:p>
    <w:p>
      <w:pPr>
        <w:pStyle w:val="2"/>
        <w:jc w:val="center"/>
        <w:rPr>
          <w:rFonts w:ascii="Times New Roman" w:hAnsi="Times New Roman"/>
          <w:color w:val="000000" w:themeColor="text1"/>
          <w14:textFill>
            <w14:solidFill>
              <w14:schemeClr w14:val="tx1"/>
            </w14:solidFill>
          </w14:textFill>
        </w:rPr>
        <w:sectPr>
          <w:pgSz w:w="11906" w:h="16838"/>
          <w:pgMar w:top="1701" w:right="1531" w:bottom="1701" w:left="1531" w:header="851" w:footer="851" w:gutter="0"/>
          <w:cols w:space="720" w:num="1"/>
          <w:docGrid w:linePitch="312" w:charSpace="0"/>
        </w:sectPr>
      </w:pPr>
      <w:r>
        <w:rPr>
          <w:rFonts w:ascii="Times New Roman" w:hAnsi="Times New Roman"/>
          <w:color w:val="000000" w:themeColor="text1"/>
          <w14:textFill>
            <w14:solidFill>
              <w14:schemeClr w14:val="tx1"/>
            </w14:solidFill>
          </w14:textFill>
        </w:rPr>
        <w:drawing>
          <wp:inline distT="0" distB="0" distL="114300" distR="114300">
            <wp:extent cx="4710430" cy="7458710"/>
            <wp:effectExtent l="0" t="0" r="13970" b="8890"/>
            <wp:docPr id="3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0"/>
                    <pic:cNvPicPr>
                      <a:picLocks noChangeAspect="1"/>
                    </pic:cNvPicPr>
                  </pic:nvPicPr>
                  <pic:blipFill>
                    <a:blip r:embed="rId40"/>
                    <a:stretch>
                      <a:fillRect/>
                    </a:stretch>
                  </pic:blipFill>
                  <pic:spPr>
                    <a:xfrm>
                      <a:off x="0" y="0"/>
                      <a:ext cx="4710430" cy="745871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inline distT="0" distB="0" distL="114300" distR="114300">
            <wp:extent cx="5611495" cy="9409430"/>
            <wp:effectExtent l="0" t="0" r="8255" b="1270"/>
            <wp:docPr id="3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1"/>
                    <pic:cNvPicPr>
                      <a:picLocks noChangeAspect="1"/>
                    </pic:cNvPicPr>
                  </pic:nvPicPr>
                  <pic:blipFill>
                    <a:blip r:embed="rId41"/>
                    <a:stretch>
                      <a:fillRect/>
                    </a:stretch>
                  </pic:blipFill>
                  <pic:spPr>
                    <a:xfrm>
                      <a:off x="0" y="0"/>
                      <a:ext cx="5611495" cy="9409430"/>
                    </a:xfrm>
                    <a:prstGeom prst="rect">
                      <a:avLst/>
                    </a:prstGeom>
                    <a:noFill/>
                    <a:ln>
                      <a:noFill/>
                    </a:ln>
                  </pic:spPr>
                </pic:pic>
              </a:graphicData>
            </a:graphic>
          </wp:inline>
        </w:drawing>
      </w:r>
    </w:p>
    <w:p>
      <w:pPr>
        <w:pStyle w:val="2"/>
        <w:rPr>
          <w:rFonts w:hint="eastAsia" w:ascii="Times New Roman" w:hAnsi="Times New Roman"/>
          <w:b/>
          <w:bCs/>
          <w:color w:val="000000" w:themeColor="text1"/>
          <w14:textFill>
            <w14:solidFill>
              <w14:schemeClr w14:val="tx1"/>
            </w14:solidFill>
          </w14:textFill>
        </w:rPr>
      </w:pPr>
      <w:r>
        <w:rPr>
          <w:rFonts w:hint="eastAsia" w:ascii="Times New Roman" w:hAnsi="Times New Roman"/>
          <w:b/>
          <w:bCs/>
          <w:color w:val="000000" w:themeColor="text1"/>
          <w14:textFill>
            <w14:solidFill>
              <w14:schemeClr w14:val="tx1"/>
            </w14:solidFill>
          </w14:textFill>
        </w:rPr>
        <w:t>附件6：  联审表</w:t>
      </w:r>
    </w:p>
    <w:p>
      <w:pPr>
        <w:pStyle w:val="2"/>
        <w:jc w:val="center"/>
        <w:rPr>
          <w:rFonts w:hint="eastAsia" w:ascii="Times New Roman" w:hAnsi="Times New Roman"/>
          <w:color w:val="000000" w:themeColor="text1"/>
          <w14:textFill>
            <w14:solidFill>
              <w14:schemeClr w14:val="tx1"/>
            </w14:solidFill>
          </w14:textFill>
        </w:rPr>
      </w:pPr>
    </w:p>
    <w:p>
      <w:pPr>
        <w:pStyle w:val="2"/>
        <w:jc w:val="center"/>
        <w:rPr>
          <w:rFonts w:ascii="Times New Roman" w:hAnsi="Times New Roman"/>
          <w:color w:val="000000" w:themeColor="text1"/>
          <w14:textFill>
            <w14:solidFill>
              <w14:schemeClr w14:val="tx1"/>
            </w14:solidFill>
          </w14:textFill>
        </w:rPr>
        <w:sectPr>
          <w:pgSz w:w="11906" w:h="16838"/>
          <w:pgMar w:top="1701" w:right="1531" w:bottom="1701" w:left="1531" w:header="851" w:footer="851" w:gutter="0"/>
          <w:cols w:space="720" w:num="1"/>
          <w:docGrid w:linePitch="312" w:charSpace="0"/>
        </w:sectPr>
      </w:pPr>
      <w:r>
        <w:rPr>
          <w:color w:val="000000" w:themeColor="text1"/>
          <w14:textFill>
            <w14:solidFill>
              <w14:schemeClr w14:val="tx1"/>
            </w14:solidFill>
          </w14:textFill>
        </w:rPr>
        <w:drawing>
          <wp:inline distT="0" distB="0" distL="114300" distR="114300">
            <wp:extent cx="5372100" cy="7686675"/>
            <wp:effectExtent l="0" t="0" r="0" b="9525"/>
            <wp:docPr id="3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5"/>
                    <pic:cNvPicPr>
                      <a:picLocks noChangeAspect="1"/>
                    </pic:cNvPicPr>
                  </pic:nvPicPr>
                  <pic:blipFill>
                    <a:blip r:embed="rId42"/>
                    <a:stretch>
                      <a:fillRect/>
                    </a:stretch>
                  </pic:blipFill>
                  <pic:spPr>
                    <a:xfrm>
                      <a:off x="0" y="0"/>
                      <a:ext cx="5372100" cy="76866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438775" cy="7562850"/>
            <wp:effectExtent l="0" t="0" r="9525" b="0"/>
            <wp:docPr id="3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6"/>
                    <pic:cNvPicPr>
                      <a:picLocks noChangeAspect="1"/>
                    </pic:cNvPicPr>
                  </pic:nvPicPr>
                  <pic:blipFill>
                    <a:blip r:embed="rId43"/>
                    <a:stretch>
                      <a:fillRect/>
                    </a:stretch>
                  </pic:blipFill>
                  <pic:spPr>
                    <a:xfrm>
                      <a:off x="0" y="0"/>
                      <a:ext cx="5438775" cy="7562850"/>
                    </a:xfrm>
                    <a:prstGeom prst="rect">
                      <a:avLst/>
                    </a:prstGeom>
                    <a:noFill/>
                    <a:ln>
                      <a:noFill/>
                    </a:ln>
                  </pic:spPr>
                </pic:pic>
              </a:graphicData>
            </a:graphic>
          </wp:inline>
        </w:drawing>
      </w:r>
    </w:p>
    <w:p>
      <w:pPr>
        <w:pStyle w:val="2"/>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附图1：  项目地理位置图</w:t>
      </w:r>
    </w:p>
    <w:p>
      <w:pPr>
        <w:pStyle w:val="2"/>
        <w:jc w:val="center"/>
        <w:rPr>
          <w:rFonts w:ascii="Times New Roman" w:hAnsi="Times New Roman" w:eastAsia="Times New Roman"/>
          <w:color w:val="000000" w:themeColor="text1"/>
          <w:position w:val="-243"/>
          <w:sz w:val="20"/>
          <w14:textFill>
            <w14:solidFill>
              <w14:schemeClr w14:val="tx1"/>
            </w14:solidFill>
          </w14:textFill>
        </w:rPr>
        <w:sectPr>
          <w:pgSz w:w="11906" w:h="16838"/>
          <w:pgMar w:top="1701" w:right="1531" w:bottom="1701" w:left="1531" w:header="851" w:footer="851" w:gutter="0"/>
          <w:cols w:space="720" w:num="1"/>
          <w:docGrid w:linePitch="312" w:charSpace="0"/>
        </w:sectPr>
      </w:pP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4239895</wp:posOffset>
                </wp:positionH>
                <wp:positionV relativeFrom="paragraph">
                  <wp:posOffset>5640705</wp:posOffset>
                </wp:positionV>
                <wp:extent cx="75565" cy="75565"/>
                <wp:effectExtent l="4445" t="4445" r="15240" b="15240"/>
                <wp:wrapNone/>
                <wp:docPr id="12" name="椭圆 27"/>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椭圆 27" o:spid="_x0000_s1026" o:spt="3" type="#_x0000_t3" style="position:absolute;left:0pt;margin-left:333.85pt;margin-top:444.15pt;height:5.95pt;width:5.95pt;z-index:251670528;mso-width-relative:page;mso-height-relative:page;" fillcolor="#FF0000" filled="t" stroked="t" coordsize="21600,21600" o:gfxdata="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kYQt12QAAAAsBAAAPAAAAAAAAAAEAIAAAACIAAABkcnMvZG93&#10;bnJldi54bWxQSwECFAAUAAAACACHTuJA+er7VP8BAAAkBAAADgAAAAAAAAABACAAAAAoAQAAZHJz&#10;L2Uyb0RvYy54bWxQSwUGAAAAAAYABgBZAQAAmQUAAAAA&#10;">
                <v:fill on="t" focussize="0,0"/>
                <v:stroke color="#000000"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4357370</wp:posOffset>
                </wp:positionH>
                <wp:positionV relativeFrom="paragraph">
                  <wp:posOffset>5071745</wp:posOffset>
                </wp:positionV>
                <wp:extent cx="868680" cy="264795"/>
                <wp:effectExtent l="54610" t="4445" r="10160" b="359410"/>
                <wp:wrapNone/>
                <wp:docPr id="11" name="自选图形 26"/>
                <wp:cNvGraphicFramePr/>
                <a:graphic xmlns:a="http://schemas.openxmlformats.org/drawingml/2006/main">
                  <a:graphicData uri="http://schemas.microsoft.com/office/word/2010/wordprocessingShape">
                    <wps:wsp>
                      <wps:cNvSpPr/>
                      <wps:spPr>
                        <a:xfrm>
                          <a:off x="0" y="0"/>
                          <a:ext cx="868680" cy="264795"/>
                        </a:xfrm>
                        <a:prstGeom prst="wedgeRectCallout">
                          <a:avLst>
                            <a:gd name="adj1" fmla="val -54370"/>
                            <a:gd name="adj2" fmla="val 172301"/>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项目所在地</w:t>
                            </w:r>
                          </w:p>
                        </w:txbxContent>
                      </wps:txbx>
                      <wps:bodyPr wrap="square" upright="1"/>
                    </wps:wsp>
                  </a:graphicData>
                </a:graphic>
              </wp:anchor>
            </w:drawing>
          </mc:Choice>
          <mc:Fallback>
            <w:pict>
              <v:shape id="自选图形 26" o:spid="_x0000_s1026" o:spt="61" type="#_x0000_t61" style="position:absolute;left:0pt;margin-left:343.1pt;margin-top:399.35pt;height:20.85pt;width:68.4pt;z-index:251669504;mso-width-relative:page;mso-height-relative:page;" fillcolor="#FFFFFF" filled="t" stroked="t" coordsize="21600,21600" o:gfxdata="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hJvUW2wAAAAsBAAAPAAAAAAAAAAEA&#10;IAAAACIAAABkcnMvZG93bnJldi54bWxQSwECFAAUAAAACACHTuJAGOwzjEUCAACdBAAADgAAAAAA&#10;AAABACAAAAAqAQAAZHJzL2Uyb0RvYy54bWxQSwUGAAAAAAYABgBZAQAA4QUAAAAA&#10;" adj="-944,48017">
                <v:fill on="t" focussize="0,0"/>
                <v:stroke color="#000000" joinstyle="miter"/>
                <v:imagedata o:title=""/>
                <o:lock v:ext="edit" aspectratio="f"/>
                <v:textbox>
                  <w:txbxContent>
                    <w:p>
                      <w:r>
                        <w:rPr>
                          <w:rFonts w:hint="eastAsia"/>
                        </w:rPr>
                        <w:t>项目所在地</w:t>
                      </w:r>
                    </w:p>
                  </w:txbxContent>
                </v:textbox>
              </v:shape>
            </w:pict>
          </mc:Fallback>
        </mc:AlternateContent>
      </w:r>
      <w:r>
        <w:rPr>
          <w:rFonts w:ascii="Times New Roman" w:hAnsi="Times New Roman"/>
          <w:color w:val="000000" w:themeColor="text1"/>
          <w14:textFill>
            <w14:solidFill>
              <w14:schemeClr w14:val="tx1"/>
            </w14:solidFill>
          </w14:textFill>
        </w:rPr>
        <w:drawing>
          <wp:anchor distT="0" distB="0" distL="114300" distR="114300" simplePos="0" relativeHeight="251660288" behindDoc="0" locked="0" layoutInCell="1" allowOverlap="1">
            <wp:simplePos x="0" y="0"/>
            <wp:positionH relativeFrom="column">
              <wp:posOffset>4631690</wp:posOffset>
            </wp:positionH>
            <wp:positionV relativeFrom="paragraph">
              <wp:posOffset>34925</wp:posOffset>
            </wp:positionV>
            <wp:extent cx="789305" cy="888365"/>
            <wp:effectExtent l="0" t="0" r="10795" b="6985"/>
            <wp:wrapNone/>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44"/>
                    <a:stretch>
                      <a:fillRect/>
                    </a:stretch>
                  </pic:blipFill>
                  <pic:spPr>
                    <a:xfrm>
                      <a:off x="0" y="0"/>
                      <a:ext cx="789305" cy="888365"/>
                    </a:xfrm>
                    <a:prstGeom prst="rect">
                      <a:avLst/>
                    </a:prstGeom>
                    <a:noFill/>
                    <a:ln>
                      <a:noFill/>
                    </a:ln>
                  </pic:spPr>
                </pic:pic>
              </a:graphicData>
            </a:graphic>
          </wp:anchor>
        </w:drawing>
      </w:r>
      <w:r>
        <w:rPr>
          <w:rFonts w:eastAsia="黑体"/>
          <w:color w:val="000000" w:themeColor="text1"/>
          <w14:textFill>
            <w14:solidFill>
              <w14:schemeClr w14:val="tx1"/>
            </w14:solidFill>
          </w14:textFill>
        </w:rPr>
        <w:drawing>
          <wp:inline distT="0" distB="0" distL="114300" distR="114300">
            <wp:extent cx="5266690" cy="7209790"/>
            <wp:effectExtent l="0" t="0" r="10160" b="10160"/>
            <wp:docPr id="39" name="图片 39" descr="湘阴县行政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湘阴县行政区划图"/>
                    <pic:cNvPicPr>
                      <a:picLocks noChangeAspect="1"/>
                    </pic:cNvPicPr>
                  </pic:nvPicPr>
                  <pic:blipFill>
                    <a:blip r:embed="rId45"/>
                    <a:stretch>
                      <a:fillRect/>
                    </a:stretch>
                  </pic:blipFill>
                  <pic:spPr>
                    <a:xfrm>
                      <a:off x="0" y="0"/>
                      <a:ext cx="5266690" cy="7209790"/>
                    </a:xfrm>
                    <a:prstGeom prst="rect">
                      <a:avLst/>
                    </a:prstGeom>
                    <a:noFill/>
                    <a:ln>
                      <a:noFill/>
                    </a:ln>
                  </pic:spPr>
                </pic:pic>
              </a:graphicData>
            </a:graphic>
          </wp:inline>
        </w:drawing>
      </w:r>
    </w:p>
    <w:p>
      <w:pPr>
        <w:pStyle w:val="2"/>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附图2：项目平面布置图</w:t>
      </w:r>
    </w:p>
    <w:p>
      <w:pPr>
        <w:pStyle w:val="2"/>
        <w:jc w:val="center"/>
        <w:rPr>
          <w:rFonts w:ascii="Times New Roman" w:hAnsi="Times New Roman"/>
          <w:color w:val="000000" w:themeColor="text1"/>
          <w14:textFill>
            <w14:solidFill>
              <w14:schemeClr w14:val="tx1"/>
            </w14:solidFill>
          </w14:textFill>
        </w:rPr>
        <w:sectPr>
          <w:pgSz w:w="16838" w:h="11906" w:orient="landscape"/>
          <w:pgMar w:top="1531" w:right="1701" w:bottom="1531" w:left="1701" w:header="851" w:footer="851" w:gutter="0"/>
          <w:cols w:space="720" w:num="1"/>
          <w:docGrid w:linePitch="312" w:charSpace="0"/>
        </w:sectPr>
      </w:pPr>
      <w:r>
        <w:rPr>
          <w:color w:val="000000" w:themeColor="text1"/>
          <w14:textFill>
            <w14:solidFill>
              <w14:schemeClr w14:val="tx1"/>
            </w14:solidFill>
          </w14:textFill>
        </w:rPr>
        <w:drawing>
          <wp:inline distT="0" distB="0" distL="114300" distR="114300">
            <wp:extent cx="7048500" cy="5176520"/>
            <wp:effectExtent l="0" t="0" r="0" b="5080"/>
            <wp:docPr id="4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3"/>
                    <pic:cNvPicPr>
                      <a:picLocks noChangeAspect="1"/>
                    </pic:cNvPicPr>
                  </pic:nvPicPr>
                  <pic:blipFill>
                    <a:blip r:embed="rId46"/>
                    <a:stretch>
                      <a:fillRect/>
                    </a:stretch>
                  </pic:blipFill>
                  <pic:spPr>
                    <a:xfrm>
                      <a:off x="0" y="0"/>
                      <a:ext cx="7048500" cy="5176520"/>
                    </a:xfrm>
                    <a:prstGeom prst="rect">
                      <a:avLst/>
                    </a:prstGeom>
                    <a:noFill/>
                    <a:ln>
                      <a:noFill/>
                    </a:ln>
                  </pic:spPr>
                </pic:pic>
              </a:graphicData>
            </a:graphic>
          </wp:inline>
        </w:drawing>
      </w:r>
      <w:r>
        <w:rPr>
          <w:rFonts w:ascii="Times New Roman" w:hAnsi="Times New Roman"/>
          <w:color w:val="000000" w:themeColor="text1"/>
          <w14:textFill>
            <w14:solidFill>
              <w14:schemeClr w14:val="tx1"/>
            </w14:solidFill>
          </w14:textFill>
        </w:rPr>
        <w:drawing>
          <wp:anchor distT="0" distB="0" distL="114300" distR="114300" simplePos="0" relativeHeight="251661312" behindDoc="0" locked="0" layoutInCell="1" allowOverlap="1">
            <wp:simplePos x="0" y="0"/>
            <wp:positionH relativeFrom="column">
              <wp:posOffset>5377815</wp:posOffset>
            </wp:positionH>
            <wp:positionV relativeFrom="paragraph">
              <wp:posOffset>21590</wp:posOffset>
            </wp:positionV>
            <wp:extent cx="789305" cy="888365"/>
            <wp:effectExtent l="0" t="0" r="10795" b="6985"/>
            <wp:wrapNone/>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44"/>
                    <a:stretch>
                      <a:fillRect/>
                    </a:stretch>
                  </pic:blipFill>
                  <pic:spPr>
                    <a:xfrm>
                      <a:off x="0" y="0"/>
                      <a:ext cx="789305" cy="888365"/>
                    </a:xfrm>
                    <a:prstGeom prst="rect">
                      <a:avLst/>
                    </a:prstGeom>
                    <a:noFill/>
                    <a:ln>
                      <a:noFill/>
                    </a:ln>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5888355</wp:posOffset>
                </wp:positionH>
                <wp:positionV relativeFrom="paragraph">
                  <wp:posOffset>1951355</wp:posOffset>
                </wp:positionV>
                <wp:extent cx="868680" cy="264795"/>
                <wp:effectExtent l="54610" t="4445" r="10160" b="359410"/>
                <wp:wrapNone/>
                <wp:docPr id="10" name="自选图形 24"/>
                <wp:cNvGraphicFramePr/>
                <a:graphic xmlns:a="http://schemas.openxmlformats.org/drawingml/2006/main">
                  <a:graphicData uri="http://schemas.microsoft.com/office/word/2010/wordprocessingShape">
                    <wps:wsp>
                      <wps:cNvSpPr/>
                      <wps:spPr>
                        <a:xfrm>
                          <a:off x="0" y="0"/>
                          <a:ext cx="868680" cy="264795"/>
                        </a:xfrm>
                        <a:prstGeom prst="wedgeRectCallout">
                          <a:avLst>
                            <a:gd name="adj1" fmla="val -54370"/>
                            <a:gd name="adj2" fmla="val 172301"/>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危废暂存间</w:t>
                            </w:r>
                          </w:p>
                        </w:txbxContent>
                      </wps:txbx>
                      <wps:bodyPr wrap="square" upright="1"/>
                    </wps:wsp>
                  </a:graphicData>
                </a:graphic>
              </wp:anchor>
            </w:drawing>
          </mc:Choice>
          <mc:Fallback>
            <w:pict>
              <v:shape id="自选图形 24" o:spid="_x0000_s1026" o:spt="61" type="#_x0000_t61" style="position:absolute;left:0pt;margin-left:463.65pt;margin-top:153.65pt;height:20.85pt;width:68.4pt;z-index:251668480;mso-width-relative:page;mso-height-relative:page;" fillcolor="#FFFFFF" filled="t" stroked="t" coordsize="21600,21600" o:gfxdata="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SyNdraAAAADAEAAA8AAAAAAAAAAQAg&#10;AAAAIgAAAGRycy9kb3ducmV2LnhtbFBLAQIUABQAAAAIAIdO4kBHoeR0RQIAAJ0EAAAOAAAAAAAA&#10;AAEAIAAAACkBAABkcnMvZTJvRG9jLnhtbFBLBQYAAAAABgAGAFkBAADgBQAAAAA=&#10;" adj="-944,48017">
                <v:fill on="t" focussize="0,0"/>
                <v:stroke color="#000000" joinstyle="miter"/>
                <v:imagedata o:title=""/>
                <o:lock v:ext="edit" aspectratio="f"/>
                <v:textbox>
                  <w:txbxContent>
                    <w:p>
                      <w:r>
                        <w:rPr>
                          <w:rFonts w:hint="eastAsia"/>
                        </w:rPr>
                        <w:t>危废暂存间</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5814060</wp:posOffset>
                </wp:positionH>
                <wp:positionV relativeFrom="paragraph">
                  <wp:posOffset>2553335</wp:posOffset>
                </wp:positionV>
                <wp:extent cx="92075" cy="117475"/>
                <wp:effectExtent l="4445" t="4445" r="17780" b="11430"/>
                <wp:wrapNone/>
                <wp:docPr id="8" name="矩形 22"/>
                <wp:cNvGraphicFramePr/>
                <a:graphic xmlns:a="http://schemas.openxmlformats.org/drawingml/2006/main">
                  <a:graphicData uri="http://schemas.microsoft.com/office/word/2010/wordprocessingShape">
                    <wps:wsp>
                      <wps:cNvSpPr/>
                      <wps:spPr>
                        <a:xfrm>
                          <a:off x="0" y="0"/>
                          <a:ext cx="92075" cy="117475"/>
                        </a:xfrm>
                        <a:prstGeom prst="rect">
                          <a:avLst/>
                        </a:prstGeom>
                        <a:solidFill>
                          <a:srgbClr val="FF00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矩形 22" o:spid="_x0000_s1026" o:spt="1" style="position:absolute;left:0pt;margin-left:457.8pt;margin-top:201.05pt;height:9.25pt;width:7.25pt;z-index:251666432;mso-width-relative:page;mso-height-relative:page;" fillcolor="#FF0000" filled="t" stroked="t" coordsize="21600,21600" o:gfxdata="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32RzF9kAAAALAQAADwAAAAAAAAABACAAAAAiAAAAZHJz&#10;L2Rvd25yZXYueG1sUEsBAhQAFAAAAAgAh07iQBtDCxIDAgAAKwQAAA4AAAAAAAAAAQAgAAAAKAEA&#10;AGRycy9lMm9Eb2MueG1sUEsFBgAAAAAGAAYAWQEAAJ0FAAAAAA==&#10;">
                <v:fill on="t" focussize="0,0"/>
                <v:stroke color="#000000" joinstyle="miter"/>
                <v:imagedata o:title=""/>
                <o:lock v:ext="edit" aspectratio="f"/>
              </v:rect>
            </w:pict>
          </mc:Fallback>
        </mc:AlternateContent>
      </w:r>
    </w:p>
    <w:p>
      <w:pPr>
        <w:pStyle w:val="2"/>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anchor distT="0" distB="0" distL="114300" distR="114300" simplePos="0" relativeHeight="251662336" behindDoc="0" locked="0" layoutInCell="1" allowOverlap="1">
            <wp:simplePos x="0" y="0"/>
            <wp:positionH relativeFrom="column">
              <wp:posOffset>7725410</wp:posOffset>
            </wp:positionH>
            <wp:positionV relativeFrom="paragraph">
              <wp:posOffset>187325</wp:posOffset>
            </wp:positionV>
            <wp:extent cx="789305" cy="888365"/>
            <wp:effectExtent l="0" t="0" r="10795" b="6985"/>
            <wp:wrapNone/>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pic:cNvPicPr>
                  </pic:nvPicPr>
                  <pic:blipFill>
                    <a:blip r:embed="rId44"/>
                    <a:stretch>
                      <a:fillRect/>
                    </a:stretch>
                  </pic:blipFill>
                  <pic:spPr>
                    <a:xfrm>
                      <a:off x="0" y="0"/>
                      <a:ext cx="789305" cy="888365"/>
                    </a:xfrm>
                    <a:prstGeom prst="rect">
                      <a:avLst/>
                    </a:prstGeom>
                    <a:noFill/>
                    <a:ln>
                      <a:noFill/>
                    </a:ln>
                  </pic:spPr>
                </pic:pic>
              </a:graphicData>
            </a:graphic>
          </wp:anchor>
        </w:drawing>
      </w:r>
      <w:r>
        <w:rPr>
          <w:rFonts w:ascii="Times New Roman" w:hAnsi="Times New Roman"/>
          <w:color w:val="000000" w:themeColor="text1"/>
          <w14:textFill>
            <w14:solidFill>
              <w14:schemeClr w14:val="tx1"/>
            </w14:solidFill>
          </w14:textFill>
        </w:rPr>
        <w:t>附图3：项目敏感点位图</w:t>
      </w:r>
    </w:p>
    <w:p>
      <w:pPr>
        <w:pStyle w:val="2"/>
        <w:rPr>
          <w:rFonts w:ascii="Times New Roman" w:hAnsi="Times New Roman"/>
          <w:color w:val="000000" w:themeColor="text1"/>
          <w14:textFill>
            <w14:solidFill>
              <w14:schemeClr w14:val="tx1"/>
            </w14:solidFill>
          </w14:textFill>
        </w:rPr>
        <w:sectPr>
          <w:pgSz w:w="16838" w:h="11906" w:orient="landscape"/>
          <w:pgMar w:top="1531" w:right="1701" w:bottom="1531" w:left="1701" w:header="851" w:footer="851" w:gutter="0"/>
          <w:cols w:space="720" w:num="1"/>
          <w:docGrid w:linePitch="312" w:charSpace="0"/>
        </w:sectPr>
      </w:pP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3818255</wp:posOffset>
                </wp:positionH>
                <wp:positionV relativeFrom="paragraph">
                  <wp:posOffset>3160395</wp:posOffset>
                </wp:positionV>
                <wp:extent cx="868680" cy="264795"/>
                <wp:effectExtent l="54610" t="4445" r="10160" b="359410"/>
                <wp:wrapNone/>
                <wp:docPr id="9" name="自选图形 23"/>
                <wp:cNvGraphicFramePr/>
                <a:graphic xmlns:a="http://schemas.openxmlformats.org/drawingml/2006/main">
                  <a:graphicData uri="http://schemas.microsoft.com/office/word/2010/wordprocessingShape">
                    <wps:wsp>
                      <wps:cNvSpPr/>
                      <wps:spPr>
                        <a:xfrm>
                          <a:off x="0" y="0"/>
                          <a:ext cx="868680" cy="264795"/>
                        </a:xfrm>
                        <a:prstGeom prst="wedgeRectCallout">
                          <a:avLst>
                            <a:gd name="adj1" fmla="val -54370"/>
                            <a:gd name="adj2" fmla="val 172301"/>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项目所在地</w:t>
                            </w:r>
                          </w:p>
                        </w:txbxContent>
                      </wps:txbx>
                      <wps:bodyPr wrap="square" upright="1"/>
                    </wps:wsp>
                  </a:graphicData>
                </a:graphic>
              </wp:anchor>
            </w:drawing>
          </mc:Choice>
          <mc:Fallback>
            <w:pict>
              <v:shape id="自选图形 23" o:spid="_x0000_s1026" o:spt="61" type="#_x0000_t61" style="position:absolute;left:0pt;margin-left:300.65pt;margin-top:248.85pt;height:20.85pt;width:68.4pt;z-index:251667456;mso-width-relative:page;mso-height-relative:page;" fillcolor="#FFFFFF" filled="t" stroked="t" coordsize="21600,21600" o:gfxdata="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TikEb3AAAAAsBAAAPAAAAAAAAAAEA&#10;IAAAACIAAABkcnMvZG93bnJldi54bWxQSwECFAAUAAAACACHTuJAXqttf0QCAACcBAAADgAAAAAA&#10;AAABACAAAAArAQAAZHJzL2Uyb0RvYy54bWxQSwUGAAAAAAYABgBZAQAA4QUAAAAA&#10;" adj="-944,48017">
                <v:fill on="t" focussize="0,0"/>
                <v:stroke color="#000000" joinstyle="miter"/>
                <v:imagedata o:title=""/>
                <o:lock v:ext="edit" aspectratio="f"/>
                <v:textbox>
                  <w:txbxContent>
                    <w:p>
                      <w:r>
                        <w:rPr>
                          <w:rFonts w:hint="eastAsia"/>
                        </w:rPr>
                        <w:t>项目所在地</w:t>
                      </w:r>
                    </w:p>
                  </w:txbxContent>
                </v:textbox>
              </v:shape>
            </w:pict>
          </mc:Fallback>
        </mc:AlternateContent>
      </w:r>
      <w:r>
        <w:rPr>
          <w:color w:val="000000" w:themeColor="text1"/>
          <w14:textFill>
            <w14:solidFill>
              <w14:schemeClr w14:val="tx1"/>
            </w14:solidFill>
          </w14:textFill>
        </w:rPr>
        <w:drawing>
          <wp:inline distT="0" distB="0" distL="114300" distR="114300">
            <wp:extent cx="8526145" cy="5165725"/>
            <wp:effectExtent l="0" t="0" r="8255" b="15875"/>
            <wp:docPr id="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5"/>
                    <pic:cNvPicPr>
                      <a:picLocks noChangeAspect="1"/>
                    </pic:cNvPicPr>
                  </pic:nvPicPr>
                  <pic:blipFill>
                    <a:blip r:embed="rId47"/>
                    <a:stretch>
                      <a:fillRect/>
                    </a:stretch>
                  </pic:blipFill>
                  <pic:spPr>
                    <a:xfrm>
                      <a:off x="0" y="0"/>
                      <a:ext cx="8526145" cy="5165725"/>
                    </a:xfrm>
                    <a:prstGeom prst="rect">
                      <a:avLst/>
                    </a:prstGeom>
                    <a:noFill/>
                    <a:ln>
                      <a:noFill/>
                    </a:ln>
                  </pic:spPr>
                </pic:pic>
              </a:graphicData>
            </a:graphic>
          </wp:inline>
        </w:drawing>
      </w:r>
    </w:p>
    <w:p>
      <w:pPr>
        <w:pStyle w:val="2"/>
        <w:rPr>
          <w:rFonts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t>附图5</w:t>
      </w:r>
      <w:r>
        <w:rPr>
          <w:rFonts w:hint="eastAsia" w:ascii="Times New Roman" w:hAnsi="Times New Roman"/>
          <w:b/>
          <w:bCs/>
          <w:color w:val="000000" w:themeColor="text1"/>
          <w14:textFill>
            <w14:solidFill>
              <w14:schemeClr w14:val="tx1"/>
            </w14:solidFill>
          </w14:textFill>
        </w:rPr>
        <w:t>4</w:t>
      </w:r>
      <w:r>
        <w:rPr>
          <w:rFonts w:ascii="Times New Roman" w:hAnsi="Times New Roman"/>
          <w:b/>
          <w:bCs/>
          <w:color w:val="000000" w:themeColor="text1"/>
          <w14:textFill>
            <w14:solidFill>
              <w14:schemeClr w14:val="tx1"/>
            </w14:solidFill>
          </w14:textFill>
        </w:rPr>
        <w:t>： 项目周边情况图</w:t>
      </w:r>
    </w:p>
    <w:p>
      <w:pPr>
        <w:pStyle w:val="2"/>
        <w:rPr>
          <w:rFonts w:ascii="Times New Roman" w:hAnsi="Times New Roman"/>
          <w:color w:val="000000" w:themeColor="text1"/>
          <w14:textFill>
            <w14:solidFill>
              <w14:schemeClr w14:val="tx1"/>
            </w14:solidFill>
          </w14:textFill>
        </w:rPr>
        <w:sectPr>
          <w:pgSz w:w="16838" w:h="11906" w:orient="landscape"/>
          <w:pgMar w:top="1531" w:right="1701" w:bottom="1531" w:left="1701" w:header="851" w:footer="851" w:gutter="0"/>
          <w:cols w:space="720" w:num="1"/>
          <w:docGrid w:linePitch="312" w:charSpace="0"/>
        </w:sectPr>
      </w:pPr>
      <w:r>
        <w:rPr>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2353945</wp:posOffset>
                </wp:positionH>
                <wp:positionV relativeFrom="paragraph">
                  <wp:posOffset>2696210</wp:posOffset>
                </wp:positionV>
                <wp:extent cx="868680" cy="264795"/>
                <wp:effectExtent l="54610" t="4445" r="10160" b="359410"/>
                <wp:wrapNone/>
                <wp:docPr id="13" name="自选图形 28"/>
                <wp:cNvGraphicFramePr/>
                <a:graphic xmlns:a="http://schemas.openxmlformats.org/drawingml/2006/main">
                  <a:graphicData uri="http://schemas.microsoft.com/office/word/2010/wordprocessingShape">
                    <wps:wsp>
                      <wps:cNvSpPr/>
                      <wps:spPr>
                        <a:xfrm>
                          <a:off x="0" y="0"/>
                          <a:ext cx="868680" cy="264795"/>
                        </a:xfrm>
                        <a:prstGeom prst="wedgeRectCallout">
                          <a:avLst>
                            <a:gd name="adj1" fmla="val -54370"/>
                            <a:gd name="adj2" fmla="val 172301"/>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项目所在地</w:t>
                            </w:r>
                          </w:p>
                        </w:txbxContent>
                      </wps:txbx>
                      <wps:bodyPr wrap="square" upright="1"/>
                    </wps:wsp>
                  </a:graphicData>
                </a:graphic>
              </wp:anchor>
            </w:drawing>
          </mc:Choice>
          <mc:Fallback>
            <w:pict>
              <v:shape id="自选图形 28" o:spid="_x0000_s1026" o:spt="61" type="#_x0000_t61" style="position:absolute;left:0pt;margin-left:185.35pt;margin-top:212.3pt;height:20.85pt;width:68.4pt;z-index:251671552;mso-width-relative:page;mso-height-relative:page;" fillcolor="#FFFFFF" filled="t" stroked="t" coordsize="21600,21600" o:gfxdata="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X4gkdsAAAALAQAADwAAAAAAAAAB&#10;ACAAAAAiAAAAZHJzL2Rvd25yZXYueG1sUEsBAhQAFAAAAAgAh07iQJ9HSPZGAgAAnQQAAA4AAAAA&#10;AAAAAQAgAAAAKgEAAGRycy9lMm9Eb2MueG1sUEsFBgAAAAAGAAYAWQEAAOIFAAAAAA==&#10;" adj="-944,48017">
                <v:fill on="t" focussize="0,0"/>
                <v:stroke color="#000000" joinstyle="miter"/>
                <v:imagedata o:title=""/>
                <o:lock v:ext="edit" aspectratio="f"/>
                <v:textbox>
                  <w:txbxContent>
                    <w:p>
                      <w:r>
                        <w:rPr>
                          <w:rFonts w:hint="eastAsia"/>
                        </w:rPr>
                        <w:t>项目所在地</w:t>
                      </w:r>
                    </w:p>
                  </w:txbxContent>
                </v:textbox>
              </v:shape>
            </w:pict>
          </mc:Fallback>
        </mc:AlternateContent>
      </w:r>
      <w:r>
        <w:rPr>
          <w:rFonts w:ascii="Times New Roman" w:hAnsi="Times New Roman"/>
          <w:color w:val="000000" w:themeColor="text1"/>
          <w14:textFill>
            <w14:solidFill>
              <w14:schemeClr w14:val="tx1"/>
            </w14:solidFill>
          </w14:textFill>
        </w:rPr>
        <w:drawing>
          <wp:anchor distT="0" distB="0" distL="114300" distR="114300" simplePos="0" relativeHeight="251663360" behindDoc="0" locked="0" layoutInCell="1" allowOverlap="1">
            <wp:simplePos x="0" y="0"/>
            <wp:positionH relativeFrom="column">
              <wp:posOffset>7633335</wp:posOffset>
            </wp:positionH>
            <wp:positionV relativeFrom="paragraph">
              <wp:posOffset>1270</wp:posOffset>
            </wp:positionV>
            <wp:extent cx="789305" cy="888365"/>
            <wp:effectExtent l="0" t="0" r="10795" b="6985"/>
            <wp:wrapNone/>
            <wp:docPr id="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
                    <pic:cNvPicPr>
                      <a:picLocks noChangeAspect="1"/>
                    </pic:cNvPicPr>
                  </pic:nvPicPr>
                  <pic:blipFill>
                    <a:blip r:embed="rId44"/>
                    <a:stretch>
                      <a:fillRect/>
                    </a:stretch>
                  </pic:blipFill>
                  <pic:spPr>
                    <a:xfrm>
                      <a:off x="0" y="0"/>
                      <a:ext cx="789305" cy="888365"/>
                    </a:xfrm>
                    <a:prstGeom prst="rect">
                      <a:avLst/>
                    </a:prstGeom>
                    <a:noFill/>
                    <a:ln>
                      <a:noFill/>
                    </a:ln>
                  </pic:spPr>
                </pic:pic>
              </a:graphicData>
            </a:graphic>
          </wp:anchor>
        </w:drawing>
      </w:r>
      <w:r>
        <w:rPr>
          <w:rFonts w:ascii="Times New Roman" w:hAnsi="Times New Roman"/>
          <w:color w:val="000000" w:themeColor="text1"/>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1659890</wp:posOffset>
                </wp:positionH>
                <wp:positionV relativeFrom="paragraph">
                  <wp:posOffset>3094990</wp:posOffset>
                </wp:positionV>
                <wp:extent cx="863600" cy="692150"/>
                <wp:effectExtent l="4445" t="4445" r="8255" b="8255"/>
                <wp:wrapNone/>
                <wp:docPr id="1" name="任意多边形 10"/>
                <wp:cNvGraphicFramePr/>
                <a:graphic xmlns:a="http://schemas.openxmlformats.org/drawingml/2006/main">
                  <a:graphicData uri="http://schemas.microsoft.com/office/word/2010/wordprocessingShape">
                    <wps:wsp>
                      <wps:cNvSpPr/>
                      <wps:spPr>
                        <a:xfrm>
                          <a:off x="0" y="0"/>
                          <a:ext cx="863600" cy="692150"/>
                        </a:xfrm>
                        <a:custGeom>
                          <a:avLst/>
                          <a:gdLst/>
                          <a:ahLst/>
                          <a:cxnLst/>
                          <a:pathLst>
                            <a:path w="1360" h="1090">
                              <a:moveTo>
                                <a:pt x="380" y="0"/>
                              </a:moveTo>
                              <a:lnTo>
                                <a:pt x="0" y="680"/>
                              </a:lnTo>
                              <a:lnTo>
                                <a:pt x="850" y="1090"/>
                              </a:lnTo>
                              <a:lnTo>
                                <a:pt x="1360" y="400"/>
                              </a:lnTo>
                              <a:lnTo>
                                <a:pt x="380" y="0"/>
                              </a:lnTo>
                              <a:close/>
                            </a:path>
                          </a:pathLst>
                        </a:custGeom>
                        <a:noFill/>
                        <a:ln w="9525" cap="flat" cmpd="sng">
                          <a:solidFill>
                            <a:srgbClr val="FF0000"/>
                          </a:solidFill>
                          <a:prstDash val="solid"/>
                          <a:headEnd type="none" w="med" len="med"/>
                          <a:tailEnd type="none" w="med" len="med"/>
                        </a:ln>
                      </wps:spPr>
                      <wps:bodyPr vert="horz" wrap="square" anchor="t" anchorCtr="0" upright="1"/>
                    </wps:wsp>
                  </a:graphicData>
                </a:graphic>
              </wp:anchor>
            </w:drawing>
          </mc:Choice>
          <mc:Fallback>
            <w:pict>
              <v:shape id="任意多边形 10" o:spid="_x0000_s1026" o:spt="100" style="position:absolute;left:0pt;margin-left:130.7pt;margin-top:243.7pt;height:54.5pt;width:68pt;z-index:251659264;mso-width-relative:page;mso-height-relative:page;" filled="f" stroked="t" coordsize="1360,1090" o:gfxdata="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WwWI2QAAAAsBAAAPAAAAAAAAAAEAIAAAACIAAABk&#10;cnMvZG93bnJldi54bWxQSwECFAAUAAAACACHTuJAh5nXlHcCAABGBQAADgAAAAAAAAABACAAAAAo&#10;AQAAZHJzL2Uyb0RvYy54bWxQSwUGAAAAAAYABgBZAQAAEQYAAAAA&#10;" path="m380,0l0,680,850,1090,1360,400,380,0xe">
                <v:fill on="f" focussize="0,0"/>
                <v:stroke color="#FF0000" joinstyle="round"/>
                <v:imagedata o:title=""/>
                <o:lock v:ext="edit" aspectratio="f"/>
              </v:shape>
            </w:pict>
          </mc:Fallback>
        </mc:AlternateContent>
      </w:r>
      <w:r>
        <w:rPr>
          <w:rFonts w:ascii="Times New Roman" w:hAnsi="Times New Roman"/>
          <w:color w:val="000000" w:themeColor="text1"/>
          <w14:textFill>
            <w14:solidFill>
              <w14:schemeClr w14:val="tx1"/>
            </w14:solidFill>
          </w14:textFill>
        </w:rPr>
        <w:drawing>
          <wp:inline distT="0" distB="0" distL="114300" distR="114300">
            <wp:extent cx="8444865" cy="4870450"/>
            <wp:effectExtent l="0" t="0" r="13335" b="6350"/>
            <wp:docPr id="42" name="图片 40" descr="055e5be71bcc9beeb301445becdf3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0" descr="055e5be71bcc9beeb301445becdf3e0"/>
                    <pic:cNvPicPr>
                      <a:picLocks noChangeAspect="1"/>
                    </pic:cNvPicPr>
                  </pic:nvPicPr>
                  <pic:blipFill>
                    <a:blip r:embed="rId48"/>
                    <a:stretch>
                      <a:fillRect/>
                    </a:stretch>
                  </pic:blipFill>
                  <pic:spPr>
                    <a:xfrm>
                      <a:off x="0" y="0"/>
                      <a:ext cx="8444865" cy="4870450"/>
                    </a:xfrm>
                    <a:prstGeom prst="rect">
                      <a:avLst/>
                    </a:prstGeom>
                    <a:noFill/>
                    <a:ln>
                      <a:noFill/>
                    </a:ln>
                  </pic:spPr>
                </pic:pic>
              </a:graphicData>
            </a:graphic>
          </wp:inline>
        </w:drawing>
      </w:r>
    </w:p>
    <w:p>
      <w:pPr>
        <w:pStyle w:val="2"/>
        <w:rPr>
          <w:rFonts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t>附图</w:t>
      </w:r>
      <w:r>
        <w:rPr>
          <w:rFonts w:hint="eastAsia" w:ascii="Times New Roman" w:hAnsi="Times New Roman"/>
          <w:b/>
          <w:bCs/>
          <w:color w:val="000000" w:themeColor="text1"/>
          <w14:textFill>
            <w14:solidFill>
              <w14:schemeClr w14:val="tx1"/>
            </w14:solidFill>
          </w14:textFill>
        </w:rPr>
        <w:t>5</w:t>
      </w:r>
      <w:r>
        <w:rPr>
          <w:rFonts w:ascii="Times New Roman" w:hAnsi="Times New Roman"/>
          <w:b/>
          <w:bCs/>
          <w:color w:val="000000" w:themeColor="text1"/>
          <w14:textFill>
            <w14:solidFill>
              <w14:schemeClr w14:val="tx1"/>
            </w14:solidFill>
          </w14:textFill>
        </w:rPr>
        <w:t>： 项目排水走向图</w:t>
      </w:r>
    </w:p>
    <w:p>
      <w:pPr>
        <w:pStyle w:val="2"/>
        <w:rPr>
          <w:rFonts w:ascii="Times New Roman" w:hAnsi="Times New Roman"/>
          <w:color w:val="000000" w:themeColor="text1"/>
          <w14:textFill>
            <w14:solidFill>
              <w14:schemeClr w14:val="tx1"/>
            </w14:solidFill>
          </w14:textFill>
        </w:rPr>
        <w:sectPr>
          <w:pgSz w:w="16838" w:h="11906" w:orient="landscape"/>
          <w:pgMar w:top="1531" w:right="1701" w:bottom="1531" w:left="1701" w:header="851" w:footer="851" w:gutter="0"/>
          <w:cols w:space="720" w:num="1"/>
          <w:docGrid w:linePitch="312" w:charSpace="0"/>
        </w:sectPr>
      </w:pP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2807970</wp:posOffset>
                </wp:positionH>
                <wp:positionV relativeFrom="paragraph">
                  <wp:posOffset>1604645</wp:posOffset>
                </wp:positionV>
                <wp:extent cx="868680" cy="264795"/>
                <wp:effectExtent l="54610" t="4445" r="10160" b="359410"/>
                <wp:wrapNone/>
                <wp:docPr id="14" name="自选图形 29"/>
                <wp:cNvGraphicFramePr/>
                <a:graphic xmlns:a="http://schemas.openxmlformats.org/drawingml/2006/main">
                  <a:graphicData uri="http://schemas.microsoft.com/office/word/2010/wordprocessingShape">
                    <wps:wsp>
                      <wps:cNvSpPr/>
                      <wps:spPr>
                        <a:xfrm>
                          <a:off x="0" y="0"/>
                          <a:ext cx="868680" cy="264795"/>
                        </a:xfrm>
                        <a:prstGeom prst="wedgeRectCallout">
                          <a:avLst>
                            <a:gd name="adj1" fmla="val -54370"/>
                            <a:gd name="adj2" fmla="val 172301"/>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项目所在地</w:t>
                            </w:r>
                          </w:p>
                        </w:txbxContent>
                      </wps:txbx>
                      <wps:bodyPr wrap="square" upright="1"/>
                    </wps:wsp>
                  </a:graphicData>
                </a:graphic>
              </wp:anchor>
            </w:drawing>
          </mc:Choice>
          <mc:Fallback>
            <w:pict>
              <v:shape id="自选图形 29" o:spid="_x0000_s1026" o:spt="61" type="#_x0000_t61" style="position:absolute;left:0pt;margin-left:221.1pt;margin-top:126.35pt;height:20.85pt;width:68.4pt;z-index:251672576;mso-width-relative:page;mso-height-relative:page;" fillcolor="#FFFFFF" filled="t" stroked="t" coordsize="21600,21600" o:gfxdata="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rCKC9sAAAALAQAADwAAAAAAAAAB&#10;ACAAAAAiAAAAZHJzL2Rvd25yZXYueG1sUEsBAhQAFAAAAAgAh07iQAWDCQlGAgAAnQQAAA4AAAAA&#10;AAAAAQAgAAAAKgEAAGRycy9lMm9Eb2MueG1sUEsFBgAAAAAGAAYAWQEAAOIFAAAAAA==&#10;" adj="-944,48017">
                <v:fill on="t" focussize="0,0"/>
                <v:stroke color="#000000" joinstyle="miter"/>
                <v:imagedata o:title=""/>
                <o:lock v:ext="edit" aspectratio="f"/>
                <v:textbox>
                  <w:txbxContent>
                    <w:p>
                      <w:r>
                        <w:rPr>
                          <w:rFonts w:hint="eastAsia"/>
                        </w:rPr>
                        <w:t>项目所在地</w:t>
                      </w:r>
                    </w:p>
                  </w:txbxContent>
                </v:textbox>
              </v:shape>
            </w:pict>
          </mc:Fallback>
        </mc:AlternateContent>
      </w:r>
      <w:r>
        <w:rPr>
          <w:rFonts w:ascii="Times New Roman" w:hAnsi="Times New Roman"/>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2555240</wp:posOffset>
                </wp:positionH>
                <wp:positionV relativeFrom="paragraph">
                  <wp:posOffset>2230755</wp:posOffset>
                </wp:positionV>
                <wp:extent cx="247650" cy="387350"/>
                <wp:effectExtent l="4445" t="4445" r="14605" b="8255"/>
                <wp:wrapNone/>
                <wp:docPr id="6" name="矩形 18"/>
                <wp:cNvGraphicFramePr/>
                <a:graphic xmlns:a="http://schemas.openxmlformats.org/drawingml/2006/main">
                  <a:graphicData uri="http://schemas.microsoft.com/office/word/2010/wordprocessingShape">
                    <wps:wsp>
                      <wps:cNvSpPr/>
                      <wps:spPr>
                        <a:xfrm>
                          <a:off x="0" y="0"/>
                          <a:ext cx="247650" cy="387350"/>
                        </a:xfrm>
                        <a:prstGeom prst="rect">
                          <a:avLst/>
                        </a:prstGeom>
                        <a:noFill/>
                        <a:ln w="9525" cap="flat" cmpd="sng">
                          <a:solidFill>
                            <a:srgbClr val="FF0000"/>
                          </a:solidFill>
                          <a:prstDash val="solid"/>
                          <a:miter/>
                          <a:headEnd type="none" w="med" len="med"/>
                          <a:tailEnd type="none" w="med" len="med"/>
                        </a:ln>
                      </wps:spPr>
                      <wps:bodyPr wrap="square" upright="1"/>
                    </wps:wsp>
                  </a:graphicData>
                </a:graphic>
              </wp:anchor>
            </w:drawing>
          </mc:Choice>
          <mc:Fallback>
            <w:pict>
              <v:rect id="矩形 18" o:spid="_x0000_s1026" o:spt="1" style="position:absolute;left:0pt;margin-left:201.2pt;margin-top:175.65pt;height:30.5pt;width:19.5pt;z-index:251664384;mso-width-relative:page;mso-height-relative:page;" filled="f" stroked="t" coordsize="21600,21600" o:gfxdata="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Xyv7NoAAAALAQAADwAAAAAAAAABACAAAAAiAAAAZHJz&#10;L2Rvd25yZXYueG1sUEsBAhQAFAAAAAgAh07iQNWn33ACAgAAAwQAAA4AAAAAAAAAAQAgAAAAKQEA&#10;AGRycy9lMm9Eb2MueG1sUEsFBgAAAAAGAAYAWQEAAJ0FAAAAAA==&#10;">
                <v:fill on="f" focussize="0,0"/>
                <v:stroke color="#FF0000" joinstyle="miter"/>
                <v:imagedata o:title=""/>
                <o:lock v:ext="edit" aspectratio="f"/>
              </v:rect>
            </w:pict>
          </mc:Fallback>
        </mc:AlternateContent>
      </w:r>
      <w:r>
        <w:rPr>
          <w:rFonts w:ascii="Times New Roman" w:hAnsi="Times New Roman"/>
          <w:color w:val="000000" w:themeColor="text1"/>
          <w14:textFill>
            <w14:solidFill>
              <w14:schemeClr w14:val="tx1"/>
            </w14:solidFill>
          </w14:textFill>
        </w:rPr>
        <w:drawing>
          <wp:inline distT="0" distB="0" distL="114300" distR="114300">
            <wp:extent cx="7829550" cy="5391150"/>
            <wp:effectExtent l="0" t="0" r="0" b="0"/>
            <wp:docPr id="43" name="图片 37" descr="1623766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7" descr="1623766938(1)"/>
                    <pic:cNvPicPr>
                      <a:picLocks noChangeAspect="1"/>
                    </pic:cNvPicPr>
                  </pic:nvPicPr>
                  <pic:blipFill>
                    <a:blip r:embed="rId49"/>
                    <a:stretch>
                      <a:fillRect/>
                    </a:stretch>
                  </pic:blipFill>
                  <pic:spPr>
                    <a:xfrm>
                      <a:off x="0" y="0"/>
                      <a:ext cx="7829550" cy="5391150"/>
                    </a:xfrm>
                    <a:prstGeom prst="rect">
                      <a:avLst/>
                    </a:prstGeom>
                    <a:noFill/>
                    <a:ln>
                      <a:noFill/>
                    </a:ln>
                  </pic:spPr>
                </pic:pic>
              </a:graphicData>
            </a:graphic>
          </wp:inline>
        </w:drawing>
      </w:r>
    </w:p>
    <w:p>
      <w:pPr>
        <w:pStyle w:val="2"/>
        <w:rPr>
          <w:rFonts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t>附图</w:t>
      </w:r>
      <w:r>
        <w:rPr>
          <w:rFonts w:hint="eastAsia" w:ascii="Times New Roman" w:hAnsi="Times New Roman"/>
          <w:b/>
          <w:bCs/>
          <w:color w:val="000000" w:themeColor="text1"/>
          <w14:textFill>
            <w14:solidFill>
              <w14:schemeClr w14:val="tx1"/>
            </w14:solidFill>
          </w14:textFill>
        </w:rPr>
        <w:t>6</w:t>
      </w:r>
      <w:r>
        <w:rPr>
          <w:rFonts w:ascii="Times New Roman" w:hAnsi="Times New Roman"/>
          <w:b/>
          <w:bCs/>
          <w:color w:val="000000" w:themeColor="text1"/>
          <w14:textFill>
            <w14:solidFill>
              <w14:schemeClr w14:val="tx1"/>
            </w14:solidFill>
          </w14:textFill>
        </w:rPr>
        <w:t xml:space="preserve">： </w:t>
      </w:r>
      <w:r>
        <w:rPr>
          <w:rFonts w:hint="eastAsia" w:ascii="Times New Roman" w:hAnsi="Times New Roman"/>
          <w:b/>
          <w:bCs/>
          <w:color w:val="000000" w:themeColor="text1"/>
          <w14:textFill>
            <w14:solidFill>
              <w14:schemeClr w14:val="tx1"/>
            </w14:solidFill>
          </w14:textFill>
        </w:rPr>
        <w:t>区域水系图</w:t>
      </w:r>
    </w:p>
    <w:p>
      <w:pPr>
        <w:pStyle w:val="2"/>
        <w:rPr>
          <w:rFonts w:eastAsia="黑体"/>
          <w:color w:val="000000" w:themeColor="text1"/>
          <w14:textFill>
            <w14:solidFill>
              <w14:schemeClr w14:val="tx1"/>
            </w14:solidFill>
          </w14:textFill>
        </w:rPr>
        <w:sectPr>
          <w:pgSz w:w="16838" w:h="11906" w:orient="landscape"/>
          <w:pgMar w:top="1531" w:right="1701" w:bottom="1531" w:left="1701" w:header="851" w:footer="851" w:gutter="0"/>
          <w:cols w:space="720" w:num="1"/>
          <w:docGrid w:linePitch="312" w:charSpace="0"/>
        </w:sectPr>
      </w:pPr>
      <w:r>
        <w:rPr>
          <w:rFonts w:ascii="Times New Roman" w:hAnsi="Times New Roman"/>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6353175</wp:posOffset>
                </wp:positionH>
                <wp:positionV relativeFrom="paragraph">
                  <wp:posOffset>4110990</wp:posOffset>
                </wp:positionV>
                <wp:extent cx="977900" cy="273050"/>
                <wp:effectExtent l="5080" t="4445" r="7620" b="217805"/>
                <wp:wrapNone/>
                <wp:docPr id="7" name="自选图形 19"/>
                <wp:cNvGraphicFramePr/>
                <a:graphic xmlns:a="http://schemas.openxmlformats.org/drawingml/2006/main">
                  <a:graphicData uri="http://schemas.microsoft.com/office/word/2010/wordprocessingShape">
                    <wps:wsp>
                      <wps:cNvSpPr/>
                      <wps:spPr>
                        <a:xfrm>
                          <a:off x="0" y="0"/>
                          <a:ext cx="977900" cy="273050"/>
                        </a:xfrm>
                        <a:prstGeom prst="wedgeRectCallout">
                          <a:avLst>
                            <a:gd name="adj1" fmla="val -45907"/>
                            <a:gd name="adj2" fmla="val 120231"/>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项目所在地</w:t>
                            </w:r>
                          </w:p>
                        </w:txbxContent>
                      </wps:txbx>
                      <wps:bodyPr wrap="square" upright="1"/>
                    </wps:wsp>
                  </a:graphicData>
                </a:graphic>
              </wp:anchor>
            </w:drawing>
          </mc:Choice>
          <mc:Fallback>
            <w:pict>
              <v:shape id="自选图形 19" o:spid="_x0000_s1026" o:spt="61" type="#_x0000_t61" style="position:absolute;left:0pt;margin-left:500.25pt;margin-top:323.7pt;height:21.5pt;width:77pt;z-index:251665408;mso-width-relative:page;mso-height-relative:page;" fillcolor="#FFFFFF" filled="t" stroked="t" coordsize="21600,21600" o:gfxdata="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rG16jZAAAADQEAAA8AAAAAAAAAAQAgAAAA&#10;IgAAAGRycy9kb3ducmV2LnhtbFBLAQIUABQAAAAIAIdO4kDdRr28QwIAAJwEAAAOAAAAAAAAAAEA&#10;IAAAACgBAABkcnMvZTJvRG9jLnhtbFBLBQYAAAAABgAGAFkBAADdBQAAAAA=&#10;" adj="884,36770">
                <v:fill on="t" focussize="0,0"/>
                <v:stroke color="#000000" joinstyle="miter"/>
                <v:imagedata o:title=""/>
                <o:lock v:ext="edit" aspectratio="f"/>
                <v:textbox>
                  <w:txbxContent>
                    <w:p>
                      <w:r>
                        <w:rPr>
                          <w:rFonts w:hint="eastAsia"/>
                        </w:rPr>
                        <w:t>项目所在地</w:t>
                      </w:r>
                    </w:p>
                  </w:txbxContent>
                </v:textbox>
              </v:shape>
            </w:pict>
          </mc:Fallback>
        </mc:AlternateContent>
      </w:r>
      <w:r>
        <w:rPr>
          <w:color w:val="000000" w:themeColor="text1"/>
          <w14:textFill>
            <w14:solidFill>
              <w14:schemeClr w14:val="tx1"/>
            </w14:solidFill>
          </w14:textFill>
        </w:rPr>
        <w:pict>
          <v:shape id="_x0000_s1056" o:spid="_x0000_s1056" o:spt="136" type="#_x0000_t136" style="position:absolute;left:0pt;margin-left:246.35pt;margin-top:247pt;height:15.6pt;width:40.2pt;rotation:5898240f;z-index:251675648;mso-width-relative:page;mso-height-relative:page;" fillcolor="#000000" filled="t" stroked="t" coordsize="21600,21600">
            <v:path/>
            <v:fill on="t" focussize="0,0"/>
            <v:stroke/>
            <v:imagedata o:title=""/>
            <o:lock v:ext="edit"/>
            <v:textpath on="t" fitshape="t" fitpath="t" trim="t" xscale="f" string="湘江" style="font-family:宋体;font-size:36pt;v-rotate-letters:t;v-same-letter-heights:f;v-text-align:center;"/>
          </v:shape>
        </w:pict>
      </w:r>
      <w:r>
        <w:rPr>
          <w:b/>
          <w:color w:val="000000" w:themeColor="text1"/>
          <w14:textFill>
            <w14:solidFill>
              <w14:schemeClr w14:val="tx1"/>
            </w14:solidFill>
          </w14:textFill>
        </w:rPr>
        <w:pict>
          <v:shape id="艺术字 480" o:spid="_x0000_s1055" o:spt="136" type="#_x0000_t136" style="position:absolute;left:0pt;margin-left:366.5pt;margin-top:145.6pt;height:15.6pt;width:40.2pt;rotation:4720614f;z-index:251674624;mso-width-relative:page;mso-height-relative:page;" fillcolor="#000000" filled="t" stroked="t" coordsize="21600,21600">
            <v:path/>
            <v:fill on="t" focussize="0,0"/>
            <v:stroke/>
            <v:imagedata o:title=""/>
            <o:lock v:ext="edit"/>
            <v:textpath on="t" fitshape="t" fitpath="t" trim="t" xscale="f" string="洋沙湖" style="font-family:宋体;font-size:36pt;v-rotate-letters:t;v-same-letter-heights:f;v-text-align:center;"/>
          </v:shape>
        </w:pict>
      </w: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6308090</wp:posOffset>
                </wp:positionH>
                <wp:positionV relativeFrom="paragraph">
                  <wp:posOffset>4584065</wp:posOffset>
                </wp:positionV>
                <wp:extent cx="75565" cy="75565"/>
                <wp:effectExtent l="4445" t="4445" r="15240" b="15240"/>
                <wp:wrapNone/>
                <wp:docPr id="15" name="椭圆 30"/>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椭圆 30" o:spid="_x0000_s1026" o:spt="3" type="#_x0000_t3" style="position:absolute;left:0pt;margin-left:496.7pt;margin-top:360.95pt;height:5.95pt;width:5.95pt;z-index:251673600;mso-width-relative:page;mso-height-relative:page;" fillcolor="#FF0000" filled="t" stroked="t" coordsize="21600,21600" o:gfxdata="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18Ai62gAAAAwBAAAPAAAAAAAAAAEAIAAAACIAAABkcnMvZG93&#10;bnJldi54bWxQSwECFAAUAAAACACHTuJAK/gth/4BAAAkBAAADgAAAAAAAAABACAAAAApAQAAZHJz&#10;L2Uyb0RvYy54bWxQSwUGAAAAAAYABgBZAQAAmQUAAAAA&#10;">
                <v:fill on="t" focussize="0,0"/>
                <v:stroke color="#000000" joinstyle="round"/>
                <v:imagedata o:title=""/>
                <o:lock v:ext="edit" aspectratio="f"/>
              </v:shape>
            </w:pict>
          </mc:Fallback>
        </mc:AlternateContent>
      </w:r>
      <w:r>
        <w:rPr>
          <w:rFonts w:eastAsia="黑体"/>
          <w:color w:val="000000" w:themeColor="text1"/>
          <w14:textFill>
            <w14:solidFill>
              <w14:schemeClr w14:val="tx1"/>
            </w14:solidFill>
          </w14:textFill>
        </w:rPr>
        <w:drawing>
          <wp:inline distT="0" distB="0" distL="114300" distR="114300">
            <wp:extent cx="8246745" cy="4866640"/>
            <wp:effectExtent l="0" t="0" r="1905" b="10160"/>
            <wp:docPr id="4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8"/>
                    <pic:cNvPicPr>
                      <a:picLocks noChangeAspect="1"/>
                    </pic:cNvPicPr>
                  </pic:nvPicPr>
                  <pic:blipFill>
                    <a:blip r:embed="rId50"/>
                    <a:stretch>
                      <a:fillRect/>
                    </a:stretch>
                  </pic:blipFill>
                  <pic:spPr>
                    <a:xfrm>
                      <a:off x="0" y="0"/>
                      <a:ext cx="8246745" cy="4866640"/>
                    </a:xfrm>
                    <a:prstGeom prst="rect">
                      <a:avLst/>
                    </a:prstGeom>
                    <a:noFill/>
                    <a:ln>
                      <a:noFill/>
                    </a:ln>
                  </pic:spPr>
                </pic:pic>
              </a:graphicData>
            </a:graphic>
          </wp:inline>
        </w:drawing>
      </w:r>
    </w:p>
    <w:p>
      <w:pPr>
        <w:pStyle w:val="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附图7：周边环境现状图</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6"/>
        <w:gridCol w:w="6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826" w:type="dxa"/>
            <w:noWrap w:val="0"/>
            <w:vAlign w:val="center"/>
          </w:tcPr>
          <w:p>
            <w:pPr>
              <w:pStyle w:val="2"/>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3048000" cy="2286000"/>
                  <wp:effectExtent l="0" t="0" r="0" b="0"/>
                  <wp:docPr id="45" name="图片 46" descr="3cbbd09bca9cb7da4f025299ffbfd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6" descr="3cbbd09bca9cb7da4f025299ffbfd09"/>
                          <pic:cNvPicPr>
                            <a:picLocks noChangeAspect="1"/>
                          </pic:cNvPicPr>
                        </pic:nvPicPr>
                        <pic:blipFill>
                          <a:blip r:embed="rId51"/>
                          <a:stretch>
                            <a:fillRect/>
                          </a:stretch>
                        </pic:blipFill>
                        <pic:spPr>
                          <a:xfrm>
                            <a:off x="0" y="0"/>
                            <a:ext cx="3048000" cy="2286000"/>
                          </a:xfrm>
                          <a:prstGeom prst="rect">
                            <a:avLst/>
                          </a:prstGeom>
                          <a:noFill/>
                          <a:ln>
                            <a:noFill/>
                          </a:ln>
                        </pic:spPr>
                      </pic:pic>
                    </a:graphicData>
                  </a:graphic>
                </wp:inline>
              </w:drawing>
            </w:r>
          </w:p>
        </w:tc>
        <w:tc>
          <w:tcPr>
            <w:tcW w:w="6826" w:type="dxa"/>
            <w:noWrap w:val="0"/>
            <w:vAlign w:val="center"/>
          </w:tcPr>
          <w:p>
            <w:pPr>
              <w:pStyle w:val="2"/>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3187700" cy="2390775"/>
                  <wp:effectExtent l="0" t="0" r="12700" b="9525"/>
                  <wp:docPr id="46" name="图片 47" descr="06ab76acfd91abd6887830eb3de0e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7" descr="06ab76acfd91abd6887830eb3de0ef6"/>
                          <pic:cNvPicPr>
                            <a:picLocks noChangeAspect="1"/>
                          </pic:cNvPicPr>
                        </pic:nvPicPr>
                        <pic:blipFill>
                          <a:blip r:embed="rId52"/>
                          <a:stretch>
                            <a:fillRect/>
                          </a:stretch>
                        </pic:blipFill>
                        <pic:spPr>
                          <a:xfrm>
                            <a:off x="0" y="0"/>
                            <a:ext cx="3187700" cy="23907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6" w:type="dxa"/>
            <w:noWrap w:val="0"/>
            <w:vAlign w:val="center"/>
          </w:tcPr>
          <w:p>
            <w:pPr>
              <w:pStyle w:val="2"/>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厂区四周</w:t>
            </w:r>
          </w:p>
        </w:tc>
        <w:tc>
          <w:tcPr>
            <w:tcW w:w="6826" w:type="dxa"/>
            <w:noWrap w:val="0"/>
            <w:vAlign w:val="center"/>
          </w:tcPr>
          <w:p>
            <w:pPr>
              <w:pStyle w:val="2"/>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厂区四周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6" w:type="dxa"/>
            <w:noWrap w:val="0"/>
            <w:vAlign w:val="center"/>
          </w:tcPr>
          <w:p>
            <w:pPr>
              <w:pStyle w:val="2"/>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3150870" cy="2362835"/>
                  <wp:effectExtent l="0" t="0" r="11430" b="18415"/>
                  <wp:docPr id="47" name="图片 48" descr="78a05d78f5b93a6d04b8ac0f7b28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8" descr="78a05d78f5b93a6d04b8ac0f7b28340"/>
                          <pic:cNvPicPr>
                            <a:picLocks noChangeAspect="1"/>
                          </pic:cNvPicPr>
                        </pic:nvPicPr>
                        <pic:blipFill>
                          <a:blip r:embed="rId53"/>
                          <a:stretch>
                            <a:fillRect/>
                          </a:stretch>
                        </pic:blipFill>
                        <pic:spPr>
                          <a:xfrm>
                            <a:off x="0" y="0"/>
                            <a:ext cx="3150870" cy="2362835"/>
                          </a:xfrm>
                          <a:prstGeom prst="rect">
                            <a:avLst/>
                          </a:prstGeom>
                          <a:noFill/>
                          <a:ln>
                            <a:noFill/>
                          </a:ln>
                        </pic:spPr>
                      </pic:pic>
                    </a:graphicData>
                  </a:graphic>
                </wp:inline>
              </w:drawing>
            </w:r>
          </w:p>
        </w:tc>
        <w:tc>
          <w:tcPr>
            <w:tcW w:w="6826" w:type="dxa"/>
            <w:noWrap w:val="0"/>
            <w:vAlign w:val="center"/>
          </w:tcPr>
          <w:p>
            <w:pPr>
              <w:pStyle w:val="2"/>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3291205" cy="2468245"/>
                  <wp:effectExtent l="0" t="0" r="4445" b="8255"/>
                  <wp:docPr id="48" name="图片 49" descr="f3063a5a47979c90c626103712ff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9" descr="f3063a5a47979c90c626103712ff941"/>
                          <pic:cNvPicPr>
                            <a:picLocks noChangeAspect="1"/>
                          </pic:cNvPicPr>
                        </pic:nvPicPr>
                        <pic:blipFill>
                          <a:blip r:embed="rId54"/>
                          <a:stretch>
                            <a:fillRect/>
                          </a:stretch>
                        </pic:blipFill>
                        <pic:spPr>
                          <a:xfrm>
                            <a:off x="0" y="0"/>
                            <a:ext cx="3291205" cy="24682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6" w:type="dxa"/>
            <w:noWrap w:val="0"/>
            <w:vAlign w:val="center"/>
          </w:tcPr>
          <w:p>
            <w:pPr>
              <w:pStyle w:val="2"/>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厂区四周</w:t>
            </w:r>
          </w:p>
        </w:tc>
        <w:tc>
          <w:tcPr>
            <w:tcW w:w="6826" w:type="dxa"/>
            <w:noWrap w:val="0"/>
            <w:vAlign w:val="center"/>
          </w:tcPr>
          <w:p>
            <w:pPr>
              <w:pStyle w:val="2"/>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厂区四周</w:t>
            </w:r>
          </w:p>
        </w:tc>
      </w:tr>
    </w:tbl>
    <w:p>
      <w:pPr>
        <w:pStyle w:val="2"/>
        <w:rPr>
          <w:rFonts w:eastAsia="黑体"/>
          <w:color w:val="000000" w:themeColor="text1"/>
          <w14:textFill>
            <w14:solidFill>
              <w14:schemeClr w14:val="tx1"/>
            </w14:solidFill>
          </w14:textFill>
        </w:rPr>
        <w:sectPr>
          <w:pgSz w:w="16838" w:h="11906" w:orient="landscape"/>
          <w:pgMar w:top="1531" w:right="1701" w:bottom="1531" w:left="1701" w:header="851" w:footer="851" w:gutter="0"/>
          <w:cols w:space="720" w:num="1"/>
          <w:docGrid w:linePitch="312" w:charSpace="0"/>
        </w:sectPr>
      </w:pPr>
    </w:p>
    <w:p>
      <w:pPr>
        <w:adjustRightInd w:val="0"/>
        <w:snapToGrid w:val="0"/>
        <w:spacing w:line="360" w:lineRule="auto"/>
        <w:jc w:val="center"/>
        <w:rPr>
          <w:b/>
          <w:bCs/>
          <w:color w:val="000000" w:themeColor="text1"/>
          <w:sz w:val="32"/>
          <w:szCs w:val="32"/>
          <w14:textFill>
            <w14:solidFill>
              <w14:schemeClr w14:val="tx1"/>
            </w14:solidFill>
          </w14:textFill>
        </w:rPr>
      </w:pPr>
      <w:bookmarkStart w:id="9" w:name="_Hlk74852005"/>
      <w:bookmarkStart w:id="10" w:name="_Hlk63090817"/>
      <w:bookmarkStart w:id="11" w:name="_Hlk67436075"/>
      <w:bookmarkStart w:id="12" w:name="_Hlk61558842"/>
      <w:bookmarkStart w:id="13" w:name="_Hlk61255711"/>
      <w:bookmarkStart w:id="14" w:name="_Hlk57385751"/>
      <w:r>
        <w:rPr>
          <w:rFonts w:hint="eastAsia"/>
          <w:b/>
          <w:bCs/>
          <w:color w:val="000000" w:themeColor="text1"/>
          <w:sz w:val="32"/>
          <w:szCs w:val="32"/>
          <w14:textFill>
            <w14:solidFill>
              <w14:schemeClr w14:val="tx1"/>
            </w14:solidFill>
          </w14:textFill>
        </w:rPr>
        <w:t>湖南云川科技有限公司</w:t>
      </w:r>
      <w:bookmarkEnd w:id="9"/>
      <w:bookmarkEnd w:id="10"/>
      <w:bookmarkEnd w:id="11"/>
      <w:bookmarkStart w:id="15" w:name="_Hlk63164966"/>
      <w:r>
        <w:rPr>
          <w:rFonts w:hint="eastAsia"/>
          <w:b/>
          <w:bCs/>
          <w:color w:val="000000" w:themeColor="text1"/>
          <w:sz w:val="32"/>
          <w:szCs w:val="32"/>
          <w14:textFill>
            <w14:solidFill>
              <w14:schemeClr w14:val="tx1"/>
            </w14:solidFill>
          </w14:textFill>
        </w:rPr>
        <w:t>液压阀块及精密液压组件总成（4</w:t>
      </w:r>
      <w:r>
        <w:rPr>
          <w:rFonts w:hint="eastAsia"/>
          <w:b/>
          <w:bCs/>
          <w:color w:val="000000" w:themeColor="text1"/>
          <w:sz w:val="32"/>
          <w:szCs w:val="32"/>
          <w:lang w:val="en-US" w:eastAsia="zh-CN"/>
          <w14:textFill>
            <w14:solidFill>
              <w14:schemeClr w14:val="tx1"/>
            </w14:solidFill>
          </w14:textFill>
        </w:rPr>
        <w:t>4</w:t>
      </w:r>
      <w:r>
        <w:rPr>
          <w:b/>
          <w:bCs/>
          <w:color w:val="000000" w:themeColor="text1"/>
          <w:sz w:val="32"/>
          <w:szCs w:val="32"/>
          <w14:textFill>
            <w14:solidFill>
              <w14:schemeClr w14:val="tx1"/>
            </w14:solidFill>
          </w14:textFill>
        </w:rPr>
        <w:t>.5</w:t>
      </w:r>
      <w:r>
        <w:rPr>
          <w:rFonts w:hint="eastAsia"/>
          <w:b/>
          <w:bCs/>
          <w:color w:val="000000" w:themeColor="text1"/>
          <w:sz w:val="32"/>
          <w:szCs w:val="32"/>
          <w14:textFill>
            <w14:solidFill>
              <w14:schemeClr w14:val="tx1"/>
            </w14:solidFill>
          </w14:textFill>
        </w:rPr>
        <w:t>万件/年）产业化项目</w:t>
      </w:r>
      <w:bookmarkEnd w:id="12"/>
      <w:bookmarkEnd w:id="13"/>
      <w:bookmarkEnd w:id="14"/>
      <w:bookmarkEnd w:id="15"/>
      <w:r>
        <w:rPr>
          <w:b/>
          <w:bCs/>
          <w:color w:val="000000" w:themeColor="text1"/>
          <w:sz w:val="32"/>
          <w:szCs w:val="32"/>
          <w14:textFill>
            <w14:solidFill>
              <w14:schemeClr w14:val="tx1"/>
            </w14:solidFill>
          </w14:textFill>
        </w:rPr>
        <w:t>环境影响报告表</w:t>
      </w:r>
      <w:r>
        <w:rPr>
          <w:rFonts w:hint="eastAsia"/>
          <w:b/>
          <w:bCs/>
          <w:color w:val="000000" w:themeColor="text1"/>
          <w:sz w:val="32"/>
          <w:szCs w:val="32"/>
          <w14:textFill>
            <w14:solidFill>
              <w14:schemeClr w14:val="tx1"/>
            </w14:solidFill>
          </w14:textFill>
        </w:rPr>
        <w:t>技术</w:t>
      </w:r>
      <w:bookmarkStart w:id="16" w:name="_Hlk61255558"/>
      <w:bookmarkStart w:id="17" w:name="_Hlk61254126"/>
      <w:r>
        <w:rPr>
          <w:rFonts w:hint="eastAsia"/>
          <w:b/>
          <w:bCs/>
          <w:color w:val="000000" w:themeColor="text1"/>
          <w:sz w:val="32"/>
          <w:szCs w:val="32"/>
          <w14:textFill>
            <w14:solidFill>
              <w14:schemeClr w14:val="tx1"/>
            </w14:solidFill>
          </w14:textFill>
        </w:rPr>
        <w:t>审查</w:t>
      </w:r>
      <w:bookmarkEnd w:id="16"/>
      <w:r>
        <w:rPr>
          <w:rFonts w:hint="eastAsia"/>
          <w:b/>
          <w:bCs/>
          <w:color w:val="000000" w:themeColor="text1"/>
          <w:sz w:val="32"/>
          <w:szCs w:val="32"/>
          <w14:textFill>
            <w14:solidFill>
              <w14:schemeClr w14:val="tx1"/>
            </w14:solidFill>
          </w14:textFill>
        </w:rPr>
        <w:t>会</w:t>
      </w:r>
      <w:bookmarkEnd w:id="17"/>
      <w:r>
        <w:rPr>
          <w:rFonts w:hint="eastAsia"/>
          <w:b/>
          <w:bCs/>
          <w:color w:val="000000" w:themeColor="text1"/>
          <w:sz w:val="32"/>
          <w:szCs w:val="32"/>
          <w14:textFill>
            <w14:solidFill>
              <w14:schemeClr w14:val="tx1"/>
            </w14:solidFill>
          </w14:textFill>
        </w:rPr>
        <w:t>专家意见</w:t>
      </w:r>
    </w:p>
    <w:p>
      <w:pPr>
        <w:autoSpaceDE w:val="0"/>
        <w:autoSpaceDN w:val="0"/>
        <w:adjustRightInd w:val="0"/>
        <w:snapToGrid w:val="0"/>
        <w:spacing w:line="360" w:lineRule="auto"/>
        <w:jc w:val="center"/>
        <w:rPr>
          <w:color w:val="000000" w:themeColor="text1"/>
          <w:sz w:val="28"/>
          <w:szCs w:val="28"/>
          <w14:textFill>
            <w14:solidFill>
              <w14:schemeClr w14:val="tx1"/>
            </w14:solidFill>
          </w14:textFill>
        </w:rPr>
      </w:pPr>
    </w:p>
    <w:p>
      <w:pPr>
        <w:adjustRightInd w:val="0"/>
        <w:snapToGrid w:val="0"/>
        <w:spacing w:line="360" w:lineRule="auto"/>
        <w:ind w:firstLine="562" w:firstLineChars="200"/>
        <w:jc w:val="left"/>
        <w:rPr>
          <w:snapToGrid w:val="0"/>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2021年6月17日</w:t>
      </w:r>
      <w:r>
        <w:rPr>
          <w:b/>
          <w:color w:val="000000" w:themeColor="text1"/>
          <w:sz w:val="28"/>
          <w:szCs w:val="28"/>
          <w14:textFill>
            <w14:solidFill>
              <w14:schemeClr w14:val="tx1"/>
            </w14:solidFill>
          </w14:textFill>
        </w:rPr>
        <w:t>，</w:t>
      </w:r>
      <w:r>
        <w:rPr>
          <w:rFonts w:hint="eastAsia"/>
          <w:b/>
          <w:color w:val="000000" w:themeColor="text1"/>
          <w:sz w:val="28"/>
          <w:szCs w:val="28"/>
          <w14:textFill>
            <w14:solidFill>
              <w14:schemeClr w14:val="tx1"/>
            </w14:solidFill>
          </w14:textFill>
        </w:rPr>
        <w:t>岳阳市生态环境局湘阴分局在湘阴县主持</w:t>
      </w:r>
      <w:r>
        <w:rPr>
          <w:b/>
          <w:color w:val="000000" w:themeColor="text1"/>
          <w:sz w:val="28"/>
          <w:szCs w:val="28"/>
          <w14:textFill>
            <w14:solidFill>
              <w14:schemeClr w14:val="tx1"/>
            </w14:solidFill>
          </w14:textFill>
        </w:rPr>
        <w:t>召开了《</w:t>
      </w:r>
      <w:r>
        <w:rPr>
          <w:rFonts w:hint="eastAsia"/>
          <w:b/>
          <w:color w:val="000000" w:themeColor="text1"/>
          <w:sz w:val="28"/>
          <w:szCs w:val="28"/>
          <w14:textFill>
            <w14:solidFill>
              <w14:schemeClr w14:val="tx1"/>
            </w14:solidFill>
          </w14:textFill>
        </w:rPr>
        <w:t>液压阀块及精密液压组件总成（41.5万件/年）产业化项目环境影响报告表</w:t>
      </w:r>
      <w:r>
        <w:rPr>
          <w:b/>
          <w:color w:val="000000" w:themeColor="text1"/>
          <w:sz w:val="28"/>
          <w:szCs w:val="28"/>
          <w14:textFill>
            <w14:solidFill>
              <w14:schemeClr w14:val="tx1"/>
            </w14:solidFill>
          </w14:textFill>
        </w:rPr>
        <w:t>》技术</w:t>
      </w:r>
      <w:r>
        <w:rPr>
          <w:rFonts w:hint="eastAsia"/>
          <w:b/>
          <w:color w:val="000000" w:themeColor="text1"/>
          <w:sz w:val="28"/>
          <w:szCs w:val="28"/>
          <w14:textFill>
            <w14:solidFill>
              <w14:schemeClr w14:val="tx1"/>
            </w14:solidFill>
          </w14:textFill>
        </w:rPr>
        <w:t>审查会</w:t>
      </w:r>
      <w:r>
        <w:rPr>
          <w:b/>
          <w:color w:val="000000" w:themeColor="text1"/>
          <w:sz w:val="28"/>
          <w:szCs w:val="28"/>
          <w14:textFill>
            <w14:solidFill>
              <w14:schemeClr w14:val="tx1"/>
            </w14:solidFill>
          </w14:textFill>
        </w:rPr>
        <w:t>。参加会议的有建设单位</w:t>
      </w:r>
      <w:r>
        <w:rPr>
          <w:rFonts w:hint="eastAsia"/>
          <w:b/>
          <w:color w:val="000000" w:themeColor="text1"/>
          <w:sz w:val="28"/>
          <w:szCs w:val="28"/>
          <w14:textFill>
            <w14:solidFill>
              <w14:schemeClr w14:val="tx1"/>
            </w14:solidFill>
          </w14:textFill>
        </w:rPr>
        <w:t>湖南云川科技有限公司、编制</w:t>
      </w:r>
      <w:r>
        <w:rPr>
          <w:b/>
          <w:color w:val="000000" w:themeColor="text1"/>
          <w:sz w:val="28"/>
          <w:szCs w:val="28"/>
          <w14:textFill>
            <w14:solidFill>
              <w14:schemeClr w14:val="tx1"/>
            </w14:solidFill>
          </w14:textFill>
        </w:rPr>
        <w:t>单位</w:t>
      </w:r>
      <w:r>
        <w:rPr>
          <w:rFonts w:hint="eastAsia"/>
          <w:b/>
          <w:color w:val="000000" w:themeColor="text1"/>
          <w:sz w:val="28"/>
          <w:szCs w:val="28"/>
          <w14:textFill>
            <w14:solidFill>
              <w14:schemeClr w14:val="tx1"/>
            </w14:solidFill>
          </w14:textFill>
        </w:rPr>
        <w:t>贵州欣森宏景生态环境咨询有限公司</w:t>
      </w:r>
      <w:r>
        <w:rPr>
          <w:b/>
          <w:color w:val="000000" w:themeColor="text1"/>
          <w:sz w:val="28"/>
          <w:szCs w:val="28"/>
          <w14:textFill>
            <w14:solidFill>
              <w14:schemeClr w14:val="tx1"/>
            </w14:solidFill>
          </w14:textFill>
        </w:rPr>
        <w:t>等单位</w:t>
      </w:r>
      <w:r>
        <w:rPr>
          <w:rFonts w:hint="eastAsia"/>
          <w:b/>
          <w:color w:val="000000" w:themeColor="text1"/>
          <w:sz w:val="28"/>
          <w:szCs w:val="28"/>
          <w14:textFill>
            <w14:solidFill>
              <w14:schemeClr w14:val="tx1"/>
            </w14:solidFill>
          </w14:textFill>
        </w:rPr>
        <w:t>的</w:t>
      </w:r>
      <w:r>
        <w:rPr>
          <w:b/>
          <w:color w:val="000000" w:themeColor="text1"/>
          <w:sz w:val="28"/>
          <w:szCs w:val="28"/>
          <w14:textFill>
            <w14:solidFill>
              <w14:schemeClr w14:val="tx1"/>
            </w14:solidFill>
          </w14:textFill>
        </w:rPr>
        <w:t>代表。会议邀请了3名专家（名单附后）组成技术</w:t>
      </w:r>
      <w:r>
        <w:rPr>
          <w:rFonts w:hint="eastAsia"/>
          <w:b/>
          <w:color w:val="000000" w:themeColor="text1"/>
          <w:sz w:val="28"/>
          <w:szCs w:val="28"/>
          <w14:textFill>
            <w14:solidFill>
              <w14:schemeClr w14:val="tx1"/>
            </w14:solidFill>
          </w14:textFill>
        </w:rPr>
        <w:t>审查</w:t>
      </w:r>
      <w:r>
        <w:rPr>
          <w:b/>
          <w:color w:val="000000" w:themeColor="text1"/>
          <w:sz w:val="28"/>
          <w:szCs w:val="28"/>
          <w14:textFill>
            <w14:solidFill>
              <w14:schemeClr w14:val="tx1"/>
            </w14:solidFill>
          </w14:textFill>
        </w:rPr>
        <w:t>组。会</w:t>
      </w:r>
      <w:r>
        <w:rPr>
          <w:rFonts w:hint="eastAsia"/>
          <w:b/>
          <w:color w:val="000000" w:themeColor="text1"/>
          <w:sz w:val="28"/>
          <w:szCs w:val="28"/>
          <w14:textFill>
            <w14:solidFill>
              <w14:schemeClr w14:val="tx1"/>
            </w14:solidFill>
          </w14:textFill>
        </w:rPr>
        <w:t>上</w:t>
      </w:r>
      <w:r>
        <w:rPr>
          <w:b/>
          <w:color w:val="000000" w:themeColor="text1"/>
          <w:sz w:val="28"/>
          <w:szCs w:val="28"/>
          <w14:textFill>
            <w14:solidFill>
              <w14:schemeClr w14:val="tx1"/>
            </w14:solidFill>
          </w14:textFill>
        </w:rPr>
        <w:t>建设单位介绍了项目</w:t>
      </w:r>
      <w:r>
        <w:rPr>
          <w:rFonts w:hint="eastAsia"/>
          <w:b/>
          <w:color w:val="000000" w:themeColor="text1"/>
          <w:sz w:val="28"/>
          <w:szCs w:val="28"/>
          <w14:textFill>
            <w14:solidFill>
              <w14:schemeClr w14:val="tx1"/>
            </w14:solidFill>
          </w14:textFill>
        </w:rPr>
        <w:t>的简要</w:t>
      </w:r>
      <w:r>
        <w:rPr>
          <w:b/>
          <w:color w:val="000000" w:themeColor="text1"/>
          <w:sz w:val="28"/>
          <w:szCs w:val="28"/>
          <w14:textFill>
            <w14:solidFill>
              <w14:schemeClr w14:val="tx1"/>
            </w14:solidFill>
          </w14:textFill>
        </w:rPr>
        <w:t>情况，</w:t>
      </w:r>
      <w:r>
        <w:rPr>
          <w:rFonts w:hint="eastAsia"/>
          <w:b/>
          <w:color w:val="000000" w:themeColor="text1"/>
          <w:sz w:val="28"/>
          <w:szCs w:val="28"/>
          <w14:textFill>
            <w14:solidFill>
              <w14:schemeClr w14:val="tx1"/>
            </w14:solidFill>
          </w14:textFill>
        </w:rPr>
        <w:t>编制</w:t>
      </w:r>
      <w:r>
        <w:rPr>
          <w:b/>
          <w:color w:val="000000" w:themeColor="text1"/>
          <w:sz w:val="28"/>
          <w:szCs w:val="28"/>
          <w14:textFill>
            <w14:solidFill>
              <w14:schemeClr w14:val="tx1"/>
            </w14:solidFill>
          </w14:textFill>
        </w:rPr>
        <w:t>单位汇报了</w:t>
      </w:r>
      <w:r>
        <w:rPr>
          <w:rFonts w:hint="eastAsia"/>
          <w:b/>
          <w:color w:val="000000" w:themeColor="text1"/>
          <w:sz w:val="28"/>
          <w:szCs w:val="28"/>
          <w14:textFill>
            <w14:solidFill>
              <w14:schemeClr w14:val="tx1"/>
            </w14:solidFill>
          </w14:textFill>
        </w:rPr>
        <w:t>环评报告的</w:t>
      </w:r>
      <w:r>
        <w:rPr>
          <w:b/>
          <w:color w:val="000000" w:themeColor="text1"/>
          <w:sz w:val="28"/>
          <w:szCs w:val="28"/>
          <w14:textFill>
            <w14:solidFill>
              <w14:schemeClr w14:val="tx1"/>
            </w14:solidFill>
          </w14:textFill>
        </w:rPr>
        <w:t>主要内容。经与会代表认真讨论和评审，形成技术</w:t>
      </w:r>
      <w:r>
        <w:rPr>
          <w:rFonts w:hint="eastAsia"/>
          <w:b/>
          <w:color w:val="000000" w:themeColor="text1"/>
          <w:sz w:val="28"/>
          <w:szCs w:val="28"/>
          <w14:textFill>
            <w14:solidFill>
              <w14:schemeClr w14:val="tx1"/>
            </w14:solidFill>
          </w14:textFill>
        </w:rPr>
        <w:t>审查会</w:t>
      </w:r>
      <w:r>
        <w:rPr>
          <w:b/>
          <w:color w:val="000000" w:themeColor="text1"/>
          <w:sz w:val="28"/>
          <w:szCs w:val="28"/>
          <w14:textFill>
            <w14:solidFill>
              <w14:schemeClr w14:val="tx1"/>
            </w14:solidFill>
          </w14:textFill>
        </w:rPr>
        <w:t>专家意见如下：</w:t>
      </w:r>
    </w:p>
    <w:p>
      <w:pPr>
        <w:spacing w:line="360" w:lineRule="auto"/>
        <w:jc w:val="left"/>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一、项目概况</w:t>
      </w:r>
    </w:p>
    <w:p>
      <w:pPr>
        <w:tabs>
          <w:tab w:val="left" w:pos="993"/>
        </w:tabs>
        <w:spacing w:line="360" w:lineRule="auto"/>
        <w:ind w:left="426"/>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详见报告</w:t>
      </w:r>
      <w:r>
        <w:rPr>
          <w:b/>
          <w:color w:val="000000" w:themeColor="text1"/>
          <w:sz w:val="28"/>
          <w:szCs w:val="28"/>
          <w14:textFill>
            <w14:solidFill>
              <w14:schemeClr w14:val="tx1"/>
            </w14:solidFill>
          </w14:textFill>
        </w:rPr>
        <w:t>。</w:t>
      </w:r>
      <w:r>
        <w:rPr>
          <w:rFonts w:hint="eastAsia"/>
          <w:b/>
          <w:color w:val="000000" w:themeColor="text1"/>
          <w:sz w:val="28"/>
          <w:szCs w:val="28"/>
          <w14:textFill>
            <w14:solidFill>
              <w14:schemeClr w14:val="tx1"/>
            </w14:solidFill>
          </w14:textFill>
        </w:rPr>
        <w:t xml:space="preserve"> </w:t>
      </w:r>
    </w:p>
    <w:p>
      <w:pPr>
        <w:spacing w:line="360" w:lineRule="auto"/>
        <w:jc w:val="left"/>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二、修改意见</w:t>
      </w:r>
    </w:p>
    <w:p>
      <w:pPr>
        <w:numPr>
          <w:ilvl w:val="0"/>
          <w:numId w:val="1"/>
        </w:numPr>
        <w:tabs>
          <w:tab w:val="left" w:pos="993"/>
        </w:tabs>
        <w:spacing w:line="360" w:lineRule="auto"/>
        <w:ind w:left="0" w:firstLine="562" w:firstLineChars="200"/>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结合园区规划产业定位，完善项目与园区规划及规划环评的符合性分析；根据园区准入要求，完善“三线一单”的符合性分析。</w:t>
      </w:r>
    </w:p>
    <w:p>
      <w:pPr>
        <w:numPr>
          <w:ilvl w:val="0"/>
          <w:numId w:val="1"/>
        </w:numPr>
        <w:tabs>
          <w:tab w:val="left" w:pos="993"/>
        </w:tabs>
        <w:spacing w:line="360" w:lineRule="auto"/>
        <w:ind w:left="0" w:firstLine="562" w:firstLineChars="200"/>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核实各部分建筑面积，细化项目2栋主体厂房的具体功能；相应完善项目总平面布局及其合理性分析；核实切削液、润滑油、防锈剂等原辅材料用量和资源能源消耗，补充清洗剂和防锈剂的主要成分和理化性质。</w:t>
      </w:r>
    </w:p>
    <w:p>
      <w:pPr>
        <w:numPr>
          <w:ilvl w:val="0"/>
          <w:numId w:val="1"/>
        </w:numPr>
        <w:tabs>
          <w:tab w:val="left" w:pos="993"/>
        </w:tabs>
        <w:spacing w:line="360" w:lineRule="auto"/>
        <w:ind w:left="0" w:firstLine="562" w:firstLineChars="200"/>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根据不同产品，校核项目生产工艺流程及产排污节点，明确防锈剂使用节点和配比；根据需清洗的物料量，校核表面清洗水用量、清洗废水量和相应的处理处置要求，强化本项目废水依托第三污水厂处理的可行性分析。</w:t>
      </w:r>
    </w:p>
    <w:p>
      <w:pPr>
        <w:pStyle w:val="2"/>
        <w:rPr>
          <w:rFonts w:hint="eastAsia"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drawing>
          <wp:inline distT="0" distB="0" distL="114300" distR="114300">
            <wp:extent cx="5605145" cy="7934960"/>
            <wp:effectExtent l="0" t="0" r="14605" b="8890"/>
            <wp:docPr id="49" name="图片 51" descr="3715b800c01647b6f96831e11ae06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1" descr="3715b800c01647b6f96831e11ae064a"/>
                    <pic:cNvPicPr>
                      <a:picLocks noChangeAspect="1"/>
                    </pic:cNvPicPr>
                  </pic:nvPicPr>
                  <pic:blipFill>
                    <a:blip r:embed="rId55"/>
                    <a:stretch>
                      <a:fillRect/>
                    </a:stretch>
                  </pic:blipFill>
                  <pic:spPr>
                    <a:xfrm>
                      <a:off x="0" y="0"/>
                      <a:ext cx="5605145" cy="7934960"/>
                    </a:xfrm>
                    <a:prstGeom prst="rect">
                      <a:avLst/>
                    </a:prstGeom>
                    <a:noFill/>
                    <a:ln>
                      <a:noFill/>
                    </a:ln>
                  </pic:spPr>
                </pic:pic>
              </a:graphicData>
            </a:graphic>
          </wp:inline>
        </w:drawing>
      </w:r>
      <w:r>
        <w:rPr>
          <w:rFonts w:hint="eastAsia" w:ascii="Times New Roman" w:hAnsi="Times New Roman"/>
          <w:color w:val="000000" w:themeColor="text1"/>
          <w14:textFill>
            <w14:solidFill>
              <w14:schemeClr w14:val="tx1"/>
            </w14:solidFill>
          </w14:textFill>
        </w:rPr>
        <w:drawing>
          <wp:inline distT="0" distB="0" distL="114300" distR="114300">
            <wp:extent cx="5594985" cy="3963035"/>
            <wp:effectExtent l="0" t="0" r="5715" b="18415"/>
            <wp:docPr id="50" name="图片 52" descr="0729342f06ed5569155ac170af267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2" descr="0729342f06ed5569155ac170af267af"/>
                    <pic:cNvPicPr>
                      <a:picLocks noChangeAspect="1"/>
                    </pic:cNvPicPr>
                  </pic:nvPicPr>
                  <pic:blipFill>
                    <a:blip r:embed="rId56"/>
                    <a:stretch>
                      <a:fillRect/>
                    </a:stretch>
                  </pic:blipFill>
                  <pic:spPr>
                    <a:xfrm>
                      <a:off x="0" y="0"/>
                      <a:ext cx="5594985" cy="3963035"/>
                    </a:xfrm>
                    <a:prstGeom prst="rect">
                      <a:avLst/>
                    </a:prstGeom>
                    <a:noFill/>
                    <a:ln>
                      <a:noFill/>
                    </a:ln>
                  </pic:spPr>
                </pic:pic>
              </a:graphicData>
            </a:graphic>
          </wp:inline>
        </w:drawing>
      </w:r>
    </w:p>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新宋体-18030">
    <w:altName w:val="宋体"/>
    <w:panose1 w:val="00000000000000000000"/>
    <w:charset w:val="00"/>
    <w:family w:val="auto"/>
    <w:pitch w:val="default"/>
    <w:sig w:usb0="00000000" w:usb1="00000000" w:usb2="00000000"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瀹嬩綋">
    <w:altName w:val="宋体"/>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6"/>
      </w:rPr>
    </w:pPr>
    <w:r>
      <w:fldChar w:fldCharType="begin"/>
    </w:r>
    <w:r>
      <w:rPr>
        <w:rStyle w:val="26"/>
      </w:rPr>
      <w:instrText xml:space="preserve">PAGE  </w:instrText>
    </w:r>
    <w:r>
      <w:fldChar w:fldCharType="end"/>
    </w:r>
  </w:p>
  <w:p>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outside" w:y="1"/>
      <w:jc w:val="both"/>
      <w:rPr>
        <w:rStyle w:val="26"/>
        <w:rFonts w:ascii="宋体" w:hAnsi="宋体"/>
        <w:sz w:val="28"/>
        <w:szCs w:val="28"/>
      </w:rPr>
    </w:pPr>
    <w:r>
      <w:rPr>
        <w:rStyle w:val="26"/>
        <w:rFonts w:hint="eastAsia" w:ascii="宋体" w:hAnsi="宋体"/>
        <w:sz w:val="28"/>
        <w:szCs w:val="28"/>
      </w:rPr>
      <w:t>—</w:t>
    </w:r>
    <w:r>
      <w:rPr>
        <w:rStyle w:val="26"/>
        <w:rFonts w:hint="eastAsia" w:ascii="宋体" w:hAnsi="宋体"/>
        <w:sz w:val="20"/>
      </w:rPr>
      <w:t xml:space="preserve">  </w:t>
    </w:r>
    <w:r>
      <w:rPr>
        <w:rFonts w:ascii="宋体" w:hAnsi="宋体"/>
        <w:sz w:val="26"/>
        <w:szCs w:val="26"/>
      </w:rPr>
      <w:fldChar w:fldCharType="begin"/>
    </w:r>
    <w:r>
      <w:rPr>
        <w:rStyle w:val="26"/>
        <w:rFonts w:ascii="宋体" w:hAnsi="宋体"/>
        <w:sz w:val="26"/>
        <w:szCs w:val="26"/>
      </w:rPr>
      <w:instrText xml:space="preserve">PAGE  </w:instrText>
    </w:r>
    <w:r>
      <w:rPr>
        <w:rFonts w:ascii="宋体" w:hAnsi="宋体"/>
        <w:sz w:val="26"/>
        <w:szCs w:val="26"/>
      </w:rPr>
      <w:fldChar w:fldCharType="separate"/>
    </w:r>
    <w:r>
      <w:rPr>
        <w:rStyle w:val="26"/>
        <w:rFonts w:ascii="宋体" w:hAnsi="宋体"/>
        <w:sz w:val="26"/>
        <w:szCs w:val="26"/>
      </w:rPr>
      <w:t>34</w:t>
    </w:r>
    <w:r>
      <w:rPr>
        <w:rFonts w:ascii="宋体" w:hAnsi="宋体"/>
        <w:sz w:val="26"/>
        <w:szCs w:val="26"/>
      </w:rPr>
      <w:fldChar w:fldCharType="end"/>
    </w:r>
    <w:r>
      <w:rPr>
        <w:rStyle w:val="26"/>
        <w:rFonts w:hint="eastAsia" w:ascii="宋体" w:hAnsi="宋体"/>
        <w:sz w:val="20"/>
      </w:rPr>
      <w:t xml:space="preserve">  </w:t>
    </w:r>
    <w:r>
      <w:rPr>
        <w:rStyle w:val="26"/>
        <w:rFonts w:hint="eastAsia" w:ascii="宋体" w:hAnsi="宋体"/>
        <w:sz w:val="28"/>
        <w:szCs w:val="28"/>
      </w:rPr>
      <w:t>—</w:t>
    </w:r>
  </w:p>
  <w:p>
    <w:pPr>
      <w:pStyle w:val="15"/>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6"/>
        <w:rFonts w:ascii="宋体" w:hAnsi="宋体"/>
        <w:sz w:val="28"/>
        <w:szCs w:val="28"/>
      </w:rPr>
    </w:pPr>
    <w:r>
      <w:rPr>
        <w:rStyle w:val="26"/>
        <w:rFonts w:hint="eastAsia" w:ascii="宋体" w:hAnsi="宋体"/>
        <w:sz w:val="28"/>
        <w:szCs w:val="28"/>
      </w:rPr>
      <w:t>—</w:t>
    </w:r>
    <w:r>
      <w:rPr>
        <w:rStyle w:val="26"/>
        <w:rFonts w:hint="eastAsia" w:ascii="宋体" w:hAnsi="宋体"/>
        <w:sz w:val="20"/>
      </w:rPr>
      <w:t xml:space="preserve">  </w:t>
    </w:r>
    <w:r>
      <w:rPr>
        <w:rFonts w:ascii="宋体" w:hAnsi="宋体"/>
        <w:sz w:val="26"/>
        <w:szCs w:val="26"/>
      </w:rPr>
      <w:fldChar w:fldCharType="begin"/>
    </w:r>
    <w:r>
      <w:rPr>
        <w:rStyle w:val="26"/>
        <w:rFonts w:ascii="宋体" w:hAnsi="宋体"/>
        <w:sz w:val="26"/>
        <w:szCs w:val="26"/>
      </w:rPr>
      <w:instrText xml:space="preserve">PAGE  </w:instrText>
    </w:r>
    <w:r>
      <w:rPr>
        <w:rFonts w:ascii="宋体" w:hAnsi="宋体"/>
        <w:sz w:val="26"/>
        <w:szCs w:val="26"/>
      </w:rPr>
      <w:fldChar w:fldCharType="separate"/>
    </w:r>
    <w:r>
      <w:rPr>
        <w:rStyle w:val="26"/>
        <w:rFonts w:ascii="宋体" w:hAnsi="宋体"/>
        <w:sz w:val="26"/>
        <w:szCs w:val="26"/>
      </w:rPr>
      <w:t>35</w:t>
    </w:r>
    <w:r>
      <w:rPr>
        <w:rFonts w:ascii="宋体" w:hAnsi="宋体"/>
        <w:sz w:val="26"/>
        <w:szCs w:val="26"/>
      </w:rPr>
      <w:fldChar w:fldCharType="end"/>
    </w:r>
    <w:r>
      <w:rPr>
        <w:rStyle w:val="26"/>
        <w:rFonts w:hint="eastAsia" w:ascii="宋体" w:hAnsi="宋体"/>
        <w:sz w:val="20"/>
      </w:rPr>
      <w:t xml:space="preserve">  </w:t>
    </w:r>
    <w:r>
      <w:rPr>
        <w:rStyle w:val="26"/>
        <w:rFonts w:hint="eastAsia" w:ascii="宋体" w:hAnsi="宋体"/>
        <w:sz w:val="28"/>
        <w:szCs w:val="28"/>
      </w:rPr>
      <w:t>—</w:t>
    </w:r>
  </w:p>
  <w:p>
    <w:pPr>
      <w:pStyle w:val="15"/>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outside" w:y="1"/>
      <w:rPr>
        <w:rStyle w:val="26"/>
        <w:rFonts w:ascii="宋体" w:hAnsi="宋体"/>
        <w:sz w:val="28"/>
        <w:szCs w:val="28"/>
      </w:rPr>
    </w:pPr>
    <w:r>
      <w:rPr>
        <w:rStyle w:val="26"/>
        <w:rFonts w:hint="eastAsia" w:ascii="宋体" w:hAnsi="宋体"/>
        <w:sz w:val="28"/>
        <w:szCs w:val="28"/>
      </w:rPr>
      <w:t>—</w:t>
    </w:r>
    <w:r>
      <w:rPr>
        <w:rStyle w:val="26"/>
        <w:rFonts w:hint="eastAsia" w:ascii="宋体" w:hAnsi="宋体"/>
        <w:sz w:val="20"/>
      </w:rPr>
      <w:t xml:space="preserve">  </w:t>
    </w:r>
    <w:r>
      <w:rPr>
        <w:rFonts w:ascii="宋体" w:hAnsi="宋体"/>
        <w:sz w:val="26"/>
        <w:szCs w:val="26"/>
      </w:rPr>
      <w:fldChar w:fldCharType="begin"/>
    </w:r>
    <w:r>
      <w:rPr>
        <w:rStyle w:val="26"/>
        <w:rFonts w:ascii="宋体" w:hAnsi="宋体"/>
        <w:sz w:val="26"/>
        <w:szCs w:val="26"/>
      </w:rPr>
      <w:instrText xml:space="preserve">PAGE  </w:instrText>
    </w:r>
    <w:r>
      <w:rPr>
        <w:rFonts w:ascii="宋体" w:hAnsi="宋体"/>
        <w:sz w:val="26"/>
        <w:szCs w:val="26"/>
      </w:rPr>
      <w:fldChar w:fldCharType="separate"/>
    </w:r>
    <w:r>
      <w:rPr>
        <w:rStyle w:val="26"/>
        <w:rFonts w:ascii="宋体" w:hAnsi="宋体"/>
        <w:sz w:val="26"/>
        <w:szCs w:val="26"/>
      </w:rPr>
      <w:t>63</w:t>
    </w:r>
    <w:r>
      <w:rPr>
        <w:rFonts w:ascii="宋体" w:hAnsi="宋体"/>
        <w:sz w:val="26"/>
        <w:szCs w:val="26"/>
      </w:rPr>
      <w:fldChar w:fldCharType="end"/>
    </w:r>
    <w:r>
      <w:rPr>
        <w:rStyle w:val="26"/>
        <w:rFonts w:hint="eastAsia" w:ascii="宋体" w:hAnsi="宋体"/>
        <w:sz w:val="20"/>
      </w:rPr>
      <w:t xml:space="preserve">  </w:t>
    </w:r>
    <w:r>
      <w:rPr>
        <w:rStyle w:val="26"/>
        <w:rFonts w:hint="eastAsia" w:ascii="宋体" w:hAnsi="宋体"/>
        <w:sz w:val="28"/>
        <w:szCs w:val="28"/>
      </w:rPr>
      <w:t>—</w:t>
    </w:r>
  </w:p>
  <w:p>
    <w:pPr>
      <w:pStyle w:val="15"/>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BC479B0"/>
    <w:multiLevelType w:val="multilevel"/>
    <w:tmpl w:val="6BC479B0"/>
    <w:lvl w:ilvl="0" w:tentative="0">
      <w:start w:val="1"/>
      <w:numFmt w:val="decimal"/>
      <w:lvlText w:val="%1、"/>
      <w:lvlJc w:val="left"/>
      <w:pPr>
        <w:ind w:left="988" w:hanging="420"/>
      </w:pPr>
      <w:rPr>
        <w:rFonts w:hint="default" w:ascii="Times New Roman" w:hAnsi="Times New Roman" w:eastAsia="宋体" w:cs="Times New Roman"/>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60B3"/>
    <w:rsid w:val="000375E2"/>
    <w:rsid w:val="0004364B"/>
    <w:rsid w:val="00061B1F"/>
    <w:rsid w:val="000733C4"/>
    <w:rsid w:val="00074783"/>
    <w:rsid w:val="0008070B"/>
    <w:rsid w:val="000810AC"/>
    <w:rsid w:val="00081A02"/>
    <w:rsid w:val="00082231"/>
    <w:rsid w:val="00092D38"/>
    <w:rsid w:val="0009377B"/>
    <w:rsid w:val="000A20C9"/>
    <w:rsid w:val="000A464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45422"/>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4E85"/>
    <w:rsid w:val="00416D50"/>
    <w:rsid w:val="00416FD5"/>
    <w:rsid w:val="00417772"/>
    <w:rsid w:val="00420E6A"/>
    <w:rsid w:val="00425A9E"/>
    <w:rsid w:val="00426D6B"/>
    <w:rsid w:val="00431E6C"/>
    <w:rsid w:val="00433CE7"/>
    <w:rsid w:val="00452738"/>
    <w:rsid w:val="00456091"/>
    <w:rsid w:val="00466321"/>
    <w:rsid w:val="00467DCF"/>
    <w:rsid w:val="00484B9B"/>
    <w:rsid w:val="004855F6"/>
    <w:rsid w:val="0048661E"/>
    <w:rsid w:val="00494670"/>
    <w:rsid w:val="004A3823"/>
    <w:rsid w:val="004C51DA"/>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63580"/>
    <w:rsid w:val="005720AE"/>
    <w:rsid w:val="00594D77"/>
    <w:rsid w:val="005969E4"/>
    <w:rsid w:val="005A06B7"/>
    <w:rsid w:val="005A1759"/>
    <w:rsid w:val="005A68A7"/>
    <w:rsid w:val="005D36AB"/>
    <w:rsid w:val="0061067D"/>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C6591"/>
    <w:rsid w:val="006D13B5"/>
    <w:rsid w:val="006E12FF"/>
    <w:rsid w:val="006E607E"/>
    <w:rsid w:val="00706C5D"/>
    <w:rsid w:val="00732922"/>
    <w:rsid w:val="0075162E"/>
    <w:rsid w:val="00754034"/>
    <w:rsid w:val="00756556"/>
    <w:rsid w:val="007618C4"/>
    <w:rsid w:val="00767980"/>
    <w:rsid w:val="00770B19"/>
    <w:rsid w:val="00770DCC"/>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50D26"/>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3173F"/>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71FF3"/>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166B4"/>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2FF8"/>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84FC0"/>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77955"/>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25A39"/>
    <w:rsid w:val="00F3383E"/>
    <w:rsid w:val="00F465A7"/>
    <w:rsid w:val="00F50B7C"/>
    <w:rsid w:val="00F550E6"/>
    <w:rsid w:val="00F561B8"/>
    <w:rsid w:val="00F74345"/>
    <w:rsid w:val="00F80A0A"/>
    <w:rsid w:val="00F82B19"/>
    <w:rsid w:val="00F9212D"/>
    <w:rsid w:val="00F965DA"/>
    <w:rsid w:val="00FA406A"/>
    <w:rsid w:val="00FB503A"/>
    <w:rsid w:val="00FB516C"/>
    <w:rsid w:val="00FD0236"/>
    <w:rsid w:val="00FD18F4"/>
    <w:rsid w:val="00FD54DB"/>
    <w:rsid w:val="00FD619F"/>
    <w:rsid w:val="01290F7E"/>
    <w:rsid w:val="015D1E09"/>
    <w:rsid w:val="01805E0C"/>
    <w:rsid w:val="02697903"/>
    <w:rsid w:val="02F96569"/>
    <w:rsid w:val="03C8530B"/>
    <w:rsid w:val="03EA7B21"/>
    <w:rsid w:val="04C0230E"/>
    <w:rsid w:val="05080CDE"/>
    <w:rsid w:val="0582323F"/>
    <w:rsid w:val="05F83EAE"/>
    <w:rsid w:val="063E7D85"/>
    <w:rsid w:val="07293586"/>
    <w:rsid w:val="07295285"/>
    <w:rsid w:val="07636392"/>
    <w:rsid w:val="07770C56"/>
    <w:rsid w:val="07C2490C"/>
    <w:rsid w:val="08C43C6C"/>
    <w:rsid w:val="092217DD"/>
    <w:rsid w:val="093A7294"/>
    <w:rsid w:val="0A263993"/>
    <w:rsid w:val="0A2D3AC2"/>
    <w:rsid w:val="0AA755DF"/>
    <w:rsid w:val="0B120D44"/>
    <w:rsid w:val="0BD27BF6"/>
    <w:rsid w:val="0C3B3C7D"/>
    <w:rsid w:val="0C4B45D3"/>
    <w:rsid w:val="0CAB2EAE"/>
    <w:rsid w:val="0D621C7D"/>
    <w:rsid w:val="0E73034D"/>
    <w:rsid w:val="0EDA1D7B"/>
    <w:rsid w:val="0F13775A"/>
    <w:rsid w:val="0F3D38BD"/>
    <w:rsid w:val="0F5F45FE"/>
    <w:rsid w:val="0F9A112B"/>
    <w:rsid w:val="106D2F64"/>
    <w:rsid w:val="10B63710"/>
    <w:rsid w:val="10C37189"/>
    <w:rsid w:val="10F10820"/>
    <w:rsid w:val="111C2F7A"/>
    <w:rsid w:val="11665CA1"/>
    <w:rsid w:val="12E43884"/>
    <w:rsid w:val="1308643B"/>
    <w:rsid w:val="13951726"/>
    <w:rsid w:val="14396509"/>
    <w:rsid w:val="14CD7DA0"/>
    <w:rsid w:val="14DD2C3C"/>
    <w:rsid w:val="16087E1D"/>
    <w:rsid w:val="173C7D62"/>
    <w:rsid w:val="17701D14"/>
    <w:rsid w:val="17735226"/>
    <w:rsid w:val="189F624C"/>
    <w:rsid w:val="1A1C66C0"/>
    <w:rsid w:val="1A42393B"/>
    <w:rsid w:val="1A5920A6"/>
    <w:rsid w:val="1AAD45DE"/>
    <w:rsid w:val="1B046F80"/>
    <w:rsid w:val="1B3267B5"/>
    <w:rsid w:val="1B40161D"/>
    <w:rsid w:val="1B441859"/>
    <w:rsid w:val="1B6606B1"/>
    <w:rsid w:val="1C5E7925"/>
    <w:rsid w:val="1CFD070F"/>
    <w:rsid w:val="1D5F6196"/>
    <w:rsid w:val="1D6132A5"/>
    <w:rsid w:val="1D8E56D5"/>
    <w:rsid w:val="1E7A43DA"/>
    <w:rsid w:val="1FC02264"/>
    <w:rsid w:val="1FE7539E"/>
    <w:rsid w:val="20671BE0"/>
    <w:rsid w:val="20963CB8"/>
    <w:rsid w:val="20A81A1B"/>
    <w:rsid w:val="20B07FB6"/>
    <w:rsid w:val="20B646FB"/>
    <w:rsid w:val="213B74B1"/>
    <w:rsid w:val="215A2310"/>
    <w:rsid w:val="21DE318A"/>
    <w:rsid w:val="21EF5B80"/>
    <w:rsid w:val="22576990"/>
    <w:rsid w:val="22F47480"/>
    <w:rsid w:val="239B78D8"/>
    <w:rsid w:val="23DE1C48"/>
    <w:rsid w:val="240210CD"/>
    <w:rsid w:val="24BF09F7"/>
    <w:rsid w:val="252D53FE"/>
    <w:rsid w:val="25EC2D81"/>
    <w:rsid w:val="26E85F9C"/>
    <w:rsid w:val="277057A2"/>
    <w:rsid w:val="27DD3AEE"/>
    <w:rsid w:val="29206EB8"/>
    <w:rsid w:val="29595666"/>
    <w:rsid w:val="29874881"/>
    <w:rsid w:val="29DF4D0B"/>
    <w:rsid w:val="29E325E0"/>
    <w:rsid w:val="2A452503"/>
    <w:rsid w:val="2AEF639D"/>
    <w:rsid w:val="2BA936A8"/>
    <w:rsid w:val="2C315A5A"/>
    <w:rsid w:val="2C4B1C25"/>
    <w:rsid w:val="2D340848"/>
    <w:rsid w:val="2D9E56F5"/>
    <w:rsid w:val="2E667F96"/>
    <w:rsid w:val="2E8226AB"/>
    <w:rsid w:val="2E86337B"/>
    <w:rsid w:val="2FD065E6"/>
    <w:rsid w:val="2FD96870"/>
    <w:rsid w:val="30580BC9"/>
    <w:rsid w:val="30B4017B"/>
    <w:rsid w:val="311E2ED7"/>
    <w:rsid w:val="315619EE"/>
    <w:rsid w:val="315C449C"/>
    <w:rsid w:val="31941DC0"/>
    <w:rsid w:val="31B82709"/>
    <w:rsid w:val="31D05482"/>
    <w:rsid w:val="32400B34"/>
    <w:rsid w:val="329E6876"/>
    <w:rsid w:val="333015F2"/>
    <w:rsid w:val="334B6320"/>
    <w:rsid w:val="33D934D4"/>
    <w:rsid w:val="33FE2F6A"/>
    <w:rsid w:val="340E07E5"/>
    <w:rsid w:val="34235BF7"/>
    <w:rsid w:val="358C5FA8"/>
    <w:rsid w:val="35C15DF1"/>
    <w:rsid w:val="36074A7F"/>
    <w:rsid w:val="36923549"/>
    <w:rsid w:val="36B75FBF"/>
    <w:rsid w:val="36BD0C45"/>
    <w:rsid w:val="37E00298"/>
    <w:rsid w:val="38B302F9"/>
    <w:rsid w:val="38F12CD3"/>
    <w:rsid w:val="38F879D9"/>
    <w:rsid w:val="38F94775"/>
    <w:rsid w:val="392971ED"/>
    <w:rsid w:val="39325651"/>
    <w:rsid w:val="39B549BD"/>
    <w:rsid w:val="3A872856"/>
    <w:rsid w:val="3B3763D1"/>
    <w:rsid w:val="3BA568FB"/>
    <w:rsid w:val="3BE30F09"/>
    <w:rsid w:val="3C2F6E1E"/>
    <w:rsid w:val="3C4F64BA"/>
    <w:rsid w:val="3CDA245A"/>
    <w:rsid w:val="3D0B43C2"/>
    <w:rsid w:val="3D1E06B7"/>
    <w:rsid w:val="3EDA0523"/>
    <w:rsid w:val="407A6407"/>
    <w:rsid w:val="416C3111"/>
    <w:rsid w:val="4200449D"/>
    <w:rsid w:val="423A3BCC"/>
    <w:rsid w:val="424E57D2"/>
    <w:rsid w:val="42B26C49"/>
    <w:rsid w:val="433A6FE6"/>
    <w:rsid w:val="43480868"/>
    <w:rsid w:val="4350713C"/>
    <w:rsid w:val="436653E0"/>
    <w:rsid w:val="43C4431A"/>
    <w:rsid w:val="44B951CC"/>
    <w:rsid w:val="44CD14E0"/>
    <w:rsid w:val="44F20B0B"/>
    <w:rsid w:val="452E5F4C"/>
    <w:rsid w:val="4552317C"/>
    <w:rsid w:val="45612018"/>
    <w:rsid w:val="458946E9"/>
    <w:rsid w:val="45A47C0E"/>
    <w:rsid w:val="46577FD6"/>
    <w:rsid w:val="46B94D7F"/>
    <w:rsid w:val="46D955A7"/>
    <w:rsid w:val="47133957"/>
    <w:rsid w:val="47A07E0C"/>
    <w:rsid w:val="4870272E"/>
    <w:rsid w:val="48F32068"/>
    <w:rsid w:val="49DC7715"/>
    <w:rsid w:val="4A023139"/>
    <w:rsid w:val="4A7B576F"/>
    <w:rsid w:val="4AF561A9"/>
    <w:rsid w:val="4C4A0649"/>
    <w:rsid w:val="4C7E5ECA"/>
    <w:rsid w:val="4C876AA5"/>
    <w:rsid w:val="4D0E00FB"/>
    <w:rsid w:val="4D106EDA"/>
    <w:rsid w:val="4D176606"/>
    <w:rsid w:val="4D3C1F56"/>
    <w:rsid w:val="4DEC4FB0"/>
    <w:rsid w:val="4E075D8A"/>
    <w:rsid w:val="4EC00FAD"/>
    <w:rsid w:val="4F9843DC"/>
    <w:rsid w:val="4FC62A8C"/>
    <w:rsid w:val="4FE20F0D"/>
    <w:rsid w:val="4FE51552"/>
    <w:rsid w:val="50400825"/>
    <w:rsid w:val="50504C4B"/>
    <w:rsid w:val="50740E34"/>
    <w:rsid w:val="509C6E7C"/>
    <w:rsid w:val="50BC2CBD"/>
    <w:rsid w:val="5162104E"/>
    <w:rsid w:val="52657767"/>
    <w:rsid w:val="53A039CC"/>
    <w:rsid w:val="53A1505A"/>
    <w:rsid w:val="54063E08"/>
    <w:rsid w:val="543437E8"/>
    <w:rsid w:val="54F73313"/>
    <w:rsid w:val="54F80955"/>
    <w:rsid w:val="555170A7"/>
    <w:rsid w:val="557D4932"/>
    <w:rsid w:val="5587536D"/>
    <w:rsid w:val="559B174B"/>
    <w:rsid w:val="55CE0CF4"/>
    <w:rsid w:val="56B22A9C"/>
    <w:rsid w:val="57B72A76"/>
    <w:rsid w:val="57C3426C"/>
    <w:rsid w:val="57CE1F93"/>
    <w:rsid w:val="58605E88"/>
    <w:rsid w:val="588743D1"/>
    <w:rsid w:val="5887701A"/>
    <w:rsid w:val="588F35AE"/>
    <w:rsid w:val="59444400"/>
    <w:rsid w:val="59C0439F"/>
    <w:rsid w:val="5ABE2233"/>
    <w:rsid w:val="5AF42624"/>
    <w:rsid w:val="5B455134"/>
    <w:rsid w:val="5B790E16"/>
    <w:rsid w:val="5BDF5D95"/>
    <w:rsid w:val="5BFE7528"/>
    <w:rsid w:val="5DC43AE3"/>
    <w:rsid w:val="5E2467F1"/>
    <w:rsid w:val="5E2B015E"/>
    <w:rsid w:val="5F1A2B43"/>
    <w:rsid w:val="5F7742B4"/>
    <w:rsid w:val="5FB837BB"/>
    <w:rsid w:val="602E1819"/>
    <w:rsid w:val="60693F7D"/>
    <w:rsid w:val="60C80F67"/>
    <w:rsid w:val="60CC405A"/>
    <w:rsid w:val="613B5399"/>
    <w:rsid w:val="61E215D8"/>
    <w:rsid w:val="621B3775"/>
    <w:rsid w:val="62364782"/>
    <w:rsid w:val="6394356A"/>
    <w:rsid w:val="63C61B2C"/>
    <w:rsid w:val="63D40BE9"/>
    <w:rsid w:val="64102431"/>
    <w:rsid w:val="64A5243A"/>
    <w:rsid w:val="64F531DE"/>
    <w:rsid w:val="65373578"/>
    <w:rsid w:val="671F124A"/>
    <w:rsid w:val="677A33C6"/>
    <w:rsid w:val="67CC2F83"/>
    <w:rsid w:val="67D52E92"/>
    <w:rsid w:val="681F6961"/>
    <w:rsid w:val="68610A2F"/>
    <w:rsid w:val="68805514"/>
    <w:rsid w:val="69316E2F"/>
    <w:rsid w:val="694E2071"/>
    <w:rsid w:val="69766163"/>
    <w:rsid w:val="697A3B33"/>
    <w:rsid w:val="69D44760"/>
    <w:rsid w:val="6A520EC7"/>
    <w:rsid w:val="6AF87E20"/>
    <w:rsid w:val="6B322639"/>
    <w:rsid w:val="6C1A0967"/>
    <w:rsid w:val="6C636C38"/>
    <w:rsid w:val="6D7C2CB0"/>
    <w:rsid w:val="6DB34098"/>
    <w:rsid w:val="6DB545B6"/>
    <w:rsid w:val="6DD744B1"/>
    <w:rsid w:val="6DE02FB4"/>
    <w:rsid w:val="6E514CED"/>
    <w:rsid w:val="6EB563D5"/>
    <w:rsid w:val="6ED92677"/>
    <w:rsid w:val="6F225983"/>
    <w:rsid w:val="6FB1047A"/>
    <w:rsid w:val="6FFC5590"/>
    <w:rsid w:val="706D1DD0"/>
    <w:rsid w:val="70856B87"/>
    <w:rsid w:val="70D527EE"/>
    <w:rsid w:val="70E557C5"/>
    <w:rsid w:val="715B5300"/>
    <w:rsid w:val="7192781F"/>
    <w:rsid w:val="71D27F8A"/>
    <w:rsid w:val="72553024"/>
    <w:rsid w:val="73122968"/>
    <w:rsid w:val="731F5D5E"/>
    <w:rsid w:val="73C51AD5"/>
    <w:rsid w:val="741E793C"/>
    <w:rsid w:val="74336DDE"/>
    <w:rsid w:val="745E3944"/>
    <w:rsid w:val="748F30F7"/>
    <w:rsid w:val="756D039C"/>
    <w:rsid w:val="7635099D"/>
    <w:rsid w:val="769B3B6B"/>
    <w:rsid w:val="77762421"/>
    <w:rsid w:val="77882DC3"/>
    <w:rsid w:val="77B56B1F"/>
    <w:rsid w:val="780F09F4"/>
    <w:rsid w:val="78A449BC"/>
    <w:rsid w:val="78A90480"/>
    <w:rsid w:val="795951CC"/>
    <w:rsid w:val="7A364017"/>
    <w:rsid w:val="7A8265E1"/>
    <w:rsid w:val="7B156C81"/>
    <w:rsid w:val="7B6079DE"/>
    <w:rsid w:val="7B686D42"/>
    <w:rsid w:val="7B841746"/>
    <w:rsid w:val="7BC70A20"/>
    <w:rsid w:val="7C6C5AC7"/>
    <w:rsid w:val="7CC6544B"/>
    <w:rsid w:val="7D0239FF"/>
    <w:rsid w:val="7D5E40CD"/>
    <w:rsid w:val="7DCD56F2"/>
    <w:rsid w:val="7F001CE7"/>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nhideWhenUsed="0" w:uiPriority="1" w:semiHidden="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qFormat="1"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keepLines/>
      <w:tabs>
        <w:tab w:val="left" w:pos="630"/>
      </w:tabs>
      <w:spacing w:before="260" w:beforeLines="0" w:after="120" w:afterLines="0" w:line="360" w:lineRule="auto"/>
      <w:ind w:left="936" w:hanging="576"/>
      <w:outlineLvl w:val="1"/>
    </w:pPr>
    <w:rPr>
      <w:b/>
      <w:sz w:val="32"/>
    </w:rPr>
  </w:style>
  <w:style w:type="paragraph" w:styleId="5">
    <w:name w:val="heading 3"/>
    <w:basedOn w:val="1"/>
    <w:next w:val="1"/>
    <w:qFormat/>
    <w:locked/>
    <w:uiPriority w:val="0"/>
    <w:pPr>
      <w:keepNext/>
      <w:keepLines/>
      <w:spacing w:before="260" w:beforeLines="0" w:after="260" w:afterLines="0" w:line="413" w:lineRule="auto"/>
      <w:outlineLvl w:val="2"/>
    </w:pPr>
    <w:rPr>
      <w:b/>
      <w:bCs/>
      <w:kern w:val="2"/>
      <w:sz w:val="32"/>
      <w:szCs w:val="32"/>
    </w:rPr>
  </w:style>
  <w:style w:type="paragraph" w:styleId="6">
    <w:name w:val="heading 7"/>
    <w:basedOn w:val="1"/>
    <w:next w:val="1"/>
    <w:qFormat/>
    <w:locked/>
    <w:uiPriority w:val="1"/>
    <w:pPr>
      <w:spacing w:beforeLines="0" w:afterLines="0"/>
      <w:ind w:left="697"/>
      <w:outlineLvl w:val="6"/>
    </w:pPr>
    <w:rPr>
      <w:rFonts w:hint="default" w:ascii="Microsoft JhengHei" w:hAnsi="Microsoft JhengHei" w:eastAsia="Microsoft JhengHei"/>
      <w:b/>
      <w:sz w:val="24"/>
      <w:szCs w:val="24"/>
    </w:rPr>
  </w:style>
  <w:style w:type="character" w:default="1" w:styleId="25">
    <w:name w:val="Default Paragraph Font"/>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customStyle="1" w:styleId="2">
    <w:name w:val="Default2"/>
    <w:qFormat/>
    <w:uiPriority w:val="0"/>
    <w:pPr>
      <w:widowControl w:val="0"/>
      <w:autoSpaceDE w:val="0"/>
      <w:autoSpaceDN w:val="0"/>
      <w:adjustRightInd w:val="0"/>
    </w:pPr>
    <w:rPr>
      <w:rFonts w:ascii="宋体" w:hAnsi="Calibri" w:eastAsia="宋体" w:cs="Times New Roman"/>
      <w:color w:val="000000"/>
      <w:sz w:val="24"/>
      <w:szCs w:val="24"/>
      <w:lang w:val="en-US" w:eastAsia="zh-CN" w:bidi="ar-SA"/>
    </w:rPr>
  </w:style>
  <w:style w:type="paragraph" w:styleId="7">
    <w:name w:val="Note Heading"/>
    <w:basedOn w:val="1"/>
    <w:next w:val="1"/>
    <w:qFormat/>
    <w:locked/>
    <w:uiPriority w:val="0"/>
    <w:pPr>
      <w:jc w:val="center"/>
    </w:pPr>
  </w:style>
  <w:style w:type="paragraph" w:styleId="8">
    <w:name w:val="Normal Indent"/>
    <w:basedOn w:val="1"/>
    <w:qFormat/>
    <w:locked/>
    <w:uiPriority w:val="0"/>
    <w:pPr>
      <w:ind w:firstLine="420" w:firstLineChars="200"/>
    </w:pPr>
  </w:style>
  <w:style w:type="paragraph" w:styleId="9">
    <w:name w:val="annotation text"/>
    <w:basedOn w:val="1"/>
    <w:link w:val="30"/>
    <w:semiHidden/>
    <w:qFormat/>
    <w:uiPriority w:val="0"/>
    <w:pPr>
      <w:jc w:val="left"/>
    </w:pPr>
    <w:rPr>
      <w:kern w:val="0"/>
      <w:sz w:val="24"/>
      <w:szCs w:val="20"/>
    </w:rPr>
  </w:style>
  <w:style w:type="paragraph" w:styleId="10">
    <w:name w:val="Body Text"/>
    <w:basedOn w:val="1"/>
    <w:next w:val="1"/>
    <w:link w:val="31"/>
    <w:qFormat/>
    <w:uiPriority w:val="0"/>
    <w:pPr>
      <w:widowControl/>
      <w:snapToGrid w:val="0"/>
      <w:spacing w:before="60" w:after="160" w:line="259" w:lineRule="auto"/>
      <w:ind w:right="113"/>
    </w:pPr>
    <w:rPr>
      <w:kern w:val="0"/>
      <w:sz w:val="18"/>
      <w:szCs w:val="20"/>
    </w:rPr>
  </w:style>
  <w:style w:type="paragraph" w:styleId="11">
    <w:name w:val="Body Text Indent"/>
    <w:basedOn w:val="1"/>
    <w:link w:val="32"/>
    <w:qFormat/>
    <w:uiPriority w:val="0"/>
    <w:pPr>
      <w:spacing w:after="120"/>
      <w:ind w:left="420" w:leftChars="200"/>
    </w:pPr>
    <w:rPr>
      <w:kern w:val="0"/>
      <w:sz w:val="24"/>
      <w:szCs w:val="20"/>
    </w:rPr>
  </w:style>
  <w:style w:type="paragraph" w:styleId="12">
    <w:name w:val="Plain Text"/>
    <w:basedOn w:val="1"/>
    <w:qFormat/>
    <w:locked/>
    <w:uiPriority w:val="0"/>
    <w:rPr>
      <w:rFonts w:ascii="宋体" w:hAnsi="Courier New"/>
      <w:szCs w:val="20"/>
    </w:rPr>
  </w:style>
  <w:style w:type="paragraph" w:styleId="13">
    <w:name w:val="Date"/>
    <w:basedOn w:val="1"/>
    <w:next w:val="1"/>
    <w:link w:val="33"/>
    <w:qFormat/>
    <w:uiPriority w:val="0"/>
    <w:pPr>
      <w:ind w:left="100" w:leftChars="2500"/>
    </w:pPr>
    <w:rPr>
      <w:kern w:val="0"/>
      <w:sz w:val="24"/>
      <w:szCs w:val="20"/>
    </w:rPr>
  </w:style>
  <w:style w:type="paragraph" w:styleId="14">
    <w:name w:val="Balloon Text"/>
    <w:basedOn w:val="1"/>
    <w:link w:val="34"/>
    <w:semiHidden/>
    <w:qFormat/>
    <w:uiPriority w:val="0"/>
    <w:rPr>
      <w:kern w:val="0"/>
      <w:sz w:val="18"/>
      <w:szCs w:val="20"/>
    </w:rPr>
  </w:style>
  <w:style w:type="paragraph" w:styleId="15">
    <w:name w:val="footer"/>
    <w:basedOn w:val="1"/>
    <w:link w:val="35"/>
    <w:qFormat/>
    <w:uiPriority w:val="99"/>
    <w:pPr>
      <w:tabs>
        <w:tab w:val="center" w:pos="4153"/>
        <w:tab w:val="right" w:pos="8306"/>
      </w:tabs>
      <w:snapToGrid w:val="0"/>
      <w:jc w:val="left"/>
    </w:pPr>
    <w:rPr>
      <w:kern w:val="0"/>
      <w:sz w:val="18"/>
      <w:szCs w:val="20"/>
    </w:rPr>
  </w:style>
  <w:style w:type="paragraph" w:styleId="16">
    <w:name w:val="header"/>
    <w:basedOn w:val="1"/>
    <w:link w:val="36"/>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Body Text Indent 3"/>
    <w:basedOn w:val="1"/>
    <w:qFormat/>
    <w:locked/>
    <w:uiPriority w:val="0"/>
    <w:pPr>
      <w:spacing w:line="440" w:lineRule="exact"/>
      <w:ind w:firstLine="425"/>
    </w:pPr>
    <w:rPr>
      <w:rFonts w:ascii="宋体"/>
      <w:b/>
      <w:bCs/>
      <w:i/>
      <w:iCs/>
      <w:sz w:val="24"/>
      <w:szCs w:val="20"/>
    </w:rPr>
  </w:style>
  <w:style w:type="paragraph" w:styleId="18">
    <w:name w:val="toc 2"/>
    <w:basedOn w:val="1"/>
    <w:next w:val="1"/>
    <w:semiHidden/>
    <w:qFormat/>
    <w:locked/>
    <w:uiPriority w:val="0"/>
    <w:pPr>
      <w:ind w:left="210"/>
      <w:jc w:val="left"/>
    </w:pPr>
    <w:rPr>
      <w:smallCaps/>
      <w:sz w:val="20"/>
      <w:szCs w:val="20"/>
    </w:rPr>
  </w:style>
  <w:style w:type="paragraph" w:styleId="19">
    <w:name w:val="Normal (Web)"/>
    <w:basedOn w:val="1"/>
    <w:link w:val="37"/>
    <w:qFormat/>
    <w:uiPriority w:val="0"/>
    <w:pPr>
      <w:widowControl/>
      <w:spacing w:before="100" w:beforeAutospacing="1" w:after="100" w:afterAutospacing="1"/>
      <w:jc w:val="left"/>
    </w:pPr>
    <w:rPr>
      <w:rFonts w:ascii="宋体" w:hAnsi="宋体"/>
      <w:kern w:val="0"/>
      <w:sz w:val="24"/>
      <w:szCs w:val="20"/>
    </w:rPr>
  </w:style>
  <w:style w:type="paragraph" w:styleId="20">
    <w:name w:val="annotation subject"/>
    <w:basedOn w:val="9"/>
    <w:next w:val="9"/>
    <w:link w:val="38"/>
    <w:semiHidden/>
    <w:qFormat/>
    <w:uiPriority w:val="0"/>
    <w:rPr>
      <w:b/>
      <w:kern w:val="2"/>
    </w:rPr>
  </w:style>
  <w:style w:type="paragraph" w:styleId="21">
    <w:name w:val="Body Text First Indent"/>
    <w:basedOn w:val="1"/>
    <w:qFormat/>
    <w:locked/>
    <w:uiPriority w:val="0"/>
    <w:pPr>
      <w:spacing w:after="120" w:line="240" w:lineRule="auto"/>
      <w:ind w:firstLine="420" w:firstLineChars="100"/>
    </w:pPr>
    <w:rPr>
      <w:sz w:val="21"/>
    </w:rPr>
  </w:style>
  <w:style w:type="paragraph" w:styleId="22">
    <w:name w:val="Body Text First Indent 2"/>
    <w:basedOn w:val="11"/>
    <w:next w:val="1"/>
    <w:qFormat/>
    <w:locked/>
    <w:uiPriority w:val="0"/>
    <w:pPr>
      <w:spacing w:line="440" w:lineRule="exact"/>
      <w:ind w:left="200" w:leftChars="200" w:firstLine="200"/>
    </w:pPr>
    <w:rPr>
      <w:rFonts w:ascii="Calibri" w:hAnsi="Calibri" w:eastAsia="宋体" w:cs="Times New Roman"/>
      <w:sz w:val="24"/>
      <w:szCs w:val="21"/>
    </w:rPr>
  </w:style>
  <w:style w:type="table" w:styleId="24">
    <w:name w:val="Table Grid"/>
    <w:basedOn w:val="2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qFormat/>
    <w:locked/>
    <w:uiPriority w:val="0"/>
  </w:style>
  <w:style w:type="character" w:styleId="27">
    <w:name w:val="Hyperlink"/>
    <w:unhideWhenUsed/>
    <w:qFormat/>
    <w:locked/>
    <w:uiPriority w:val="99"/>
    <w:rPr>
      <w:color w:val="0000FF"/>
      <w:u w:val="single"/>
    </w:rPr>
  </w:style>
  <w:style w:type="character" w:styleId="28">
    <w:name w:val="annotation reference"/>
    <w:semiHidden/>
    <w:qFormat/>
    <w:uiPriority w:val="0"/>
    <w:rPr>
      <w:sz w:val="21"/>
    </w:rPr>
  </w:style>
  <w:style w:type="paragraph" w:customStyle="1" w:styleId="29">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30">
    <w:name w:val="批注文字 字符"/>
    <w:link w:val="9"/>
    <w:qFormat/>
    <w:locked/>
    <w:uiPriority w:val="0"/>
    <w:rPr>
      <w:rFonts w:ascii="Times New Roman" w:hAnsi="Times New Roman" w:eastAsia="宋体"/>
      <w:sz w:val="24"/>
    </w:rPr>
  </w:style>
  <w:style w:type="character" w:customStyle="1" w:styleId="31">
    <w:name w:val="正文文本 字符"/>
    <w:link w:val="10"/>
    <w:qFormat/>
    <w:locked/>
    <w:uiPriority w:val="0"/>
    <w:rPr>
      <w:sz w:val="18"/>
    </w:rPr>
  </w:style>
  <w:style w:type="character" w:customStyle="1" w:styleId="32">
    <w:name w:val="正文文本缩进 字符"/>
    <w:link w:val="11"/>
    <w:semiHidden/>
    <w:qFormat/>
    <w:locked/>
    <w:uiPriority w:val="0"/>
    <w:rPr>
      <w:rFonts w:ascii="Times New Roman" w:hAnsi="Times New Roman" w:eastAsia="宋体"/>
      <w:sz w:val="24"/>
    </w:rPr>
  </w:style>
  <w:style w:type="character" w:customStyle="1" w:styleId="33">
    <w:name w:val="日期 字符1"/>
    <w:link w:val="13"/>
    <w:qFormat/>
    <w:locked/>
    <w:uiPriority w:val="0"/>
    <w:rPr>
      <w:rFonts w:ascii="Times New Roman" w:hAnsi="Times New Roman" w:eastAsia="宋体"/>
      <w:sz w:val="24"/>
    </w:rPr>
  </w:style>
  <w:style w:type="character" w:customStyle="1" w:styleId="34">
    <w:name w:val="批注框文本 字符"/>
    <w:link w:val="14"/>
    <w:semiHidden/>
    <w:qFormat/>
    <w:locked/>
    <w:uiPriority w:val="0"/>
    <w:rPr>
      <w:rFonts w:ascii="Times New Roman" w:hAnsi="Times New Roman" w:eastAsia="宋体"/>
      <w:sz w:val="18"/>
    </w:rPr>
  </w:style>
  <w:style w:type="character" w:customStyle="1" w:styleId="35">
    <w:name w:val="页脚 字符1"/>
    <w:link w:val="15"/>
    <w:qFormat/>
    <w:locked/>
    <w:uiPriority w:val="99"/>
    <w:rPr>
      <w:sz w:val="18"/>
    </w:rPr>
  </w:style>
  <w:style w:type="character" w:customStyle="1" w:styleId="36">
    <w:name w:val="页眉 字符"/>
    <w:link w:val="16"/>
    <w:qFormat/>
    <w:locked/>
    <w:uiPriority w:val="0"/>
    <w:rPr>
      <w:sz w:val="18"/>
    </w:rPr>
  </w:style>
  <w:style w:type="character" w:customStyle="1" w:styleId="37">
    <w:name w:val="普通(网站) 字符"/>
    <w:link w:val="19"/>
    <w:qFormat/>
    <w:locked/>
    <w:uiPriority w:val="0"/>
    <w:rPr>
      <w:rFonts w:ascii="宋体" w:hAnsi="宋体" w:eastAsia="宋体"/>
      <w:sz w:val="24"/>
    </w:rPr>
  </w:style>
  <w:style w:type="character" w:customStyle="1" w:styleId="38">
    <w:name w:val="批注主题 字符"/>
    <w:link w:val="20"/>
    <w:semiHidden/>
    <w:locked/>
    <w:uiPriority w:val="0"/>
    <w:rPr>
      <w:rFonts w:ascii="Times New Roman" w:hAnsi="Times New Roman" w:eastAsia="宋体"/>
      <w:b/>
      <w:kern w:val="2"/>
      <w:sz w:val="24"/>
    </w:rPr>
  </w:style>
  <w:style w:type="paragraph" w:customStyle="1" w:styleId="39">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character" w:customStyle="1" w:styleId="40">
    <w:name w:val="页脚 字符"/>
    <w:qFormat/>
    <w:uiPriority w:val="99"/>
  </w:style>
  <w:style w:type="character" w:customStyle="1" w:styleId="41">
    <w:name w:val="批注文字 字符1"/>
    <w:semiHidden/>
    <w:qFormat/>
    <w:uiPriority w:val="0"/>
    <w:rPr>
      <w:rFonts w:ascii="Times New Roman" w:hAnsi="Times New Roman" w:eastAsia="宋体"/>
      <w:sz w:val="24"/>
    </w:rPr>
  </w:style>
  <w:style w:type="character" w:customStyle="1" w:styleId="42">
    <w:name w:val="正文文本 字符1"/>
    <w:semiHidden/>
    <w:qFormat/>
    <w:uiPriority w:val="0"/>
    <w:rPr>
      <w:rFonts w:ascii="Times New Roman" w:hAnsi="Times New Roman" w:eastAsia="宋体"/>
      <w:sz w:val="24"/>
    </w:rPr>
  </w:style>
  <w:style w:type="character" w:customStyle="1" w:styleId="43">
    <w:name w:val="日期 字符"/>
    <w:semiHidden/>
    <w:qFormat/>
    <w:uiPriority w:val="0"/>
    <w:rPr>
      <w:rFonts w:ascii="Times New Roman" w:hAnsi="Times New Roman" w:eastAsia="宋体"/>
      <w:sz w:val="24"/>
    </w:rPr>
  </w:style>
  <w:style w:type="character" w:customStyle="1" w:styleId="44">
    <w:name w:val="表格 Char"/>
    <w:link w:val="45"/>
    <w:qFormat/>
    <w:locked/>
    <w:uiPriority w:val="0"/>
    <w:rPr>
      <w:rFonts w:ascii="宋体"/>
      <w:sz w:val="21"/>
    </w:rPr>
  </w:style>
  <w:style w:type="paragraph" w:customStyle="1" w:styleId="45">
    <w:name w:val="表格"/>
    <w:basedOn w:val="1"/>
    <w:next w:val="1"/>
    <w:link w:val="44"/>
    <w:qFormat/>
    <w:uiPriority w:val="0"/>
    <w:pPr>
      <w:adjustRightInd w:val="0"/>
      <w:snapToGrid w:val="0"/>
      <w:spacing w:beforeLines="10" w:afterLines="10" w:line="259" w:lineRule="auto"/>
      <w:jc w:val="center"/>
    </w:pPr>
    <w:rPr>
      <w:rFonts w:ascii="宋体"/>
      <w:kern w:val="0"/>
      <w:szCs w:val="20"/>
    </w:rPr>
  </w:style>
  <w:style w:type="paragraph" w:customStyle="1" w:styleId="46">
    <w:name w:val="表格文字"/>
    <w:basedOn w:val="21"/>
    <w:qFormat/>
    <w:uiPriority w:val="0"/>
    <w:pPr>
      <w:spacing w:before="0" w:beforeLines="0" w:after="0" w:afterLines="0" w:line="240" w:lineRule="auto"/>
      <w:ind w:firstLine="0" w:firstLineChars="0"/>
      <w:jc w:val="center"/>
    </w:pPr>
    <w:rPr>
      <w:kern w:val="2"/>
      <w:sz w:val="21"/>
      <w:szCs w:val="21"/>
    </w:rPr>
  </w:style>
  <w:style w:type="paragraph" w:customStyle="1" w:styleId="47">
    <w:name w:val="1标题"/>
    <w:basedOn w:val="1"/>
    <w:qFormat/>
    <w:uiPriority w:val="0"/>
    <w:pPr>
      <w:spacing w:line="360" w:lineRule="auto"/>
      <w:ind w:firstLine="723" w:firstLineChars="200"/>
    </w:pPr>
    <w:rPr>
      <w:rFonts w:ascii="Times New Roman" w:hAnsi="Times New Roman" w:eastAsia="宋体"/>
      <w:b/>
      <w:sz w:val="24"/>
    </w:rPr>
  </w:style>
  <w:style w:type="paragraph" w:customStyle="1" w:styleId="48">
    <w:name w:val="表格五号标题"/>
    <w:basedOn w:val="1"/>
    <w:qFormat/>
    <w:uiPriority w:val="0"/>
    <w:pPr>
      <w:spacing w:line="400" w:lineRule="exact"/>
      <w:jc w:val="center"/>
    </w:pPr>
    <w:rPr>
      <w:rFonts w:ascii="宋体" w:hAnsi="宋体" w:cs="宋体"/>
      <w:snapToGrid w:val="0"/>
      <w:kern w:val="0"/>
    </w:rPr>
  </w:style>
  <w:style w:type="paragraph" w:customStyle="1" w:styleId="49">
    <w:name w:val="注释"/>
    <w:basedOn w:val="1"/>
    <w:qFormat/>
    <w:uiPriority w:val="0"/>
    <w:pPr>
      <w:ind w:firstLine="420" w:firstLineChars="200"/>
    </w:pPr>
    <w:rPr>
      <w:rFonts w:eastAsia="仿宋_GB2312" w:cs="宋体"/>
      <w:szCs w:val="20"/>
    </w:rPr>
  </w:style>
  <w:style w:type="paragraph" w:customStyle="1" w:styleId="50">
    <w:name w:val="111正文"/>
    <w:basedOn w:val="1"/>
    <w:qFormat/>
    <w:uiPriority w:val="0"/>
    <w:pPr>
      <w:widowControl/>
      <w:spacing w:line="360" w:lineRule="auto"/>
      <w:ind w:firstLine="504" w:firstLineChars="209"/>
      <w:jc w:val="left"/>
    </w:pPr>
    <w:rPr>
      <w:rFonts w:ascii="宋体" w:hAnsi="宋体"/>
      <w:kern w:val="0"/>
      <w:sz w:val="24"/>
    </w:rPr>
  </w:style>
  <w:style w:type="paragraph" w:customStyle="1" w:styleId="51">
    <w:name w:val="表文"/>
    <w:basedOn w:val="10"/>
    <w:next w:val="8"/>
    <w:qFormat/>
    <w:uiPriority w:val="0"/>
    <w:pPr>
      <w:spacing w:line="240" w:lineRule="auto"/>
      <w:jc w:val="center"/>
    </w:pPr>
    <w:rPr>
      <w:szCs w:val="20"/>
    </w:rPr>
  </w:style>
  <w:style w:type="paragraph" w:customStyle="1" w:styleId="52">
    <w:name w:val="报告正文-连续目录"/>
    <w:basedOn w:val="1"/>
    <w:qFormat/>
    <w:uiPriority w:val="0"/>
    <w:pPr>
      <w:spacing w:line="440" w:lineRule="exact"/>
      <w:ind w:firstLine="200" w:firstLineChars="200"/>
    </w:pPr>
    <w:rPr>
      <w:rFonts w:ascii="Arial" w:hAnsi="Arial"/>
      <w:snapToGrid w:val="0"/>
      <w:kern w:val="0"/>
      <w:sz w:val="24"/>
      <w:szCs w:val="24"/>
    </w:rPr>
  </w:style>
  <w:style w:type="paragraph" w:styleId="53">
    <w:name w:val="List Paragraph"/>
    <w:basedOn w:val="1"/>
    <w:qFormat/>
    <w:uiPriority w:val="0"/>
    <w:pPr>
      <w:ind w:firstLine="420" w:firstLineChars="200"/>
    </w:pPr>
    <w:rPr>
      <w:sz w:val="28"/>
    </w:rPr>
  </w:style>
  <w:style w:type="paragraph" w:customStyle="1" w:styleId="54">
    <w:name w:val="正文1"/>
    <w:basedOn w:val="1"/>
    <w:qFormat/>
    <w:uiPriority w:val="0"/>
    <w:pPr>
      <w:spacing w:line="500" w:lineRule="exact"/>
      <w:ind w:firstLine="560"/>
    </w:pPr>
    <w:rPr>
      <w:sz w:val="28"/>
    </w:rPr>
  </w:style>
  <w:style w:type="paragraph" w:customStyle="1" w:styleId="5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6">
    <w:name w:val="表格标题"/>
    <w:basedOn w:val="10"/>
    <w:qFormat/>
    <w:uiPriority w:val="0"/>
    <w:pPr>
      <w:spacing w:before="120" w:beforeLines="0"/>
      <w:jc w:val="center"/>
    </w:pPr>
    <w:rPr>
      <w:rFonts w:eastAsia="仿宋_GB2312"/>
      <w:sz w:val="24"/>
      <w:szCs w:val="20"/>
    </w:rPr>
  </w:style>
  <w:style w:type="paragraph" w:customStyle="1" w:styleId="57">
    <w:name w:val="标1"/>
    <w:basedOn w:val="1"/>
    <w:qFormat/>
    <w:uiPriority w:val="0"/>
    <w:pPr>
      <w:spacing w:before="60" w:line="460" w:lineRule="exact"/>
      <w:outlineLvl w:val="0"/>
    </w:pPr>
    <w:rPr>
      <w:rFonts w:ascii="宋体" w:hAnsi="宋体" w:cs="宋体"/>
      <w:b/>
      <w:sz w:val="32"/>
    </w:rPr>
  </w:style>
  <w:style w:type="paragraph" w:customStyle="1" w:styleId="58">
    <w:name w:val="Table Paragraph"/>
    <w:basedOn w:val="1"/>
    <w:qFormat/>
    <w:uiPriority w:val="1"/>
    <w:pPr>
      <w:jc w:val="center"/>
    </w:pPr>
    <w:rPr>
      <w:rFonts w:ascii="宋体" w:hAnsi="宋体" w:eastAsia="宋体" w:cs="宋体"/>
      <w:lang w:val="zh-CN" w:eastAsia="zh-CN" w:bidi="zh-CN"/>
    </w:rPr>
  </w:style>
  <w:style w:type="paragraph" w:customStyle="1" w:styleId="59">
    <w:name w:val="表1-1"/>
    <w:basedOn w:val="1"/>
    <w:qFormat/>
    <w:uiPriority w:val="0"/>
    <w:pPr>
      <w:spacing w:line="240" w:lineRule="auto"/>
      <w:jc w:val="center"/>
    </w:pPr>
    <w:rPr>
      <w:rFonts w:ascii="Times New Roman" w:hAnsi="Times New Roman" w:eastAsia="宋体"/>
      <w:b/>
      <w:kern w:val="0"/>
      <w:sz w:val="21"/>
      <w:szCs w:val="20"/>
    </w:rPr>
  </w:style>
  <w:style w:type="paragraph" w:customStyle="1" w:styleId="60">
    <w:name w:val="正文01"/>
    <w:basedOn w:val="1"/>
    <w:qFormat/>
    <w:uiPriority w:val="0"/>
    <w:pPr>
      <w:spacing w:before="60" w:line="460" w:lineRule="exact"/>
      <w:ind w:firstLine="200" w:firstLineChars="200"/>
    </w:pPr>
    <w:rPr>
      <w:rFonts w:ascii="Arial" w:hAnsi="Arial"/>
      <w:bCs/>
      <w:sz w:val="24"/>
      <w:szCs w:val="28"/>
    </w:rPr>
  </w:style>
  <w:style w:type="paragraph" w:customStyle="1" w:styleId="61">
    <w:name w:val="表字体"/>
    <w:basedOn w:val="1"/>
    <w:next w:val="1"/>
    <w:qFormat/>
    <w:uiPriority w:val="0"/>
    <w:pPr>
      <w:jc w:val="center"/>
    </w:pPr>
    <w:rPr>
      <w:rFonts w:ascii="Times New Roman" w:hAnsi="Times New Roman" w:eastAsia="宋体"/>
    </w:rPr>
  </w:style>
  <w:style w:type="paragraph" w:customStyle="1" w:styleId="62">
    <w:name w:val="样式28"/>
    <w:basedOn w:val="8"/>
    <w:qFormat/>
    <w:uiPriority w:val="0"/>
    <w:pPr>
      <w:spacing w:line="360" w:lineRule="auto"/>
      <w:ind w:firstLine="0" w:firstLineChars="0"/>
      <w:jc w:val="left"/>
      <w:outlineLvl w:val="2"/>
    </w:pPr>
    <w:rPr>
      <w:b/>
      <w:color w:val="000000"/>
      <w:sz w:val="24"/>
      <w:szCs w:val="20"/>
    </w:rPr>
  </w:style>
  <w:style w:type="paragraph" w:customStyle="1" w:styleId="63">
    <w:name w:val="中文报告书样式"/>
    <w:basedOn w:val="1"/>
    <w:qFormat/>
    <w:uiPriority w:val="0"/>
    <w:pPr>
      <w:adjustRightInd w:val="0"/>
      <w:spacing w:line="480" w:lineRule="atLeast"/>
      <w:ind w:firstLine="482"/>
      <w:textAlignment w:val="baseline"/>
    </w:pPr>
    <w:rPr>
      <w:kern w:val="24"/>
      <w:szCs w:val="20"/>
    </w:rPr>
  </w:style>
  <w:style w:type="paragraph" w:customStyle="1" w:styleId="6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5">
    <w:name w:val="一级正文"/>
    <w:basedOn w:val="1"/>
    <w:qFormat/>
    <w:uiPriority w:val="0"/>
    <w:pPr>
      <w:widowControl/>
      <w:adjustRightInd w:val="0"/>
      <w:snapToGrid w:val="0"/>
      <w:spacing w:line="360" w:lineRule="auto"/>
      <w:ind w:firstLine="200" w:firstLineChars="200"/>
      <w:jc w:val="left"/>
    </w:pPr>
    <w:rPr>
      <w:kern w:val="0"/>
      <w:szCs w:val="22"/>
    </w:rPr>
  </w:style>
  <w:style w:type="paragraph" w:customStyle="1" w:styleId="66">
    <w:name w:val="正文首行缩进 2 + Times New Roman"/>
    <w:basedOn w:val="1"/>
    <w:qFormat/>
    <w:uiPriority w:val="0"/>
    <w:pPr>
      <w:autoSpaceDE w:val="0"/>
      <w:autoSpaceDN w:val="0"/>
      <w:spacing w:line="360" w:lineRule="auto"/>
      <w:ind w:firstLine="480" w:firstLineChars="200"/>
    </w:pPr>
    <w:rPr>
      <w:kern w:val="0"/>
      <w:sz w:val="24"/>
    </w:rPr>
  </w:style>
  <w:style w:type="paragraph" w:customStyle="1" w:styleId="67">
    <w:name w:val="自制正文1"/>
    <w:basedOn w:val="1"/>
    <w:next w:val="1"/>
    <w:qFormat/>
    <w:uiPriority w:val="0"/>
    <w:pPr>
      <w:spacing w:line="360" w:lineRule="exact"/>
      <w:ind w:firstLine="420"/>
    </w:pPr>
    <w:rPr>
      <w:sz w:val="24"/>
    </w:rPr>
  </w:style>
  <w:style w:type="paragraph" w:customStyle="1" w:styleId="68">
    <w:name w:val="样式 内容 + 首行缩进:  2 字符"/>
    <w:basedOn w:val="1"/>
    <w:qFormat/>
    <w:uiPriority w:val="0"/>
    <w:pPr>
      <w:spacing w:line="360" w:lineRule="auto"/>
      <w:ind w:firstLine="480" w:firstLineChars="200"/>
      <w:jc w:val="left"/>
    </w:pPr>
    <w:rPr>
      <w:rFonts w:cs="宋体"/>
      <w:sz w:val="24"/>
      <w:szCs w:val="20"/>
    </w:rPr>
  </w:style>
  <w:style w:type="paragraph" w:customStyle="1" w:styleId="69">
    <w:name w:val="段落"/>
    <w:basedOn w:val="1"/>
    <w:qFormat/>
    <w:uiPriority w:val="0"/>
    <w:pPr>
      <w:spacing w:line="440" w:lineRule="exact"/>
      <w:ind w:right="240" w:rightChars="100" w:firstLine="480" w:firstLineChars="200"/>
    </w:pPr>
    <w:rPr>
      <w:color w:val="FF0000"/>
      <w:kern w:val="24"/>
      <w:sz w:val="24"/>
      <w:szCs w:val="20"/>
    </w:rPr>
  </w:style>
  <w:style w:type="paragraph" w:customStyle="1" w:styleId="70">
    <w:name w:val="_Style 6"/>
    <w:basedOn w:val="1"/>
    <w:qFormat/>
    <w:uiPriority w:val="0"/>
    <w:pPr>
      <w:spacing w:line="360" w:lineRule="auto"/>
      <w:ind w:firstLine="200" w:firstLineChars="200"/>
    </w:pPr>
  </w:style>
  <w:style w:type="character" w:customStyle="1" w:styleId="71">
    <w:name w:val="bjh-p"/>
    <w:qFormat/>
    <w:uiPriority w:val="0"/>
  </w:style>
  <w:style w:type="paragraph" w:customStyle="1" w:styleId="72">
    <w:name w:val="表文字"/>
    <w:basedOn w:val="1"/>
    <w:qFormat/>
    <w:uiPriority w:val="0"/>
    <w:pPr>
      <w:overflowPunct w:val="0"/>
      <w:autoSpaceDE w:val="0"/>
      <w:autoSpaceDN w:val="0"/>
      <w:adjustRightInd w:val="0"/>
      <w:spacing w:line="240" w:lineRule="atLeast"/>
      <w:jc w:val="center"/>
      <w:textAlignment w:val="baseline"/>
    </w:pPr>
    <w:rPr>
      <w:rFonts w:ascii="宋体" w:hAnsi="Times New Roman"/>
      <w:color w:val="000000"/>
      <w:kern w:val="0"/>
      <w:szCs w:val="20"/>
    </w:rPr>
  </w:style>
  <w:style w:type="paragraph" w:customStyle="1" w:styleId="73">
    <w:name w:val="样式 文本正文 + 首行缩进:  2 字符"/>
    <w:basedOn w:val="1"/>
    <w:qFormat/>
    <w:uiPriority w:val="0"/>
    <w:pPr>
      <w:spacing w:line="360" w:lineRule="auto"/>
      <w:ind w:firstLine="200" w:firstLineChars="200"/>
    </w:pPr>
    <w:rPr>
      <w:rFonts w:ascii="Calibri" w:hAnsi="Calibri" w:cs="宋体"/>
      <w:sz w:val="24"/>
      <w:szCs w:val="20"/>
    </w:rPr>
  </w:style>
  <w:style w:type="paragraph" w:customStyle="1" w:styleId="74">
    <w:name w:val="说明书正文"/>
    <w:basedOn w:val="1"/>
    <w:qFormat/>
    <w:uiPriority w:val="0"/>
    <w:pPr>
      <w:spacing w:line="480" w:lineRule="exact"/>
      <w:ind w:firstLine="600" w:firstLineChars="200"/>
    </w:pPr>
    <w:rPr>
      <w:rFonts w:eastAsia="仿宋_GB2312"/>
      <w:color w:val="000000"/>
      <w:sz w:val="30"/>
    </w:rPr>
  </w:style>
  <w:style w:type="paragraph" w:customStyle="1" w:styleId="75">
    <w:name w:val="样式 正文文本缩进 + 行距: 1.5 倍行距"/>
    <w:basedOn w:val="11"/>
    <w:qFormat/>
    <w:uiPriority w:val="0"/>
    <w:pPr>
      <w:spacing w:before="0" w:after="120"/>
      <w:ind w:left="90" w:leftChars="32" w:firstLine="560" w:firstLineChars="200"/>
    </w:pPr>
    <w:rPr>
      <w:rFonts w:ascii="Times New Roman" w:cs="宋体"/>
    </w:rPr>
  </w:style>
  <w:style w:type="paragraph" w:customStyle="1" w:styleId="76">
    <w:name w:val="表 图 内容"/>
    <w:basedOn w:val="1"/>
    <w:qFormat/>
    <w:uiPriority w:val="0"/>
    <w:pPr>
      <w:jc w:val="center"/>
    </w:pPr>
    <w:rPr>
      <w:color w:val="000000"/>
    </w:rPr>
  </w:style>
  <w:style w:type="paragraph" w:customStyle="1" w:styleId="77">
    <w:name w:val="（正文）"/>
    <w:basedOn w:val="12"/>
    <w:qFormat/>
    <w:uiPriority w:val="0"/>
    <w:pPr>
      <w:tabs>
        <w:tab w:val="left" w:pos="0"/>
      </w:tabs>
      <w:adjustRightInd w:val="0"/>
      <w:spacing w:line="360" w:lineRule="auto"/>
      <w:ind w:firstLine="200" w:firstLineChars="200"/>
    </w:pPr>
    <w:rPr>
      <w:rFonts w:ascii="Calibri" w:hAnsi="Calibri"/>
      <w:sz w:val="24"/>
      <w:szCs w:val="22"/>
    </w:rPr>
  </w:style>
  <w:style w:type="paragraph" w:customStyle="1" w:styleId="78">
    <w:name w:val="样式 (符号) 宋体 小四 行距: 1.5 倍行距"/>
    <w:basedOn w:val="1"/>
    <w:qFormat/>
    <w:uiPriority w:val="0"/>
    <w:pPr>
      <w:spacing w:line="360" w:lineRule="auto"/>
      <w:ind w:firstLine="480" w:firstLineChars="200"/>
    </w:pPr>
    <w:rPr>
      <w:rFonts w:ascii="Calibri" w:hAnsi="宋体" w:cs="宋体"/>
      <w:sz w:val="24"/>
      <w:szCs w:val="21"/>
    </w:rPr>
  </w:style>
  <w:style w:type="paragraph" w:customStyle="1" w:styleId="79">
    <w:name w:val="表格题注"/>
    <w:qFormat/>
    <w:uiPriority w:val="0"/>
    <w:pPr>
      <w:jc w:val="center"/>
    </w:pPr>
    <w:rPr>
      <w:rFonts w:ascii="Calibri" w:hAnsi="Calibri" w:eastAsia="宋体" w:cs="Times New Roman"/>
      <w:b/>
      <w:sz w:val="21"/>
      <w:szCs w:val="22"/>
      <w:lang w:val="en-US" w:eastAsia="zh-CN" w:bidi="ar-SA"/>
    </w:rPr>
  </w:style>
  <w:style w:type="paragraph" w:customStyle="1" w:styleId="80">
    <w:name w:val="段"/>
    <w:qFormat/>
    <w:uiPriority w:val="0"/>
    <w:pPr>
      <w:autoSpaceDE w:val="0"/>
      <w:autoSpaceDN w:val="0"/>
      <w:ind w:firstLine="200" w:firstLineChars="200"/>
      <w:jc w:val="both"/>
    </w:pPr>
    <w:rPr>
      <w:rFonts w:ascii="宋体" w:hAnsi="Calibri" w:eastAsia="宋体" w:cs="Times New Roman"/>
      <w:sz w:val="21"/>
      <w:szCs w:val="22"/>
      <w:lang w:val="en-US" w:eastAsia="zh-CN" w:bidi="ar-SA"/>
    </w:rPr>
  </w:style>
  <w:style w:type="paragraph" w:customStyle="1" w:styleId="81">
    <w:name w:val="xl30"/>
    <w:basedOn w:val="1"/>
    <w:qFormat/>
    <w:uiPriority w:val="0"/>
    <w:pPr>
      <w:widowControl/>
      <w:pBdr>
        <w:left w:val="single" w:color="auto" w:sz="12" w:space="0"/>
        <w:right w:val="single" w:color="auto" w:sz="4" w:space="0"/>
      </w:pBdr>
      <w:spacing w:before="100" w:after="100"/>
      <w:jc w:val="center"/>
    </w:pPr>
    <w:rPr>
      <w:rFonts w:ascii="宋体" w:hAnsi="宋体"/>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png"/><Relationship Id="rId5" Type="http://schemas.openxmlformats.org/officeDocument/2006/relationships/footer" Target="footer3.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jpe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56"/>
    <customShpInfo spid="_x0000_s105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72</Pages>
  <Words>4184</Words>
  <Characters>23849</Characters>
  <Lines>198</Lines>
  <Paragraphs>55</Paragraphs>
  <TotalTime>25</TotalTime>
  <ScaleCrop>false</ScaleCrop>
  <LinksUpToDate>false</LinksUpToDate>
  <CharactersWithSpaces>27978</CharactersWithSpaces>
  <Application>WPS Office_11.1.0.10667_F1E327BC-269C-435d-A152-05C5408002CA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爱 彭恰恰美食（休整中）</cp:lastModifiedBy>
  <cp:lastPrinted>2021-04-15T06:18:00Z</cp:lastPrinted>
  <dcterms:modified xsi:type="dcterms:W3CDTF">2021-07-19T07:57:50Z</dcterms:modified>
  <dc:title>附件2</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2052-11.1.0.10667</vt:lpwstr>
  </property>
  <property fmtid="{D5CDD505-2E9C-101B-9397-08002B2CF9AE}" pid="3" name="KSOSaveFontToCloudKey">
    <vt:lpwstr>13072801_cloud</vt:lpwstr>
  </property>
  <property fmtid="{D5CDD505-2E9C-101B-9397-08002B2CF9AE}" pid="4" name="ICV">
    <vt:lpwstr>B9BC80B83B864F28943CED4461305014</vt:lpwstr>
  </property>
</Properties>
</file>