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 xml:space="preserve">     东塘镇2020年度部门整体支出绩效评价报告</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一、单位概况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（一）单位基本情况</w:t>
      </w:r>
    </w:p>
    <w:p>
      <w:pPr>
        <w:spacing w:line="400" w:lineRule="exact"/>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湘阴县东塘镇位于湘阴县北部，是湘阴、汨罗和屈原三县（市区）的中心枢纽，京珠高速、湘营线、湘汨线穿境而过。全镇下辖9个村、1个社区、296个村民小组，8446户，总人口约3.2万人，总面积58.7平方公里，耕地面积2.87万亩，山林面积达2000多亩，是名副其实的“森林小镇”。东塘镇人民政府为独立核算机构，内设东塘镇机关、东塘镇财政所、东塘镇农技推广中心、东塘镇计划生育服务所</w:t>
      </w:r>
      <w:bookmarkStart w:id="0" w:name="_GoBack"/>
      <w:bookmarkEnd w:id="0"/>
      <w:r>
        <w:rPr>
          <w:rFonts w:hint="eastAsia" w:ascii="仿宋_GB2312" w:hAnsi="仿宋_GB2312" w:eastAsia="仿宋_GB2312" w:cs="仿宋_GB2312"/>
          <w:bCs/>
          <w:sz w:val="28"/>
          <w:szCs w:val="28"/>
        </w:rPr>
        <w:t>。现有在编人员52名，劳务派遣人员3名。</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（二）单位整体支出规模、使用方向和主要内容、涉及范围等</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2020年度整体支出2128.39万元，使用方向为工作人员工资福利、民生福祉、完善基础设施专项支出等，主要支出内容为基本支出和项目支出两项，涉及的范围是人员工资福利支出、商品与服务支出、对个人和家庭的补助支出、其他资本性支等。</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二、单位整体支出管理及使用情况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单位基本支出790.93万元，其中人员支出696.07万元，公用支出94.86万元。</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全年专项资金安排落实总投入为1337.46万元，主要是集镇和村级道路维修及塘坝清淤。</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2、专项资金管理情况分析</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严格按照上级关于专项资金使用办法，规定了专项费用的使用范围，并严格按照财务管理制度，明确审批权限，规范审批程序，做好资金台账，实行专账管理，有效保证了财政预算专项资金用到实处。</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三、单位专项组织实施情况</w:t>
      </w:r>
    </w:p>
    <w:p>
      <w:pPr>
        <w:spacing w:line="40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东塘镇财政专项资金项目实施管理工作领导小组，明确了镇长抓项目负总责、分管副职具体抓、财政所长抓具体的工作机制，规范审批程序，完善报账手续，专项资金分项目做专账，严密关注项目实施情况，切实做好项目实施前中后资金的使用监管，确保专项资金真正做到了专项专用，为民谋利，落到实处。</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四、单位整体支出绩效情况</w:t>
      </w:r>
    </w:p>
    <w:p>
      <w:pPr>
        <w:spacing w:line="40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由于领导高度重视，组织实施得力，各项工作进展顺利，在2020年，单位整体支出绩效情况良好，阶段性目标也都按期实现，全年预期的绩效指标均已完成，在年底考核中名列前茅。在整体支出绩效评价中，评价组成员一致认为：财政预算项目的支出合情合理合法，达到了预期效果，给予了绩效自评综合平均得分96的高分，评价等级为优秀。</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40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1、项目实施目标的制订还存在考虑不够全面、定位要求不高、效能估计不足等问题。</w:t>
      </w:r>
    </w:p>
    <w:p>
      <w:pPr>
        <w:spacing w:line="40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2、对财政预算项目的绩效管理，虽然已经制订了相关的制度和办法，但还存在制度办法与实际工作不切实际的地方，操作性不是很强，需要进一步健全完善。</w:t>
      </w:r>
    </w:p>
    <w:p>
      <w:pPr>
        <w:spacing w:line="400" w:lineRule="exact"/>
        <w:ind w:firstLine="560" w:firstLineChars="200"/>
        <w:rPr>
          <w:rFonts w:hint="eastAsia" w:ascii="仿宋" w:hAnsi="仿宋" w:eastAsia="仿宋" w:cs="黑体"/>
          <w:bCs/>
          <w:sz w:val="28"/>
          <w:szCs w:val="28"/>
        </w:rPr>
      </w:pPr>
      <w:r>
        <w:rPr>
          <w:rFonts w:hint="eastAsia" w:ascii="仿宋" w:hAnsi="仿宋" w:eastAsia="仿宋" w:cs="黑体"/>
          <w:bCs/>
          <w:sz w:val="28"/>
          <w:szCs w:val="28"/>
        </w:rPr>
        <w:t>3、项目实施还应筹集相应的配套资金，在一定程度上要考虑和克服某些影响预期绩效目标设置与实现的因素。</w:t>
      </w:r>
    </w:p>
    <w:p>
      <w:pPr>
        <w:spacing w:line="40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ind w:firstLine="540"/>
        <w:rPr>
          <w:rFonts w:hint="eastAsia" w:ascii="仿宋" w:hAnsi="仿宋" w:eastAsia="仿宋"/>
          <w:bCs/>
          <w:sz w:val="28"/>
          <w:szCs w:val="28"/>
        </w:rPr>
      </w:pPr>
      <w:r>
        <w:rPr>
          <w:rFonts w:hint="eastAsia" w:ascii="仿宋" w:hAnsi="仿宋" w:eastAsia="仿宋"/>
          <w:bCs/>
          <w:sz w:val="28"/>
          <w:szCs w:val="28"/>
        </w:rPr>
        <w:t>1、进一步强化项目实施的调研作用，科学申报绩效管理目标。</w:t>
      </w:r>
    </w:p>
    <w:p>
      <w:pPr>
        <w:ind w:firstLine="540"/>
        <w:rPr>
          <w:rFonts w:hint="eastAsia" w:ascii="仿宋" w:hAnsi="仿宋" w:eastAsia="仿宋"/>
          <w:bCs/>
          <w:sz w:val="28"/>
          <w:szCs w:val="28"/>
        </w:rPr>
      </w:pPr>
      <w:r>
        <w:rPr>
          <w:rFonts w:hint="eastAsia" w:ascii="仿宋" w:hAnsi="仿宋" w:eastAsia="仿宋"/>
          <w:bCs/>
          <w:sz w:val="28"/>
          <w:szCs w:val="28"/>
        </w:rPr>
        <w:t>2、进一步突出项目资金的引导作用，努力健全配套投入机制。</w:t>
      </w:r>
    </w:p>
    <w:p>
      <w:pPr>
        <w:ind w:firstLine="540"/>
        <w:rPr>
          <w:rFonts w:hint="eastAsia" w:ascii="仿宋" w:hAnsi="仿宋" w:eastAsia="仿宋"/>
          <w:bCs/>
          <w:sz w:val="28"/>
          <w:szCs w:val="28"/>
        </w:rPr>
      </w:pPr>
      <w:r>
        <w:rPr>
          <w:rFonts w:hint="eastAsia" w:ascii="仿宋" w:hAnsi="仿宋" w:eastAsia="仿宋"/>
          <w:bCs/>
          <w:sz w:val="28"/>
          <w:szCs w:val="28"/>
        </w:rPr>
        <w:t>3、进一步加强项目实施的绩效管理，有效推进乡镇振兴事业。</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2"/>
  </w:compat>
  <w:rsids>
    <w:rsidRoot w:val="00D31D50"/>
    <w:rsid w:val="00323B43"/>
    <w:rsid w:val="003D37D8"/>
    <w:rsid w:val="00426133"/>
    <w:rsid w:val="004358AB"/>
    <w:rsid w:val="005B44F4"/>
    <w:rsid w:val="008B7726"/>
    <w:rsid w:val="00D31D50"/>
    <w:rsid w:val="00D86957"/>
    <w:rsid w:val="00E338EF"/>
    <w:rsid w:val="1FE63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5"/>
    <w:link w:val="3"/>
    <w:semiHidden/>
    <w:uiPriority w:val="99"/>
    <w:rPr>
      <w:rFonts w:ascii="Tahoma" w:hAnsi="Tahoma"/>
      <w:sz w:val="18"/>
      <w:szCs w:val="18"/>
    </w:rPr>
  </w:style>
  <w:style w:type="character" w:customStyle="1" w:styleId="7">
    <w:name w:val="页脚 Char"/>
    <w:basedOn w:val="5"/>
    <w:link w:val="2"/>
    <w:semiHidden/>
    <w:uiPriority w:val="99"/>
    <w:rPr>
      <w:rFonts w:ascii="Tahoma" w:hAnsi="Tahoma"/>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184</Words>
  <Characters>1051</Characters>
  <Lines>8</Lines>
  <Paragraphs>2</Paragraphs>
  <TotalTime>0</TotalTime>
  <ScaleCrop>false</ScaleCrop>
  <LinksUpToDate>false</LinksUpToDate>
  <CharactersWithSpaces>1233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一只耳</cp:lastModifiedBy>
  <dcterms:modified xsi:type="dcterms:W3CDTF">2021-10-20T03:15:05Z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2BF8D8C774B5409AACA211BA282CCCB6</vt:lpwstr>
  </property>
</Properties>
</file>