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rPr>
      </w:pPr>
      <w:r>
        <w:rPr>
          <w:rFonts w:hint="eastAsia" w:eastAsia="方正小标宋简体"/>
          <w:bCs/>
          <w:sz w:val="46"/>
          <w:szCs w:val="46"/>
        </w:rPr>
        <w:t>湘阴县20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中共</w:t>
      </w:r>
      <w:r>
        <w:rPr>
          <w:rFonts w:hint="eastAsia" w:eastAsia="仿宋_GB2312"/>
          <w:sz w:val="32"/>
          <w:u w:val="single"/>
          <w:lang w:eastAsia="zh-CN"/>
        </w:rPr>
        <w:t>湘阴</w:t>
      </w:r>
      <w:r>
        <w:rPr>
          <w:rFonts w:hint="eastAsia" w:eastAsia="仿宋_GB2312"/>
          <w:sz w:val="32"/>
          <w:u w:val="single"/>
        </w:rPr>
        <w:t>县委政法委</w:t>
      </w:r>
      <w:r>
        <w:rPr>
          <w:rFonts w:hint="eastAsia" w:eastAsia="仿宋_GB2312"/>
          <w:sz w:val="32"/>
          <w:u w:val="single"/>
          <w:lang w:eastAsia="zh-CN"/>
        </w:rPr>
        <w:t>员会</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预算编码</w:t>
      </w:r>
      <w:r>
        <w:rPr>
          <w:rFonts w:hint="eastAsia" w:eastAsia="仿宋_GB2312"/>
          <w:sz w:val="32"/>
          <w:u w:val="single"/>
        </w:rPr>
        <w:t xml:space="preserve">              </w:t>
      </w:r>
      <w:r>
        <w:rPr>
          <w:rFonts w:hint="eastAsia" w:eastAsia="仿宋_GB2312"/>
          <w:sz w:val="32"/>
          <w:u w:val="single"/>
          <w:lang w:val="en-US" w:eastAsia="zh-CN"/>
        </w:rPr>
        <w:t>111001</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32"/>
          <w:szCs w:val="32"/>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 xml:space="preserve">评价机构：部门（单位）评价组 </w:t>
      </w:r>
      <w:r>
        <w:rPr>
          <w:rFonts w:hint="eastAsia" w:eastAsia="仿宋_GB2312"/>
          <w:sz w:val="28"/>
          <w:szCs w:val="28"/>
        </w:rPr>
        <w:t xml:space="preserve">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17</w:t>
      </w:r>
      <w:r>
        <w:rPr>
          <w:rFonts w:hint="eastAsia" w:eastAsia="仿宋_GB2312"/>
          <w:sz w:val="32"/>
        </w:rPr>
        <w:t>日</w:t>
      </w:r>
    </w:p>
    <w:p>
      <w:pPr>
        <w:autoSpaceDN w:val="0"/>
        <w:jc w:val="center"/>
        <w:textAlignment w:val="center"/>
        <w:rPr>
          <w:rFonts w:hint="eastAsia" w:eastAsia="仿宋_GB2312"/>
          <w:sz w:val="32"/>
          <w:szCs w:val="32"/>
        </w:rPr>
      </w:pPr>
      <w:r>
        <w:rPr>
          <w:rFonts w:hint="eastAsia" w:eastAsia="仿宋_GB2312"/>
          <w:sz w:val="32"/>
        </w:rPr>
        <w:t>湘阴县财政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3"/>
        <w:tblW w:w="9561"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81"/>
        <w:gridCol w:w="57"/>
        <w:gridCol w:w="26"/>
        <w:gridCol w:w="540"/>
        <w:gridCol w:w="593"/>
        <w:gridCol w:w="79"/>
        <w:gridCol w:w="254"/>
        <w:gridCol w:w="1000"/>
        <w:gridCol w:w="722"/>
        <w:gridCol w:w="403"/>
        <w:gridCol w:w="325"/>
        <w:gridCol w:w="301"/>
        <w:gridCol w:w="432"/>
        <w:gridCol w:w="637"/>
        <w:gridCol w:w="247"/>
        <w:gridCol w:w="922"/>
        <w:gridCol w:w="370"/>
        <w:gridCol w:w="25"/>
        <w:gridCol w:w="384"/>
        <w:gridCol w:w="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2" w:hRule="atLeast"/>
        </w:trPr>
        <w:tc>
          <w:tcPr>
            <w:tcW w:w="9561" w:type="dxa"/>
            <w:gridSpan w:val="20"/>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2" w:hRule="atLeast"/>
        </w:trPr>
        <w:tc>
          <w:tcPr>
            <w:tcW w:w="143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214"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周令</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448" w:type="dxa"/>
            <w:gridSpan w:val="7"/>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13874059567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43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214" w:type="dxa"/>
            <w:gridSpan w:val="7"/>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448" w:type="dxa"/>
            <w:gridSpan w:val="7"/>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0" w:hRule="atLeast"/>
        </w:trPr>
        <w:tc>
          <w:tcPr>
            <w:tcW w:w="143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职能职责概述</w:t>
            </w:r>
          </w:p>
        </w:tc>
        <w:tc>
          <w:tcPr>
            <w:tcW w:w="8123" w:type="dxa"/>
            <w:gridSpan w:val="18"/>
            <w:noWrap w:val="0"/>
            <w:vAlign w:val="center"/>
          </w:tcPr>
          <w:p>
            <w:pPr>
              <w:autoSpaceDN w:val="0"/>
              <w:spacing w:line="400" w:lineRule="exact"/>
              <w:ind w:firstLine="480" w:firstLineChars="2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政法委的主要职能有：政法委是党委领导、组织、监督和协调政法各部门，组织、协调全县各单位开展社会治安综合治理和维护社会稳定的工作部门。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19" w:hRule="atLeast"/>
        </w:trPr>
        <w:tc>
          <w:tcPr>
            <w:tcW w:w="143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工作内容</w:t>
            </w:r>
          </w:p>
        </w:tc>
        <w:tc>
          <w:tcPr>
            <w:tcW w:w="8123" w:type="dxa"/>
            <w:gridSpan w:val="18"/>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任务1：开展全县社会治安综合治理、综治民调及综治中心建设；</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任务2：开展全县扫黑除恶工作；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任务3：维护全县社会稳定；</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任务4：开展涉法涉诉工作；</w:t>
            </w:r>
          </w:p>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任务5：开展政法系统干部队伍建设。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43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年度部门（单位）总体运行情况及取得的成绩</w:t>
            </w:r>
          </w:p>
        </w:tc>
        <w:tc>
          <w:tcPr>
            <w:tcW w:w="8123" w:type="dxa"/>
            <w:gridSpan w:val="18"/>
            <w:noWrap w:val="0"/>
            <w:vAlign w:val="center"/>
          </w:tcPr>
          <w:p>
            <w:pPr>
              <w:autoSpaceDN w:val="0"/>
              <w:spacing w:line="40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年来，为加快“平安湘阴”建设进程，以安全防范为重点，以平安宣传为基础，综合施策，整体推进，取得了一定的效果，有效地提高了人民群众对平安建设的知晓率、参与率、满意率，积极开展“全面提升公众安全感”活动。主要做了如下工作：</w:t>
            </w:r>
          </w:p>
          <w:p>
            <w:pPr>
              <w:numPr>
                <w:ilvl w:val="0"/>
                <w:numId w:val="1"/>
              </w:numPr>
              <w:autoSpaceDN w:val="0"/>
              <w:spacing w:line="40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服务保障经济高质量发展的能力进一步提升。 紧紧围绕“三大攻坚战”和“六稳”“六保”工作履职尽责， 依法严厉打击强揽工程、阻工闹事等犯罪人员 19 人，依法 有序帮扶处置了一批投融资公司和问题楼盘。</w:t>
            </w:r>
          </w:p>
          <w:p>
            <w:pPr>
              <w:numPr>
                <w:ilvl w:val="0"/>
                <w:numId w:val="0"/>
              </w:numPr>
              <w:autoSpaceDN w:val="0"/>
              <w:spacing w:line="40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2、维护社会稳定、防范管控风 </w:t>
            </w:r>
            <w:r>
              <w:rPr>
                <w:rFonts w:hint="default" w:ascii="仿宋_GB2312" w:hAnsi="仿宋_GB2312" w:eastAsia="仿宋_GB2312" w:cs="仿宋_GB2312"/>
                <w:color w:val="000000"/>
                <w:sz w:val="24"/>
                <w:lang w:val="en-US" w:eastAsia="zh-CN"/>
              </w:rPr>
              <w:t>险的机制进一步优化</w:t>
            </w:r>
            <w:r>
              <w:rPr>
                <w:rFonts w:hint="eastAsia" w:ascii="仿宋_GB2312" w:hAnsi="仿宋_GB2312" w:eastAsia="仿宋_GB2312" w:cs="仿宋_GB2312"/>
                <w:color w:val="000000"/>
                <w:sz w:val="24"/>
                <w:lang w:val="en-US" w:eastAsia="zh-CN"/>
              </w:rPr>
              <w:t xml:space="preserve">。深入推进“矛盾纠纷多元化解”，全 </w:t>
            </w:r>
            <w:r>
              <w:rPr>
                <w:rFonts w:hint="default" w:ascii="仿宋_GB2312" w:hAnsi="仿宋_GB2312" w:eastAsia="仿宋_GB2312" w:cs="仿宋_GB2312"/>
                <w:color w:val="000000"/>
                <w:sz w:val="24"/>
                <w:lang w:val="en-US" w:eastAsia="zh-CN"/>
              </w:rPr>
              <w:t>年调处案件 1354 件，调解成功 1351 件，调解成功率 99%； 坚持以人为本，依法、快速、稳妥处置交通肇事和医疗纠纷 等引发的突发性事件 70 余起，确保了社会大局和谐稳定； 全年接处访 379 批 1235 人次，化解信访积案 29 件，进京上 访批次与去年同期同比下降52％、人次下降 53％。</w:t>
            </w:r>
          </w:p>
          <w:p>
            <w:pPr>
              <w:numPr>
                <w:ilvl w:val="0"/>
                <w:numId w:val="0"/>
              </w:numPr>
              <w:autoSpaceDN w:val="0"/>
              <w:spacing w:line="400" w:lineRule="exact"/>
              <w:ind w:left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default" w:ascii="仿宋_GB2312" w:hAnsi="仿宋_GB2312" w:eastAsia="仿宋_GB2312" w:cs="仿宋_GB2312"/>
                <w:color w:val="000000"/>
                <w:sz w:val="24"/>
                <w:lang w:val="en-US" w:eastAsia="zh-CN"/>
              </w:rPr>
              <w:t>扫黑除恶专项斗争成效进一步显现。深入实施“一十百千万” 工程</w:t>
            </w:r>
          </w:p>
          <w:p>
            <w:pPr>
              <w:numPr>
                <w:ilvl w:val="0"/>
                <w:numId w:val="0"/>
              </w:num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和“六清”行动，三年来共侦办涉黑涉恶犯罪团伙案 16 个;起诉涉黑涉恶团伙案件 17 件 63 人，批准逮捕 81 人;一审 判处财产刑 2881.91 万元; 查处涉黑涉恶腐败和“保护伞”问题线索 34 件;涉黑涉恶存量线索全部办结，打出了声威、打 出了平安、打出了群众满意度。</w:t>
            </w:r>
          </w:p>
          <w:p>
            <w:pPr>
              <w:numPr>
                <w:ilvl w:val="0"/>
                <w:numId w:val="2"/>
              </w:numPr>
              <w:autoSpaceDN w:val="0"/>
              <w:spacing w:line="400" w:lineRule="exact"/>
              <w:ind w:left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平安湘阴建设基础进一步夯</w:t>
            </w:r>
            <w:r>
              <w:rPr>
                <w:rFonts w:hint="default" w:ascii="仿宋_GB2312" w:hAnsi="仿宋_GB2312" w:eastAsia="仿宋_GB2312" w:cs="仿宋_GB2312"/>
                <w:color w:val="000000"/>
                <w:sz w:val="24"/>
                <w:lang w:val="en-US" w:eastAsia="zh-CN"/>
              </w:rPr>
              <w:t>实</w:t>
            </w:r>
            <w:r>
              <w:rPr>
                <w:rFonts w:hint="eastAsia" w:ascii="仿宋_GB2312" w:hAnsi="仿宋_GB2312" w:eastAsia="仿宋_GB2312" w:cs="仿宋_GB2312"/>
                <w:color w:val="000000"/>
                <w:sz w:val="24"/>
                <w:lang w:val="en-US" w:eastAsia="zh-CN"/>
              </w:rPr>
              <w:t>。深入开展“百日会战”“黄赌毒”整</w:t>
            </w:r>
          </w:p>
          <w:p>
            <w:pPr>
              <w:numPr>
                <w:ilvl w:val="0"/>
                <w:numId w:val="0"/>
              </w:num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治等专项行动，社会治安形势进一步好转，人民群 </w:t>
            </w:r>
            <w:r>
              <w:rPr>
                <w:rFonts w:hint="default" w:ascii="仿宋_GB2312" w:hAnsi="仿宋_GB2312" w:eastAsia="仿宋_GB2312" w:cs="仿宋_GB2312"/>
                <w:color w:val="000000"/>
                <w:sz w:val="24"/>
                <w:lang w:val="en-US" w:eastAsia="zh-CN"/>
              </w:rPr>
              <w:t>众安全感、满意度进一步提高。</w:t>
            </w:r>
          </w:p>
          <w:p>
            <w:pPr>
              <w:autoSpaceDN w:val="0"/>
              <w:spacing w:line="400" w:lineRule="exact"/>
              <w:ind w:firstLine="480" w:firstLineChars="200"/>
              <w:jc w:val="left"/>
              <w:textAlignment w:val="center"/>
              <w:rPr>
                <w:rFonts w:hint="eastAsia" w:ascii="仿宋_GB2312" w:hAnsi="仿宋_GB2312" w:eastAsia="仿宋_GB2312" w:cs="仿宋_GB2312"/>
                <w:color w:val="000000"/>
                <w:kern w:val="2"/>
                <w:sz w:val="24"/>
                <w:szCs w:val="24"/>
                <w:lang w:val="en-US" w:eastAsia="zh-CN" w:bidi="ar-SA"/>
              </w:rPr>
            </w:pPr>
          </w:p>
          <w:p>
            <w:pPr>
              <w:autoSpaceDN w:val="0"/>
              <w:spacing w:line="400" w:lineRule="exact"/>
              <w:ind w:firstLine="480" w:firstLineChars="200"/>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561" w:type="dxa"/>
            <w:gridSpan w:val="20"/>
            <w:noWrap w:val="0"/>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黑体" w:hAnsi="黑体" w:eastAsia="黑体" w:cs="黑体"/>
                <w:b/>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561" w:type="dxa"/>
            <w:gridSpan w:val="20"/>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64"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机构名称</w:t>
            </w:r>
          </w:p>
          <w:p>
            <w:pPr>
              <w:autoSpaceDN w:val="0"/>
              <w:spacing w:line="400" w:lineRule="exact"/>
              <w:jc w:val="center"/>
              <w:textAlignment w:val="center"/>
              <w:rPr>
                <w:rFonts w:hint="eastAsia" w:ascii="仿宋_GB2312" w:hAnsi="仿宋_GB2312" w:eastAsia="仿宋_GB2312" w:cs="仿宋_GB2312"/>
                <w:color w:val="000000"/>
                <w:sz w:val="24"/>
              </w:rPr>
            </w:pPr>
          </w:p>
        </w:tc>
        <w:tc>
          <w:tcPr>
            <w:tcW w:w="1212"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收入合计</w:t>
            </w:r>
          </w:p>
          <w:p>
            <w:pPr>
              <w:autoSpaceDN w:val="0"/>
              <w:spacing w:line="400" w:lineRule="exact"/>
              <w:jc w:val="center"/>
              <w:textAlignment w:val="center"/>
              <w:rPr>
                <w:rFonts w:hint="eastAsia" w:ascii="仿宋_GB2312" w:hAnsi="仿宋_GB2312" w:eastAsia="仿宋_GB2312" w:cs="仿宋_GB2312"/>
                <w:color w:val="000000"/>
                <w:sz w:val="24"/>
              </w:rPr>
            </w:pPr>
          </w:p>
        </w:tc>
        <w:tc>
          <w:tcPr>
            <w:tcW w:w="6885" w:type="dxa"/>
            <w:gridSpan w:val="14"/>
            <w:tcBorders>
              <w:left w:val="single" w:color="auto" w:sz="4" w:space="0"/>
            </w:tcBorders>
            <w:noWrap w:val="0"/>
            <w:vAlign w:val="center"/>
          </w:tcPr>
          <w:p>
            <w:pPr>
              <w:autoSpaceDN w:val="0"/>
              <w:spacing w:line="400" w:lineRule="exact"/>
              <w:ind w:firstLine="960" w:firstLineChars="400"/>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64" w:type="dxa"/>
            <w:gridSpan w:val="3"/>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12"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54"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上年结转</w:t>
            </w:r>
          </w:p>
        </w:tc>
        <w:tc>
          <w:tcPr>
            <w:tcW w:w="145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公共财政拨款</w:t>
            </w:r>
          </w:p>
        </w:tc>
        <w:tc>
          <w:tcPr>
            <w:tcW w:w="161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政府基金拨款</w:t>
            </w:r>
          </w:p>
        </w:tc>
        <w:tc>
          <w:tcPr>
            <w:tcW w:w="129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纳入专户管理的非税收入拨款</w:t>
            </w:r>
          </w:p>
        </w:tc>
        <w:tc>
          <w:tcPr>
            <w:tcW w:w="127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trPr>
        <w:tc>
          <w:tcPr>
            <w:tcW w:w="146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w:t>
            </w:r>
          </w:p>
        </w:tc>
        <w:tc>
          <w:tcPr>
            <w:tcW w:w="1212"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727.8</w:t>
            </w:r>
          </w:p>
        </w:tc>
        <w:tc>
          <w:tcPr>
            <w:tcW w:w="1254"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450"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727.8</w:t>
            </w:r>
          </w:p>
        </w:tc>
        <w:tc>
          <w:tcPr>
            <w:tcW w:w="161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29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27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trPr>
        <w:tc>
          <w:tcPr>
            <w:tcW w:w="146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1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254"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45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8"/>
                <w:szCs w:val="28"/>
                <w:lang w:val="en-US" w:eastAsia="zh-CN" w:bidi="ar-SA"/>
              </w:rPr>
            </w:pPr>
          </w:p>
        </w:tc>
        <w:tc>
          <w:tcPr>
            <w:tcW w:w="161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29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27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9561" w:type="dxa"/>
            <w:gridSpan w:val="20"/>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vMerge w:val="restart"/>
            <w:noWrap w:val="0"/>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3" w:type="dxa"/>
            <w:gridSpan w:val="2"/>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22" w:type="dxa"/>
            <w:gridSpan w:val="11"/>
            <w:tcBorders>
              <w:left w:val="single" w:color="auto" w:sz="4" w:space="0"/>
              <w:bottom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42" w:type="dxa"/>
            <w:gridSpan w:val="4"/>
            <w:tcBorders>
              <w:left w:val="single" w:color="auto" w:sz="4" w:space="0"/>
              <w:bottom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vMerge w:val="continue"/>
            <w:noWrap w:val="0"/>
            <w:vAlign w:val="center"/>
          </w:tcPr>
          <w:p>
            <w:pPr>
              <w:spacing w:line="400" w:lineRule="exact"/>
              <w:jc w:val="center"/>
              <w:rPr>
                <w:rFonts w:hint="eastAsia" w:ascii="仿宋_GB2312" w:hAnsi="仿宋_GB2312" w:eastAsia="仿宋_GB2312" w:cs="仿宋_GB2312"/>
                <w:sz w:val="24"/>
              </w:rPr>
            </w:pPr>
          </w:p>
        </w:tc>
        <w:tc>
          <w:tcPr>
            <w:tcW w:w="1133"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820" w:type="dxa"/>
            <w:gridSpan w:val="6"/>
            <w:tcBorders>
              <w:top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69" w:type="dxa"/>
            <w:gridSpan w:val="2"/>
            <w:vMerge w:val="restart"/>
            <w:tcBorders>
              <w:top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79" w:type="dxa"/>
            <w:gridSpan w:val="3"/>
            <w:vMerge w:val="restart"/>
            <w:tcBorders>
              <w:top w:val="single" w:color="auto" w:sz="4" w:space="0"/>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63" w:type="dxa"/>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vMerge w:val="continue"/>
            <w:noWrap w:val="0"/>
            <w:vAlign w:val="center"/>
          </w:tcPr>
          <w:p>
            <w:pPr>
              <w:spacing w:line="400" w:lineRule="exact"/>
              <w:jc w:val="center"/>
              <w:rPr>
                <w:rFonts w:hint="eastAsia" w:ascii="仿宋_GB2312" w:hAnsi="仿宋_GB2312" w:eastAsia="仿宋_GB2312" w:cs="仿宋_GB2312"/>
                <w:sz w:val="24"/>
              </w:rPr>
            </w:pPr>
          </w:p>
        </w:tc>
        <w:tc>
          <w:tcPr>
            <w:tcW w:w="1133"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2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9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69"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79" w:type="dxa"/>
            <w:gridSpan w:val="3"/>
            <w:vMerge w:val="continue"/>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63" w:type="dxa"/>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w:t>
            </w:r>
          </w:p>
        </w:tc>
        <w:tc>
          <w:tcPr>
            <w:tcW w:w="1133"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727.8</w:t>
            </w:r>
          </w:p>
        </w:tc>
        <w:tc>
          <w:tcPr>
            <w:tcW w:w="1333" w:type="dxa"/>
            <w:gridSpan w:val="3"/>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274.86</w:t>
            </w:r>
          </w:p>
        </w:tc>
        <w:tc>
          <w:tcPr>
            <w:tcW w:w="112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223.8</w:t>
            </w:r>
          </w:p>
        </w:tc>
        <w:tc>
          <w:tcPr>
            <w:tcW w:w="1695"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51.06</w:t>
            </w:r>
          </w:p>
        </w:tc>
        <w:tc>
          <w:tcPr>
            <w:tcW w:w="1169"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452.94</w:t>
            </w:r>
          </w:p>
        </w:tc>
        <w:tc>
          <w:tcPr>
            <w:tcW w:w="77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63"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noWrap w:val="0"/>
            <w:vAlign w:val="center"/>
          </w:tcPr>
          <w:p>
            <w:pPr>
              <w:spacing w:line="400" w:lineRule="exact"/>
              <w:jc w:val="left"/>
              <w:rPr>
                <w:rFonts w:hint="eastAsia" w:ascii="仿宋_GB2312" w:hAnsi="仿宋_GB2312" w:eastAsia="仿宋_GB2312" w:cs="仿宋_GB2312"/>
                <w:color w:val="000000"/>
                <w:sz w:val="24"/>
              </w:rPr>
            </w:pPr>
          </w:p>
        </w:tc>
        <w:tc>
          <w:tcPr>
            <w:tcW w:w="1133"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2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69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6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7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63"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464" w:type="dxa"/>
            <w:gridSpan w:val="3"/>
            <w:noWrap w:val="0"/>
            <w:vAlign w:val="center"/>
          </w:tcPr>
          <w:p>
            <w:pPr>
              <w:spacing w:line="400" w:lineRule="exact"/>
              <w:jc w:val="left"/>
              <w:rPr>
                <w:rFonts w:hint="eastAsia" w:ascii="仿宋_GB2312" w:hAnsi="仿宋_GB2312" w:eastAsia="仿宋_GB2312" w:cs="仿宋_GB2312"/>
                <w:color w:val="000000"/>
                <w:sz w:val="24"/>
              </w:rPr>
            </w:pPr>
          </w:p>
        </w:tc>
        <w:tc>
          <w:tcPr>
            <w:tcW w:w="1133"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2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69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6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7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863"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3" w:type="dxa"/>
            <w:gridSpan w:val="2"/>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64" w:type="dxa"/>
            <w:gridSpan w:val="1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vMerge w:val="continue"/>
            <w:noWrap w:val="0"/>
            <w:vAlign w:val="center"/>
          </w:tcPr>
          <w:p>
            <w:pPr>
              <w:spacing w:line="400" w:lineRule="exact"/>
              <w:jc w:val="center"/>
              <w:rPr>
                <w:rFonts w:hint="eastAsia" w:ascii="仿宋_GB2312" w:hAnsi="仿宋_GB2312" w:eastAsia="仿宋_GB2312" w:cs="仿宋_GB2312"/>
                <w:sz w:val="24"/>
              </w:rPr>
            </w:pPr>
          </w:p>
        </w:tc>
        <w:tc>
          <w:tcPr>
            <w:tcW w:w="1133"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2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9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81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 w:hRule="atLeast"/>
        </w:trPr>
        <w:tc>
          <w:tcPr>
            <w:tcW w:w="1464"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w:t>
            </w:r>
          </w:p>
        </w:tc>
        <w:tc>
          <w:tcPr>
            <w:tcW w:w="1133"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w:t>
            </w:r>
          </w:p>
        </w:tc>
        <w:tc>
          <w:tcPr>
            <w:tcW w:w="1333" w:type="dxa"/>
            <w:gridSpan w:val="3"/>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w:t>
            </w:r>
          </w:p>
        </w:tc>
        <w:tc>
          <w:tcPr>
            <w:tcW w:w="1125"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169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81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 w:hRule="atLeast"/>
        </w:trPr>
        <w:tc>
          <w:tcPr>
            <w:tcW w:w="1464" w:type="dxa"/>
            <w:gridSpan w:val="3"/>
            <w:noWrap w:val="0"/>
            <w:vAlign w:val="center"/>
          </w:tcPr>
          <w:p>
            <w:pPr>
              <w:spacing w:line="400" w:lineRule="exact"/>
              <w:jc w:val="left"/>
              <w:rPr>
                <w:rFonts w:hint="eastAsia" w:ascii="仿宋_GB2312" w:hAnsi="仿宋_GB2312" w:eastAsia="仿宋_GB2312" w:cs="仿宋_GB2312"/>
                <w:sz w:val="24"/>
              </w:rPr>
            </w:pPr>
          </w:p>
        </w:tc>
        <w:tc>
          <w:tcPr>
            <w:tcW w:w="1133"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2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69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81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trPr>
        <w:tc>
          <w:tcPr>
            <w:tcW w:w="1464" w:type="dxa"/>
            <w:gridSpan w:val="3"/>
            <w:noWrap w:val="0"/>
            <w:vAlign w:val="center"/>
          </w:tcPr>
          <w:p>
            <w:pPr>
              <w:spacing w:line="400" w:lineRule="exact"/>
              <w:jc w:val="left"/>
              <w:rPr>
                <w:rFonts w:hint="eastAsia" w:ascii="仿宋_GB2312" w:hAnsi="仿宋_GB2312" w:eastAsia="仿宋_GB2312" w:cs="仿宋_GB2312"/>
                <w:sz w:val="24"/>
              </w:rPr>
            </w:pPr>
          </w:p>
        </w:tc>
        <w:tc>
          <w:tcPr>
            <w:tcW w:w="1133"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25"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695"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81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3" w:type="dxa"/>
            <w:gridSpan w:val="2"/>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322" w:type="dxa"/>
            <w:gridSpan w:val="11"/>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42" w:type="dxa"/>
            <w:gridSpan w:val="4"/>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vMerge w:val="continue"/>
            <w:noWrap w:val="0"/>
            <w:vAlign w:val="center"/>
          </w:tcPr>
          <w:p>
            <w:pPr>
              <w:spacing w:line="400" w:lineRule="exact"/>
              <w:jc w:val="center"/>
              <w:rPr>
                <w:rFonts w:hint="eastAsia" w:ascii="仿宋_GB2312" w:hAnsi="仿宋_GB2312" w:eastAsia="仿宋_GB2312" w:cs="仿宋_GB2312"/>
                <w:sz w:val="24"/>
              </w:rPr>
            </w:pPr>
          </w:p>
        </w:tc>
        <w:tc>
          <w:tcPr>
            <w:tcW w:w="1133"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7"/>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2238" w:type="dxa"/>
            <w:gridSpan w:val="4"/>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642" w:type="dxa"/>
            <w:gridSpan w:val="4"/>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w:t>
            </w:r>
          </w:p>
        </w:tc>
        <w:tc>
          <w:tcPr>
            <w:tcW w:w="1133"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54.45</w:t>
            </w:r>
          </w:p>
        </w:tc>
        <w:tc>
          <w:tcPr>
            <w:tcW w:w="3084" w:type="dxa"/>
            <w:gridSpan w:val="7"/>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54.45</w:t>
            </w:r>
          </w:p>
        </w:tc>
        <w:tc>
          <w:tcPr>
            <w:tcW w:w="2238"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642"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9" w:hRule="atLeast"/>
        </w:trPr>
        <w:tc>
          <w:tcPr>
            <w:tcW w:w="1464" w:type="dxa"/>
            <w:gridSpan w:val="3"/>
            <w:noWrap w:val="0"/>
            <w:vAlign w:val="center"/>
          </w:tcPr>
          <w:p>
            <w:pPr>
              <w:spacing w:line="400" w:lineRule="exact"/>
              <w:jc w:val="left"/>
              <w:rPr>
                <w:rFonts w:hint="eastAsia" w:ascii="仿宋_GB2312" w:hAnsi="仿宋_GB2312" w:eastAsia="仿宋_GB2312" w:cs="仿宋_GB2312"/>
                <w:sz w:val="24"/>
              </w:rPr>
            </w:pPr>
          </w:p>
        </w:tc>
        <w:tc>
          <w:tcPr>
            <w:tcW w:w="1133"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7"/>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238"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642"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5" w:hRule="atLeast"/>
        </w:trPr>
        <w:tc>
          <w:tcPr>
            <w:tcW w:w="9561" w:type="dxa"/>
            <w:gridSpan w:val="20"/>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7" w:hRule="atLeast"/>
        </w:trPr>
        <w:tc>
          <w:tcPr>
            <w:tcW w:w="1381"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271"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909" w:type="dxa"/>
            <w:gridSpan w:val="11"/>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34"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3271" w:type="dxa"/>
            <w:gridSpan w:val="8"/>
            <w:noWrap w:val="0"/>
            <w:vAlign w:val="center"/>
          </w:tcPr>
          <w:p>
            <w:pPr>
              <w:spacing w:line="120" w:lineRule="auto"/>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紧紧围绕发展大局，牢牢把握稳定主题，积极推进“法治湘阴”、“平安湘阴”和政法队伍建设，深入开展“扫黑除恶”工作，打击各类违法犯罪行为，开展矛盾纠纷排查化解，不断加强和创新社会治理，维护了全县社会大局和谐稳定。</w:t>
            </w:r>
          </w:p>
        </w:tc>
        <w:tc>
          <w:tcPr>
            <w:tcW w:w="4909" w:type="dxa"/>
            <w:gridSpan w:val="11"/>
            <w:noWrap w:val="0"/>
            <w:vAlign w:val="center"/>
          </w:tcPr>
          <w:p>
            <w:pPr>
              <w:autoSpaceDN w:val="0"/>
              <w:spacing w:line="400" w:lineRule="exact"/>
              <w:ind w:firstLine="480" w:firstLineChars="200"/>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一是黑恶势力违法犯罪特别是农村涉黑涉恶问题得到根本遏制，涉黑涉恶治安乱点得到全面整治，重点行业、领域管理得到明显加强，人民群众安全感、满意度明显提升；二是黑恶势力“保护伞”得以铲除，基层组织建设的环境明显优化；三是基层社会治理能力明显提升，涉黑涉恶违法犯罪防范打击长效机制更加健全，扫黑除恶工作法治化、规范化、专业化水平进一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0" w:hRule="atLeast"/>
        </w:trPr>
        <w:tc>
          <w:tcPr>
            <w:tcW w:w="1381"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w:t>
            </w:r>
            <w:r>
              <w:rPr>
                <w:rFonts w:hint="eastAsia" w:ascii="仿宋_GB2312" w:hAnsi="仿宋_GB2312" w:eastAsia="仿宋_GB2312" w:cs="仿宋_GB2312"/>
                <w:color w:val="000000"/>
                <w:sz w:val="24"/>
                <w:lang w:eastAsia="zh-CN"/>
              </w:rPr>
              <w:t>计划</w:t>
            </w:r>
            <w:r>
              <w:rPr>
                <w:rFonts w:hint="eastAsia" w:ascii="仿宋_GB2312" w:hAnsi="仿宋_GB2312" w:eastAsia="仿宋_GB2312" w:cs="仿宋_GB2312"/>
                <w:color w:val="000000"/>
                <w:sz w:val="24"/>
              </w:rPr>
              <w:t>完成情况</w:t>
            </w:r>
          </w:p>
        </w:tc>
        <w:tc>
          <w:tcPr>
            <w:tcW w:w="3271"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662"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7"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6"/>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72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662" w:type="dxa"/>
            <w:gridSpan w:val="9"/>
            <w:noWrap w:val="0"/>
            <w:vAlign w:val="center"/>
          </w:tcPr>
          <w:p>
            <w:pPr>
              <w:autoSpaceDN w:val="0"/>
              <w:spacing w:line="400" w:lineRule="exact"/>
              <w:ind w:firstLine="214"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综治民调工作全省先进。</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1"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rPr>
                <w:rFonts w:hint="eastAsia" w:ascii="仿宋_GB2312" w:hAnsi="仿宋_GB2312" w:eastAsia="仿宋_GB2312" w:cs="仿宋_GB2312"/>
                <w:sz w:val="24"/>
              </w:rPr>
            </w:pPr>
          </w:p>
        </w:tc>
        <w:tc>
          <w:tcPr>
            <w:tcW w:w="172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662"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指标1：信访积案化解</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起。</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扫黑除恶在逃案件清零。</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98</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15"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rPr>
                <w:rFonts w:hint="eastAsia" w:ascii="仿宋_GB2312" w:hAnsi="仿宋_GB2312" w:eastAsia="仿宋_GB2312" w:cs="仿宋_GB2312"/>
                <w:sz w:val="24"/>
              </w:rPr>
            </w:pPr>
          </w:p>
        </w:tc>
        <w:tc>
          <w:tcPr>
            <w:tcW w:w="172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662" w:type="dxa"/>
            <w:gridSpan w:val="9"/>
            <w:noWrap w:val="0"/>
            <w:vAlign w:val="center"/>
          </w:tcPr>
          <w:p>
            <w:pPr>
              <w:autoSpaceDN w:val="0"/>
              <w:spacing w:line="40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指标1：6-9月下半年综治民调宣传发动</w:t>
            </w:r>
            <w:r>
              <w:rPr>
                <w:rFonts w:hint="eastAsia" w:ascii="仿宋_GB2312" w:hAnsi="仿宋_GB2312" w:eastAsia="仿宋_GB2312" w:cs="仿宋_GB2312"/>
                <w:color w:val="000000"/>
                <w:sz w:val="24"/>
                <w:lang w:eastAsia="zh-CN"/>
              </w:rPr>
              <w:t>。</w:t>
            </w:r>
          </w:p>
          <w:p>
            <w:pPr>
              <w:autoSpaceDN w:val="0"/>
              <w:spacing w:line="400" w:lineRule="exact"/>
              <w:ind w:left="706" w:leftChars="222" w:hanging="240" w:hangingChars="1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：11-12月全年综治、维稳、</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反邪工作年度考核</w:t>
            </w:r>
            <w:r>
              <w:rPr>
                <w:rFonts w:hint="eastAsia" w:ascii="仿宋_GB2312" w:hAnsi="仿宋_GB2312" w:eastAsia="仿宋_GB2312" w:cs="仿宋_GB2312"/>
                <w:color w:val="000000"/>
                <w:sz w:val="24"/>
                <w:lang w:val="en-US" w:eastAsia="zh-CN"/>
              </w:rPr>
              <w:t>.</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2"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rPr>
                <w:rFonts w:hint="eastAsia" w:ascii="仿宋_GB2312" w:hAnsi="仿宋_GB2312" w:eastAsia="仿宋_GB2312" w:cs="仿宋_GB2312"/>
                <w:sz w:val="24"/>
              </w:rPr>
            </w:pPr>
          </w:p>
        </w:tc>
        <w:tc>
          <w:tcPr>
            <w:tcW w:w="172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662"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控制预算内</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98</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6"/>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72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662"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指标1：社会治安大局稳定。</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指标2：人民满意度大幅提升。</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4"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rPr>
                <w:rFonts w:hint="eastAsia" w:ascii="仿宋_GB2312" w:hAnsi="仿宋_GB2312" w:eastAsia="仿宋_GB2312" w:cs="仿宋_GB2312"/>
                <w:sz w:val="24"/>
              </w:rPr>
            </w:pPr>
          </w:p>
        </w:tc>
        <w:tc>
          <w:tcPr>
            <w:tcW w:w="172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662"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社会大局稳定，人民安居乐业</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rPr>
                <w:rFonts w:hint="eastAsia" w:ascii="仿宋_GB2312" w:hAnsi="仿宋_GB2312" w:eastAsia="仿宋_GB2312" w:cs="仿宋_GB2312"/>
                <w:sz w:val="24"/>
              </w:rPr>
            </w:pPr>
          </w:p>
        </w:tc>
        <w:tc>
          <w:tcPr>
            <w:tcW w:w="172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662"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社会大局稳定，人民安居乐业</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0" w:hRule="atLeast"/>
        </w:trPr>
        <w:tc>
          <w:tcPr>
            <w:tcW w:w="1381" w:type="dxa"/>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rPr>
                <w:rFonts w:hint="eastAsia" w:ascii="仿宋_GB2312" w:hAnsi="仿宋_GB2312" w:eastAsia="仿宋_GB2312" w:cs="仿宋_GB2312"/>
                <w:sz w:val="24"/>
              </w:rPr>
            </w:pPr>
          </w:p>
        </w:tc>
        <w:tc>
          <w:tcPr>
            <w:tcW w:w="172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对象满意度</w:t>
            </w:r>
          </w:p>
        </w:tc>
        <w:tc>
          <w:tcPr>
            <w:tcW w:w="3662"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指标1：人民群众的满意度大幅提升。</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指标2：公众对综治民调和平安创建工作的认识度和支持度大幅提升</w:t>
            </w:r>
            <w:r>
              <w:rPr>
                <w:rFonts w:hint="eastAsia" w:ascii="仿宋_GB2312" w:hAnsi="仿宋_GB2312" w:eastAsia="仿宋_GB2312" w:cs="仿宋_GB2312"/>
                <w:color w:val="000000"/>
                <w:sz w:val="24"/>
                <w:lang w:eastAsia="zh-CN"/>
              </w:rPr>
              <w:t>。</w:t>
            </w:r>
          </w:p>
        </w:tc>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30"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631" w:type="dxa"/>
            <w:gridSpan w:val="13"/>
            <w:noWrap w:val="0"/>
            <w:vAlign w:val="center"/>
          </w:tcPr>
          <w:p>
            <w:pPr>
              <w:autoSpaceDN w:val="0"/>
              <w:spacing w:line="400" w:lineRule="exact"/>
              <w:ind w:firstLine="2880" w:firstLineChars="12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3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123" w:type="dxa"/>
            <w:gridSpan w:val="18"/>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9561" w:type="dxa"/>
            <w:gridSpan w:val="20"/>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00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264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448"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00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蔡志伟</w:t>
            </w:r>
          </w:p>
        </w:tc>
        <w:tc>
          <w:tcPr>
            <w:tcW w:w="264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县委政法委副书记</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政法委</w:t>
            </w:r>
          </w:p>
        </w:tc>
        <w:tc>
          <w:tcPr>
            <w:tcW w:w="3448"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00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皮周彦</w:t>
            </w:r>
          </w:p>
        </w:tc>
        <w:tc>
          <w:tcPr>
            <w:tcW w:w="264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县委政法委副书记</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政法委</w:t>
            </w:r>
          </w:p>
        </w:tc>
        <w:tc>
          <w:tcPr>
            <w:tcW w:w="3448"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00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窦志辉</w:t>
            </w:r>
          </w:p>
        </w:tc>
        <w:tc>
          <w:tcPr>
            <w:tcW w:w="264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县委政法委副书记</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政法委</w:t>
            </w:r>
          </w:p>
        </w:tc>
        <w:tc>
          <w:tcPr>
            <w:tcW w:w="3448"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00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易承志</w:t>
            </w:r>
          </w:p>
        </w:tc>
        <w:tc>
          <w:tcPr>
            <w:tcW w:w="264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湘阴县网格化服务中心主任</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政法委</w:t>
            </w:r>
          </w:p>
        </w:tc>
        <w:tc>
          <w:tcPr>
            <w:tcW w:w="3448"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00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蒋曙辉</w:t>
            </w:r>
          </w:p>
        </w:tc>
        <w:tc>
          <w:tcPr>
            <w:tcW w:w="264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县委政法委综治督导室主任</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政法委</w:t>
            </w:r>
          </w:p>
        </w:tc>
        <w:tc>
          <w:tcPr>
            <w:tcW w:w="3448"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3" w:hRule="atLeast"/>
        </w:trPr>
        <w:tc>
          <w:tcPr>
            <w:tcW w:w="200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周必胜</w:t>
            </w:r>
          </w:p>
        </w:tc>
        <w:tc>
          <w:tcPr>
            <w:tcW w:w="264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县委政法委执法监督室主任</w:t>
            </w:r>
          </w:p>
        </w:tc>
        <w:tc>
          <w:tcPr>
            <w:tcW w:w="146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政法委</w:t>
            </w:r>
          </w:p>
        </w:tc>
        <w:tc>
          <w:tcPr>
            <w:tcW w:w="3448"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77" w:hRule="atLeast"/>
        </w:trPr>
        <w:tc>
          <w:tcPr>
            <w:tcW w:w="9561" w:type="dxa"/>
            <w:gridSpan w:val="20"/>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8" w:hRule="atLeast"/>
        </w:trPr>
        <w:tc>
          <w:tcPr>
            <w:tcW w:w="9561" w:type="dxa"/>
            <w:gridSpan w:val="20"/>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8" w:hRule="atLeast"/>
        </w:trPr>
        <w:tc>
          <w:tcPr>
            <w:tcW w:w="9561" w:type="dxa"/>
            <w:gridSpan w:val="20"/>
            <w:noWrap w:val="0"/>
            <w:vAlign w:val="center"/>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周令</w:t>
      </w:r>
      <w:r>
        <w:rPr>
          <w:rFonts w:hint="eastAsia" w:eastAsia="仿宋_GB2312" w:cs="仿宋_GB2312"/>
          <w:bCs/>
          <w:sz w:val="28"/>
          <w:szCs w:val="28"/>
        </w:rPr>
        <w:t xml:space="preserve">                          </w:t>
      </w:r>
      <w:r>
        <w:rPr>
          <w:rFonts w:hint="eastAsia" w:eastAsia="仿宋_GB2312" w:cs="仿宋_GB2312"/>
          <w:bCs/>
          <w:sz w:val="28"/>
          <w:szCs w:val="28"/>
          <w:lang w:eastAsia="zh-CN"/>
        </w:rPr>
        <w:t>联</w:t>
      </w:r>
      <w:r>
        <w:rPr>
          <w:rFonts w:hint="eastAsia" w:eastAsia="仿宋_GB2312" w:cs="仿宋_GB2312"/>
          <w:bCs/>
          <w:sz w:val="28"/>
          <w:szCs w:val="28"/>
        </w:rPr>
        <w:t>系电话：</w:t>
      </w:r>
      <w:r>
        <w:rPr>
          <w:rFonts w:hint="eastAsia" w:eastAsia="仿宋_GB2312" w:cs="仿宋_GB2312"/>
          <w:bCs/>
          <w:sz w:val="28"/>
          <w:szCs w:val="28"/>
          <w:lang w:val="en-US" w:eastAsia="zh-CN"/>
        </w:rPr>
        <w:t>13874059567</w:t>
      </w:r>
    </w:p>
    <w:tbl>
      <w:tblPr>
        <w:tblStyle w:val="3"/>
        <w:tblW w:w="923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9235" w:type="dxa"/>
            <w:noWrap w:val="0"/>
            <w:vAlign w:val="top"/>
          </w:tcPr>
          <w:p>
            <w:pPr>
              <w:jc w:val="center"/>
              <w:rPr>
                <w:rFonts w:hint="eastAsia" w:eastAsia="仿宋_GB2312"/>
                <w:sz w:val="32"/>
                <w:szCs w:val="32"/>
              </w:rPr>
            </w:pPr>
            <w:r>
              <w:rPr>
                <w:rFonts w:hint="eastAsia" w:ascii="黑体" w:hAnsi="黑体" w:eastAsia="黑体" w:cs="黑体"/>
                <w:b/>
                <w:bCs/>
                <w:sz w:val="28"/>
                <w:szCs w:val="28"/>
              </w:rPr>
              <w:t>五、评价报告综述（文字部分）</w:t>
            </w:r>
            <w:bookmarkStart w:id="0" w:name="_GoBack"/>
            <w:bookmarkEnd w:id="0"/>
          </w:p>
          <w:p>
            <w:pPr>
              <w:numPr>
                <w:ilvl w:val="0"/>
                <w:numId w:val="3"/>
              </w:numPr>
              <w:spacing w:line="400" w:lineRule="exact"/>
              <w:ind w:firstLine="602" w:firstLineChars="200"/>
              <w:rPr>
                <w:rFonts w:hint="eastAsia" w:ascii="仿宋_GB2312" w:hAnsi="仿宋_GB2312" w:eastAsia="仿宋_GB2312" w:cs="仿宋_GB2312"/>
                <w:bCs/>
                <w:sz w:val="30"/>
                <w:szCs w:val="30"/>
              </w:rPr>
            </w:pPr>
            <w:r>
              <w:rPr>
                <w:rFonts w:hint="eastAsia" w:ascii="黑体" w:hAnsi="黑体" w:eastAsia="黑体" w:cs="仿宋_GB2312"/>
                <w:b/>
                <w:sz w:val="30"/>
                <w:szCs w:val="30"/>
              </w:rPr>
              <w:t>概况</w:t>
            </w:r>
          </w:p>
          <w:p>
            <w:pPr>
              <w:numPr>
                <w:ilvl w:val="0"/>
                <w:numId w:val="4"/>
              </w:numPr>
              <w:autoSpaceDN w:val="0"/>
              <w:spacing w:line="400" w:lineRule="exact"/>
              <w:ind w:firstLine="602" w:firstLineChars="200"/>
              <w:jc w:val="left"/>
              <w:textAlignment w:val="center"/>
              <w:rPr>
                <w:rFonts w:hint="eastAsia" w:ascii="仿宋" w:hAnsi="仿宋" w:eastAsia="仿宋" w:cs="仿宋_GB2312"/>
                <w:b/>
                <w:bCs/>
                <w:color w:val="000000"/>
                <w:sz w:val="30"/>
                <w:szCs w:val="30"/>
              </w:rPr>
            </w:pPr>
            <w:r>
              <w:rPr>
                <w:rFonts w:hint="eastAsia" w:ascii="仿宋" w:hAnsi="仿宋" w:eastAsia="仿宋" w:cs="仿宋_GB2312"/>
                <w:b/>
                <w:bCs/>
                <w:color w:val="000000"/>
                <w:sz w:val="30"/>
                <w:szCs w:val="30"/>
              </w:rPr>
              <w:t>部门概况</w:t>
            </w:r>
          </w:p>
          <w:p>
            <w:pPr>
              <w:numPr>
                <w:ilvl w:val="0"/>
                <w:numId w:val="0"/>
              </w:numPr>
              <w:autoSpaceDN w:val="0"/>
              <w:spacing w:line="400" w:lineRule="exact"/>
              <w:ind w:firstLine="600" w:firstLineChars="200"/>
              <w:jc w:val="left"/>
              <w:textAlignment w:val="center"/>
              <w:rPr>
                <w:rFonts w:hint="eastAsia" w:ascii="仿宋" w:hAnsi="仿宋" w:eastAsia="仿宋" w:cs="仿宋_GB2312"/>
                <w:color w:val="000000"/>
                <w:sz w:val="30"/>
                <w:szCs w:val="30"/>
              </w:rPr>
            </w:pPr>
            <w:r>
              <w:rPr>
                <w:rFonts w:hint="eastAsia" w:ascii="仿宋" w:hAnsi="仿宋" w:eastAsia="仿宋" w:cs="仿宋_GB2312"/>
                <w:color w:val="000000"/>
                <w:sz w:val="30"/>
                <w:szCs w:val="30"/>
              </w:rPr>
              <w:t>我委自机构改革后，有下属副科级机构1个，湘阴网格化服务中心；办、室、学会7个，分别是：办公室、政工室、反邪教协调室、综治督导室、维稳指导室、执法监督室和法学会。</w:t>
            </w:r>
          </w:p>
          <w:p>
            <w:pPr>
              <w:autoSpaceDN w:val="0"/>
              <w:spacing w:line="400" w:lineRule="exact"/>
              <w:ind w:firstLine="600" w:firstLineChars="200"/>
              <w:jc w:val="left"/>
              <w:textAlignment w:val="center"/>
              <w:rPr>
                <w:rFonts w:hint="eastAsia" w:ascii="仿宋" w:hAnsi="仿宋" w:eastAsia="仿宋" w:cs="仿宋_GB2312"/>
                <w:color w:val="000000"/>
                <w:sz w:val="30"/>
                <w:szCs w:val="30"/>
              </w:rPr>
            </w:pPr>
            <w:r>
              <w:rPr>
                <w:rFonts w:hint="eastAsia" w:ascii="仿宋" w:hAnsi="仿宋" w:eastAsia="仿宋" w:cs="仿宋_GB2312"/>
                <w:color w:val="000000"/>
                <w:sz w:val="30"/>
                <w:szCs w:val="30"/>
              </w:rPr>
              <w:t>部门职能：政法委是党委领导、组织、监督和协调政法各部门，组织、协调全县各单位开展社会治安综合治理和维护社会稳定的工作部门。</w:t>
            </w:r>
          </w:p>
          <w:p>
            <w:pPr>
              <w:numPr>
                <w:ilvl w:val="0"/>
                <w:numId w:val="0"/>
              </w:numPr>
              <w:autoSpaceDN w:val="0"/>
              <w:spacing w:line="400" w:lineRule="exact"/>
              <w:ind w:firstLine="600" w:firstLineChars="200"/>
              <w:jc w:val="left"/>
              <w:textAlignment w:val="center"/>
              <w:rPr>
                <w:rFonts w:hint="eastAsia" w:ascii="仿宋" w:hAnsi="仿宋" w:eastAsia="仿宋" w:cs="仿宋_GB2312"/>
                <w:color w:val="000000"/>
                <w:sz w:val="30"/>
                <w:szCs w:val="30"/>
              </w:rPr>
            </w:pPr>
            <w:r>
              <w:rPr>
                <w:rFonts w:hint="eastAsia" w:ascii="仿宋" w:hAnsi="仿宋" w:eastAsia="仿宋" w:cs="仿宋_GB2312"/>
                <w:color w:val="000000"/>
                <w:sz w:val="30"/>
                <w:szCs w:val="30"/>
              </w:rPr>
              <w:t>人员情况:县政法委现有编制数</w:t>
            </w:r>
            <w:r>
              <w:rPr>
                <w:rFonts w:hint="eastAsia" w:ascii="仿宋" w:hAnsi="仿宋" w:eastAsia="仿宋" w:cs="仿宋_GB2312"/>
                <w:color w:val="000000"/>
                <w:sz w:val="30"/>
                <w:szCs w:val="30"/>
                <w:lang w:val="en-US" w:eastAsia="zh-CN"/>
              </w:rPr>
              <w:t>20</w:t>
            </w:r>
            <w:r>
              <w:rPr>
                <w:rFonts w:hint="eastAsia" w:ascii="仿宋" w:hAnsi="仿宋" w:eastAsia="仿宋" w:cs="仿宋_GB2312"/>
                <w:color w:val="000000"/>
                <w:sz w:val="30"/>
                <w:szCs w:val="30"/>
              </w:rPr>
              <w:t>个,其中行政编制13个,全额事业编制6个,借用人员9人，退休人员9人。</w:t>
            </w:r>
          </w:p>
          <w:p>
            <w:pPr>
              <w:numPr>
                <w:ilvl w:val="0"/>
                <w:numId w:val="0"/>
              </w:numPr>
              <w:autoSpaceDN w:val="0"/>
              <w:spacing w:line="400" w:lineRule="exact"/>
              <w:ind w:firstLine="602" w:firstLineChars="200"/>
              <w:jc w:val="left"/>
              <w:textAlignment w:val="center"/>
              <w:rPr>
                <w:rFonts w:hint="eastAsia" w:ascii="仿宋" w:hAnsi="仿宋" w:eastAsia="仿宋" w:cs="仿宋_GB2312"/>
                <w:b/>
                <w:bCs/>
                <w:color w:val="000000"/>
                <w:sz w:val="30"/>
                <w:szCs w:val="30"/>
                <w:lang w:eastAsia="zh-CN"/>
              </w:rPr>
            </w:pPr>
            <w:r>
              <w:rPr>
                <w:rFonts w:hint="eastAsia" w:ascii="仿宋" w:hAnsi="仿宋" w:eastAsia="仿宋" w:cs="仿宋_GB2312"/>
                <w:b/>
                <w:bCs/>
                <w:color w:val="000000"/>
                <w:sz w:val="30"/>
                <w:szCs w:val="30"/>
                <w:lang w:eastAsia="zh-CN"/>
              </w:rPr>
              <w:t>（二）</w:t>
            </w:r>
            <w:r>
              <w:rPr>
                <w:rFonts w:hint="eastAsia" w:ascii="仿宋_GB2312" w:hAnsi="仿宋_GB2312" w:eastAsia="仿宋_GB2312" w:cs="仿宋_GB2312"/>
                <w:b/>
                <w:bCs/>
                <w:sz w:val="28"/>
                <w:szCs w:val="28"/>
              </w:rPr>
              <w:t>部门（单位）整体支出规模、使用方向和主要内容、涉及范围等</w:t>
            </w:r>
          </w:p>
          <w:p>
            <w:pPr>
              <w:spacing w:line="400" w:lineRule="exact"/>
              <w:ind w:firstLine="600" w:firstLineChars="200"/>
              <w:rPr>
                <w:rFonts w:hint="eastAsia" w:ascii="仿宋" w:hAnsi="仿宋" w:eastAsia="仿宋" w:cs="仿宋"/>
                <w:b w:val="0"/>
                <w:bCs/>
                <w:sz w:val="30"/>
                <w:szCs w:val="30"/>
              </w:rPr>
            </w:pPr>
            <w:r>
              <w:rPr>
                <w:rFonts w:hint="eastAsia" w:ascii="仿宋" w:hAnsi="仿宋" w:eastAsia="仿宋" w:cs="仿宋"/>
                <w:b w:val="0"/>
                <w:bCs w:val="0"/>
                <w:sz w:val="30"/>
                <w:szCs w:val="30"/>
                <w:lang w:val="en-US" w:eastAsia="zh-CN"/>
              </w:rPr>
              <w:t>1、树立以人民为中心理念，积极推进扫黑除恶工作。</w:t>
            </w:r>
            <w:r>
              <w:rPr>
                <w:rFonts w:hint="eastAsia" w:ascii="仿宋" w:hAnsi="仿宋" w:eastAsia="仿宋" w:cs="仿宋"/>
                <w:b w:val="0"/>
                <w:bCs/>
                <w:sz w:val="30"/>
                <w:szCs w:val="30"/>
                <w:lang w:val="en-US" w:eastAsia="zh-CN"/>
              </w:rPr>
              <w:t>今年是扫黑除恶专项斗争“深挖根治”决战决胜之年、“长效常治”开局起步之年、“行业整治”动真除患、“斗争成果”全面检阅之年，将迎接中央、省、市扫黑除恶专项斗争督导组检查验收。</w:t>
            </w:r>
            <w:r>
              <w:rPr>
                <w:rFonts w:hint="eastAsia" w:ascii="仿宋" w:hAnsi="仿宋" w:eastAsia="仿宋" w:cs="仿宋"/>
                <w:b w:val="0"/>
                <w:bCs/>
                <w:sz w:val="30"/>
                <w:szCs w:val="30"/>
              </w:rPr>
              <w:t>全县各级各部门要</w:t>
            </w:r>
            <w:r>
              <w:rPr>
                <w:rFonts w:hint="eastAsia" w:ascii="仿宋" w:hAnsi="仿宋" w:eastAsia="仿宋" w:cs="仿宋"/>
                <w:b w:val="0"/>
                <w:bCs/>
                <w:sz w:val="30"/>
                <w:szCs w:val="30"/>
                <w:lang w:val="en-US" w:eastAsia="zh-CN"/>
              </w:rPr>
              <w:t>树立以人民为中心理念，坚决捍卫人民群众的合法权益，</w:t>
            </w:r>
            <w:r>
              <w:rPr>
                <w:rFonts w:hint="eastAsia" w:ascii="仿宋" w:hAnsi="仿宋" w:eastAsia="仿宋" w:cs="仿宋"/>
                <w:b w:val="0"/>
                <w:bCs/>
                <w:sz w:val="30"/>
                <w:szCs w:val="30"/>
              </w:rPr>
              <w:t>认真按照中央和省委、市委、县委决策部署，以落实中央扫黑除恶督导“回头看”反馈意见整改工作为重点，以建立长效机制为抓手，以“六清”行动为重点，推动扫黑除恶专项斗争向纵深发展。</w:t>
            </w:r>
          </w:p>
          <w:p>
            <w:pPr>
              <w:spacing w:line="40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2、</w:t>
            </w:r>
            <w:r>
              <w:rPr>
                <w:rFonts w:hint="eastAsia" w:ascii="仿宋" w:hAnsi="仿宋" w:eastAsia="仿宋" w:cs="仿宋"/>
                <w:b w:val="0"/>
                <w:bCs/>
                <w:sz w:val="30"/>
                <w:szCs w:val="30"/>
              </w:rPr>
              <w:t>全力维护社会大局和谐稳定。重点防控化解好社会安全、公共安全、经济安全、网络安全等领域的风险；进一步加强涉爆要素管控，坚决防止暴恐活动发生；深入推进反邪教育转化工作，通过“去存量”实现“去能量”；维护网络意识形态安全，强化实时动态管控，严防网络群体事件。</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b w:val="0"/>
                <w:bCs/>
                <w:sz w:val="30"/>
                <w:szCs w:val="30"/>
                <w:lang w:val="en-US" w:eastAsia="zh-CN"/>
              </w:rPr>
              <w:t>3、</w:t>
            </w:r>
            <w:r>
              <w:rPr>
                <w:rFonts w:hint="eastAsia" w:ascii="仿宋" w:hAnsi="仿宋" w:eastAsia="仿宋" w:cs="仿宋"/>
                <w:b w:val="0"/>
                <w:bCs/>
                <w:sz w:val="30"/>
                <w:szCs w:val="30"/>
              </w:rPr>
              <w:t>积极做好多元化解矛盾纠纷。把深化完善多元化解矛盾作为今后推进平安湘阴建设的基础工程，扎实开展好调解队伍及机构建设、矛盾纠纷基础调查及动态排查、矛盾纠纷预警和化解等各项工作，确保全年矛盾纠纷基层化解率达到99%以上，努力实现矛盾不上交、纠纷不激发</w:t>
            </w:r>
            <w:r>
              <w:rPr>
                <w:rFonts w:hint="eastAsia" w:ascii="Times New Roman" w:hAnsi="Times New Roman" w:eastAsia="仿宋_GB2312" w:cs="仿宋_GB2312"/>
                <w:b w:val="0"/>
                <w:bCs/>
                <w:color w:val="000000"/>
                <w:sz w:val="32"/>
                <w:szCs w:val="32"/>
              </w:rPr>
              <w:t>、</w:t>
            </w:r>
            <w:r>
              <w:rPr>
                <w:rFonts w:hint="eastAsia" w:ascii="Times New Roman" w:hAnsi="Times New Roman" w:eastAsia="仿宋_GB2312" w:cs="仿宋_GB2312"/>
                <w:color w:val="000000"/>
                <w:sz w:val="32"/>
                <w:szCs w:val="32"/>
              </w:rPr>
              <w:t>社会大和谐。</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4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lang w:eastAsia="zh-CN"/>
              </w:rPr>
              <w:t>（一）</w:t>
            </w:r>
            <w:r>
              <w:rPr>
                <w:rFonts w:hint="eastAsia" w:ascii="仿宋" w:hAnsi="仿宋" w:eastAsia="仿宋" w:cs="仿宋"/>
                <w:b/>
                <w:sz w:val="30"/>
                <w:szCs w:val="30"/>
              </w:rPr>
              <w:t xml:space="preserve">部门收支概况 </w:t>
            </w:r>
          </w:p>
          <w:p>
            <w:pPr>
              <w:spacing w:line="400" w:lineRule="exact"/>
              <w:ind w:firstLine="560" w:firstLineChars="200"/>
              <w:rPr>
                <w:rFonts w:hint="eastAsia" w:ascii="仿宋" w:hAnsi="仿宋" w:eastAsia="仿宋" w:cs="仿宋"/>
                <w:b/>
                <w:sz w:val="30"/>
                <w:szCs w:val="30"/>
              </w:rPr>
            </w:pPr>
            <w:r>
              <w:rPr>
                <w:rFonts w:hint="eastAsia" w:ascii="仿宋_GB2312" w:hAnsi="仿宋_GB2312" w:eastAsia="仿宋_GB2312" w:cs="仿宋_GB2312"/>
                <w:bCs/>
                <w:sz w:val="28"/>
                <w:szCs w:val="28"/>
              </w:rPr>
              <w:t>（一）基本支出</w:t>
            </w:r>
          </w:p>
          <w:p>
            <w:pPr>
              <w:autoSpaceDN w:val="0"/>
              <w:spacing w:line="400" w:lineRule="exact"/>
              <w:ind w:left="468" w:firstLine="150" w:firstLineChars="50"/>
              <w:jc w:val="left"/>
              <w:textAlignment w:val="center"/>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决算总收入</w:t>
            </w:r>
            <w:r>
              <w:rPr>
                <w:rFonts w:hint="eastAsia" w:ascii="仿宋" w:hAnsi="仿宋" w:eastAsia="仿宋" w:cs="仿宋"/>
                <w:color w:val="000000"/>
                <w:sz w:val="30"/>
                <w:szCs w:val="30"/>
                <w:lang w:val="en-US" w:eastAsia="zh-CN"/>
              </w:rPr>
              <w:t>727.8</w:t>
            </w:r>
            <w:r>
              <w:rPr>
                <w:rFonts w:hint="eastAsia" w:ascii="仿宋" w:hAnsi="仿宋" w:eastAsia="仿宋" w:cs="仿宋"/>
                <w:color w:val="000000"/>
                <w:sz w:val="30"/>
                <w:szCs w:val="30"/>
              </w:rPr>
              <w:t>万元。其中：基本支出</w:t>
            </w:r>
            <w:r>
              <w:rPr>
                <w:rFonts w:hint="eastAsia" w:ascii="仿宋" w:hAnsi="仿宋" w:eastAsia="仿宋" w:cs="仿宋"/>
                <w:color w:val="000000"/>
                <w:sz w:val="30"/>
                <w:szCs w:val="30"/>
                <w:lang w:val="en-US" w:eastAsia="zh-CN"/>
              </w:rPr>
              <w:t>274.86</w:t>
            </w:r>
            <w:r>
              <w:rPr>
                <w:rFonts w:hint="eastAsia" w:ascii="仿宋" w:hAnsi="仿宋" w:eastAsia="仿宋" w:cs="仿宋"/>
                <w:color w:val="000000"/>
                <w:sz w:val="30"/>
                <w:szCs w:val="30"/>
              </w:rPr>
              <w:t>万元（工资福利支出</w:t>
            </w:r>
            <w:r>
              <w:rPr>
                <w:rFonts w:hint="eastAsia" w:ascii="仿宋" w:hAnsi="仿宋" w:eastAsia="仿宋" w:cs="仿宋"/>
                <w:color w:val="000000"/>
                <w:sz w:val="30"/>
                <w:szCs w:val="30"/>
                <w:lang w:val="en-US" w:eastAsia="zh-CN"/>
              </w:rPr>
              <w:t>223.8</w:t>
            </w:r>
          </w:p>
          <w:p>
            <w:pPr>
              <w:autoSpaceDN w:val="0"/>
              <w:spacing w:line="400" w:lineRule="exact"/>
              <w:jc w:val="left"/>
              <w:textAlignment w:val="center"/>
              <w:rPr>
                <w:rFonts w:hint="eastAsia" w:ascii="仿宋" w:hAnsi="仿宋" w:eastAsia="仿宋" w:cs="仿宋"/>
                <w:color w:val="000000"/>
                <w:sz w:val="30"/>
                <w:szCs w:val="30"/>
              </w:rPr>
            </w:pPr>
            <w:r>
              <w:rPr>
                <w:rFonts w:hint="eastAsia" w:ascii="仿宋" w:hAnsi="仿宋" w:eastAsia="仿宋" w:cs="仿宋"/>
                <w:color w:val="000000"/>
                <w:sz w:val="30"/>
                <w:szCs w:val="30"/>
              </w:rPr>
              <w:t>万元，一般商品和服务支出</w:t>
            </w:r>
            <w:r>
              <w:rPr>
                <w:rFonts w:hint="eastAsia" w:ascii="仿宋" w:hAnsi="仿宋" w:eastAsia="仿宋" w:cs="仿宋"/>
                <w:color w:val="000000"/>
                <w:sz w:val="30"/>
                <w:szCs w:val="30"/>
                <w:lang w:val="en-US" w:eastAsia="zh-CN"/>
              </w:rPr>
              <w:t>50.06</w:t>
            </w:r>
            <w:r>
              <w:rPr>
                <w:rFonts w:hint="eastAsia" w:ascii="仿宋" w:hAnsi="仿宋" w:eastAsia="仿宋" w:cs="仿宋"/>
                <w:color w:val="000000"/>
                <w:sz w:val="30"/>
                <w:szCs w:val="30"/>
              </w:rPr>
              <w:t>万元）主要是指为保障单位机构正常运转、完成日常工作任务而发生的各项支出，包括用于基本工资、津贴补贴等人员经费以及办公费、印刷费、水电费、办公设备购置等日常公用经费。</w:t>
            </w:r>
          </w:p>
          <w:p>
            <w:pPr>
              <w:spacing w:line="40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（二）专项支出</w:t>
            </w:r>
          </w:p>
          <w:p>
            <w:pPr>
              <w:autoSpaceDN w:val="0"/>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1、项目支出情况</w:t>
            </w:r>
          </w:p>
          <w:p>
            <w:pPr>
              <w:autoSpaceDN w:val="0"/>
              <w:spacing w:line="400" w:lineRule="exact"/>
              <w:ind w:firstLine="600" w:firstLineChars="200"/>
              <w:jc w:val="left"/>
              <w:textAlignment w:val="center"/>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项目</w:t>
            </w:r>
            <w:r>
              <w:rPr>
                <w:rFonts w:hint="eastAsia" w:ascii="仿宋" w:hAnsi="仿宋" w:eastAsia="仿宋" w:cs="仿宋"/>
                <w:color w:val="000000"/>
                <w:sz w:val="30"/>
                <w:szCs w:val="30"/>
                <w:lang w:eastAsia="zh-CN"/>
              </w:rPr>
              <w:t>总</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452.94</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其中：扫黑除恶工作专项经费支出</w:t>
            </w:r>
            <w:r>
              <w:rPr>
                <w:rFonts w:hint="eastAsia" w:ascii="仿宋" w:hAnsi="仿宋" w:eastAsia="仿宋" w:cs="仿宋"/>
                <w:color w:val="000000"/>
                <w:sz w:val="30"/>
                <w:szCs w:val="30"/>
                <w:lang w:val="en-US" w:eastAsia="zh-CN"/>
              </w:rPr>
              <w:t>171万元，信访积案经费支出18万元，网格办工作经费支出20万元，三级平台建设专项经费支出243.94万元。</w:t>
            </w:r>
          </w:p>
          <w:p>
            <w:pPr>
              <w:autoSpaceDN w:val="0"/>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2、专项经费使用情况。</w:t>
            </w:r>
          </w:p>
          <w:p>
            <w:pPr>
              <w:numPr>
                <w:ilvl w:val="0"/>
                <w:numId w:val="0"/>
              </w:numPr>
              <w:autoSpaceDN w:val="0"/>
              <w:spacing w:line="400" w:lineRule="exact"/>
              <w:ind w:firstLine="600" w:firstLineChars="200"/>
              <w:jc w:val="left"/>
              <w:textAlignment w:val="center"/>
              <w:rPr>
                <w:rFonts w:hint="eastAsia" w:ascii="仿宋" w:hAnsi="仿宋" w:eastAsia="仿宋" w:cs="仿宋"/>
                <w:color w:val="000000"/>
                <w:sz w:val="30"/>
                <w:szCs w:val="30"/>
              </w:rPr>
            </w:pPr>
            <w:r>
              <w:rPr>
                <w:rFonts w:hint="eastAsia" w:ascii="仿宋" w:hAnsi="仿宋" w:eastAsia="仿宋" w:cs="仿宋"/>
                <w:color w:val="000000"/>
                <w:sz w:val="30"/>
                <w:szCs w:val="30"/>
              </w:rPr>
              <w:t>三级平台建设专项经费。主要用于综治中心的网格化基础设施及配合网络信息化建设。</w:t>
            </w:r>
          </w:p>
          <w:p>
            <w:pPr>
              <w:numPr>
                <w:ilvl w:val="0"/>
                <w:numId w:val="0"/>
              </w:numPr>
              <w:autoSpaceDN w:val="0"/>
              <w:spacing w:line="400" w:lineRule="exact"/>
              <w:ind w:firstLine="600" w:firstLineChars="200"/>
              <w:jc w:val="left"/>
              <w:textAlignment w:val="center"/>
              <w:rPr>
                <w:rFonts w:hint="eastAsia" w:ascii="仿宋" w:hAnsi="仿宋" w:eastAsia="仿宋" w:cs="仿宋"/>
                <w:color w:val="000000"/>
                <w:sz w:val="30"/>
                <w:szCs w:val="30"/>
              </w:rPr>
            </w:pPr>
            <w:r>
              <w:rPr>
                <w:rFonts w:hint="eastAsia" w:ascii="仿宋" w:hAnsi="仿宋" w:eastAsia="仿宋" w:cs="仿宋"/>
                <w:color w:val="000000"/>
                <w:sz w:val="30"/>
                <w:szCs w:val="30"/>
              </w:rPr>
              <w:t>扫黑除恶工作经费。主要用于全县扫黑除恶工作的宣传资料印制，全县各主干道大型宣传标牌的制作及扫黑除恶案件办理所产生的加班、差旅费、办案费等。</w:t>
            </w:r>
          </w:p>
          <w:p>
            <w:pPr>
              <w:numPr>
                <w:ilvl w:val="0"/>
                <w:numId w:val="0"/>
              </w:numPr>
              <w:autoSpaceDN w:val="0"/>
              <w:spacing w:line="400" w:lineRule="exact"/>
              <w:ind w:firstLine="600" w:firstLineChars="200"/>
              <w:jc w:val="left"/>
              <w:textAlignment w:val="center"/>
              <w:rPr>
                <w:rFonts w:hint="eastAsia" w:ascii="仿宋" w:hAnsi="仿宋" w:eastAsia="仿宋" w:cs="仿宋"/>
                <w:color w:val="000000"/>
                <w:sz w:val="30"/>
                <w:szCs w:val="30"/>
              </w:rPr>
            </w:pPr>
            <w:r>
              <w:rPr>
                <w:rFonts w:hint="eastAsia" w:ascii="仿宋" w:hAnsi="仿宋" w:eastAsia="仿宋" w:cs="仿宋"/>
                <w:color w:val="000000"/>
                <w:sz w:val="30"/>
                <w:szCs w:val="30"/>
              </w:rPr>
              <w:t>信访积案专项经费。主要用于全县信访案件的化解及对信访人的困难救助等。</w:t>
            </w:r>
          </w:p>
          <w:p>
            <w:pPr>
              <w:numPr>
                <w:ilvl w:val="0"/>
                <w:numId w:val="0"/>
              </w:numPr>
              <w:autoSpaceDN w:val="0"/>
              <w:spacing w:line="400" w:lineRule="exact"/>
              <w:ind w:firstLine="600" w:firstLineChars="200"/>
              <w:jc w:val="left"/>
              <w:textAlignment w:val="center"/>
              <w:rPr>
                <w:rFonts w:hint="eastAsia" w:ascii="仿宋" w:hAnsi="仿宋" w:eastAsia="仿宋" w:cs="仿宋"/>
                <w:color w:val="000000"/>
                <w:sz w:val="30"/>
                <w:szCs w:val="30"/>
              </w:rPr>
            </w:pPr>
            <w:r>
              <w:rPr>
                <w:rFonts w:hint="eastAsia" w:ascii="仿宋" w:hAnsi="仿宋" w:eastAsia="仿宋" w:cs="仿宋"/>
                <w:color w:val="000000"/>
                <w:sz w:val="30"/>
                <w:szCs w:val="30"/>
              </w:rPr>
              <w:t>网格办工作经费。主要用于支付网格办临聘人员工资及网格中心日常工作支出。</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40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为进一步加强我委专项资金的使用管理，我委成立了由副书记蔡志伟任组长，副书记皮周彦、窦志辉任副组长，网格中心主任易承志、执法监督室主任周必胜、综治督导室主任蒋曙辉为成员的专项资金绩效评价领导小组。</w:t>
            </w:r>
          </w:p>
          <w:p>
            <w:pPr>
              <w:numPr>
                <w:ilvl w:val="0"/>
                <w:numId w:val="4"/>
              </w:numPr>
              <w:spacing w:line="40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400" w:lineRule="exact"/>
              <w:ind w:left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我委专项资金做到了专款专用，严格控制预算内专项资金支出。</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部门整体项目绩效评价为优秀。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rPr>
                <w:rFonts w:eastAsia="楷体_GB2312"/>
                <w:bCs/>
                <w:sz w:val="28"/>
                <w:szCs w:val="28"/>
              </w:rPr>
            </w:pPr>
          </w:p>
        </w:tc>
      </w:tr>
    </w:tbl>
    <w:p/>
    <w:sectPr>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- 15 -</w: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9E381"/>
    <w:multiLevelType w:val="singleLevel"/>
    <w:tmpl w:val="EE39E381"/>
    <w:lvl w:ilvl="0" w:tentative="0">
      <w:start w:val="1"/>
      <w:numFmt w:val="decimal"/>
      <w:suff w:val="nothing"/>
      <w:lvlText w:val="%1、"/>
      <w:lvlJc w:val="left"/>
    </w:lvl>
  </w:abstractNum>
  <w:abstractNum w:abstractNumId="1">
    <w:nsid w:val="0433201D"/>
    <w:multiLevelType w:val="singleLevel"/>
    <w:tmpl w:val="0433201D"/>
    <w:lvl w:ilvl="0" w:tentative="0">
      <w:start w:val="1"/>
      <w:numFmt w:val="chineseCounting"/>
      <w:suff w:val="nothing"/>
      <w:lvlText w:val="%1、"/>
      <w:lvlJc w:val="left"/>
      <w:rPr>
        <w:rFonts w:hint="eastAsia"/>
      </w:rPr>
    </w:lvl>
  </w:abstractNum>
  <w:abstractNum w:abstractNumId="2">
    <w:nsid w:val="441FB7C8"/>
    <w:multiLevelType w:val="singleLevel"/>
    <w:tmpl w:val="441FB7C8"/>
    <w:lvl w:ilvl="0" w:tentative="0">
      <w:start w:val="4"/>
      <w:numFmt w:val="decimal"/>
      <w:suff w:val="nothing"/>
      <w:lvlText w:val="%1、"/>
      <w:lvlJc w:val="left"/>
    </w:lvl>
  </w:abstractNum>
  <w:abstractNum w:abstractNumId="3">
    <w:nsid w:val="57096EDF"/>
    <w:multiLevelType w:val="singleLevel"/>
    <w:tmpl w:val="57096ED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81974"/>
    <w:rsid w:val="24BE438A"/>
    <w:rsid w:val="5DA81974"/>
    <w:rsid w:val="7A6A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2021-10-26T07:12:00Z</dcterms:created>
  <dc:creator>令</dc:creator>
  <cp:lastModifiedBy>令</cp:lastModifiedBy>
  <dcterms:modified xsi:type="dcterms:W3CDTF">2021-10-28T02:35:22Z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2111F33A7B5A48AEB7491A768A011580</vt:lpwstr>
  </property>
</Properties>
</file>