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hint="eastAsia" w:ascii="仿宋_GB2312" w:hAnsi="仿宋_GB2312" w:eastAsia="仿宋_GB2312" w:cs="仿宋_GB2312"/>
          <w:sz w:val="36"/>
          <w:szCs w:val="36"/>
        </w:rPr>
      </w:pPr>
    </w:p>
    <w:p>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9"/>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288" w:lineRule="auto"/>
        <w:ind w:firstLine="600" w:firstLineChars="200"/>
        <w:jc w:val="left"/>
        <w:rPr>
          <w:rFonts w:hint="eastAsia" w:ascii="仿宋_GB2312" w:eastAsia="仿宋_GB2312"/>
          <w:sz w:val="30"/>
          <w:szCs w:val="30"/>
          <w:u w:val="none"/>
        </w:rPr>
      </w:pPr>
      <w:r>
        <w:rPr>
          <w:rFonts w:hint="eastAsia" w:ascii="仿宋_GB2312" w:eastAsia="仿宋_GB2312"/>
          <w:sz w:val="30"/>
          <w:szCs w:val="30"/>
        </w:rPr>
        <w:t>项目名称：</w:t>
      </w:r>
      <w:r>
        <w:rPr>
          <w:rFonts w:hint="eastAsia" w:ascii="仿宋_GB2312" w:eastAsia="仿宋_GB2312"/>
          <w:sz w:val="30"/>
          <w:szCs w:val="30"/>
          <w:u w:val="single"/>
          <w:lang w:val="en-US" w:eastAsia="zh-CN"/>
        </w:rPr>
        <w:t>机加工基地（年产7600吨钢结构件）扩建项目</w:t>
      </w:r>
    </w:p>
    <w:p>
      <w:pPr>
        <w:adjustRightInd w:val="0"/>
        <w:snapToGrid w:val="0"/>
        <w:spacing w:line="288" w:lineRule="auto"/>
        <w:ind w:firstLine="600" w:firstLineChars="200"/>
        <w:jc w:val="left"/>
        <w:rPr>
          <w:rFonts w:ascii="仿宋_GB2312" w:eastAsia="仿宋_GB2312"/>
          <w:sz w:val="30"/>
          <w:szCs w:val="30"/>
          <w:u w:val="single"/>
        </w:rPr>
      </w:pPr>
      <w:r>
        <w:rPr>
          <w:rFonts w:hint="eastAsia" w:ascii="仿宋_GB2312" w:eastAsia="仿宋_GB2312"/>
          <w:sz w:val="30"/>
          <w:szCs w:val="30"/>
        </w:rPr>
        <w:t>建设单位（盖章）：</w:t>
      </w:r>
      <w:r>
        <w:rPr>
          <w:rFonts w:hint="eastAsia" w:ascii="仿宋_GB2312" w:eastAsia="仿宋_GB2312"/>
          <w:sz w:val="30"/>
          <w:szCs w:val="30"/>
          <w:u w:val="single"/>
          <w:lang w:val="en-US" w:eastAsia="zh-CN"/>
        </w:rPr>
        <w:t xml:space="preserve"> 湖南定宇新材料科技有限公司 </w:t>
      </w:r>
    </w:p>
    <w:p>
      <w:pPr>
        <w:adjustRightInd w:val="0"/>
        <w:snapToGrid w:val="0"/>
        <w:spacing w:line="288" w:lineRule="auto"/>
        <w:ind w:firstLine="600" w:firstLineChars="200"/>
        <w:jc w:val="both"/>
        <w:rPr>
          <w:rFonts w:ascii="仿宋_GB2312" w:eastAsia="仿宋_GB2312"/>
          <w:sz w:val="30"/>
          <w:szCs w:val="30"/>
          <w:u w:val="single"/>
        </w:rPr>
      </w:pPr>
      <w:r>
        <w:rPr>
          <w:rFonts w:hint="eastAsia" w:ascii="仿宋_GB2312" w:eastAsia="仿宋_GB2312"/>
          <w:sz w:val="30"/>
          <w:szCs w:val="30"/>
        </w:rPr>
        <w:t>编制日期：</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 xml:space="preserve">        2021年4月              </w:t>
      </w:r>
      <w:bookmarkStart w:id="0"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bookmarkEnd w:id="0"/>
    <w:p>
      <w:pPr>
        <w:adjustRightInd w:val="0"/>
        <w:snapToGrid w:val="0"/>
        <w:spacing w:line="288" w:lineRule="auto"/>
        <w:jc w:val="center"/>
        <w:rPr>
          <w:rFonts w:hint="eastAsia"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
        <w:ind w:left="0" w:leftChars="0" w:firstLine="0" w:firstLineChars="0"/>
        <w:rPr>
          <w:rFonts w:hint="default"/>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r>
        <w:rPr>
          <w:rFonts w:hint="default"/>
        </w:rPr>
        <w:drawing>
          <wp:inline distT="0" distB="0" distL="114300" distR="114300">
            <wp:extent cx="5611495" cy="8133715"/>
            <wp:effectExtent l="0" t="0" r="8255" b="635"/>
            <wp:docPr id="14" name="图片 14" descr="dd8c461600e27ffae52cafe5a69c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d8c461600e27ffae52cafe5a69c762"/>
                    <pic:cNvPicPr>
                      <a:picLocks noChangeAspect="1"/>
                    </pic:cNvPicPr>
                  </pic:nvPicPr>
                  <pic:blipFill>
                    <a:blip r:embed="rId9"/>
                    <a:stretch>
                      <a:fillRect/>
                    </a:stretch>
                  </pic:blipFill>
                  <pic:spPr>
                    <a:xfrm>
                      <a:off x="0" y="0"/>
                      <a:ext cx="5611495" cy="8133715"/>
                    </a:xfrm>
                    <a:prstGeom prst="rect">
                      <a:avLst/>
                    </a:prstGeom>
                  </pic:spPr>
                </pic:pic>
              </a:graphicData>
            </a:graphic>
          </wp:inline>
        </w:drawing>
      </w:r>
    </w:p>
    <w:p>
      <w:pPr>
        <w:pStyle w:val="11"/>
        <w:jc w:val="center"/>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83"/>
        <w:gridCol w:w="2336"/>
        <w:gridCol w:w="2032"/>
        <w:gridCol w:w="28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3"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建设项目名称</w:t>
            </w:r>
          </w:p>
        </w:tc>
        <w:tc>
          <w:tcPr>
            <w:tcW w:w="7187" w:type="dxa"/>
            <w:gridSpan w:val="3"/>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机加工基地（年产7600吨钢结构件）扩建项目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3"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项目代码</w:t>
            </w:r>
          </w:p>
        </w:tc>
        <w:tc>
          <w:tcPr>
            <w:tcW w:w="7187" w:type="dxa"/>
            <w:gridSpan w:val="3"/>
            <w:noWrap w:val="0"/>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3"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建设单位联系人</w:t>
            </w:r>
          </w:p>
        </w:tc>
        <w:tc>
          <w:tcPr>
            <w:tcW w:w="2336" w:type="dxa"/>
            <w:noWrap w:val="0"/>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李德清</w:t>
            </w:r>
          </w:p>
        </w:tc>
        <w:tc>
          <w:tcPr>
            <w:tcW w:w="2032" w:type="dxa"/>
            <w:noWrap w:val="0"/>
            <w:vAlign w:val="center"/>
          </w:tcPr>
          <w:p>
            <w:pPr>
              <w:adjustRightInd w:val="0"/>
              <w:snapToGrid w:val="0"/>
              <w:jc w:val="center"/>
              <w:rPr>
                <w:rFonts w:ascii="宋体" w:hAnsi="宋体" w:cs="宋体"/>
                <w:sz w:val="24"/>
                <w:szCs w:val="24"/>
              </w:rPr>
            </w:pPr>
            <w:r>
              <w:rPr>
                <w:rFonts w:hint="eastAsia" w:ascii="宋体" w:hAnsi="宋体" w:cs="宋体"/>
                <w:sz w:val="24"/>
                <w:szCs w:val="24"/>
              </w:rPr>
              <w:t>联系方式</w:t>
            </w:r>
          </w:p>
        </w:tc>
        <w:tc>
          <w:tcPr>
            <w:tcW w:w="2819" w:type="dxa"/>
            <w:noWrap w:val="0"/>
            <w:vAlign w:val="center"/>
          </w:tcPr>
          <w:p>
            <w:pPr>
              <w:adjustRightInd w:val="0"/>
              <w:snapToGrid w:val="0"/>
              <w:jc w:val="center"/>
              <w:rPr>
                <w:rFonts w:ascii="宋体" w:hAnsi="宋体" w:cs="宋体"/>
                <w:sz w:val="24"/>
                <w:szCs w:val="24"/>
              </w:rPr>
            </w:pPr>
            <w:r>
              <w:rPr>
                <w:bCs/>
                <w:sz w:val="24"/>
                <w:szCs w:val="24"/>
              </w:rPr>
              <w:t>13762606692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3"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建设地点</w:t>
            </w:r>
          </w:p>
        </w:tc>
        <w:tc>
          <w:tcPr>
            <w:tcW w:w="7187" w:type="dxa"/>
            <w:gridSpan w:val="3"/>
            <w:noWrap w:val="0"/>
            <w:vAlign w:val="center"/>
          </w:tcPr>
          <w:p>
            <w:pPr>
              <w:adjustRightInd w:val="0"/>
              <w:snapToGrid w:val="0"/>
              <w:jc w:val="center"/>
              <w:rPr>
                <w:rFonts w:ascii="宋体" w:hAnsi="宋体" w:cs="宋体"/>
                <w:sz w:val="24"/>
                <w:szCs w:val="24"/>
              </w:rPr>
            </w:pPr>
            <w:r>
              <w:rPr>
                <w:rFonts w:hint="eastAsia" w:ascii="宋体" w:hAnsi="宋体" w:cs="宋体"/>
                <w:sz w:val="24"/>
                <w:szCs w:val="24"/>
                <w:u w:val="none"/>
                <w:lang w:val="en-US" w:eastAsia="zh-CN"/>
              </w:rPr>
              <w:t>湖南</w:t>
            </w:r>
            <w:r>
              <w:rPr>
                <w:rFonts w:hint="eastAsia" w:ascii="宋体" w:hAnsi="宋体" w:cs="宋体"/>
                <w:sz w:val="24"/>
                <w:szCs w:val="24"/>
                <w:u w:val="none"/>
              </w:rPr>
              <w:t>省</w:t>
            </w:r>
            <w:r>
              <w:rPr>
                <w:rFonts w:hint="eastAsia" w:ascii="宋体" w:hAnsi="宋体" w:cs="宋体"/>
                <w:sz w:val="24"/>
                <w:szCs w:val="24"/>
                <w:u w:val="none"/>
                <w:lang w:val="en-US" w:eastAsia="zh-CN"/>
              </w:rPr>
              <w:t>岳阳</w:t>
            </w:r>
            <w:r>
              <w:rPr>
                <w:rFonts w:hint="eastAsia" w:ascii="宋体" w:hAnsi="宋体" w:cs="宋体"/>
                <w:sz w:val="24"/>
                <w:szCs w:val="24"/>
                <w:u w:val="none"/>
              </w:rPr>
              <w:t>市</w:t>
            </w:r>
            <w:r>
              <w:rPr>
                <w:rFonts w:hint="eastAsia" w:ascii="宋体" w:hAnsi="宋体" w:cs="宋体"/>
                <w:sz w:val="24"/>
                <w:szCs w:val="24"/>
                <w:u w:val="none"/>
                <w:lang w:val="en-US" w:eastAsia="zh-CN"/>
              </w:rPr>
              <w:t>湘阴县工业园区顺天大道以南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3"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地理坐标</w:t>
            </w:r>
          </w:p>
        </w:tc>
        <w:tc>
          <w:tcPr>
            <w:tcW w:w="7187" w:type="dxa"/>
            <w:gridSpan w:val="3"/>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1#~3#车间</w:t>
            </w:r>
            <w:r>
              <w:rPr>
                <w:rFonts w:hint="eastAsia" w:ascii="宋体" w:hAnsi="宋体" w:cs="宋体"/>
                <w:sz w:val="24"/>
                <w:szCs w:val="24"/>
              </w:rPr>
              <w:t>（</w:t>
            </w:r>
            <w:r>
              <w:rPr>
                <w:rFonts w:hint="eastAsia" w:ascii="宋体" w:hAnsi="宋体" w:cs="宋体"/>
                <w:sz w:val="24"/>
                <w:szCs w:val="24"/>
                <w:u w:val="none"/>
                <w:lang w:val="en-US" w:eastAsia="zh-CN"/>
              </w:rPr>
              <w:t>112</w:t>
            </w:r>
            <w:r>
              <w:rPr>
                <w:rFonts w:hint="eastAsia" w:ascii="宋体" w:hAnsi="宋体" w:cs="宋体"/>
                <w:sz w:val="24"/>
                <w:szCs w:val="24"/>
                <w:u w:val="none"/>
              </w:rPr>
              <w:t>度</w:t>
            </w:r>
            <w:r>
              <w:rPr>
                <w:rFonts w:hint="eastAsia" w:ascii="宋体" w:hAnsi="宋体" w:cs="宋体"/>
                <w:sz w:val="24"/>
                <w:szCs w:val="24"/>
                <w:u w:val="none"/>
                <w:lang w:val="en-US" w:eastAsia="zh-CN"/>
              </w:rPr>
              <w:t>54</w:t>
            </w:r>
            <w:r>
              <w:rPr>
                <w:rFonts w:hint="eastAsia" w:ascii="宋体" w:hAnsi="宋体" w:cs="宋体"/>
                <w:sz w:val="24"/>
                <w:szCs w:val="24"/>
                <w:u w:val="none"/>
              </w:rPr>
              <w:t>分</w:t>
            </w:r>
            <w:r>
              <w:rPr>
                <w:rFonts w:hint="eastAsia" w:ascii="宋体" w:hAnsi="宋体" w:cs="宋体"/>
                <w:sz w:val="24"/>
                <w:szCs w:val="24"/>
                <w:u w:val="none"/>
                <w:lang w:val="en-US" w:eastAsia="zh-CN"/>
              </w:rPr>
              <w:t>30.511</w:t>
            </w:r>
            <w:r>
              <w:rPr>
                <w:rFonts w:hint="eastAsia" w:ascii="宋体" w:hAnsi="宋体" w:cs="宋体"/>
                <w:sz w:val="24"/>
                <w:szCs w:val="24"/>
                <w:u w:val="none"/>
              </w:rPr>
              <w:t>秒，</w:t>
            </w:r>
            <w:r>
              <w:rPr>
                <w:rFonts w:hint="eastAsia" w:ascii="宋体" w:hAnsi="宋体" w:cs="宋体"/>
                <w:sz w:val="24"/>
                <w:szCs w:val="24"/>
                <w:u w:val="none"/>
                <w:lang w:val="en-US" w:eastAsia="zh-CN"/>
              </w:rPr>
              <w:t>28</w:t>
            </w:r>
            <w:r>
              <w:rPr>
                <w:rFonts w:hint="eastAsia" w:ascii="宋体" w:hAnsi="宋体" w:cs="宋体"/>
                <w:sz w:val="24"/>
                <w:szCs w:val="24"/>
                <w:u w:val="none"/>
              </w:rPr>
              <w:t>度</w:t>
            </w:r>
            <w:r>
              <w:rPr>
                <w:rFonts w:hint="eastAsia" w:ascii="宋体" w:hAnsi="宋体" w:cs="宋体"/>
                <w:sz w:val="24"/>
                <w:szCs w:val="24"/>
                <w:u w:val="none"/>
                <w:lang w:val="en-US" w:eastAsia="zh-CN"/>
              </w:rPr>
              <w:t>37</w:t>
            </w:r>
            <w:r>
              <w:rPr>
                <w:rFonts w:hint="eastAsia" w:ascii="宋体" w:hAnsi="宋体" w:cs="宋体"/>
                <w:sz w:val="24"/>
                <w:szCs w:val="24"/>
                <w:u w:val="none"/>
              </w:rPr>
              <w:t>分</w:t>
            </w:r>
            <w:r>
              <w:rPr>
                <w:rFonts w:hint="eastAsia" w:ascii="宋体" w:hAnsi="宋体" w:cs="宋体"/>
                <w:sz w:val="24"/>
                <w:szCs w:val="24"/>
                <w:u w:val="none"/>
                <w:lang w:val="en-US" w:eastAsia="zh-CN"/>
              </w:rPr>
              <w:t>53.724</w:t>
            </w:r>
            <w:r>
              <w:rPr>
                <w:rFonts w:hint="eastAsia" w:ascii="宋体" w:hAnsi="宋体" w:cs="宋体"/>
                <w:sz w:val="24"/>
                <w:szCs w:val="24"/>
                <w:u w:val="none"/>
              </w:rPr>
              <w:t>秒</w:t>
            </w:r>
            <w:r>
              <w:rPr>
                <w:rFonts w:hint="eastAsia" w:ascii="宋体" w:hAnsi="宋体" w:cs="宋体"/>
                <w:sz w:val="24"/>
                <w:szCs w:val="24"/>
              </w:rPr>
              <w:t>）</w:t>
            </w:r>
          </w:p>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4#车间</w:t>
            </w:r>
            <w:r>
              <w:rPr>
                <w:rFonts w:hint="eastAsia" w:ascii="宋体" w:hAnsi="宋体" w:cs="宋体"/>
                <w:sz w:val="24"/>
                <w:szCs w:val="24"/>
              </w:rPr>
              <w:t>（</w:t>
            </w:r>
            <w:r>
              <w:rPr>
                <w:rFonts w:hint="eastAsia" w:ascii="宋体" w:hAnsi="宋体" w:cs="宋体"/>
                <w:sz w:val="24"/>
                <w:szCs w:val="24"/>
                <w:u w:val="none"/>
                <w:lang w:val="en-US" w:eastAsia="zh-CN"/>
              </w:rPr>
              <w:t>112</w:t>
            </w:r>
            <w:r>
              <w:rPr>
                <w:rFonts w:hint="eastAsia" w:ascii="宋体" w:hAnsi="宋体" w:cs="宋体"/>
                <w:sz w:val="24"/>
                <w:szCs w:val="24"/>
                <w:u w:val="none"/>
              </w:rPr>
              <w:t>度</w:t>
            </w:r>
            <w:r>
              <w:rPr>
                <w:rFonts w:hint="eastAsia" w:ascii="宋体" w:hAnsi="宋体" w:cs="宋体"/>
                <w:sz w:val="24"/>
                <w:szCs w:val="24"/>
                <w:u w:val="none"/>
                <w:lang w:val="en-US" w:eastAsia="zh-CN"/>
              </w:rPr>
              <w:t>54</w:t>
            </w:r>
            <w:r>
              <w:rPr>
                <w:rFonts w:hint="eastAsia" w:ascii="宋体" w:hAnsi="宋体" w:cs="宋体"/>
                <w:sz w:val="24"/>
                <w:szCs w:val="24"/>
                <w:u w:val="none"/>
              </w:rPr>
              <w:t>分</w:t>
            </w:r>
            <w:r>
              <w:rPr>
                <w:rFonts w:hint="eastAsia" w:ascii="宋体" w:hAnsi="宋体" w:cs="宋体"/>
                <w:sz w:val="24"/>
                <w:szCs w:val="24"/>
                <w:u w:val="none"/>
                <w:lang w:val="en-US" w:eastAsia="zh-CN"/>
              </w:rPr>
              <w:t>36.691</w:t>
            </w:r>
            <w:r>
              <w:rPr>
                <w:rFonts w:hint="eastAsia" w:ascii="宋体" w:hAnsi="宋体" w:cs="宋体"/>
                <w:sz w:val="24"/>
                <w:szCs w:val="24"/>
                <w:u w:val="none"/>
              </w:rPr>
              <w:t>秒，</w:t>
            </w:r>
            <w:r>
              <w:rPr>
                <w:rFonts w:hint="eastAsia" w:ascii="宋体" w:hAnsi="宋体" w:cs="宋体"/>
                <w:sz w:val="24"/>
                <w:szCs w:val="24"/>
                <w:u w:val="none"/>
                <w:lang w:val="en-US" w:eastAsia="zh-CN"/>
              </w:rPr>
              <w:t>28</w:t>
            </w:r>
            <w:r>
              <w:rPr>
                <w:rFonts w:hint="eastAsia" w:ascii="宋体" w:hAnsi="宋体" w:cs="宋体"/>
                <w:sz w:val="24"/>
                <w:szCs w:val="24"/>
                <w:u w:val="none"/>
              </w:rPr>
              <w:t>度</w:t>
            </w:r>
            <w:r>
              <w:rPr>
                <w:rFonts w:hint="eastAsia" w:ascii="宋体" w:hAnsi="宋体" w:cs="宋体"/>
                <w:sz w:val="24"/>
                <w:szCs w:val="24"/>
                <w:u w:val="none"/>
                <w:lang w:val="en-US" w:eastAsia="zh-CN"/>
              </w:rPr>
              <w:t>37</w:t>
            </w:r>
            <w:r>
              <w:rPr>
                <w:rFonts w:hint="eastAsia" w:ascii="宋体" w:hAnsi="宋体" w:cs="宋体"/>
                <w:sz w:val="24"/>
                <w:szCs w:val="24"/>
                <w:u w:val="none"/>
              </w:rPr>
              <w:t>分</w:t>
            </w:r>
            <w:r>
              <w:rPr>
                <w:rFonts w:hint="eastAsia" w:ascii="宋体" w:hAnsi="宋体" w:cs="宋体"/>
                <w:sz w:val="24"/>
                <w:szCs w:val="24"/>
                <w:u w:val="none"/>
                <w:lang w:val="en-US" w:eastAsia="zh-CN"/>
              </w:rPr>
              <w:t>46.617</w:t>
            </w:r>
            <w:r>
              <w:rPr>
                <w:rFonts w:hint="eastAsia" w:ascii="宋体" w:hAnsi="宋体" w:cs="宋体"/>
                <w:sz w:val="24"/>
                <w:szCs w:val="24"/>
                <w:u w:val="none"/>
              </w:rPr>
              <w:t>秒</w:t>
            </w:r>
            <w:r>
              <w:rPr>
                <w:rFonts w:hint="eastAsia" w:ascii="宋体" w:hAnsi="宋体" w:cs="宋体"/>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683"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国民经济</w:t>
            </w:r>
          </w:p>
          <w:p>
            <w:pPr>
              <w:adjustRightInd w:val="0"/>
              <w:snapToGrid w:val="0"/>
              <w:jc w:val="center"/>
              <w:rPr>
                <w:rFonts w:ascii="宋体" w:hAnsi="宋体" w:cs="宋体"/>
                <w:sz w:val="24"/>
                <w:szCs w:val="24"/>
              </w:rPr>
            </w:pPr>
            <w:r>
              <w:rPr>
                <w:rFonts w:hint="eastAsia" w:ascii="宋体" w:hAnsi="宋体" w:cs="宋体"/>
                <w:sz w:val="24"/>
                <w:szCs w:val="24"/>
              </w:rPr>
              <w:t>行业类别</w:t>
            </w:r>
          </w:p>
        </w:tc>
        <w:tc>
          <w:tcPr>
            <w:tcW w:w="2336" w:type="dxa"/>
            <w:noWrap w:val="0"/>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C3311</w:t>
            </w:r>
          </w:p>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金属结构制造</w:t>
            </w:r>
          </w:p>
        </w:tc>
        <w:tc>
          <w:tcPr>
            <w:tcW w:w="2032" w:type="dxa"/>
            <w:noWrap w:val="0"/>
            <w:vAlign w:val="center"/>
          </w:tcPr>
          <w:p>
            <w:pPr>
              <w:adjustRightInd w:val="0"/>
              <w:snapToGrid w:val="0"/>
              <w:jc w:val="center"/>
              <w:rPr>
                <w:rFonts w:ascii="宋体" w:hAnsi="宋体" w:cs="宋体"/>
                <w:sz w:val="24"/>
                <w:szCs w:val="24"/>
              </w:rPr>
            </w:pPr>
            <w:bookmarkStart w:id="1" w:name="_Hlk49843745"/>
            <w:r>
              <w:rPr>
                <w:rFonts w:hint="eastAsia" w:ascii="宋体" w:hAnsi="宋体" w:cs="宋体"/>
                <w:sz w:val="24"/>
                <w:szCs w:val="24"/>
              </w:rPr>
              <w:t>建设项目</w:t>
            </w:r>
          </w:p>
          <w:p>
            <w:pPr>
              <w:adjustRightInd w:val="0"/>
              <w:snapToGrid w:val="0"/>
              <w:jc w:val="center"/>
              <w:rPr>
                <w:rFonts w:ascii="宋体" w:hAnsi="宋体" w:cs="宋体"/>
                <w:sz w:val="24"/>
                <w:szCs w:val="24"/>
              </w:rPr>
            </w:pPr>
            <w:r>
              <w:rPr>
                <w:rFonts w:hint="eastAsia" w:ascii="宋体" w:hAnsi="宋体" w:cs="宋体"/>
                <w:sz w:val="24"/>
                <w:szCs w:val="24"/>
              </w:rPr>
              <w:t>行业类别</w:t>
            </w:r>
            <w:bookmarkEnd w:id="1"/>
          </w:p>
        </w:tc>
        <w:tc>
          <w:tcPr>
            <w:tcW w:w="2819" w:type="dxa"/>
            <w:noWrap w:val="0"/>
            <w:vAlign w:val="center"/>
          </w:tcPr>
          <w:p>
            <w:pPr>
              <w:adjustRightInd w:val="0"/>
              <w:snapToGrid w:val="0"/>
              <w:rPr>
                <w:rFonts w:ascii="宋体" w:hAnsi="宋体" w:cs="宋体"/>
                <w:sz w:val="24"/>
                <w:szCs w:val="24"/>
              </w:rPr>
            </w:pPr>
            <w:r>
              <w:rPr>
                <w:rFonts w:hint="eastAsia" w:ascii="宋体" w:hAnsi="宋体" w:cs="宋体"/>
                <w:sz w:val="24"/>
                <w:szCs w:val="24"/>
              </w:rPr>
              <w:t>结构性金属制品制造 331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83"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建设性质</w:t>
            </w:r>
          </w:p>
        </w:tc>
        <w:tc>
          <w:tcPr>
            <w:tcW w:w="2336" w:type="dxa"/>
            <w:noWrap w:val="0"/>
            <w:vAlign w:val="center"/>
          </w:tcPr>
          <w:p>
            <w:pPr>
              <w:jc w:val="left"/>
              <w:rPr>
                <w:rFonts w:ascii="宋体" w:hAnsi="宋体" w:cs="宋体"/>
                <w:sz w:val="24"/>
                <w:szCs w:val="24"/>
              </w:rPr>
            </w:pPr>
            <w:r>
              <w:rPr>
                <w:rFonts w:hint="eastAsia" w:ascii="宋体" w:hAnsi="宋体" w:cs="宋体"/>
                <w:sz w:val="24"/>
                <w:szCs w:val="24"/>
              </w:rPr>
              <w:t>□新建（迁建）</w:t>
            </w:r>
          </w:p>
          <w:p>
            <w:pPr>
              <w:jc w:val="left"/>
              <w:rPr>
                <w:rFonts w:hint="eastAsia" w:ascii="宋体" w:hAnsi="宋体" w:cs="宋体"/>
                <w:sz w:val="24"/>
                <w:szCs w:val="24"/>
              </w:rPr>
            </w:pPr>
            <w:r>
              <w:rPr>
                <w:rFonts w:hint="eastAsia" w:ascii="宋体" w:hAnsi="宋体" w:cs="宋体"/>
                <w:sz w:val="24"/>
                <w:szCs w:val="24"/>
              </w:rPr>
              <w:t>□改建</w:t>
            </w:r>
          </w:p>
          <w:p>
            <w:pPr>
              <w:jc w:val="left"/>
              <w:rPr>
                <w:rFonts w:hint="eastAsia"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扩建</w:t>
            </w:r>
          </w:p>
          <w:p>
            <w:pPr>
              <w:jc w:val="left"/>
              <w:rPr>
                <w:rFonts w:ascii="宋体" w:hAnsi="宋体" w:cs="宋体"/>
                <w:sz w:val="24"/>
                <w:szCs w:val="24"/>
              </w:rPr>
            </w:pPr>
            <w:r>
              <w:rPr>
                <w:rFonts w:hint="eastAsia" w:ascii="宋体" w:hAnsi="宋体" w:cs="宋体"/>
                <w:sz w:val="24"/>
                <w:szCs w:val="24"/>
              </w:rPr>
              <w:t>□技术改造</w:t>
            </w:r>
          </w:p>
        </w:tc>
        <w:tc>
          <w:tcPr>
            <w:tcW w:w="2032" w:type="dxa"/>
            <w:noWrap w:val="0"/>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建设项目</w:t>
            </w:r>
          </w:p>
          <w:p>
            <w:pPr>
              <w:adjustRightInd w:val="0"/>
              <w:snapToGrid w:val="0"/>
              <w:jc w:val="center"/>
              <w:rPr>
                <w:rFonts w:ascii="宋体" w:hAnsi="宋体" w:cs="宋体"/>
                <w:sz w:val="24"/>
                <w:szCs w:val="24"/>
              </w:rPr>
            </w:pPr>
            <w:r>
              <w:rPr>
                <w:rFonts w:hint="eastAsia" w:ascii="宋体" w:hAnsi="宋体" w:cs="宋体"/>
                <w:sz w:val="24"/>
                <w:szCs w:val="24"/>
              </w:rPr>
              <w:t>申报情形</w:t>
            </w:r>
          </w:p>
        </w:tc>
        <w:tc>
          <w:tcPr>
            <w:tcW w:w="2819" w:type="dxa"/>
            <w:noWrap w:val="0"/>
            <w:vAlign w:val="center"/>
          </w:tcPr>
          <w:p>
            <w:pPr>
              <w:jc w:val="left"/>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首次申报项目</w:t>
            </w:r>
            <w:r>
              <w:rPr>
                <w:rFonts w:ascii="宋体" w:hAnsi="宋体" w:cs="宋体"/>
                <w:sz w:val="24"/>
                <w:szCs w:val="24"/>
              </w:rPr>
              <w:t xml:space="preserve">             </w:t>
            </w:r>
          </w:p>
          <w:p>
            <w:pPr>
              <w:jc w:val="left"/>
              <w:rPr>
                <w:rFonts w:ascii="宋体" w:hAnsi="宋体" w:cs="宋体"/>
                <w:sz w:val="24"/>
                <w:szCs w:val="24"/>
              </w:rPr>
            </w:pPr>
            <w:r>
              <w:rPr>
                <w:rFonts w:hint="eastAsia" w:ascii="宋体" w:hAnsi="宋体" w:cs="宋体"/>
                <w:sz w:val="24"/>
                <w:szCs w:val="24"/>
              </w:rPr>
              <w:t>□不予批准后再次申报项目</w:t>
            </w:r>
          </w:p>
          <w:p>
            <w:pPr>
              <w:jc w:val="left"/>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超五年重新审核项目</w:t>
            </w:r>
            <w:r>
              <w:rPr>
                <w:rFonts w:ascii="宋体" w:hAnsi="宋体" w:cs="宋体"/>
                <w:sz w:val="24"/>
                <w:szCs w:val="24"/>
              </w:rPr>
              <w:t xml:space="preserve">     </w:t>
            </w:r>
          </w:p>
          <w:p>
            <w:pPr>
              <w:jc w:val="left"/>
              <w:rPr>
                <w:rFonts w:ascii="宋体" w:hAnsi="宋体" w:cs="宋体"/>
                <w:sz w:val="24"/>
                <w:szCs w:val="24"/>
              </w:rPr>
            </w:pPr>
            <w:r>
              <w:rPr>
                <w:rFonts w:hint="eastAsia" w:ascii="宋体" w:hAnsi="宋体" w:cs="宋体"/>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683"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p>
          <w:p>
            <w:pPr>
              <w:adjustRightInd w:val="0"/>
              <w:snapToGrid w:val="0"/>
              <w:jc w:val="center"/>
              <w:rPr>
                <w:rFonts w:ascii="宋体" w:hAnsi="宋体" w:cs="宋体"/>
                <w:sz w:val="24"/>
                <w:szCs w:val="24"/>
              </w:rPr>
            </w:pPr>
            <w:r>
              <w:rPr>
                <w:rFonts w:hint="eastAsia" w:ascii="宋体" w:hAnsi="宋体" w:cs="宋体"/>
                <w:sz w:val="24"/>
                <w:szCs w:val="24"/>
              </w:rPr>
              <w:t>备案）部门（选填）</w:t>
            </w:r>
          </w:p>
        </w:tc>
        <w:tc>
          <w:tcPr>
            <w:tcW w:w="2336" w:type="dxa"/>
            <w:noWrap w:val="0"/>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w:t>
            </w:r>
          </w:p>
        </w:tc>
        <w:tc>
          <w:tcPr>
            <w:tcW w:w="2032" w:type="dxa"/>
            <w:noWrap w:val="0"/>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p>
          <w:p>
            <w:pPr>
              <w:adjustRightInd w:val="0"/>
              <w:snapToGrid w:val="0"/>
              <w:jc w:val="center"/>
              <w:rPr>
                <w:rFonts w:hint="eastAsia" w:ascii="宋体" w:hAnsi="宋体" w:cs="宋体"/>
                <w:sz w:val="24"/>
                <w:szCs w:val="24"/>
              </w:rPr>
            </w:pPr>
            <w:r>
              <w:rPr>
                <w:rFonts w:hint="eastAsia" w:ascii="宋体" w:hAnsi="宋体" w:cs="宋体"/>
                <w:sz w:val="24"/>
                <w:szCs w:val="24"/>
              </w:rPr>
              <w:t>备案）文号（选填）</w:t>
            </w:r>
          </w:p>
        </w:tc>
        <w:tc>
          <w:tcPr>
            <w:tcW w:w="2819" w:type="dxa"/>
            <w:noWrap w:val="0"/>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3"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总投资（万元）</w:t>
            </w:r>
          </w:p>
        </w:tc>
        <w:tc>
          <w:tcPr>
            <w:tcW w:w="2336"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800</w:t>
            </w:r>
          </w:p>
        </w:tc>
        <w:tc>
          <w:tcPr>
            <w:tcW w:w="2032"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环保投资（万元）</w:t>
            </w:r>
          </w:p>
        </w:tc>
        <w:tc>
          <w:tcPr>
            <w:tcW w:w="2819"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3"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环保投资占比（</w:t>
            </w:r>
            <w:r>
              <w:rPr>
                <w:rFonts w:ascii="宋体" w:hAnsi="宋体" w:cs="宋体"/>
                <w:sz w:val="24"/>
                <w:szCs w:val="24"/>
              </w:rPr>
              <w:t>%</w:t>
            </w:r>
            <w:r>
              <w:rPr>
                <w:rFonts w:hint="eastAsia" w:ascii="宋体" w:hAnsi="宋体" w:cs="宋体"/>
                <w:sz w:val="24"/>
                <w:szCs w:val="24"/>
              </w:rPr>
              <w:t>）</w:t>
            </w:r>
          </w:p>
        </w:tc>
        <w:tc>
          <w:tcPr>
            <w:tcW w:w="2336"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4.38</w:t>
            </w:r>
          </w:p>
        </w:tc>
        <w:tc>
          <w:tcPr>
            <w:tcW w:w="2032"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施工工期</w:t>
            </w:r>
          </w:p>
        </w:tc>
        <w:tc>
          <w:tcPr>
            <w:tcW w:w="2819" w:type="dxa"/>
            <w:noWrap w:val="0"/>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3"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是否开工建设</w:t>
            </w:r>
          </w:p>
        </w:tc>
        <w:tc>
          <w:tcPr>
            <w:tcW w:w="2336" w:type="dxa"/>
            <w:noWrap w:val="0"/>
            <w:vAlign w:val="center"/>
          </w:tcPr>
          <w:p>
            <w:pPr>
              <w:adjustRightInd w:val="0"/>
              <w:snapToGrid w:val="0"/>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否</w:t>
            </w:r>
          </w:p>
          <w:p>
            <w:pPr>
              <w:adjustRightInd w:val="0"/>
              <w:snapToGrid w:val="0"/>
              <w:rPr>
                <w:rFonts w:hint="default" w:ascii="宋体" w:hAnsi="宋体" w:eastAsia="宋体" w:cs="宋体"/>
                <w:sz w:val="24"/>
                <w:szCs w:val="24"/>
                <w:lang w:val="en-US" w:eastAsia="zh-CN"/>
              </w:rPr>
            </w:pPr>
            <w:r>
              <w:rPr>
                <w:rFonts w:hint="eastAsia" w:ascii="宋体" w:hAnsi="宋体" w:cs="宋体"/>
                <w:sz w:val="24"/>
                <w:szCs w:val="24"/>
              </w:rPr>
              <w:sym w:font="Wingdings 2" w:char="0052"/>
            </w:r>
            <w:r>
              <w:rPr>
                <w:rFonts w:hint="eastAsia" w:ascii="宋体" w:hAnsi="宋体" w:cs="宋体"/>
                <w:sz w:val="24"/>
                <w:szCs w:val="24"/>
              </w:rPr>
              <w:t>是：</w:t>
            </w:r>
            <w:r>
              <w:rPr>
                <w:rFonts w:hint="eastAsia" w:ascii="宋体" w:hAnsi="宋体" w:cs="宋体"/>
                <w:sz w:val="24"/>
                <w:szCs w:val="24"/>
                <w:u w:val="none"/>
                <w:lang w:val="en-US" w:eastAsia="zh-CN"/>
              </w:rPr>
              <w:t>2019年6月竣工</w:t>
            </w:r>
          </w:p>
        </w:tc>
        <w:tc>
          <w:tcPr>
            <w:tcW w:w="2032"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pacing w:val="-6"/>
                <w:sz w:val="24"/>
                <w:szCs w:val="24"/>
              </w:rPr>
              <w:t>用地面积（</w:t>
            </w:r>
            <w:r>
              <w:rPr>
                <w:rFonts w:ascii="宋体" w:hAnsi="宋体" w:cs="宋体"/>
                <w:spacing w:val="-6"/>
                <w:sz w:val="24"/>
                <w:szCs w:val="24"/>
              </w:rPr>
              <w:t>m</w:t>
            </w:r>
            <w:r>
              <w:rPr>
                <w:rFonts w:ascii="宋体" w:hAnsi="宋体" w:cs="宋体"/>
                <w:spacing w:val="-6"/>
                <w:sz w:val="24"/>
                <w:szCs w:val="24"/>
                <w:vertAlign w:val="superscript"/>
              </w:rPr>
              <w:t>2</w:t>
            </w:r>
            <w:r>
              <w:rPr>
                <w:rFonts w:hint="eastAsia" w:ascii="宋体" w:hAnsi="宋体" w:cs="宋体"/>
                <w:spacing w:val="-6"/>
                <w:sz w:val="24"/>
                <w:szCs w:val="24"/>
              </w:rPr>
              <w:t>）</w:t>
            </w:r>
          </w:p>
        </w:tc>
        <w:tc>
          <w:tcPr>
            <w:tcW w:w="2819"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22760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83" w:type="dxa"/>
            <w:noWrap w:val="0"/>
            <w:vAlign w:val="center"/>
          </w:tcPr>
          <w:p>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专项评价设置情况</w:t>
            </w:r>
          </w:p>
        </w:tc>
        <w:tc>
          <w:tcPr>
            <w:tcW w:w="7187" w:type="dxa"/>
            <w:gridSpan w:val="3"/>
            <w:noWrap w:val="0"/>
            <w:vAlign w:val="center"/>
          </w:tcPr>
          <w:p>
            <w:pPr>
              <w:autoSpaceDE w:val="0"/>
              <w:autoSpaceDN w:val="0"/>
              <w:adjustRightInd w:val="0"/>
              <w:snapToGrid w:val="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83" w:type="dxa"/>
            <w:noWrap w:val="0"/>
            <w:vAlign w:val="center"/>
          </w:tcPr>
          <w:p>
            <w:pPr>
              <w:autoSpaceDE w:val="0"/>
              <w:autoSpaceDN w:val="0"/>
              <w:adjustRightInd w:val="0"/>
              <w:snapToGrid w:val="0"/>
              <w:jc w:val="center"/>
              <w:rPr>
                <w:rFonts w:hint="eastAsia" w:ascii="宋体" w:hAnsi="宋体" w:cs="宋体"/>
                <w:kern w:val="0"/>
                <w:sz w:val="24"/>
                <w:szCs w:val="24"/>
              </w:rPr>
            </w:pPr>
            <w:r>
              <w:rPr>
                <w:rFonts w:hint="eastAsia" w:ascii="宋体" w:hAnsi="宋体" w:cs="宋体"/>
                <w:sz w:val="24"/>
                <w:szCs w:val="24"/>
              </w:rPr>
              <w:t>规划情况</w:t>
            </w:r>
          </w:p>
        </w:tc>
        <w:tc>
          <w:tcPr>
            <w:tcW w:w="7187"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kern w:val="0"/>
                <w:sz w:val="21"/>
                <w:szCs w:val="21"/>
              </w:rPr>
            </w:pPr>
            <w:r>
              <w:rPr>
                <w:rFonts w:hint="eastAsia" w:cs="Times New Roman"/>
                <w:color w:val="FF0000"/>
                <w:kern w:val="0"/>
                <w:sz w:val="24"/>
                <w:szCs w:val="24"/>
                <w:u w:val="single"/>
                <w:lang w:eastAsia="zh-CN"/>
              </w:rPr>
              <w:t>《</w:t>
            </w:r>
            <w:r>
              <w:rPr>
                <w:rFonts w:hint="eastAsia" w:cs="Times New Roman"/>
                <w:color w:val="FF0000"/>
                <w:kern w:val="0"/>
                <w:sz w:val="24"/>
                <w:szCs w:val="24"/>
                <w:u w:val="single"/>
                <w:lang w:val="en-US" w:eastAsia="zh-CN"/>
              </w:rPr>
              <w:t>湖南湘阴高新区近期规划（2020-2025）</w:t>
            </w:r>
            <w:r>
              <w:rPr>
                <w:rFonts w:hint="eastAsia" w:cs="Times New Roman"/>
                <w:color w:val="FF0000"/>
                <w:kern w:val="0"/>
                <w:sz w:val="24"/>
                <w:szCs w:val="24"/>
                <w:u w:val="single"/>
                <w:lang w:eastAsia="zh-CN"/>
              </w:rPr>
              <w:t>》，</w:t>
            </w:r>
            <w:r>
              <w:rPr>
                <w:rFonts w:hint="eastAsia" w:cs="Times New Roman"/>
                <w:color w:val="FF0000"/>
                <w:kern w:val="0"/>
                <w:sz w:val="24"/>
                <w:szCs w:val="24"/>
                <w:u w:val="single"/>
                <w:lang w:val="en-US" w:eastAsia="zh-CN"/>
              </w:rPr>
              <w:t>湘阴高新技术产业开发区管理委员会。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83" w:type="dxa"/>
            <w:noWrap w:val="0"/>
            <w:vAlign w:val="center"/>
          </w:tcPr>
          <w:p>
            <w:pPr>
              <w:adjustRightInd w:val="0"/>
              <w:snapToGrid w:val="0"/>
              <w:jc w:val="center"/>
              <w:rPr>
                <w:rFonts w:ascii="宋体" w:hAnsi="宋体" w:cs="宋体"/>
                <w:sz w:val="24"/>
                <w:szCs w:val="24"/>
              </w:rPr>
            </w:pPr>
            <w:r>
              <w:rPr>
                <w:rFonts w:hint="eastAsia" w:ascii="宋体" w:hAnsi="宋体" w:cs="宋体"/>
                <w:sz w:val="24"/>
                <w:szCs w:val="24"/>
              </w:rPr>
              <w:t>规划环境影响</w:t>
            </w:r>
          </w:p>
          <w:p>
            <w:pPr>
              <w:adjustRightInd w:val="0"/>
              <w:snapToGrid w:val="0"/>
              <w:jc w:val="center"/>
              <w:rPr>
                <w:rFonts w:hint="eastAsia" w:ascii="宋体" w:hAnsi="宋体" w:cs="宋体"/>
                <w:kern w:val="0"/>
                <w:sz w:val="24"/>
                <w:szCs w:val="24"/>
              </w:rPr>
            </w:pPr>
            <w:r>
              <w:rPr>
                <w:rFonts w:hint="eastAsia" w:ascii="宋体" w:hAnsi="宋体" w:cs="宋体"/>
                <w:sz w:val="24"/>
                <w:szCs w:val="24"/>
              </w:rPr>
              <w:t>评价情况</w:t>
            </w:r>
          </w:p>
        </w:tc>
        <w:tc>
          <w:tcPr>
            <w:tcW w:w="7187"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83" w:type="dxa"/>
            <w:noWrap w:val="0"/>
            <w:vAlign w:val="center"/>
          </w:tcPr>
          <w:p>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规划及规划环境影响评价符合性分析</w:t>
            </w:r>
          </w:p>
        </w:tc>
        <w:tc>
          <w:tcPr>
            <w:tcW w:w="7187"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u w:val="single" w:color="auto"/>
                <w:lang w:eastAsia="zh-CN"/>
              </w:rPr>
            </w:pPr>
            <w:r>
              <w:rPr>
                <w:rFonts w:hint="default" w:ascii="Times New Roman" w:hAnsi="Times New Roman" w:eastAsia="宋体" w:cs="Times New Roman"/>
                <w:color w:val="FF0000"/>
                <w:sz w:val="24"/>
                <w:szCs w:val="24"/>
                <w:u w:val="single" w:color="auto"/>
              </w:rPr>
              <w:t>《湖南湘阴高新区近期规划（2020-2025）》</w:t>
            </w:r>
            <w:r>
              <w:rPr>
                <w:rFonts w:hint="default" w:ascii="Times New Roman" w:hAnsi="Times New Roman" w:eastAsia="宋体" w:cs="Times New Roman"/>
                <w:color w:val="FF0000"/>
                <w:sz w:val="24"/>
                <w:szCs w:val="24"/>
                <w:u w:val="single" w:color="auto"/>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color w:val="FF0000"/>
                <w:kern w:val="0"/>
                <w:sz w:val="24"/>
                <w:szCs w:val="24"/>
                <w:u w:val="single" w:color="auto"/>
                <w:lang w:val="en-US" w:eastAsia="zh-CN" w:bidi="ar"/>
              </w:rPr>
              <w:t xml:space="preserve">湖南湘阴高新技术产业开发区为“一区三园”，即临港片区、洋沙湖片区和金龙片区，规划区范围面积共计约12.40平方公里。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color w:val="FF0000"/>
                <w:kern w:val="0"/>
                <w:sz w:val="24"/>
                <w:szCs w:val="24"/>
                <w:u w:val="single" w:color="auto"/>
                <w:lang w:val="en-US" w:eastAsia="zh-CN" w:bidi="ar"/>
              </w:rPr>
              <w:t xml:space="preserve">临港片区位于县城北侧，范围东至太傅路、南至长岭路、西至湘江东岸、北至漕溪港火车站，规划范围约为276.73公顷。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color w:val="FF0000"/>
                <w:kern w:val="0"/>
                <w:sz w:val="24"/>
                <w:szCs w:val="24"/>
                <w:u w:val="single" w:color="auto"/>
                <w:lang w:val="en-US" w:eastAsia="zh-CN" w:bidi="ar"/>
              </w:rPr>
              <w:t xml:space="preserve">洋沙湖片区位于县城中部与南部，区块1范围东至芙蓉北路、南至洋沙湖大道、西至中联大道、北至劈山渠，规划范围约为321.98 公顷；区块2范围东至芙蓉北路、南至劈山渠、西至程家湾、北至城南村，规划范围约为296.07公顷，洋沙湖片区规划范围618.05公顷。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color w:val="FF0000"/>
                <w:kern w:val="0"/>
                <w:sz w:val="24"/>
                <w:szCs w:val="24"/>
                <w:u w:val="single" w:color="auto"/>
                <w:lang w:val="en-US" w:eastAsia="zh-CN" w:bidi="ar"/>
              </w:rPr>
              <w:t xml:space="preserve">金龙片区位于金龙镇南面，范围东至芙蓉北路、南至燎原路、西至西华村、北至安康路，规划范围约为344.78公顷。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b/>
                <w:bCs/>
                <w:color w:val="FF0000"/>
                <w:kern w:val="0"/>
                <w:sz w:val="24"/>
                <w:szCs w:val="24"/>
                <w:u w:val="single" w:color="auto"/>
                <w:lang w:val="en-US" w:eastAsia="zh-CN" w:bidi="ar"/>
              </w:rPr>
              <w:t>功能定位：</w:t>
            </w:r>
            <w:r>
              <w:rPr>
                <w:rFonts w:hint="default" w:ascii="Times New Roman" w:hAnsi="Times New Roman" w:eastAsia="宋体" w:cs="Times New Roman"/>
                <w:color w:val="FF0000"/>
                <w:kern w:val="0"/>
                <w:sz w:val="24"/>
                <w:szCs w:val="24"/>
                <w:u w:val="single" w:color="auto"/>
                <w:lang w:val="en-US" w:eastAsia="zh-CN" w:bidi="ar"/>
              </w:rPr>
              <w:t xml:space="preserve">发挥靠城（长沙）依江（湘江）的区位优势，立足对接长沙、省级高新技术开发区发展核心平台的有利条件，依托长株潭大经济圈及岳阳、益阳两城市的经济辐射，“以园兴工、以工兴县”的战略，千方百计加大园区基础建设力度，想方设法引进战略投资大户，把园区建成为规模工业企业的集聚区，商贸流通的重点区，城镇化发展的示范区，对外开放的先导区，以及全国较高水平的省级生态环保型城郊综合工业园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b/>
                <w:bCs/>
                <w:color w:val="FF0000"/>
                <w:kern w:val="0"/>
                <w:sz w:val="24"/>
                <w:szCs w:val="24"/>
                <w:u w:val="single" w:color="auto"/>
                <w:lang w:val="en-US" w:eastAsia="zh-CN" w:bidi="ar"/>
              </w:rPr>
              <w:t xml:space="preserve">产业定位：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color w:val="FF0000"/>
                <w:kern w:val="0"/>
                <w:sz w:val="24"/>
                <w:szCs w:val="24"/>
                <w:u w:val="single" w:color="auto"/>
                <w:lang w:val="en-US" w:eastAsia="zh-CN" w:bidi="ar"/>
              </w:rPr>
              <w:t xml:space="preserve">主导产业：绿色装备制造、绿色建筑建材、绿色食品加工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color w:val="FF0000"/>
                <w:kern w:val="0"/>
                <w:sz w:val="24"/>
                <w:szCs w:val="24"/>
                <w:u w:val="single" w:color="auto"/>
                <w:lang w:val="en-US" w:eastAsia="zh-CN" w:bidi="ar"/>
              </w:rPr>
              <w:t xml:space="preserve">配套产业：电子信息、新材料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b/>
                <w:bCs/>
                <w:color w:val="FF0000"/>
                <w:kern w:val="0"/>
                <w:sz w:val="24"/>
                <w:szCs w:val="24"/>
                <w:u w:val="single" w:color="auto"/>
                <w:lang w:val="en-US" w:eastAsia="zh-CN" w:bidi="ar"/>
              </w:rPr>
              <w:t xml:space="preserve">分区定位：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color w:val="FF0000"/>
                <w:kern w:val="0"/>
                <w:sz w:val="24"/>
                <w:szCs w:val="24"/>
                <w:u w:val="single" w:color="auto"/>
                <w:lang w:val="en-US" w:eastAsia="zh-CN" w:bidi="ar"/>
              </w:rPr>
              <w:t xml:space="preserve">金龙片区主要承接长株潭优势产业，重点发展与长株潭相匹配的绿色装备制造、电子信息产业；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color w:val="FF0000"/>
                <w:kern w:val="0"/>
                <w:sz w:val="24"/>
                <w:szCs w:val="24"/>
                <w:u w:val="single" w:color="auto"/>
                <w:lang w:val="en-US" w:eastAsia="zh-CN" w:bidi="ar"/>
              </w:rPr>
              <w:t xml:space="preserve">临港片区重点发展商贸物流、绿色建筑建材、绿色装备制造产业；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kern w:val="0"/>
                <w:sz w:val="24"/>
                <w:szCs w:val="24"/>
                <w:u w:val="single" w:color="auto"/>
                <w:lang w:val="en-US" w:eastAsia="zh-CN" w:bidi="ar"/>
              </w:rPr>
            </w:pPr>
            <w:r>
              <w:rPr>
                <w:rFonts w:hint="default" w:ascii="Times New Roman" w:hAnsi="Times New Roman" w:eastAsia="宋体" w:cs="Times New Roman"/>
                <w:color w:val="FF0000"/>
                <w:kern w:val="0"/>
                <w:sz w:val="24"/>
                <w:szCs w:val="24"/>
                <w:u w:val="single" w:color="auto"/>
                <w:lang w:val="en-US" w:eastAsia="zh-CN" w:bidi="ar"/>
              </w:rPr>
              <w:t>洋沙湖片区重点发展绿色建筑建材、新能源汽车和绿色食品加工产业。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kern w:val="0"/>
                <w:sz w:val="24"/>
                <w:szCs w:val="24"/>
                <w:lang w:val="en-US" w:eastAsia="zh-CN" w:bidi="ar"/>
              </w:rPr>
            </w:pPr>
            <w:r>
              <w:rPr>
                <w:rFonts w:hint="default" w:ascii="Times New Roman" w:hAnsi="Times New Roman" w:eastAsia="宋体" w:cs="Times New Roman"/>
                <w:color w:val="FF0000"/>
                <w:kern w:val="0"/>
                <w:sz w:val="24"/>
                <w:szCs w:val="24"/>
                <w:u w:val="single" w:color="auto"/>
                <w:lang w:val="en-US" w:eastAsia="zh-CN" w:bidi="ar"/>
              </w:rPr>
              <w:t>符合性审查：项目生产产品有：1#车间：平衡臂、套架、底架、套架片，2#车间辊压机</w:t>
            </w:r>
            <w:r>
              <w:rPr>
                <w:rFonts w:hint="eastAsia" w:ascii="Times New Roman" w:hAnsi="Times New Roman" w:eastAsia="宋体" w:cs="Times New Roman"/>
                <w:color w:val="FF0000"/>
                <w:kern w:val="0"/>
                <w:sz w:val="24"/>
                <w:szCs w:val="24"/>
                <w:u w:val="single" w:color="auto"/>
                <w:lang w:val="en-US" w:eastAsia="zh-CN" w:bidi="ar"/>
              </w:rPr>
              <w:t>，3#车间</w:t>
            </w:r>
            <w:r>
              <w:rPr>
                <w:rFonts w:hint="default" w:ascii="Times New Roman" w:hAnsi="Times New Roman" w:eastAsia="宋体" w:cs="Times New Roman"/>
                <w:color w:val="FF0000"/>
                <w:kern w:val="0"/>
                <w:sz w:val="24"/>
                <w:szCs w:val="24"/>
                <w:u w:val="single" w:color="auto"/>
                <w:lang w:val="en-US" w:eastAsia="zh-CN" w:bidi="ar"/>
              </w:rPr>
              <w:t>钢架结构、</w:t>
            </w:r>
            <w:r>
              <w:rPr>
                <w:rFonts w:hint="eastAsia" w:ascii="Times New Roman" w:hAnsi="Times New Roman" w:eastAsia="宋体" w:cs="Times New Roman"/>
                <w:color w:val="FF0000"/>
                <w:kern w:val="0"/>
                <w:sz w:val="24"/>
                <w:szCs w:val="24"/>
                <w:u w:val="single" w:color="auto"/>
                <w:lang w:val="en-US" w:eastAsia="zh-CN" w:bidi="ar"/>
              </w:rPr>
              <w:t>4#车间</w:t>
            </w:r>
            <w:r>
              <w:rPr>
                <w:rFonts w:hint="default" w:ascii="Times New Roman" w:hAnsi="Times New Roman" w:eastAsia="宋体" w:cs="Times New Roman"/>
                <w:color w:val="FF0000"/>
                <w:kern w:val="0"/>
                <w:sz w:val="24"/>
                <w:szCs w:val="24"/>
                <w:u w:val="single" w:color="auto"/>
                <w:lang w:val="en-US" w:eastAsia="zh-CN" w:bidi="ar"/>
              </w:rPr>
              <w:t>塔吊平台</w:t>
            </w:r>
            <w:r>
              <w:rPr>
                <w:rFonts w:hint="eastAsia" w:ascii="Times New Roman" w:hAnsi="Times New Roman" w:eastAsia="宋体" w:cs="Times New Roman"/>
                <w:color w:val="FF0000"/>
                <w:kern w:val="0"/>
                <w:sz w:val="24"/>
                <w:szCs w:val="24"/>
                <w:u w:val="single" w:color="auto"/>
                <w:lang w:val="en-US" w:eastAsia="zh-CN" w:bidi="ar"/>
              </w:rPr>
              <w:t>，基本满足《湖南湘阴高新区近期规划（2020-2025）》的要求，故本项目选址基本合理。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1683" w:type="dxa"/>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kern w:val="0"/>
                <w:sz w:val="24"/>
                <w:szCs w:val="24"/>
              </w:rPr>
              <w:t>其他符合性分析</w:t>
            </w:r>
          </w:p>
        </w:tc>
        <w:tc>
          <w:tcPr>
            <w:tcW w:w="7187" w:type="dxa"/>
            <w:gridSpan w:val="3"/>
            <w:noWrap w:val="0"/>
            <w:vAlign w:val="center"/>
          </w:tcPr>
          <w:p>
            <w:pPr>
              <w:tabs>
                <w:tab w:val="left" w:pos="8918"/>
              </w:tabs>
              <w:spacing w:line="360" w:lineRule="auto"/>
              <w:rPr>
                <w:rFonts w:hint="default" w:ascii="Times New Roman" w:hAnsi="Times New Roman" w:eastAsia="宋体" w:cs="Times New Roman"/>
                <w:color w:val="FF0000"/>
                <w:sz w:val="24"/>
                <w:szCs w:val="24"/>
                <w:u w:val="single"/>
                <w:lang w:val="en-US" w:eastAsia="zh-CN"/>
              </w:rPr>
            </w:pPr>
            <w:r>
              <w:rPr>
                <w:rFonts w:hint="eastAsia" w:ascii="Times New Roman" w:hAnsi="Times New Roman" w:eastAsia="宋体" w:cs="Times New Roman"/>
                <w:color w:val="FF0000"/>
                <w:sz w:val="24"/>
                <w:szCs w:val="24"/>
                <w:u w:val="single"/>
                <w:lang w:val="en-US" w:eastAsia="zh-CN"/>
              </w:rPr>
              <w:t>1、</w:t>
            </w:r>
            <w:r>
              <w:rPr>
                <w:rFonts w:ascii="Times New Roman" w:hAnsi="Times New Roman" w:eastAsia="宋体" w:cs="Times New Roman"/>
                <w:color w:val="FF0000"/>
                <w:sz w:val="24"/>
                <w:szCs w:val="24"/>
                <w:u w:val="single"/>
              </w:rPr>
              <w:t>产业政策</w:t>
            </w:r>
            <w:r>
              <w:rPr>
                <w:rFonts w:hint="default" w:ascii="Times New Roman" w:hAnsi="Times New Roman" w:eastAsia="宋体" w:cs="Times New Roman"/>
                <w:color w:val="FF0000"/>
                <w:sz w:val="24"/>
                <w:szCs w:val="24"/>
                <w:u w:val="single"/>
                <w:lang w:val="en-US" w:eastAsia="zh-CN"/>
              </w:rPr>
              <w:t>符合性分析</w:t>
            </w:r>
          </w:p>
          <w:p>
            <w:pPr>
              <w:tabs>
                <w:tab w:val="left" w:pos="8918"/>
              </w:tabs>
              <w:spacing w:line="360" w:lineRule="auto"/>
              <w:ind w:firstLine="480" w:firstLineChars="200"/>
              <w:rPr>
                <w:rFonts w:hint="default" w:ascii="Times New Roman" w:hAnsi="Times New Roman" w:eastAsia="宋体" w:cs="Times New Roman"/>
                <w:color w:val="FF0000"/>
                <w:sz w:val="24"/>
                <w:szCs w:val="24"/>
                <w:u w:val="single"/>
                <w:lang w:eastAsia="zh-CN"/>
              </w:rPr>
            </w:pPr>
            <w:r>
              <w:rPr>
                <w:rFonts w:hint="default" w:ascii="Times New Roman" w:hAnsi="Times New Roman" w:eastAsia="宋体" w:cs="Times New Roman"/>
                <w:color w:val="FF0000"/>
                <w:sz w:val="24"/>
                <w:szCs w:val="24"/>
                <w:u w:val="single"/>
              </w:rPr>
              <w:t>根据</w:t>
            </w:r>
            <w:r>
              <w:rPr>
                <w:rFonts w:hint="default" w:ascii="Times New Roman" w:hAnsi="Times New Roman" w:eastAsia="宋体" w:cs="Times New Roman"/>
                <w:color w:val="FF0000"/>
                <w:sz w:val="24"/>
                <w:szCs w:val="24"/>
                <w:u w:val="single"/>
                <w:lang w:eastAsia="zh-CN"/>
              </w:rPr>
              <w:t>国家发改委颁布的</w:t>
            </w:r>
            <w:r>
              <w:rPr>
                <w:rFonts w:hint="default" w:ascii="Times New Roman" w:hAnsi="Times New Roman" w:eastAsia="宋体" w:cs="Times New Roman"/>
                <w:color w:val="FF0000"/>
                <w:sz w:val="24"/>
                <w:szCs w:val="24"/>
                <w:u w:val="single"/>
              </w:rPr>
              <w:t>《产业结构调整指导目录》（201</w:t>
            </w:r>
            <w:r>
              <w:rPr>
                <w:rFonts w:hint="default" w:ascii="Times New Roman" w:hAnsi="Times New Roman" w:eastAsia="宋体" w:cs="Times New Roman"/>
                <w:color w:val="FF0000"/>
                <w:sz w:val="24"/>
                <w:szCs w:val="24"/>
                <w:u w:val="single"/>
                <w:lang w:val="en-US" w:eastAsia="zh-CN"/>
              </w:rPr>
              <w:t>9</w:t>
            </w:r>
            <w:r>
              <w:rPr>
                <w:rFonts w:hint="default" w:ascii="Times New Roman" w:hAnsi="Times New Roman" w:eastAsia="宋体" w:cs="Times New Roman"/>
                <w:color w:val="FF0000"/>
                <w:sz w:val="24"/>
                <w:szCs w:val="24"/>
                <w:u w:val="single"/>
              </w:rPr>
              <w:t>年）</w:t>
            </w:r>
            <w:r>
              <w:rPr>
                <w:rFonts w:hint="default" w:ascii="Times New Roman" w:hAnsi="Times New Roman" w:eastAsia="宋体" w:cs="Times New Roman"/>
                <w:color w:val="FF0000"/>
                <w:sz w:val="24"/>
                <w:szCs w:val="24"/>
                <w:u w:val="single"/>
                <w:lang w:eastAsia="zh-CN"/>
              </w:rPr>
              <w:t>，</w:t>
            </w:r>
            <w:r>
              <w:rPr>
                <w:rFonts w:hint="default" w:ascii="Times New Roman" w:hAnsi="Times New Roman" w:eastAsia="宋体" w:cs="Times New Roman"/>
                <w:color w:val="FF0000"/>
                <w:sz w:val="24"/>
                <w:szCs w:val="24"/>
                <w:u w:val="single"/>
                <w:lang w:val="en-US" w:eastAsia="zh-CN"/>
              </w:rPr>
              <w:t>查阅</w:t>
            </w:r>
            <w:r>
              <w:rPr>
                <w:rFonts w:hint="default" w:ascii="Times New Roman" w:hAnsi="Times New Roman" w:eastAsia="宋体" w:cs="Times New Roman"/>
                <w:color w:val="FF0000"/>
                <w:sz w:val="24"/>
                <w:szCs w:val="24"/>
                <w:u w:val="single"/>
                <w:lang w:eastAsia="zh-CN"/>
              </w:rPr>
              <w:t>规定的限制类和淘汰类范围内</w:t>
            </w:r>
            <w:r>
              <w:rPr>
                <w:rFonts w:hint="default" w:ascii="Times New Roman" w:hAnsi="Times New Roman" w:eastAsia="宋体" w:cs="Times New Roman"/>
                <w:color w:val="FF0000"/>
                <w:sz w:val="24"/>
                <w:szCs w:val="24"/>
                <w:u w:val="single"/>
                <w:lang w:val="en-US" w:eastAsia="zh-CN"/>
              </w:rPr>
              <w:t>不含本项目</w:t>
            </w:r>
            <w:r>
              <w:rPr>
                <w:rFonts w:hint="default" w:ascii="Times New Roman" w:hAnsi="Times New Roman" w:eastAsia="宋体" w:cs="Times New Roman"/>
                <w:color w:val="FF0000"/>
                <w:sz w:val="24"/>
                <w:szCs w:val="24"/>
                <w:u w:val="single"/>
                <w:lang w:eastAsia="zh-CN"/>
              </w:rPr>
              <w:t>，</w:t>
            </w:r>
            <w:r>
              <w:rPr>
                <w:rFonts w:hint="default" w:ascii="Times New Roman" w:hAnsi="Times New Roman" w:eastAsia="宋体" w:cs="Times New Roman"/>
                <w:color w:val="FF0000"/>
                <w:sz w:val="24"/>
                <w:szCs w:val="24"/>
                <w:u w:val="single"/>
                <w:lang w:val="en-US" w:eastAsia="zh-CN"/>
              </w:rPr>
              <w:t>故本项目</w:t>
            </w:r>
            <w:r>
              <w:rPr>
                <w:rFonts w:hint="default" w:ascii="Times New Roman" w:hAnsi="Times New Roman" w:eastAsia="宋体" w:cs="Times New Roman"/>
                <w:color w:val="FF0000"/>
                <w:sz w:val="24"/>
                <w:szCs w:val="24"/>
                <w:u w:val="single"/>
                <w:lang w:eastAsia="zh-CN"/>
              </w:rPr>
              <w:t>属于允许类建设项目。</w:t>
            </w:r>
          </w:p>
          <w:p>
            <w:pPr>
              <w:bidi w:val="0"/>
              <w:spacing w:line="360" w:lineRule="auto"/>
              <w:rPr>
                <w:rFonts w:hint="eastAsia"/>
                <w:color w:val="FF0000"/>
                <w:sz w:val="24"/>
                <w:szCs w:val="24"/>
                <w:u w:val="single"/>
                <w:lang w:val="en-US" w:eastAsia="zh-CN"/>
              </w:rPr>
            </w:pPr>
            <w:r>
              <w:rPr>
                <w:rFonts w:hint="eastAsia" w:ascii="Times New Roman" w:hAnsi="Times New Roman" w:eastAsia="宋体" w:cs="Times New Roman"/>
                <w:color w:val="FF0000"/>
                <w:sz w:val="24"/>
                <w:szCs w:val="24"/>
                <w:u w:val="single"/>
                <w:lang w:val="en-US" w:eastAsia="zh-CN"/>
              </w:rPr>
              <w:t>2、</w:t>
            </w:r>
            <w:r>
              <w:rPr>
                <w:rFonts w:hint="eastAsia"/>
                <w:color w:val="FF0000"/>
                <w:sz w:val="24"/>
                <w:szCs w:val="24"/>
                <w:u w:val="single"/>
                <w:lang w:val="en-US" w:eastAsia="zh-CN"/>
              </w:rPr>
              <w:t>与《湖南省重点行业挥发性有机物污染控制指南（征求意见稿）》相符性分析</w:t>
            </w:r>
          </w:p>
          <w:p>
            <w:pPr>
              <w:numPr>
                <w:ilvl w:val="0"/>
                <w:numId w:val="0"/>
              </w:numPr>
              <w:bidi w:val="0"/>
              <w:spacing w:line="360" w:lineRule="auto"/>
              <w:jc w:val="center"/>
              <w:rPr>
                <w:rFonts w:hint="default" w:ascii="宋体" w:hAnsi="宋体" w:cs="宋体"/>
                <w:color w:val="FF0000"/>
                <w:kern w:val="0"/>
                <w:sz w:val="21"/>
                <w:szCs w:val="21"/>
                <w:u w:val="single"/>
                <w:vertAlign w:val="baseline"/>
                <w:lang w:val="en-US"/>
              </w:rPr>
            </w:pPr>
            <w:r>
              <w:rPr>
                <w:rFonts w:hint="eastAsia"/>
                <w:b/>
                <w:bCs/>
                <w:color w:val="FF0000"/>
                <w:sz w:val="24"/>
                <w:szCs w:val="24"/>
                <w:u w:val="single"/>
                <w:lang w:val="en-US" w:eastAsia="zh-CN"/>
              </w:rPr>
              <w:t>表1-1 与《湖南省重点行业挥发性有机物污染控制指南》相符性分析</w:t>
            </w:r>
          </w:p>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715"/>
              <w:gridCol w:w="2687"/>
              <w:gridCol w:w="7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42" w:type="pct"/>
                  <w:tcBorders>
                    <w:tl2br w:val="nil"/>
                    <w:tr2bl w:val="nil"/>
                  </w:tcBorders>
                  <w:vAlign w:val="center"/>
                </w:tcPr>
                <w:p>
                  <w:pPr>
                    <w:numPr>
                      <w:ilvl w:val="0"/>
                      <w:numId w:val="0"/>
                    </w:numPr>
                    <w:bidi w:val="0"/>
                    <w:spacing w:line="240" w:lineRule="auto"/>
                    <w:jc w:val="center"/>
                    <w:rPr>
                      <w:rFonts w:hint="eastAsia" w:ascii="宋体" w:hAnsi="宋体" w:eastAsia="宋体" w:cs="宋体"/>
                      <w:color w:val="FF0000"/>
                      <w:kern w:val="0"/>
                      <w:sz w:val="21"/>
                      <w:szCs w:val="21"/>
                      <w:u w:val="single"/>
                      <w:vertAlign w:val="baseline"/>
                      <w:lang w:val="en-US" w:eastAsia="zh-CN"/>
                    </w:rPr>
                  </w:pPr>
                  <w:r>
                    <w:rPr>
                      <w:rFonts w:hint="eastAsia" w:ascii="宋体" w:hAnsi="宋体" w:cs="宋体"/>
                      <w:color w:val="FF0000"/>
                      <w:kern w:val="0"/>
                      <w:sz w:val="21"/>
                      <w:szCs w:val="21"/>
                      <w:u w:val="single"/>
                      <w:vertAlign w:val="baseline"/>
                      <w:lang w:val="en-US" w:eastAsia="zh-CN"/>
                    </w:rPr>
                    <w:t>序号</w:t>
                  </w:r>
                </w:p>
              </w:tc>
              <w:tc>
                <w:tcPr>
                  <w:tcW w:w="1956" w:type="pct"/>
                  <w:tcBorders>
                    <w:tl2br w:val="nil"/>
                    <w:tr2bl w:val="nil"/>
                  </w:tcBorders>
                  <w:vAlign w:val="center"/>
                </w:tcPr>
                <w:p>
                  <w:pPr>
                    <w:numPr>
                      <w:ilvl w:val="0"/>
                      <w:numId w:val="0"/>
                    </w:numPr>
                    <w:bidi w:val="0"/>
                    <w:spacing w:line="240" w:lineRule="auto"/>
                    <w:jc w:val="center"/>
                    <w:rPr>
                      <w:rFonts w:hint="default" w:ascii="宋体" w:hAnsi="宋体" w:eastAsia="宋体" w:cs="宋体"/>
                      <w:color w:val="FF0000"/>
                      <w:kern w:val="0"/>
                      <w:sz w:val="21"/>
                      <w:szCs w:val="21"/>
                      <w:u w:val="single"/>
                      <w:vertAlign w:val="baseline"/>
                      <w:lang w:val="en-US" w:eastAsia="zh-CN"/>
                    </w:rPr>
                  </w:pPr>
                  <w:r>
                    <w:rPr>
                      <w:rFonts w:hint="eastAsia" w:ascii="宋体" w:hAnsi="宋体" w:cs="宋体"/>
                      <w:color w:val="FF0000"/>
                      <w:kern w:val="0"/>
                      <w:sz w:val="21"/>
                      <w:szCs w:val="21"/>
                      <w:u w:val="single"/>
                      <w:vertAlign w:val="baseline"/>
                      <w:lang w:val="en-US" w:eastAsia="zh-CN"/>
                    </w:rPr>
                    <w:t>控制指南要求</w:t>
                  </w:r>
                </w:p>
              </w:tc>
              <w:tc>
                <w:tcPr>
                  <w:tcW w:w="1936" w:type="pct"/>
                  <w:tcBorders>
                    <w:tl2br w:val="nil"/>
                    <w:tr2bl w:val="nil"/>
                  </w:tcBorders>
                  <w:vAlign w:val="center"/>
                </w:tcPr>
                <w:p>
                  <w:pPr>
                    <w:numPr>
                      <w:ilvl w:val="0"/>
                      <w:numId w:val="0"/>
                    </w:numPr>
                    <w:bidi w:val="0"/>
                    <w:spacing w:line="240" w:lineRule="auto"/>
                    <w:jc w:val="center"/>
                    <w:rPr>
                      <w:rFonts w:hint="default" w:ascii="宋体" w:hAnsi="宋体" w:eastAsia="宋体" w:cs="宋体"/>
                      <w:color w:val="FF0000"/>
                      <w:kern w:val="0"/>
                      <w:sz w:val="21"/>
                      <w:szCs w:val="21"/>
                      <w:u w:val="single"/>
                      <w:vertAlign w:val="baseline"/>
                      <w:lang w:val="en-US" w:eastAsia="zh-CN"/>
                    </w:rPr>
                  </w:pPr>
                  <w:r>
                    <w:rPr>
                      <w:rFonts w:hint="eastAsia" w:ascii="宋体" w:hAnsi="宋体" w:cs="宋体"/>
                      <w:color w:val="FF0000"/>
                      <w:kern w:val="0"/>
                      <w:sz w:val="21"/>
                      <w:szCs w:val="21"/>
                      <w:u w:val="single"/>
                      <w:vertAlign w:val="baseline"/>
                      <w:lang w:val="en-US" w:eastAsia="zh-CN"/>
                    </w:rPr>
                    <w:t>本项目情况</w:t>
                  </w:r>
                </w:p>
              </w:tc>
              <w:tc>
                <w:tcPr>
                  <w:tcW w:w="564" w:type="pct"/>
                  <w:tcBorders>
                    <w:tl2br w:val="nil"/>
                    <w:tr2bl w:val="nil"/>
                  </w:tcBorders>
                  <w:vAlign w:val="center"/>
                </w:tcPr>
                <w:p>
                  <w:pPr>
                    <w:numPr>
                      <w:ilvl w:val="0"/>
                      <w:numId w:val="0"/>
                    </w:numPr>
                    <w:bidi w:val="0"/>
                    <w:spacing w:line="240" w:lineRule="auto"/>
                    <w:jc w:val="center"/>
                    <w:rPr>
                      <w:rFonts w:hint="eastAsia" w:ascii="宋体" w:hAnsi="宋体" w:eastAsia="宋体" w:cs="宋体"/>
                      <w:color w:val="FF0000"/>
                      <w:kern w:val="0"/>
                      <w:sz w:val="21"/>
                      <w:szCs w:val="21"/>
                      <w:u w:val="single"/>
                      <w:vertAlign w:val="baseline"/>
                      <w:lang w:val="en-US" w:eastAsia="zh-CN"/>
                    </w:rPr>
                  </w:pPr>
                  <w:r>
                    <w:rPr>
                      <w:rFonts w:hint="eastAsia" w:ascii="宋体" w:hAnsi="宋体" w:cs="宋体"/>
                      <w:color w:val="FF0000"/>
                      <w:kern w:val="0"/>
                      <w:sz w:val="21"/>
                      <w:szCs w:val="21"/>
                      <w:u w:val="single"/>
                      <w:vertAlign w:val="baseline"/>
                      <w:lang w:val="en-US" w:eastAsia="zh-CN"/>
                    </w:rPr>
                    <w:t>是否符合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42" w:type="pct"/>
                  <w:tcBorders>
                    <w:tl2br w:val="nil"/>
                    <w:tr2bl w:val="nil"/>
                  </w:tcBorders>
                  <w:vAlign w:val="center"/>
                </w:tcPr>
                <w:p>
                  <w:pPr>
                    <w:numPr>
                      <w:ilvl w:val="0"/>
                      <w:numId w:val="0"/>
                    </w:numPr>
                    <w:bidi w:val="0"/>
                    <w:spacing w:line="240" w:lineRule="auto"/>
                    <w:jc w:val="center"/>
                    <w:rPr>
                      <w:rFonts w:hint="eastAsia" w:ascii="宋体" w:hAnsi="宋体" w:eastAsia="宋体" w:cs="宋体"/>
                      <w:color w:val="FF0000"/>
                      <w:kern w:val="0"/>
                      <w:sz w:val="21"/>
                      <w:szCs w:val="21"/>
                      <w:u w:val="single"/>
                      <w:vertAlign w:val="baseline"/>
                      <w:lang w:val="en-US" w:eastAsia="zh-CN"/>
                    </w:rPr>
                  </w:pPr>
                  <w:r>
                    <w:rPr>
                      <w:rFonts w:hint="eastAsia" w:ascii="宋体" w:hAnsi="宋体" w:cs="宋体"/>
                      <w:color w:val="FF0000"/>
                      <w:kern w:val="0"/>
                      <w:sz w:val="21"/>
                      <w:szCs w:val="21"/>
                      <w:u w:val="single"/>
                      <w:vertAlign w:val="baseline"/>
                      <w:lang w:val="en-US" w:eastAsia="zh-CN"/>
                    </w:rPr>
                    <w:t>1</w:t>
                  </w:r>
                </w:p>
              </w:tc>
              <w:tc>
                <w:tcPr>
                  <w:tcW w:w="1956" w:type="pct"/>
                  <w:tcBorders>
                    <w:tl2br w:val="nil"/>
                    <w:tr2bl w:val="nil"/>
                  </w:tcBorders>
                  <w:vAlign w:val="center"/>
                </w:tcPr>
                <w:p>
                  <w:pPr>
                    <w:adjustRightInd w:val="0"/>
                    <w:snapToGrid w:val="0"/>
                    <w:jc w:val="center"/>
                    <w:rPr>
                      <w:rFonts w:hint="default" w:ascii="宋体" w:hAnsi="宋体" w:cs="宋体"/>
                      <w:color w:val="FF0000"/>
                      <w:kern w:val="0"/>
                      <w:sz w:val="21"/>
                      <w:szCs w:val="21"/>
                      <w:u w:val="single"/>
                      <w:vertAlign w:val="baseline"/>
                      <w:lang w:val="en-US"/>
                    </w:rPr>
                  </w:pPr>
                  <w:r>
                    <w:rPr>
                      <w:bCs/>
                      <w:color w:val="FF0000"/>
                      <w:sz w:val="21"/>
                      <w:szCs w:val="21"/>
                      <w:u w:val="single"/>
                    </w:rPr>
                    <w:t>所有产生有机废气污染的企业，应优先采用低（无）VOCs含量的原辅材料，使用与之相配套的生产工艺和装备，从源头控制VOCs的产生；对产生VOCs的生产单元或工艺装置进行密闭，无法密闭的应设立局部气体收集系统，废气收集系统应保持负压状态，减少VOCs 的无组织逸散；减少废气排放口数量，合并同类废气的排放口</w:t>
                  </w:r>
                </w:p>
              </w:tc>
              <w:tc>
                <w:tcPr>
                  <w:tcW w:w="1936" w:type="pct"/>
                  <w:tcBorders>
                    <w:tl2br w:val="nil"/>
                    <w:tr2bl w:val="nil"/>
                  </w:tcBorders>
                  <w:vAlign w:val="center"/>
                </w:tcPr>
                <w:p>
                  <w:pPr>
                    <w:adjustRightInd w:val="0"/>
                    <w:snapToGrid w:val="0"/>
                    <w:jc w:val="center"/>
                    <w:rPr>
                      <w:rFonts w:hint="default" w:ascii="宋体" w:hAnsi="宋体" w:cs="宋体"/>
                      <w:color w:val="FF0000"/>
                      <w:kern w:val="0"/>
                      <w:sz w:val="21"/>
                      <w:szCs w:val="21"/>
                      <w:u w:val="single"/>
                      <w:vertAlign w:val="baseline"/>
                      <w:lang w:val="en-US"/>
                    </w:rPr>
                  </w:pPr>
                  <w:r>
                    <w:rPr>
                      <w:bCs/>
                      <w:color w:val="FF0000"/>
                      <w:sz w:val="21"/>
                      <w:szCs w:val="21"/>
                      <w:u w:val="single"/>
                    </w:rPr>
                    <w:t>项目采用低VOCs含量的原辅材料，使用了与之相配套的生产工艺和装备，从源头控制VOCs的产生；</w:t>
                  </w:r>
                  <w:r>
                    <w:rPr>
                      <w:rFonts w:hint="eastAsia"/>
                      <w:color w:val="FF0000"/>
                      <w:sz w:val="21"/>
                      <w:szCs w:val="21"/>
                      <w:u w:val="single"/>
                      <w:lang w:val="en-US" w:eastAsia="zh-CN"/>
                    </w:rPr>
                    <w:t>整改完成后</w:t>
                  </w:r>
                  <w:r>
                    <w:rPr>
                      <w:color w:val="FF0000"/>
                      <w:sz w:val="21"/>
                      <w:szCs w:val="21"/>
                      <w:u w:val="single"/>
                    </w:rPr>
                    <w:t>喷漆房和晾干房均为密闭区域</w:t>
                  </w:r>
                  <w:r>
                    <w:rPr>
                      <w:bCs/>
                      <w:color w:val="FF0000"/>
                      <w:sz w:val="21"/>
                      <w:szCs w:val="21"/>
                      <w:u w:val="single"/>
                    </w:rPr>
                    <w:t>，对VOCs废气进行收集，采用</w:t>
                  </w:r>
                  <w:r>
                    <w:rPr>
                      <w:rFonts w:hint="eastAsia"/>
                      <w:bCs/>
                      <w:color w:val="FF0000"/>
                      <w:sz w:val="21"/>
                      <w:szCs w:val="21"/>
                      <w:u w:val="single"/>
                      <w:lang w:eastAsia="zh-CN"/>
                    </w:rPr>
                    <w:t>“</w:t>
                  </w:r>
                  <w:r>
                    <w:rPr>
                      <w:rFonts w:hint="eastAsia"/>
                      <w:color w:val="FF0000"/>
                      <w:sz w:val="21"/>
                      <w:szCs w:val="21"/>
                      <w:u w:val="single"/>
                      <w:lang w:val="en-US" w:eastAsia="zh-CN"/>
                    </w:rPr>
                    <w:t>过滤棉+活性炭光氧一体机</w:t>
                  </w:r>
                  <w:r>
                    <w:rPr>
                      <w:rFonts w:hint="eastAsia"/>
                      <w:bCs/>
                      <w:color w:val="FF0000"/>
                      <w:sz w:val="21"/>
                      <w:szCs w:val="21"/>
                      <w:u w:val="single"/>
                      <w:lang w:eastAsia="zh-CN"/>
                    </w:rPr>
                    <w:t>”</w:t>
                  </w:r>
                  <w:r>
                    <w:rPr>
                      <w:bCs/>
                      <w:color w:val="FF0000"/>
                      <w:sz w:val="21"/>
                      <w:szCs w:val="21"/>
                      <w:u w:val="single"/>
                    </w:rPr>
                    <w:t>吸附装置处理，废气可以达标排放</w:t>
                  </w:r>
                </w:p>
              </w:tc>
              <w:tc>
                <w:tcPr>
                  <w:tcW w:w="564" w:type="pct"/>
                  <w:tcBorders>
                    <w:tl2br w:val="nil"/>
                    <w:tr2bl w:val="nil"/>
                  </w:tcBorders>
                  <w:vAlign w:val="center"/>
                </w:tcPr>
                <w:p>
                  <w:pPr>
                    <w:numPr>
                      <w:ilvl w:val="0"/>
                      <w:numId w:val="0"/>
                    </w:numPr>
                    <w:bidi w:val="0"/>
                    <w:spacing w:line="240" w:lineRule="auto"/>
                    <w:jc w:val="center"/>
                    <w:rPr>
                      <w:rFonts w:hint="eastAsia" w:ascii="宋体" w:hAnsi="宋体" w:eastAsia="宋体" w:cs="宋体"/>
                      <w:color w:val="FF0000"/>
                      <w:kern w:val="0"/>
                      <w:sz w:val="21"/>
                      <w:szCs w:val="21"/>
                      <w:u w:val="single"/>
                      <w:vertAlign w:val="baseline"/>
                      <w:lang w:val="en-US" w:eastAsia="zh-CN"/>
                    </w:rPr>
                  </w:pPr>
                  <w:r>
                    <w:rPr>
                      <w:rFonts w:hint="eastAsia" w:ascii="宋体" w:hAnsi="宋体" w:cs="宋体"/>
                      <w:color w:val="FF0000"/>
                      <w:kern w:val="0"/>
                      <w:sz w:val="21"/>
                      <w:szCs w:val="21"/>
                      <w:u w:val="singl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42" w:type="pct"/>
                  <w:tcBorders>
                    <w:tl2br w:val="nil"/>
                    <w:tr2bl w:val="nil"/>
                  </w:tcBorders>
                  <w:vAlign w:val="center"/>
                </w:tcPr>
                <w:p>
                  <w:pPr>
                    <w:numPr>
                      <w:ilvl w:val="0"/>
                      <w:numId w:val="0"/>
                    </w:numPr>
                    <w:bidi w:val="0"/>
                    <w:spacing w:line="240" w:lineRule="auto"/>
                    <w:jc w:val="center"/>
                    <w:rPr>
                      <w:rFonts w:hint="eastAsia" w:ascii="宋体" w:hAnsi="宋体" w:eastAsia="宋体" w:cs="宋体"/>
                      <w:color w:val="FF0000"/>
                      <w:kern w:val="0"/>
                      <w:sz w:val="21"/>
                      <w:szCs w:val="21"/>
                      <w:u w:val="single"/>
                      <w:vertAlign w:val="baseline"/>
                      <w:lang w:val="en-US" w:eastAsia="zh-CN"/>
                    </w:rPr>
                  </w:pPr>
                  <w:r>
                    <w:rPr>
                      <w:rFonts w:hint="eastAsia" w:ascii="宋体" w:hAnsi="宋体" w:cs="宋体"/>
                      <w:color w:val="FF0000"/>
                      <w:kern w:val="0"/>
                      <w:sz w:val="21"/>
                      <w:szCs w:val="21"/>
                      <w:u w:val="single"/>
                      <w:vertAlign w:val="baseline"/>
                      <w:lang w:val="en-US" w:eastAsia="zh-CN"/>
                    </w:rPr>
                    <w:t>2</w:t>
                  </w:r>
                </w:p>
              </w:tc>
              <w:tc>
                <w:tcPr>
                  <w:tcW w:w="1956" w:type="pct"/>
                  <w:tcBorders>
                    <w:tl2br w:val="nil"/>
                    <w:tr2bl w:val="nil"/>
                  </w:tcBorders>
                  <w:vAlign w:val="center"/>
                </w:tcPr>
                <w:p>
                  <w:pPr>
                    <w:adjustRightInd w:val="0"/>
                    <w:snapToGrid w:val="0"/>
                    <w:jc w:val="center"/>
                    <w:rPr>
                      <w:rFonts w:hint="default" w:ascii="宋体" w:hAnsi="宋体" w:cs="宋体"/>
                      <w:color w:val="FF0000"/>
                      <w:kern w:val="0"/>
                      <w:sz w:val="21"/>
                      <w:szCs w:val="21"/>
                      <w:u w:val="single"/>
                      <w:vertAlign w:val="baseline"/>
                      <w:lang w:val="en-US"/>
                    </w:rPr>
                  </w:pPr>
                  <w:r>
                    <w:rPr>
                      <w:bCs/>
                      <w:color w:val="FF0000"/>
                      <w:sz w:val="21"/>
                      <w:szCs w:val="21"/>
                      <w:u w:val="single"/>
                    </w:rPr>
                    <w:t>VOCs总削减率需满足管理要求，其中有机化工、医药化工、橡胶和塑料制品（有溶剂浸胶工艺）、溶剂型涂料表面涂装、包装印刷的净化处理率原则上不得低于90%，其他行业原则上不低于75%</w:t>
                  </w:r>
                </w:p>
              </w:tc>
              <w:tc>
                <w:tcPr>
                  <w:tcW w:w="1936" w:type="pct"/>
                  <w:tcBorders>
                    <w:tl2br w:val="nil"/>
                    <w:tr2bl w:val="nil"/>
                  </w:tcBorders>
                  <w:vAlign w:val="center"/>
                </w:tcPr>
                <w:p>
                  <w:pPr>
                    <w:adjustRightInd w:val="0"/>
                    <w:snapToGrid w:val="0"/>
                    <w:jc w:val="center"/>
                    <w:rPr>
                      <w:rFonts w:hint="default" w:ascii="宋体" w:hAnsi="宋体" w:cs="宋体"/>
                      <w:color w:val="FF0000"/>
                      <w:kern w:val="0"/>
                      <w:sz w:val="21"/>
                      <w:szCs w:val="21"/>
                      <w:u w:val="single"/>
                      <w:vertAlign w:val="baseline"/>
                      <w:lang w:val="en-US"/>
                    </w:rPr>
                  </w:pPr>
                  <w:r>
                    <w:rPr>
                      <w:bCs/>
                      <w:color w:val="FF0000"/>
                      <w:sz w:val="21"/>
                      <w:szCs w:val="21"/>
                      <w:u w:val="single"/>
                    </w:rPr>
                    <w:t>本项目属于</w:t>
                  </w:r>
                  <w:r>
                    <w:rPr>
                      <w:rFonts w:hint="eastAsia"/>
                      <w:bCs/>
                      <w:color w:val="FF0000"/>
                      <w:sz w:val="21"/>
                      <w:szCs w:val="21"/>
                      <w:u w:val="single"/>
                      <w:lang w:val="en-US" w:eastAsia="zh-CN"/>
                    </w:rPr>
                    <w:t>结构性金属制品</w:t>
                  </w:r>
                  <w:r>
                    <w:rPr>
                      <w:bCs/>
                      <w:color w:val="FF0000"/>
                      <w:sz w:val="21"/>
                      <w:szCs w:val="21"/>
                      <w:u w:val="single"/>
                    </w:rPr>
                    <w:t>制造项目，VOCs总削减率&gt;75%</w:t>
                  </w:r>
                </w:p>
              </w:tc>
              <w:tc>
                <w:tcPr>
                  <w:tcW w:w="564" w:type="pct"/>
                  <w:tcBorders>
                    <w:tl2br w:val="nil"/>
                    <w:tr2bl w:val="nil"/>
                  </w:tcBorders>
                  <w:vAlign w:val="center"/>
                </w:tcPr>
                <w:p>
                  <w:pPr>
                    <w:numPr>
                      <w:ilvl w:val="0"/>
                      <w:numId w:val="0"/>
                    </w:numPr>
                    <w:bidi w:val="0"/>
                    <w:spacing w:line="240" w:lineRule="auto"/>
                    <w:jc w:val="center"/>
                    <w:rPr>
                      <w:rFonts w:hint="eastAsia" w:ascii="宋体" w:hAnsi="宋体" w:eastAsia="宋体" w:cs="宋体"/>
                      <w:color w:val="FF0000"/>
                      <w:kern w:val="0"/>
                      <w:sz w:val="21"/>
                      <w:szCs w:val="21"/>
                      <w:u w:val="single"/>
                      <w:vertAlign w:val="baseline"/>
                      <w:lang w:val="en-US" w:eastAsia="zh-CN"/>
                    </w:rPr>
                  </w:pPr>
                  <w:r>
                    <w:rPr>
                      <w:rFonts w:hint="eastAsia" w:ascii="宋体" w:hAnsi="宋体" w:cs="宋体"/>
                      <w:color w:val="FF0000"/>
                      <w:kern w:val="0"/>
                      <w:sz w:val="21"/>
                      <w:szCs w:val="21"/>
                      <w:u w:val="single"/>
                      <w:vertAlign w:val="baseline"/>
                      <w:lang w:val="en-US" w:eastAsia="zh-CN"/>
                    </w:rPr>
                    <w:t>符合</w:t>
                  </w:r>
                </w:p>
              </w:tc>
            </w:tr>
          </w:tbl>
          <w:p>
            <w:pPr>
              <w:bidi w:val="0"/>
              <w:spacing w:line="360" w:lineRule="auto"/>
              <w:ind w:firstLine="480" w:firstLineChars="200"/>
              <w:rPr>
                <w:color w:val="FF0000"/>
                <w:sz w:val="24"/>
                <w:szCs w:val="24"/>
                <w:u w:val="single"/>
              </w:rPr>
            </w:pPr>
            <w:r>
              <w:rPr>
                <w:color w:val="FF0000"/>
                <w:sz w:val="24"/>
                <w:szCs w:val="24"/>
                <w:u w:val="single"/>
              </w:rPr>
              <w:t>由上表可知，本项目建设与《湖南省重点行业挥发性有机物污染控制指南（征求意见稿）》要求相符。</w:t>
            </w:r>
          </w:p>
          <w:p>
            <w:pPr>
              <w:numPr>
                <w:ilvl w:val="0"/>
                <w:numId w:val="0"/>
              </w:numPr>
              <w:bidi w:val="0"/>
              <w:spacing w:line="360" w:lineRule="auto"/>
              <w:rPr>
                <w:rFonts w:hint="eastAsia"/>
                <w:color w:val="FF0000"/>
                <w:sz w:val="24"/>
                <w:szCs w:val="24"/>
                <w:u w:val="single"/>
              </w:rPr>
            </w:pPr>
            <w:r>
              <w:rPr>
                <w:rFonts w:hint="eastAsia" w:cs="Times New Roman"/>
                <w:color w:val="FF0000"/>
                <w:sz w:val="24"/>
                <w:szCs w:val="24"/>
                <w:u w:val="single"/>
                <w:lang w:val="en-US" w:eastAsia="zh-CN"/>
              </w:rPr>
              <w:t>3</w:t>
            </w:r>
            <w:r>
              <w:rPr>
                <w:rFonts w:hint="eastAsia" w:ascii="Times New Roman" w:hAnsi="Times New Roman" w:eastAsia="宋体" w:cs="Times New Roman"/>
                <w:color w:val="FF0000"/>
                <w:sz w:val="24"/>
                <w:szCs w:val="24"/>
                <w:u w:val="single"/>
                <w:lang w:val="en-US" w:eastAsia="zh-CN"/>
              </w:rPr>
              <w:t>、</w:t>
            </w:r>
            <w:r>
              <w:rPr>
                <w:color w:val="FF0000"/>
                <w:sz w:val="24"/>
                <w:szCs w:val="24"/>
                <w:u w:val="single"/>
              </w:rPr>
              <w:t>与《挥发性有机物无组织排放控制标准》（GB37822-2019）的符合性分析</w:t>
            </w:r>
          </w:p>
          <w:p>
            <w:pPr>
              <w:bidi w:val="0"/>
              <w:jc w:val="center"/>
              <w:rPr>
                <w:b/>
                <w:bCs/>
                <w:color w:val="FF0000"/>
                <w:sz w:val="24"/>
                <w:szCs w:val="24"/>
                <w:u w:val="single"/>
              </w:rPr>
            </w:pPr>
            <w:r>
              <w:rPr>
                <w:b/>
                <w:bCs/>
                <w:color w:val="FF0000"/>
                <w:sz w:val="24"/>
                <w:szCs w:val="24"/>
                <w:u w:val="single"/>
              </w:rPr>
              <w:t>表1-</w:t>
            </w:r>
            <w:r>
              <w:rPr>
                <w:rFonts w:hint="eastAsia"/>
                <w:b/>
                <w:bCs/>
                <w:color w:val="FF0000"/>
                <w:sz w:val="24"/>
                <w:szCs w:val="24"/>
                <w:u w:val="single"/>
                <w:lang w:val="en-US" w:eastAsia="zh-CN"/>
              </w:rPr>
              <w:t>2</w:t>
            </w:r>
            <w:r>
              <w:rPr>
                <w:b/>
                <w:bCs/>
                <w:color w:val="FF0000"/>
                <w:sz w:val="24"/>
                <w:szCs w:val="24"/>
                <w:u w:val="single"/>
              </w:rPr>
              <w:t xml:space="preserve"> 与（GB37822-2019）相符性分析</w:t>
            </w:r>
          </w:p>
          <w:tbl>
            <w:tblPr>
              <w:tblStyle w:val="13"/>
              <w:tblW w:w="4998" w:type="pct"/>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2869"/>
              <w:gridCol w:w="1742"/>
              <w:gridCol w:w="6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91" w:type="pct"/>
                  <w:tcBorders>
                    <w:tl2br w:val="nil"/>
                    <w:tr2bl w:val="nil"/>
                  </w:tcBorders>
                  <w:noWrap w:val="0"/>
                  <w:vAlign w:val="center"/>
                </w:tcPr>
                <w:p>
                  <w:pPr>
                    <w:bidi w:val="0"/>
                    <w:jc w:val="center"/>
                    <w:rPr>
                      <w:color w:val="FF0000"/>
                      <w:sz w:val="21"/>
                      <w:szCs w:val="21"/>
                      <w:u w:val="single"/>
                    </w:rPr>
                  </w:pPr>
                  <w:r>
                    <w:rPr>
                      <w:color w:val="FF0000"/>
                      <w:sz w:val="21"/>
                      <w:szCs w:val="21"/>
                      <w:u w:val="single"/>
                    </w:rPr>
                    <w:t>基本原则</w:t>
                  </w:r>
                </w:p>
              </w:tc>
              <w:tc>
                <w:tcPr>
                  <w:tcW w:w="2067" w:type="pct"/>
                  <w:tcBorders>
                    <w:tl2br w:val="nil"/>
                    <w:tr2bl w:val="nil"/>
                  </w:tcBorders>
                  <w:noWrap w:val="0"/>
                  <w:vAlign w:val="center"/>
                </w:tcPr>
                <w:p>
                  <w:pPr>
                    <w:bidi w:val="0"/>
                    <w:jc w:val="center"/>
                    <w:rPr>
                      <w:color w:val="FF0000"/>
                      <w:sz w:val="21"/>
                      <w:szCs w:val="21"/>
                      <w:u w:val="single"/>
                    </w:rPr>
                  </w:pPr>
                  <w:r>
                    <w:rPr>
                      <w:color w:val="FF0000"/>
                      <w:sz w:val="21"/>
                      <w:szCs w:val="21"/>
                      <w:u w:val="single"/>
                    </w:rPr>
                    <w:t>（GB37822-2019）具体规定</w:t>
                  </w:r>
                </w:p>
              </w:tc>
              <w:tc>
                <w:tcPr>
                  <w:tcW w:w="1255" w:type="pct"/>
                  <w:tcBorders>
                    <w:tl2br w:val="nil"/>
                    <w:tr2bl w:val="nil"/>
                  </w:tcBorders>
                  <w:noWrap w:val="0"/>
                  <w:vAlign w:val="center"/>
                </w:tcPr>
                <w:p>
                  <w:pPr>
                    <w:bidi w:val="0"/>
                    <w:jc w:val="center"/>
                    <w:rPr>
                      <w:color w:val="FF0000"/>
                      <w:sz w:val="21"/>
                      <w:szCs w:val="21"/>
                      <w:u w:val="single"/>
                    </w:rPr>
                  </w:pPr>
                  <w:r>
                    <w:rPr>
                      <w:color w:val="FF0000"/>
                      <w:sz w:val="21"/>
                      <w:szCs w:val="21"/>
                      <w:u w:val="single"/>
                    </w:rPr>
                    <w:t>本项目情况</w:t>
                  </w:r>
                </w:p>
              </w:tc>
              <w:tc>
                <w:tcPr>
                  <w:tcW w:w="485" w:type="pct"/>
                  <w:tcBorders>
                    <w:tl2br w:val="nil"/>
                    <w:tr2bl w:val="nil"/>
                  </w:tcBorders>
                  <w:noWrap w:val="0"/>
                  <w:vAlign w:val="center"/>
                </w:tcPr>
                <w:p>
                  <w:pPr>
                    <w:bidi w:val="0"/>
                    <w:jc w:val="center"/>
                    <w:rPr>
                      <w:color w:val="FF0000"/>
                      <w:sz w:val="21"/>
                      <w:szCs w:val="21"/>
                      <w:u w:val="single"/>
                    </w:rPr>
                  </w:pPr>
                  <w:r>
                    <w:rPr>
                      <w:color w:val="FF0000"/>
                      <w:sz w:val="21"/>
                      <w:szCs w:val="21"/>
                      <w:u w:val="single"/>
                    </w:rPr>
                    <w:t>是否</w:t>
                  </w:r>
                </w:p>
                <w:p>
                  <w:pPr>
                    <w:bidi w:val="0"/>
                    <w:jc w:val="center"/>
                    <w:rPr>
                      <w:color w:val="FF0000"/>
                      <w:sz w:val="21"/>
                      <w:szCs w:val="21"/>
                      <w:u w:val="single"/>
                    </w:rPr>
                  </w:pPr>
                  <w:r>
                    <w:rPr>
                      <w:color w:val="FF0000"/>
                      <w:sz w:val="21"/>
                      <w:szCs w:val="21"/>
                      <w:u w:val="singl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91" w:type="pct"/>
                  <w:tcBorders>
                    <w:tl2br w:val="nil"/>
                    <w:tr2bl w:val="nil"/>
                  </w:tcBorders>
                  <w:noWrap w:val="0"/>
                  <w:vAlign w:val="center"/>
                </w:tcPr>
                <w:p>
                  <w:pPr>
                    <w:bidi w:val="0"/>
                    <w:jc w:val="center"/>
                    <w:rPr>
                      <w:color w:val="FF0000"/>
                      <w:sz w:val="21"/>
                      <w:szCs w:val="21"/>
                      <w:u w:val="single"/>
                    </w:rPr>
                  </w:pPr>
                  <w:r>
                    <w:rPr>
                      <w:color w:val="FF0000"/>
                      <w:sz w:val="21"/>
                      <w:szCs w:val="21"/>
                      <w:u w:val="single"/>
                    </w:rPr>
                    <w:t>VOCs物料储存无组织排放控制要求</w:t>
                  </w:r>
                </w:p>
              </w:tc>
              <w:tc>
                <w:tcPr>
                  <w:tcW w:w="2067" w:type="pct"/>
                  <w:tcBorders>
                    <w:tl2br w:val="nil"/>
                    <w:tr2bl w:val="nil"/>
                  </w:tcBorders>
                  <w:noWrap w:val="0"/>
                  <w:vAlign w:val="center"/>
                </w:tcPr>
                <w:p>
                  <w:pPr>
                    <w:bidi w:val="0"/>
                    <w:jc w:val="center"/>
                    <w:rPr>
                      <w:color w:val="FF0000"/>
                      <w:sz w:val="21"/>
                      <w:szCs w:val="21"/>
                      <w:u w:val="single"/>
                    </w:rPr>
                  </w:pPr>
                  <w:r>
                    <w:rPr>
                      <w:color w:val="FF0000"/>
                      <w:sz w:val="21"/>
                      <w:szCs w:val="21"/>
                      <w:u w:val="single"/>
                    </w:rPr>
                    <w:t>VOCs 物料应储存于密闭的容器、包装袋、储罐、储库、料仓中</w:t>
                  </w:r>
                </w:p>
              </w:tc>
              <w:tc>
                <w:tcPr>
                  <w:tcW w:w="1255" w:type="pct"/>
                  <w:tcBorders>
                    <w:tl2br w:val="nil"/>
                    <w:tr2bl w:val="nil"/>
                  </w:tcBorders>
                  <w:noWrap w:val="0"/>
                  <w:vAlign w:val="center"/>
                </w:tcPr>
                <w:p>
                  <w:pPr>
                    <w:bidi w:val="0"/>
                    <w:jc w:val="center"/>
                    <w:rPr>
                      <w:color w:val="FF0000"/>
                      <w:sz w:val="21"/>
                      <w:szCs w:val="21"/>
                      <w:u w:val="single"/>
                    </w:rPr>
                  </w:pPr>
                  <w:r>
                    <w:rPr>
                      <w:color w:val="FF0000"/>
                      <w:sz w:val="21"/>
                      <w:szCs w:val="21"/>
                      <w:u w:val="single"/>
                    </w:rPr>
                    <w:t>本项目涉VOCs物料均储存于密闭容器中</w:t>
                  </w:r>
                </w:p>
              </w:tc>
              <w:tc>
                <w:tcPr>
                  <w:tcW w:w="485" w:type="pct"/>
                  <w:tcBorders>
                    <w:tl2br w:val="nil"/>
                    <w:tr2bl w:val="nil"/>
                  </w:tcBorders>
                  <w:noWrap w:val="0"/>
                  <w:vAlign w:val="center"/>
                </w:tcPr>
                <w:p>
                  <w:pPr>
                    <w:bidi w:val="0"/>
                    <w:jc w:val="center"/>
                    <w:rPr>
                      <w:color w:val="FF0000"/>
                      <w:sz w:val="21"/>
                      <w:szCs w:val="21"/>
                      <w:u w:val="single"/>
                    </w:rPr>
                  </w:pPr>
                  <w:r>
                    <w:rPr>
                      <w:color w:val="FF0000"/>
                      <w:sz w:val="21"/>
                      <w:szCs w:val="21"/>
                      <w:u w:val="singl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91" w:type="pct"/>
                  <w:tcBorders>
                    <w:tl2br w:val="nil"/>
                    <w:tr2bl w:val="nil"/>
                  </w:tcBorders>
                  <w:noWrap w:val="0"/>
                  <w:vAlign w:val="center"/>
                </w:tcPr>
                <w:p>
                  <w:pPr>
                    <w:bidi w:val="0"/>
                    <w:jc w:val="center"/>
                    <w:rPr>
                      <w:color w:val="FF0000"/>
                      <w:sz w:val="21"/>
                      <w:szCs w:val="21"/>
                      <w:u w:val="single"/>
                    </w:rPr>
                  </w:pPr>
                  <w:r>
                    <w:rPr>
                      <w:color w:val="FF0000"/>
                      <w:sz w:val="21"/>
                      <w:szCs w:val="21"/>
                      <w:u w:val="single"/>
                    </w:rPr>
                    <w:t>VOCs物料转移和输送无组织排放控制要求</w:t>
                  </w:r>
                </w:p>
              </w:tc>
              <w:tc>
                <w:tcPr>
                  <w:tcW w:w="2067" w:type="pct"/>
                  <w:tcBorders>
                    <w:tl2br w:val="nil"/>
                    <w:tr2bl w:val="nil"/>
                  </w:tcBorders>
                  <w:noWrap w:val="0"/>
                  <w:vAlign w:val="center"/>
                </w:tcPr>
                <w:p>
                  <w:pPr>
                    <w:bidi w:val="0"/>
                    <w:jc w:val="center"/>
                    <w:rPr>
                      <w:color w:val="FF0000"/>
                      <w:sz w:val="21"/>
                      <w:szCs w:val="21"/>
                      <w:u w:val="single"/>
                    </w:rPr>
                  </w:pPr>
                  <w:r>
                    <w:rPr>
                      <w:color w:val="FF0000"/>
                      <w:sz w:val="21"/>
                      <w:szCs w:val="21"/>
                      <w:u w:val="single"/>
                    </w:rPr>
                    <w:t>粉状、粒状VOCs物料应采用气力输送设备、管状带式输送机、螺旋输送机等密闭输送方式，或者采用密闭的包装袋、容器或罐车进行物料转移</w:t>
                  </w:r>
                </w:p>
              </w:tc>
              <w:tc>
                <w:tcPr>
                  <w:tcW w:w="1255" w:type="pct"/>
                  <w:tcBorders>
                    <w:tl2br w:val="nil"/>
                    <w:tr2bl w:val="nil"/>
                  </w:tcBorders>
                  <w:noWrap w:val="0"/>
                  <w:vAlign w:val="center"/>
                </w:tcPr>
                <w:p>
                  <w:pPr>
                    <w:bidi w:val="0"/>
                    <w:jc w:val="center"/>
                    <w:rPr>
                      <w:color w:val="FF0000"/>
                      <w:sz w:val="21"/>
                      <w:szCs w:val="21"/>
                      <w:u w:val="single"/>
                    </w:rPr>
                  </w:pPr>
                  <w:r>
                    <w:rPr>
                      <w:color w:val="FF0000"/>
                      <w:sz w:val="21"/>
                      <w:szCs w:val="21"/>
                      <w:u w:val="single"/>
                    </w:rPr>
                    <w:t>本项目无粉状、粒装VOCs物料</w:t>
                  </w:r>
                </w:p>
              </w:tc>
              <w:tc>
                <w:tcPr>
                  <w:tcW w:w="485" w:type="pct"/>
                  <w:tcBorders>
                    <w:tl2br w:val="nil"/>
                    <w:tr2bl w:val="nil"/>
                  </w:tcBorders>
                  <w:noWrap w:val="0"/>
                  <w:vAlign w:val="center"/>
                </w:tcPr>
                <w:p>
                  <w:pPr>
                    <w:bidi w:val="0"/>
                    <w:jc w:val="center"/>
                    <w:rPr>
                      <w:color w:val="FF0000"/>
                      <w:sz w:val="21"/>
                      <w:szCs w:val="21"/>
                      <w:u w:val="single"/>
                    </w:rPr>
                  </w:pPr>
                  <w:r>
                    <w:rPr>
                      <w:color w:val="FF0000"/>
                      <w:sz w:val="21"/>
                      <w:szCs w:val="21"/>
                      <w:u w:val="singl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91" w:type="pct"/>
                  <w:tcBorders>
                    <w:tl2br w:val="nil"/>
                    <w:tr2bl w:val="nil"/>
                  </w:tcBorders>
                  <w:noWrap w:val="0"/>
                  <w:vAlign w:val="center"/>
                </w:tcPr>
                <w:p>
                  <w:pPr>
                    <w:bidi w:val="0"/>
                    <w:jc w:val="center"/>
                    <w:rPr>
                      <w:color w:val="FF0000"/>
                      <w:sz w:val="21"/>
                      <w:szCs w:val="21"/>
                      <w:u w:val="single"/>
                    </w:rPr>
                  </w:pPr>
                  <w:r>
                    <w:rPr>
                      <w:color w:val="FF0000"/>
                      <w:sz w:val="21"/>
                      <w:szCs w:val="21"/>
                      <w:u w:val="single"/>
                    </w:rPr>
                    <w:t>敞开液面VOCs无组织排放控制要求</w:t>
                  </w:r>
                </w:p>
              </w:tc>
              <w:tc>
                <w:tcPr>
                  <w:tcW w:w="3322" w:type="pct"/>
                  <w:gridSpan w:val="2"/>
                  <w:tcBorders>
                    <w:tl2br w:val="nil"/>
                    <w:tr2bl w:val="nil"/>
                  </w:tcBorders>
                  <w:noWrap w:val="0"/>
                  <w:vAlign w:val="center"/>
                </w:tcPr>
                <w:p>
                  <w:pPr>
                    <w:bidi w:val="0"/>
                    <w:jc w:val="center"/>
                    <w:rPr>
                      <w:color w:val="FF0000"/>
                      <w:sz w:val="21"/>
                      <w:szCs w:val="21"/>
                      <w:u w:val="single"/>
                    </w:rPr>
                  </w:pPr>
                  <w:r>
                    <w:rPr>
                      <w:color w:val="FF0000"/>
                      <w:sz w:val="21"/>
                      <w:szCs w:val="21"/>
                      <w:u w:val="single"/>
                    </w:rPr>
                    <w:t>本项目无含VOCs废水排放</w:t>
                  </w:r>
                </w:p>
              </w:tc>
              <w:tc>
                <w:tcPr>
                  <w:tcW w:w="485" w:type="pct"/>
                  <w:tcBorders>
                    <w:tl2br w:val="nil"/>
                    <w:tr2bl w:val="nil"/>
                  </w:tcBorders>
                  <w:noWrap w:val="0"/>
                  <w:vAlign w:val="center"/>
                </w:tcPr>
                <w:p>
                  <w:pPr>
                    <w:bidi w:val="0"/>
                    <w:jc w:val="center"/>
                    <w:rPr>
                      <w:color w:val="FF0000"/>
                      <w:sz w:val="21"/>
                      <w:szCs w:val="21"/>
                      <w:u w:val="single"/>
                    </w:rPr>
                  </w:pPr>
                  <w:r>
                    <w:rPr>
                      <w:color w:val="FF0000"/>
                      <w:sz w:val="21"/>
                      <w:szCs w:val="21"/>
                      <w:u w:val="singl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91" w:type="pct"/>
                  <w:tcBorders>
                    <w:tl2br w:val="nil"/>
                    <w:tr2bl w:val="nil"/>
                  </w:tcBorders>
                  <w:noWrap w:val="0"/>
                  <w:vAlign w:val="center"/>
                </w:tcPr>
                <w:p>
                  <w:pPr>
                    <w:bidi w:val="0"/>
                    <w:jc w:val="center"/>
                    <w:rPr>
                      <w:color w:val="FF0000"/>
                      <w:sz w:val="21"/>
                      <w:szCs w:val="21"/>
                      <w:u w:val="single"/>
                    </w:rPr>
                  </w:pPr>
                  <w:r>
                    <w:rPr>
                      <w:color w:val="FF0000"/>
                      <w:sz w:val="21"/>
                      <w:szCs w:val="21"/>
                      <w:u w:val="single"/>
                    </w:rPr>
                    <w:t>VOCs无组织排放废气收集处理系统要求</w:t>
                  </w:r>
                </w:p>
              </w:tc>
              <w:tc>
                <w:tcPr>
                  <w:tcW w:w="2067" w:type="pct"/>
                  <w:tcBorders>
                    <w:tl2br w:val="nil"/>
                    <w:tr2bl w:val="nil"/>
                  </w:tcBorders>
                  <w:noWrap w:val="0"/>
                  <w:vAlign w:val="center"/>
                </w:tcPr>
                <w:p>
                  <w:pPr>
                    <w:bidi w:val="0"/>
                    <w:jc w:val="center"/>
                    <w:rPr>
                      <w:color w:val="FF0000"/>
                      <w:sz w:val="21"/>
                      <w:szCs w:val="21"/>
                      <w:u w:val="single"/>
                    </w:rPr>
                  </w:pPr>
                  <w:r>
                    <w:rPr>
                      <w:color w:val="FF0000"/>
                      <w:sz w:val="21"/>
                      <w:szCs w:val="21"/>
                      <w:u w:val="single"/>
                    </w:rPr>
                    <w:t>VOCs废气收集处理系统污染物排放应符合GB16297或相关行业排放标准的规定。收集的废气中NMHC初始排放速率≥3kg/h时，应配置VOCs 处理设施，处理效率不应低于 80%；对于重点地区，收集的废气中NMHC初始排放速率≥2kg/h时，应配置VOCs 处理设施，处理效率不应低于 80%；采用的原辅材料符合国家有关低VOCs含量产品规定的除外</w:t>
                  </w:r>
                </w:p>
              </w:tc>
              <w:tc>
                <w:tcPr>
                  <w:tcW w:w="1255" w:type="pct"/>
                  <w:tcBorders>
                    <w:tl2br w:val="nil"/>
                    <w:tr2bl w:val="nil"/>
                  </w:tcBorders>
                  <w:noWrap w:val="0"/>
                  <w:vAlign w:val="center"/>
                </w:tcPr>
                <w:p>
                  <w:pPr>
                    <w:bidi w:val="0"/>
                    <w:jc w:val="center"/>
                    <w:rPr>
                      <w:color w:val="FF0000"/>
                      <w:sz w:val="21"/>
                      <w:szCs w:val="21"/>
                      <w:u w:val="single"/>
                    </w:rPr>
                  </w:pPr>
                  <w:r>
                    <w:rPr>
                      <w:color w:val="FF0000"/>
                      <w:sz w:val="21"/>
                      <w:szCs w:val="21"/>
                      <w:u w:val="single"/>
                    </w:rPr>
                    <w:t>项目使用低VOCs含量的水性漆，VOCs产生量不大，有机废气经</w:t>
                  </w:r>
                  <w:r>
                    <w:rPr>
                      <w:rFonts w:hint="eastAsia"/>
                      <w:color w:val="FF0000"/>
                      <w:sz w:val="21"/>
                      <w:szCs w:val="21"/>
                      <w:u w:val="single"/>
                      <w:lang w:val="en-US" w:eastAsia="zh-CN"/>
                    </w:rPr>
                    <w:t>“过滤棉+活性炭光氧一体机”</w:t>
                  </w:r>
                  <w:r>
                    <w:rPr>
                      <w:color w:val="FF0000"/>
                      <w:sz w:val="21"/>
                      <w:szCs w:val="21"/>
                      <w:u w:val="single"/>
                    </w:rPr>
                    <w:t>吸附处理，可确保达标排放</w:t>
                  </w:r>
                </w:p>
              </w:tc>
              <w:tc>
                <w:tcPr>
                  <w:tcW w:w="485" w:type="pct"/>
                  <w:tcBorders>
                    <w:tl2br w:val="nil"/>
                    <w:tr2bl w:val="nil"/>
                  </w:tcBorders>
                  <w:noWrap w:val="0"/>
                  <w:vAlign w:val="center"/>
                </w:tcPr>
                <w:p>
                  <w:pPr>
                    <w:bidi w:val="0"/>
                    <w:jc w:val="center"/>
                    <w:rPr>
                      <w:color w:val="FF0000"/>
                      <w:sz w:val="21"/>
                      <w:szCs w:val="21"/>
                      <w:u w:val="single"/>
                    </w:rPr>
                  </w:pPr>
                  <w:r>
                    <w:rPr>
                      <w:color w:val="FF0000"/>
                      <w:sz w:val="21"/>
                      <w:szCs w:val="21"/>
                      <w:u w:val="single"/>
                    </w:rPr>
                    <w:t>符合</w:t>
                  </w:r>
                </w:p>
              </w:tc>
            </w:tr>
          </w:tbl>
          <w:p>
            <w:pPr>
              <w:bidi w:val="0"/>
              <w:spacing w:line="360" w:lineRule="auto"/>
              <w:ind w:firstLine="480" w:firstLineChars="200"/>
              <w:rPr>
                <w:color w:val="FF0000"/>
                <w:sz w:val="24"/>
                <w:szCs w:val="24"/>
                <w:u w:val="single"/>
              </w:rPr>
            </w:pPr>
            <w:r>
              <w:rPr>
                <w:color w:val="FF0000"/>
                <w:sz w:val="24"/>
                <w:szCs w:val="24"/>
                <w:u w:val="single"/>
              </w:rPr>
              <w:t>由上表可知，本项目建设与《挥发性有机物无组织排放控制标准》（GB37822-2019）要求相符。</w:t>
            </w:r>
          </w:p>
          <w:p>
            <w:pPr>
              <w:bidi w:val="0"/>
              <w:spacing w:line="360" w:lineRule="auto"/>
              <w:rPr>
                <w:rFonts w:hint="default"/>
                <w:color w:val="FF0000"/>
                <w:sz w:val="24"/>
                <w:szCs w:val="24"/>
                <w:u w:val="single"/>
                <w:lang w:val="en-US" w:eastAsia="zh-CN"/>
              </w:rPr>
            </w:pPr>
            <w:r>
              <w:rPr>
                <w:rFonts w:hint="eastAsia"/>
                <w:color w:val="FF0000"/>
                <w:sz w:val="24"/>
                <w:szCs w:val="24"/>
                <w:u w:val="single"/>
                <w:lang w:val="en-US" w:eastAsia="zh-CN"/>
              </w:rPr>
              <w:t>4、“三线一单”相符性分析</w:t>
            </w:r>
          </w:p>
          <w:p>
            <w:pPr>
              <w:numPr>
                <w:ilvl w:val="0"/>
                <w:numId w:val="0"/>
              </w:numPr>
              <w:bidi w:val="0"/>
              <w:spacing w:line="360" w:lineRule="auto"/>
              <w:jc w:val="center"/>
              <w:rPr>
                <w:rFonts w:hint="default" w:ascii="宋体" w:hAnsi="宋体" w:cs="宋体"/>
                <w:b/>
                <w:bCs/>
                <w:color w:val="FF0000"/>
                <w:kern w:val="0"/>
                <w:sz w:val="24"/>
                <w:szCs w:val="24"/>
                <w:u w:val="single"/>
                <w:vertAlign w:val="baseline"/>
                <w:lang w:val="en-US" w:eastAsia="zh-CN"/>
              </w:rPr>
            </w:pPr>
            <w:r>
              <w:rPr>
                <w:rFonts w:hint="eastAsia" w:ascii="宋体" w:hAnsi="宋体" w:cs="宋体"/>
                <w:b/>
                <w:bCs/>
                <w:color w:val="FF0000"/>
                <w:kern w:val="0"/>
                <w:sz w:val="24"/>
                <w:szCs w:val="24"/>
                <w:u w:val="single"/>
                <w:lang w:val="en-US" w:eastAsia="zh-CN"/>
              </w:rPr>
              <w:t>表1-5 “三线一单”相符性分析</w:t>
            </w:r>
          </w:p>
          <w:tbl>
            <w:tblPr>
              <w:tblStyle w:val="14"/>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5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2" w:type="pct"/>
                  <w:tcBorders>
                    <w:tl2br w:val="nil"/>
                    <w:tr2bl w:val="nil"/>
                  </w:tcBorders>
                  <w:vAlign w:val="center"/>
                </w:tcPr>
                <w:p>
                  <w:pPr>
                    <w:adjustRightInd w:val="0"/>
                    <w:snapToGrid w:val="0"/>
                    <w:jc w:val="center"/>
                    <w:rPr>
                      <w:rFonts w:hint="default" w:ascii="宋体" w:hAnsi="宋体" w:cs="宋体"/>
                      <w:b/>
                      <w:bCs w:val="0"/>
                      <w:color w:val="FF0000"/>
                      <w:kern w:val="0"/>
                      <w:sz w:val="21"/>
                      <w:szCs w:val="21"/>
                      <w:u w:val="single"/>
                      <w:vertAlign w:val="baseline"/>
                      <w:lang w:val="en-US" w:eastAsia="zh-CN"/>
                    </w:rPr>
                  </w:pPr>
                  <w:r>
                    <w:rPr>
                      <w:b/>
                      <w:bCs w:val="0"/>
                      <w:color w:val="FF0000"/>
                      <w:sz w:val="21"/>
                      <w:szCs w:val="21"/>
                      <w:u w:val="single"/>
                    </w:rPr>
                    <w:t>内容</w:t>
                  </w:r>
                </w:p>
              </w:tc>
              <w:tc>
                <w:tcPr>
                  <w:tcW w:w="3797" w:type="pct"/>
                  <w:tcBorders>
                    <w:tl2br w:val="nil"/>
                    <w:tr2bl w:val="nil"/>
                  </w:tcBorders>
                  <w:vAlign w:val="center"/>
                </w:tcPr>
                <w:p>
                  <w:pPr>
                    <w:adjustRightInd w:val="0"/>
                    <w:snapToGrid w:val="0"/>
                    <w:jc w:val="center"/>
                    <w:rPr>
                      <w:rFonts w:hint="default" w:ascii="宋体" w:hAnsi="宋体" w:cs="宋体"/>
                      <w:b/>
                      <w:bCs w:val="0"/>
                      <w:color w:val="FF0000"/>
                      <w:kern w:val="0"/>
                      <w:sz w:val="21"/>
                      <w:szCs w:val="21"/>
                      <w:u w:val="single"/>
                      <w:vertAlign w:val="baseline"/>
                      <w:lang w:val="en-US" w:eastAsia="zh-CN"/>
                    </w:rPr>
                  </w:pPr>
                  <w:r>
                    <w:rPr>
                      <w:b/>
                      <w:bCs w:val="0"/>
                      <w:color w:val="FF0000"/>
                      <w:sz w:val="21"/>
                      <w:szCs w:val="21"/>
                      <w:u w:val="single"/>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2" w:type="pct"/>
                  <w:tcBorders>
                    <w:tl2br w:val="nil"/>
                    <w:tr2bl w:val="nil"/>
                  </w:tcBorders>
                  <w:vAlign w:val="center"/>
                </w:tcPr>
                <w:p>
                  <w:pPr>
                    <w:adjustRightInd w:val="0"/>
                    <w:snapToGrid w:val="0"/>
                    <w:jc w:val="center"/>
                    <w:rPr>
                      <w:rFonts w:hint="default" w:ascii="宋体" w:hAnsi="宋体" w:cs="宋体"/>
                      <w:color w:val="FF0000"/>
                      <w:kern w:val="0"/>
                      <w:sz w:val="21"/>
                      <w:szCs w:val="21"/>
                      <w:u w:val="single"/>
                      <w:vertAlign w:val="baseline"/>
                      <w:lang w:val="en-US" w:eastAsia="zh-CN"/>
                    </w:rPr>
                  </w:pPr>
                  <w:r>
                    <w:rPr>
                      <w:bCs/>
                      <w:color w:val="FF0000"/>
                      <w:sz w:val="21"/>
                      <w:szCs w:val="21"/>
                      <w:u w:val="single"/>
                    </w:rPr>
                    <w:t>生态保护红线</w:t>
                  </w:r>
                </w:p>
              </w:tc>
              <w:tc>
                <w:tcPr>
                  <w:tcW w:w="3797" w:type="pct"/>
                  <w:tcBorders>
                    <w:tl2br w:val="nil"/>
                    <w:tr2bl w:val="nil"/>
                  </w:tcBorders>
                  <w:vAlign w:val="center"/>
                </w:tcPr>
                <w:p>
                  <w:pPr>
                    <w:adjustRightInd w:val="0"/>
                    <w:snapToGrid w:val="0"/>
                    <w:jc w:val="both"/>
                    <w:rPr>
                      <w:rFonts w:hint="default" w:ascii="宋体" w:hAnsi="宋体" w:cs="宋体"/>
                      <w:color w:val="FF0000"/>
                      <w:kern w:val="0"/>
                      <w:sz w:val="21"/>
                      <w:szCs w:val="21"/>
                      <w:u w:val="single"/>
                      <w:vertAlign w:val="baseline"/>
                      <w:lang w:val="en-US" w:eastAsia="zh-CN"/>
                    </w:rPr>
                  </w:pPr>
                  <w:r>
                    <w:rPr>
                      <w:bCs/>
                      <w:color w:val="FF0000"/>
                      <w:sz w:val="21"/>
                      <w:szCs w:val="21"/>
                      <w:u w:val="single"/>
                    </w:rPr>
                    <w:t>本项目位于</w:t>
                  </w:r>
                  <w:r>
                    <w:rPr>
                      <w:rFonts w:hint="eastAsia" w:ascii="宋体" w:hAnsi="宋体" w:cs="宋体"/>
                      <w:color w:val="FF0000"/>
                      <w:sz w:val="21"/>
                      <w:szCs w:val="21"/>
                      <w:u w:val="single"/>
                      <w:lang w:val="en-US" w:eastAsia="zh-CN"/>
                    </w:rPr>
                    <w:t>湖南</w:t>
                  </w:r>
                  <w:r>
                    <w:rPr>
                      <w:rFonts w:hint="eastAsia" w:ascii="宋体" w:hAnsi="宋体" w:cs="宋体"/>
                      <w:color w:val="FF0000"/>
                      <w:sz w:val="21"/>
                      <w:szCs w:val="21"/>
                      <w:u w:val="single"/>
                    </w:rPr>
                    <w:t>省</w:t>
                  </w:r>
                  <w:r>
                    <w:rPr>
                      <w:rFonts w:hint="eastAsia" w:ascii="宋体" w:hAnsi="宋体" w:cs="宋体"/>
                      <w:color w:val="FF0000"/>
                      <w:sz w:val="21"/>
                      <w:szCs w:val="21"/>
                      <w:u w:val="single"/>
                      <w:lang w:val="en-US" w:eastAsia="zh-CN"/>
                    </w:rPr>
                    <w:t>岳阳</w:t>
                  </w:r>
                  <w:r>
                    <w:rPr>
                      <w:rFonts w:hint="eastAsia" w:ascii="宋体" w:hAnsi="宋体" w:cs="宋体"/>
                      <w:color w:val="FF0000"/>
                      <w:sz w:val="21"/>
                      <w:szCs w:val="21"/>
                      <w:u w:val="single"/>
                    </w:rPr>
                    <w:t>市</w:t>
                  </w:r>
                  <w:r>
                    <w:rPr>
                      <w:rFonts w:hint="eastAsia" w:ascii="宋体" w:hAnsi="宋体" w:cs="宋体"/>
                      <w:color w:val="FF0000"/>
                      <w:sz w:val="21"/>
                      <w:szCs w:val="21"/>
                      <w:u w:val="single"/>
                      <w:lang w:val="en-US" w:eastAsia="zh-CN"/>
                    </w:rPr>
                    <w:t>湘阴县工业园区顺天大道以南</w:t>
                  </w:r>
                  <w:r>
                    <w:rPr>
                      <w:bCs/>
                      <w:color w:val="FF0000"/>
                      <w:sz w:val="21"/>
                      <w:szCs w:val="21"/>
                      <w:u w:val="single"/>
                    </w:rPr>
                    <w:t>，属工业用地，不在湘阴县划定的生态红线范围。项目不在自然保护区、饮用水源保护区等生态保护目标内，符合生态保护红线要求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2" w:type="pct"/>
                  <w:tcBorders>
                    <w:tl2br w:val="nil"/>
                    <w:tr2bl w:val="nil"/>
                  </w:tcBorders>
                  <w:vAlign w:val="center"/>
                </w:tcPr>
                <w:p>
                  <w:pPr>
                    <w:adjustRightInd w:val="0"/>
                    <w:snapToGrid w:val="0"/>
                    <w:jc w:val="center"/>
                    <w:rPr>
                      <w:rFonts w:hint="default" w:ascii="宋体" w:hAnsi="宋体" w:cs="宋体"/>
                      <w:color w:val="FF0000"/>
                      <w:kern w:val="0"/>
                      <w:sz w:val="21"/>
                      <w:szCs w:val="21"/>
                      <w:u w:val="single"/>
                      <w:vertAlign w:val="baseline"/>
                      <w:lang w:val="en-US" w:eastAsia="zh-CN"/>
                    </w:rPr>
                  </w:pPr>
                  <w:r>
                    <w:rPr>
                      <w:bCs/>
                      <w:color w:val="FF0000"/>
                      <w:sz w:val="21"/>
                      <w:szCs w:val="21"/>
                      <w:u w:val="single"/>
                    </w:rPr>
                    <w:t>资源利用上线</w:t>
                  </w:r>
                </w:p>
              </w:tc>
              <w:tc>
                <w:tcPr>
                  <w:tcW w:w="3797" w:type="pct"/>
                  <w:tcBorders>
                    <w:tl2br w:val="nil"/>
                    <w:tr2bl w:val="nil"/>
                  </w:tcBorders>
                  <w:vAlign w:val="center"/>
                </w:tcPr>
                <w:p>
                  <w:pPr>
                    <w:adjustRightInd w:val="0"/>
                    <w:snapToGrid w:val="0"/>
                    <w:jc w:val="both"/>
                    <w:rPr>
                      <w:rFonts w:hint="default" w:ascii="宋体" w:hAnsi="宋体" w:cs="宋体"/>
                      <w:color w:val="FF0000"/>
                      <w:kern w:val="0"/>
                      <w:sz w:val="21"/>
                      <w:szCs w:val="21"/>
                      <w:u w:val="single"/>
                      <w:vertAlign w:val="baseline"/>
                      <w:lang w:val="en-US" w:eastAsia="zh-CN"/>
                    </w:rPr>
                  </w:pPr>
                  <w:r>
                    <w:rPr>
                      <w:bCs/>
                      <w:color w:val="FF0000"/>
                      <w:sz w:val="21"/>
                      <w:szCs w:val="21"/>
                      <w:u w:val="single"/>
                    </w:rPr>
                    <w:t>本项目运营过程中消耗一定量的电力、水等资源。①项目用电由当地电网提供，项目用电量不大，不会超出当地国家电网的用电负荷；②项目用水来源为当地自来水公司，主要用水为生活用水，用水量较少。故本项目电力、水的消耗量所占比重较少，符合资源利用上限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2" w:type="pct"/>
                  <w:tcBorders>
                    <w:tl2br w:val="nil"/>
                    <w:tr2bl w:val="nil"/>
                  </w:tcBorders>
                  <w:vAlign w:val="center"/>
                </w:tcPr>
                <w:p>
                  <w:pPr>
                    <w:adjustRightInd w:val="0"/>
                    <w:snapToGrid w:val="0"/>
                    <w:jc w:val="center"/>
                    <w:rPr>
                      <w:rFonts w:hint="default" w:ascii="宋体" w:hAnsi="宋体" w:cs="宋体"/>
                      <w:color w:val="FF0000"/>
                      <w:kern w:val="0"/>
                      <w:sz w:val="21"/>
                      <w:szCs w:val="21"/>
                      <w:u w:val="single"/>
                      <w:vertAlign w:val="baseline"/>
                      <w:lang w:val="en-US" w:eastAsia="zh-CN"/>
                    </w:rPr>
                  </w:pPr>
                  <w:r>
                    <w:rPr>
                      <w:bCs/>
                      <w:color w:val="FF0000"/>
                      <w:sz w:val="21"/>
                      <w:szCs w:val="21"/>
                      <w:u w:val="single"/>
                    </w:rPr>
                    <w:t>环境质量底线</w:t>
                  </w:r>
                </w:p>
              </w:tc>
              <w:tc>
                <w:tcPr>
                  <w:tcW w:w="3797" w:type="pct"/>
                  <w:tcBorders>
                    <w:tl2br w:val="nil"/>
                    <w:tr2bl w:val="nil"/>
                  </w:tcBorders>
                  <w:vAlign w:val="center"/>
                </w:tcPr>
                <w:p>
                  <w:pPr>
                    <w:adjustRightInd w:val="0"/>
                    <w:snapToGrid w:val="0"/>
                    <w:jc w:val="both"/>
                    <w:rPr>
                      <w:rFonts w:hint="default" w:ascii="宋体" w:hAnsi="宋体" w:cs="宋体"/>
                      <w:color w:val="FF0000"/>
                      <w:kern w:val="0"/>
                      <w:sz w:val="21"/>
                      <w:szCs w:val="21"/>
                      <w:u w:val="single"/>
                      <w:vertAlign w:val="baseline"/>
                      <w:lang w:val="en-US" w:eastAsia="zh-CN"/>
                    </w:rPr>
                  </w:pPr>
                  <w:r>
                    <w:rPr>
                      <w:bCs/>
                      <w:color w:val="FF0000"/>
                      <w:sz w:val="21"/>
                      <w:szCs w:val="21"/>
                      <w:u w:val="single"/>
                    </w:rPr>
                    <w:t>根据现场调查，项目场址为工业用地，通过对评价区域内空气、地表水、声环境的调查得知，项目所在区域的大气、地表水体、声环境能达到相应的环境质量标准。项目对产生的污染物采取相应的措施后，对周边环境影响较小，符合环境质量底线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2" w:type="pct"/>
                  <w:tcBorders>
                    <w:tl2br w:val="nil"/>
                    <w:tr2bl w:val="nil"/>
                  </w:tcBorders>
                  <w:vAlign w:val="center"/>
                </w:tcPr>
                <w:p>
                  <w:pPr>
                    <w:adjustRightInd w:val="0"/>
                    <w:snapToGrid w:val="0"/>
                    <w:jc w:val="center"/>
                    <w:rPr>
                      <w:rFonts w:hint="default" w:ascii="宋体" w:hAnsi="宋体" w:cs="宋体"/>
                      <w:color w:val="FF0000"/>
                      <w:kern w:val="0"/>
                      <w:sz w:val="21"/>
                      <w:szCs w:val="21"/>
                      <w:u w:val="single"/>
                      <w:vertAlign w:val="baseline"/>
                      <w:lang w:val="en-US" w:eastAsia="zh-CN"/>
                    </w:rPr>
                  </w:pPr>
                  <w:r>
                    <w:rPr>
                      <w:rFonts w:hint="eastAsia"/>
                      <w:bCs/>
                      <w:color w:val="FF0000"/>
                      <w:sz w:val="21"/>
                      <w:szCs w:val="21"/>
                      <w:u w:val="single"/>
                      <w:lang w:val="en-US" w:eastAsia="zh-CN"/>
                    </w:rPr>
                    <w:t>生态环境准入</w:t>
                  </w:r>
                  <w:r>
                    <w:rPr>
                      <w:bCs/>
                      <w:color w:val="FF0000"/>
                      <w:sz w:val="21"/>
                      <w:szCs w:val="21"/>
                      <w:u w:val="single"/>
                    </w:rPr>
                    <w:t>清单</w:t>
                  </w:r>
                </w:p>
              </w:tc>
              <w:tc>
                <w:tcPr>
                  <w:tcW w:w="3797" w:type="pct"/>
                  <w:tcBorders>
                    <w:tl2br w:val="nil"/>
                    <w:tr2bl w:val="nil"/>
                  </w:tcBorders>
                  <w:vAlign w:val="center"/>
                </w:tcPr>
                <w:p>
                  <w:pPr>
                    <w:adjustRightInd w:val="0"/>
                    <w:snapToGrid w:val="0"/>
                    <w:jc w:val="both"/>
                    <w:rPr>
                      <w:rFonts w:ascii="Times New Roman" w:hAnsi="Times New Roman" w:eastAsia="宋体" w:cs="Times New Roman"/>
                      <w:bCs/>
                      <w:color w:val="FF0000"/>
                      <w:sz w:val="21"/>
                      <w:szCs w:val="21"/>
                      <w:u w:val="single"/>
                    </w:rPr>
                  </w:pPr>
                  <w:r>
                    <w:rPr>
                      <w:rFonts w:ascii="Times New Roman" w:hAnsi="Times New Roman" w:eastAsia="宋体" w:cs="Times New Roman"/>
                      <w:bCs/>
                      <w:color w:val="FF0000"/>
                      <w:sz w:val="21"/>
                      <w:szCs w:val="21"/>
                      <w:u w:val="single"/>
                    </w:rPr>
                    <w:t>根据《湖南省人民政府关于实施“三线一单”生态环境分区管控的意见》(湘政发〔2020〕12号)</w:t>
                  </w:r>
                  <w:r>
                    <w:rPr>
                      <w:rFonts w:hint="eastAsia" w:ascii="Times New Roman" w:hAnsi="Times New Roman" w:eastAsia="宋体" w:cs="Times New Roman"/>
                      <w:bCs/>
                      <w:color w:val="FF0000"/>
                      <w:sz w:val="21"/>
                      <w:szCs w:val="21"/>
                      <w:u w:val="single"/>
                    </w:rPr>
                    <w:t>、</w:t>
                  </w:r>
                  <w:r>
                    <w:rPr>
                      <w:rFonts w:ascii="Times New Roman" w:hAnsi="Times New Roman" w:eastAsia="宋体" w:cs="Times New Roman"/>
                      <w:bCs/>
                      <w:color w:val="FF0000"/>
                      <w:sz w:val="21"/>
                      <w:szCs w:val="21"/>
                      <w:u w:val="single"/>
                    </w:rPr>
                    <w:t>《湖南省“三线一单”生态环境总体管控要求暨省级以上产业园区生态环境准入清单》</w:t>
                  </w:r>
                  <w:r>
                    <w:rPr>
                      <w:rFonts w:hint="eastAsia" w:ascii="Times New Roman" w:hAnsi="Times New Roman" w:eastAsia="宋体" w:cs="Times New Roman"/>
                      <w:bCs/>
                      <w:color w:val="FF0000"/>
                      <w:sz w:val="21"/>
                      <w:szCs w:val="21"/>
                      <w:u w:val="single"/>
                    </w:rPr>
                    <w:t>（2020年11月10日），</w:t>
                  </w:r>
                  <w:r>
                    <w:rPr>
                      <w:rFonts w:ascii="Times New Roman" w:hAnsi="Times New Roman" w:eastAsia="宋体" w:cs="Times New Roman"/>
                      <w:bCs/>
                      <w:color w:val="FF0000"/>
                      <w:sz w:val="21"/>
                      <w:szCs w:val="21"/>
                      <w:u w:val="single"/>
                    </w:rPr>
                    <w:t>扩建项目所在</w:t>
                  </w:r>
                  <w:r>
                    <w:rPr>
                      <w:rFonts w:hint="eastAsia" w:ascii="Times New Roman" w:hAnsi="Times New Roman" w:eastAsia="宋体" w:cs="Times New Roman"/>
                      <w:bCs/>
                      <w:color w:val="FF0000"/>
                      <w:sz w:val="21"/>
                      <w:szCs w:val="21"/>
                      <w:u w:val="single"/>
                      <w:lang w:val="en-US" w:eastAsia="zh-CN"/>
                    </w:rPr>
                    <w:t>湘阴县工业园</w:t>
                  </w:r>
                  <w:r>
                    <w:rPr>
                      <w:rFonts w:ascii="Times New Roman" w:hAnsi="Times New Roman" w:eastAsia="宋体" w:cs="Times New Roman"/>
                      <w:bCs/>
                      <w:color w:val="FF0000"/>
                      <w:sz w:val="21"/>
                      <w:szCs w:val="21"/>
                      <w:u w:val="single"/>
                    </w:rPr>
                    <w:t>属</w:t>
                  </w:r>
                  <w:r>
                    <w:rPr>
                      <w:rFonts w:hint="eastAsia" w:ascii="Times New Roman" w:hAnsi="Times New Roman" w:eastAsia="宋体" w:cs="Times New Roman"/>
                      <w:bCs/>
                      <w:color w:val="FF0000"/>
                      <w:sz w:val="21"/>
                      <w:szCs w:val="21"/>
                      <w:u w:val="single"/>
                      <w:lang w:val="en-US" w:eastAsia="zh-CN"/>
                    </w:rPr>
                    <w:t>湘阴</w:t>
                  </w:r>
                  <w:r>
                    <w:rPr>
                      <w:rFonts w:ascii="Times New Roman" w:hAnsi="Times New Roman" w:eastAsia="宋体" w:cs="Times New Roman"/>
                      <w:bCs/>
                      <w:color w:val="FF0000"/>
                      <w:sz w:val="21"/>
                      <w:szCs w:val="21"/>
                      <w:u w:val="single"/>
                    </w:rPr>
                    <w:t>高新技术产业区范围，属于</w:t>
                  </w:r>
                  <w:r>
                    <w:rPr>
                      <w:rFonts w:hint="eastAsia" w:ascii="Times New Roman" w:hAnsi="Times New Roman" w:eastAsia="宋体" w:cs="Times New Roman"/>
                      <w:bCs/>
                      <w:color w:val="FF0000"/>
                      <w:sz w:val="21"/>
                      <w:szCs w:val="21"/>
                      <w:u w:val="single"/>
                    </w:rPr>
                    <w:t>重点管控单元</w:t>
                  </w:r>
                  <w:r>
                    <w:rPr>
                      <w:rFonts w:ascii="Times New Roman" w:hAnsi="Times New Roman" w:eastAsia="宋体" w:cs="Times New Roman"/>
                      <w:bCs/>
                      <w:color w:val="FF0000"/>
                      <w:sz w:val="21"/>
                      <w:szCs w:val="21"/>
                      <w:u w:val="single"/>
                    </w:rPr>
                    <w:t>，环境管控单元编码为</w:t>
                  </w:r>
                  <w:r>
                    <w:rPr>
                      <w:rFonts w:hint="default" w:ascii="Times New Roman" w:hAnsi="Times New Roman" w:eastAsia="宋体" w:cs="Times New Roman"/>
                      <w:bCs/>
                      <w:color w:val="FF0000"/>
                      <w:sz w:val="21"/>
                      <w:szCs w:val="21"/>
                      <w:u w:val="single"/>
                      <w:lang w:val="en-US" w:eastAsia="zh-CN"/>
                    </w:rPr>
                    <w:t>ZH43062420002</w:t>
                  </w:r>
                  <w:r>
                    <w:rPr>
                      <w:rFonts w:ascii="Times New Roman" w:hAnsi="Times New Roman" w:eastAsia="宋体" w:cs="Times New Roman"/>
                      <w:bCs/>
                      <w:color w:val="FF0000"/>
                      <w:sz w:val="21"/>
                      <w:szCs w:val="21"/>
                      <w:u w:val="single"/>
                    </w:rPr>
                    <w:t>，其管控要求具体如下：</w:t>
                  </w:r>
                </w:p>
                <w:p>
                  <w:pPr>
                    <w:adjustRightInd w:val="0"/>
                    <w:snapToGrid w:val="0"/>
                    <w:jc w:val="both"/>
                    <w:rPr>
                      <w:rFonts w:ascii="Times New Roman" w:hAnsi="Times New Roman" w:eastAsia="宋体" w:cs="Times New Roman"/>
                      <w:bCs/>
                      <w:color w:val="FF0000"/>
                      <w:sz w:val="21"/>
                      <w:szCs w:val="21"/>
                      <w:u w:val="single"/>
                    </w:rPr>
                  </w:pPr>
                  <w:r>
                    <w:rPr>
                      <w:rFonts w:ascii="Times New Roman" w:hAnsi="Times New Roman" w:eastAsia="宋体" w:cs="Times New Roman"/>
                      <w:bCs/>
                      <w:color w:val="FF0000"/>
                      <w:sz w:val="21"/>
                      <w:szCs w:val="21"/>
                      <w:u w:val="single"/>
                    </w:rPr>
                    <w:t>空间布局约束：</w:t>
                  </w:r>
                </w:p>
                <w:p>
                  <w:pPr>
                    <w:adjustRightInd w:val="0"/>
                    <w:snapToGrid w:val="0"/>
                    <w:jc w:val="both"/>
                    <w:rPr>
                      <w:rFonts w:hint="eastAsia" w:ascii="Times New Roman" w:hAnsi="Times New Roman" w:eastAsia="宋体" w:cs="Times New Roman"/>
                      <w:bCs/>
                      <w:color w:val="FF0000"/>
                      <w:sz w:val="21"/>
                      <w:szCs w:val="21"/>
                      <w:u w:val="single"/>
                      <w:lang w:val="en-US" w:eastAsia="zh-CN"/>
                    </w:rPr>
                  </w:pPr>
                  <w:r>
                    <w:rPr>
                      <w:rFonts w:hint="eastAsia" w:ascii="Times New Roman" w:hAnsi="Times New Roman" w:eastAsia="宋体" w:cs="Times New Roman"/>
                      <w:bCs/>
                      <w:color w:val="FF0000"/>
                      <w:sz w:val="21"/>
                      <w:szCs w:val="21"/>
                      <w:u w:val="single"/>
                      <w:lang w:val="en-US" w:eastAsia="zh-CN"/>
                    </w:rPr>
                    <w:t>严格限制三类工业入驻，禁止大型喷涂、涉及酸雾排放等气型污染严重企业入驻。禁止外排水污染物涉及重金属的项目入驻。</w:t>
                  </w:r>
                </w:p>
                <w:p>
                  <w:pPr>
                    <w:adjustRightInd w:val="0"/>
                    <w:snapToGrid w:val="0"/>
                    <w:jc w:val="both"/>
                    <w:rPr>
                      <w:rFonts w:ascii="Times New Roman" w:hAnsi="Times New Roman" w:eastAsia="宋体" w:cs="Times New Roman"/>
                      <w:bCs/>
                      <w:color w:val="FF0000"/>
                      <w:sz w:val="21"/>
                      <w:szCs w:val="21"/>
                      <w:u w:val="single"/>
                    </w:rPr>
                  </w:pPr>
                  <w:r>
                    <w:rPr>
                      <w:rFonts w:hint="eastAsia" w:ascii="Times New Roman" w:hAnsi="Times New Roman" w:eastAsia="宋体" w:cs="Times New Roman"/>
                      <w:bCs/>
                      <w:color w:val="FF0000"/>
                      <w:sz w:val="21"/>
                      <w:szCs w:val="21"/>
                      <w:u w:val="single"/>
                      <w:lang w:val="en-US" w:eastAsia="zh-CN"/>
                    </w:rPr>
                    <w:t>将开发区西面临洋沙湖－东湖湿地公园一侧一定范围内的三类、二类工业用地调整为一类工业用地，将涉及气型污染物无组织排放的企业、车间尽量远离湿地公园布置；禁止引进对洋沙湖</w:t>
                  </w:r>
                  <w:r>
                    <w:rPr>
                      <w:rFonts w:hint="default" w:ascii="Times New Roman" w:hAnsi="Times New Roman" w:eastAsia="宋体" w:cs="Times New Roman"/>
                      <w:bCs/>
                      <w:color w:val="FF0000"/>
                      <w:sz w:val="21"/>
                      <w:szCs w:val="21"/>
                      <w:u w:val="single"/>
                      <w:lang w:val="en-US" w:eastAsia="zh-CN"/>
                    </w:rPr>
                    <w:t>—</w:t>
                  </w:r>
                  <w:r>
                    <w:rPr>
                      <w:rFonts w:hint="eastAsia" w:ascii="Times New Roman" w:hAnsi="Times New Roman" w:eastAsia="宋体" w:cs="Times New Roman"/>
                      <w:bCs/>
                      <w:color w:val="FF0000"/>
                      <w:sz w:val="21"/>
                      <w:szCs w:val="21"/>
                      <w:u w:val="single"/>
                      <w:lang w:val="en-US" w:eastAsia="zh-CN"/>
                    </w:rPr>
                    <w:t>东湖国家湿地公园产生不利影响的企业。</w:t>
                  </w:r>
                </w:p>
                <w:p>
                  <w:pPr>
                    <w:adjustRightInd w:val="0"/>
                    <w:snapToGrid w:val="0"/>
                    <w:jc w:val="both"/>
                    <w:rPr>
                      <w:rFonts w:ascii="Times New Roman" w:hAnsi="Times New Roman" w:eastAsia="宋体" w:cs="Times New Roman"/>
                      <w:bCs/>
                      <w:color w:val="FF0000"/>
                      <w:sz w:val="21"/>
                      <w:szCs w:val="21"/>
                      <w:u w:val="single"/>
                    </w:rPr>
                  </w:pPr>
                  <w:r>
                    <w:rPr>
                      <w:rFonts w:hint="eastAsia" w:ascii="Times New Roman" w:hAnsi="Times New Roman" w:eastAsia="宋体" w:cs="Times New Roman"/>
                      <w:bCs/>
                      <w:color w:val="FF0000"/>
                      <w:sz w:val="21"/>
                      <w:szCs w:val="21"/>
                      <w:u w:val="single"/>
                      <w:lang w:val="en-US" w:eastAsia="zh-CN"/>
                    </w:rPr>
                    <w:t>靠近交通干线两侧一定范围不得新建对噪声敏感的建筑物，居民安置区与工业用地之间设置一定宽度的防护距离，防止功能干扰。</w:t>
                  </w:r>
                </w:p>
                <w:p>
                  <w:pPr>
                    <w:adjustRightInd w:val="0"/>
                    <w:snapToGrid w:val="0"/>
                    <w:jc w:val="both"/>
                    <w:rPr>
                      <w:rFonts w:ascii="Times New Roman" w:hAnsi="Times New Roman" w:eastAsia="宋体" w:cs="Times New Roman"/>
                      <w:bCs/>
                      <w:color w:val="FF0000"/>
                      <w:sz w:val="21"/>
                      <w:szCs w:val="21"/>
                      <w:u w:val="single"/>
                    </w:rPr>
                  </w:pPr>
                  <w:r>
                    <w:rPr>
                      <w:rFonts w:ascii="Times New Roman" w:hAnsi="Times New Roman" w:eastAsia="宋体" w:cs="Times New Roman"/>
                      <w:bCs/>
                      <w:color w:val="FF0000"/>
                      <w:sz w:val="21"/>
                      <w:szCs w:val="21"/>
                      <w:u w:val="single"/>
                    </w:rPr>
                    <w:t>本项目位于</w:t>
                  </w:r>
                  <w:r>
                    <w:rPr>
                      <w:rFonts w:hint="eastAsia" w:ascii="Times New Roman" w:hAnsi="Times New Roman" w:eastAsia="宋体" w:cs="Times New Roman"/>
                      <w:bCs/>
                      <w:color w:val="FF0000"/>
                      <w:sz w:val="21"/>
                      <w:szCs w:val="21"/>
                      <w:u w:val="single"/>
                      <w:lang w:val="en-US" w:eastAsia="zh-CN"/>
                    </w:rPr>
                    <w:t>湖南省岳阳市湘阴县工业园洋沙湖大道北侧，距离西侧的洋沙湖－东湖湿地公园约3.3km，不会对其产生影响，项目为人工草坪生产，不属于三类工业、大型喷涂、涉及酸雾排放等气型污染严重企业。外排污水为生活污水，水污染物不涉及重金属，废气均经收集处理后通过排气筒排放，周边无对噪声敏感的建筑物，距离居民安置区较远，符合空间布局约束要求</w:t>
                  </w:r>
                  <w:r>
                    <w:rPr>
                      <w:rFonts w:ascii="Times New Roman" w:hAnsi="Times New Roman" w:eastAsia="宋体" w:cs="Times New Roman"/>
                      <w:bCs/>
                      <w:color w:val="FF0000"/>
                      <w:sz w:val="21"/>
                      <w:szCs w:val="21"/>
                      <w:u w:val="single"/>
                    </w:rPr>
                    <w:t>。</w:t>
                  </w:r>
                </w:p>
                <w:p>
                  <w:pPr>
                    <w:adjustRightInd w:val="0"/>
                    <w:snapToGrid w:val="0"/>
                    <w:jc w:val="both"/>
                    <w:rPr>
                      <w:rFonts w:ascii="Times New Roman" w:hAnsi="Times New Roman" w:eastAsia="宋体" w:cs="Times New Roman"/>
                      <w:bCs/>
                      <w:color w:val="FF0000"/>
                      <w:sz w:val="21"/>
                      <w:szCs w:val="21"/>
                      <w:u w:val="single"/>
                    </w:rPr>
                  </w:pPr>
                  <w:r>
                    <w:rPr>
                      <w:rFonts w:ascii="Times New Roman" w:hAnsi="Times New Roman" w:eastAsia="宋体" w:cs="Times New Roman"/>
                      <w:bCs/>
                      <w:color w:val="FF0000"/>
                      <w:sz w:val="21"/>
                      <w:szCs w:val="21"/>
                      <w:u w:val="single"/>
                    </w:rPr>
                    <w:t>污染物排放管控：</w:t>
                  </w:r>
                </w:p>
                <w:p>
                  <w:pPr>
                    <w:adjustRightInd w:val="0"/>
                    <w:snapToGrid w:val="0"/>
                    <w:jc w:val="both"/>
                    <w:rPr>
                      <w:rFonts w:hint="eastAsia" w:ascii="Times New Roman" w:hAnsi="Times New Roman" w:eastAsia="宋体" w:cs="Times New Roman"/>
                      <w:bCs/>
                      <w:color w:val="FF0000"/>
                      <w:sz w:val="21"/>
                      <w:szCs w:val="21"/>
                      <w:u w:val="single"/>
                      <w:lang w:val="en-US" w:eastAsia="zh-CN"/>
                    </w:rPr>
                  </w:pPr>
                  <w:r>
                    <w:rPr>
                      <w:rFonts w:ascii="Times New Roman" w:hAnsi="Times New Roman" w:eastAsia="宋体" w:cs="Times New Roman"/>
                      <w:bCs/>
                      <w:color w:val="FF0000"/>
                      <w:sz w:val="21"/>
                      <w:szCs w:val="21"/>
                      <w:u w:val="single"/>
                      <w:lang w:val="en-US" w:eastAsia="zh-CN"/>
                    </w:rPr>
                    <w:t>（</w:t>
                  </w:r>
                  <w:r>
                    <w:rPr>
                      <w:rFonts w:hint="default" w:ascii="Times New Roman" w:hAnsi="Times New Roman" w:eastAsia="宋体" w:cs="Times New Roman"/>
                      <w:bCs/>
                      <w:color w:val="FF0000"/>
                      <w:sz w:val="21"/>
                      <w:szCs w:val="21"/>
                      <w:u w:val="single"/>
                      <w:lang w:val="en-US" w:eastAsia="zh-CN"/>
                    </w:rPr>
                    <w:t>2.1</w:t>
                  </w:r>
                  <w:r>
                    <w:rPr>
                      <w:rFonts w:hint="eastAsia" w:ascii="Times New Roman" w:hAnsi="Times New Roman" w:eastAsia="宋体" w:cs="Times New Roman"/>
                      <w:bCs/>
                      <w:color w:val="FF0000"/>
                      <w:sz w:val="21"/>
                      <w:szCs w:val="21"/>
                      <w:u w:val="single"/>
                      <w:lang w:val="en-US" w:eastAsia="zh-CN"/>
                    </w:rPr>
                    <w:t>）废水：开发区排水实施雨污分流，开发区污水经管网收集统一进入湘阴县第二污水处理厂处理后，通过专修排水管道直接排入湘江，严禁排入白水江。开发区雨水经雨水管网排入洋沙湖。</w:t>
                  </w:r>
                </w:p>
                <w:p>
                  <w:pPr>
                    <w:adjustRightInd w:val="0"/>
                    <w:snapToGrid w:val="0"/>
                    <w:jc w:val="both"/>
                    <w:rPr>
                      <w:rFonts w:hint="eastAsia" w:ascii="Times New Roman" w:hAnsi="Times New Roman" w:eastAsia="宋体" w:cs="Times New Roman"/>
                      <w:bCs/>
                      <w:color w:val="FF0000"/>
                      <w:sz w:val="21"/>
                      <w:szCs w:val="21"/>
                      <w:u w:val="single"/>
                      <w:lang w:val="en-US" w:eastAsia="zh-CN"/>
                    </w:rPr>
                  </w:pPr>
                  <w:r>
                    <w:rPr>
                      <w:rFonts w:hint="eastAsia" w:ascii="Times New Roman" w:hAnsi="Times New Roman" w:eastAsia="宋体" w:cs="Times New Roman"/>
                      <w:bCs/>
                      <w:color w:val="FF0000"/>
                      <w:sz w:val="21"/>
                      <w:szCs w:val="21"/>
                      <w:u w:val="single"/>
                      <w:lang w:val="en-US" w:eastAsia="zh-CN"/>
                    </w:rPr>
                    <w:t>（</w:t>
                  </w:r>
                  <w:r>
                    <w:rPr>
                      <w:rFonts w:hint="default" w:ascii="Times New Roman" w:hAnsi="Times New Roman" w:eastAsia="宋体" w:cs="Times New Roman"/>
                      <w:bCs/>
                      <w:color w:val="FF0000"/>
                      <w:sz w:val="21"/>
                      <w:szCs w:val="21"/>
                      <w:u w:val="single"/>
                      <w:lang w:val="en-US" w:eastAsia="zh-CN"/>
                    </w:rPr>
                    <w:t>2.2</w:t>
                  </w:r>
                  <w:r>
                    <w:rPr>
                      <w:rFonts w:hint="eastAsia" w:ascii="Times New Roman" w:hAnsi="Times New Roman" w:eastAsia="宋体" w:cs="Times New Roman"/>
                      <w:bCs/>
                      <w:color w:val="FF0000"/>
                      <w:sz w:val="21"/>
                      <w:szCs w:val="21"/>
                      <w:u w:val="single"/>
                      <w:lang w:val="en-US" w:eastAsia="zh-CN"/>
                    </w:rPr>
                    <w:t>）废气：对各企业工艺废气产出的生产节点，须配置废气收集与处理净化装置，确保达标排放；加强生产工艺研究与技术改进，采取有效措施，减少入园企业工艺废气的无组织排放。</w:t>
                  </w:r>
                </w:p>
                <w:p>
                  <w:pPr>
                    <w:adjustRightInd w:val="0"/>
                    <w:snapToGrid w:val="0"/>
                    <w:jc w:val="both"/>
                    <w:rPr>
                      <w:rFonts w:hint="eastAsia" w:ascii="Times New Roman" w:hAnsi="Times New Roman" w:eastAsia="宋体" w:cs="Times New Roman"/>
                      <w:bCs/>
                      <w:color w:val="FF0000"/>
                      <w:sz w:val="21"/>
                      <w:szCs w:val="21"/>
                      <w:u w:val="single"/>
                      <w:lang w:val="en-US" w:eastAsia="zh-CN"/>
                    </w:rPr>
                  </w:pPr>
                  <w:r>
                    <w:rPr>
                      <w:rFonts w:hint="eastAsia" w:ascii="Times New Roman" w:hAnsi="Times New Roman" w:eastAsia="宋体" w:cs="Times New Roman"/>
                      <w:bCs/>
                      <w:color w:val="FF0000"/>
                      <w:sz w:val="21"/>
                      <w:szCs w:val="21"/>
                      <w:u w:val="single"/>
                      <w:lang w:val="en-US" w:eastAsia="zh-CN"/>
                    </w:rPr>
                    <w:t>（</w:t>
                  </w:r>
                  <w:r>
                    <w:rPr>
                      <w:rFonts w:hint="default" w:ascii="Times New Roman" w:hAnsi="Times New Roman" w:eastAsia="宋体" w:cs="Times New Roman"/>
                      <w:bCs/>
                      <w:color w:val="FF0000"/>
                      <w:sz w:val="21"/>
                      <w:szCs w:val="21"/>
                      <w:u w:val="single"/>
                      <w:lang w:val="en-US" w:eastAsia="zh-CN"/>
                    </w:rPr>
                    <w:t>2.3</w:t>
                  </w:r>
                  <w:r>
                    <w:rPr>
                      <w:rFonts w:hint="eastAsia" w:ascii="Times New Roman" w:hAnsi="Times New Roman" w:eastAsia="宋体" w:cs="Times New Roman"/>
                      <w:bCs/>
                      <w:color w:val="FF0000"/>
                      <w:sz w:val="21"/>
                      <w:szCs w:val="21"/>
                      <w:u w:val="single"/>
                      <w:lang w:val="en-US" w:eastAsia="zh-CN"/>
                    </w:rPr>
                    <w:t>）开发区内相关行业及锅炉废气污染物排放满足《湖南省生态环境厅关于执行污染物特别排放限值（第一批）的公告》中的要求。</w:t>
                  </w:r>
                </w:p>
                <w:p>
                  <w:pPr>
                    <w:adjustRightInd w:val="0"/>
                    <w:snapToGrid w:val="0"/>
                    <w:jc w:val="both"/>
                    <w:rPr>
                      <w:rFonts w:ascii="Times New Roman" w:hAnsi="Times New Roman" w:eastAsia="宋体" w:cs="Times New Roman"/>
                      <w:bCs/>
                      <w:color w:val="FF0000"/>
                      <w:sz w:val="21"/>
                      <w:szCs w:val="21"/>
                      <w:u w:val="single"/>
                    </w:rPr>
                  </w:pPr>
                  <w:r>
                    <w:rPr>
                      <w:rFonts w:ascii="Times New Roman" w:hAnsi="Times New Roman" w:eastAsia="宋体" w:cs="Times New Roman"/>
                      <w:bCs/>
                      <w:color w:val="FF0000"/>
                      <w:sz w:val="21"/>
                      <w:szCs w:val="21"/>
                      <w:u w:val="single"/>
                      <w:lang w:val="en-US" w:eastAsia="zh-CN"/>
                    </w:rPr>
                    <w:t>（</w:t>
                  </w:r>
                  <w:r>
                    <w:rPr>
                      <w:rFonts w:hint="default" w:ascii="Times New Roman" w:hAnsi="Times New Roman" w:eastAsia="宋体" w:cs="Times New Roman"/>
                      <w:bCs/>
                      <w:color w:val="FF0000"/>
                      <w:sz w:val="21"/>
                      <w:szCs w:val="21"/>
                      <w:u w:val="single"/>
                      <w:lang w:val="en-US" w:eastAsia="zh-CN"/>
                    </w:rPr>
                    <w:t>2.4</w:t>
                  </w:r>
                  <w:r>
                    <w:rPr>
                      <w:rFonts w:hint="eastAsia" w:ascii="Times New Roman" w:hAnsi="Times New Roman" w:eastAsia="宋体" w:cs="Times New Roman"/>
                      <w:bCs/>
                      <w:color w:val="FF0000"/>
                      <w:sz w:val="21"/>
                      <w:szCs w:val="21"/>
                      <w:u w:val="single"/>
                      <w:lang w:val="en-US" w:eastAsia="zh-CN"/>
                    </w:rPr>
                    <w:t>）固体废弃物：做好园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的固体废物特别是危险废物应按国家有关规定综合利用或妥善处置，严防二次污染。</w:t>
                  </w:r>
                </w:p>
                <w:p>
                  <w:pPr>
                    <w:adjustRightInd w:val="0"/>
                    <w:snapToGrid w:val="0"/>
                    <w:jc w:val="both"/>
                    <w:rPr>
                      <w:rFonts w:ascii="Times New Roman" w:hAnsi="Times New Roman" w:eastAsia="宋体" w:cs="Times New Roman"/>
                      <w:bCs/>
                      <w:color w:val="FF0000"/>
                      <w:sz w:val="21"/>
                      <w:szCs w:val="21"/>
                      <w:u w:val="single"/>
                    </w:rPr>
                  </w:pPr>
                  <w:r>
                    <w:rPr>
                      <w:rFonts w:hint="eastAsia" w:ascii="Times New Roman" w:hAnsi="Times New Roman" w:eastAsia="宋体" w:cs="Times New Roman"/>
                      <w:bCs/>
                      <w:color w:val="FF0000"/>
                      <w:sz w:val="21"/>
                      <w:szCs w:val="21"/>
                      <w:u w:val="single"/>
                      <w:lang w:val="en-US" w:eastAsia="zh-CN"/>
                    </w:rPr>
                    <w:t>本项目生活污水依托现有化粪池处理后排入园区污水管网进入湘阴县第二污水处理厂，进一步处理后排入湘江，有机废气经活性炭吸附处理后和天然气燃烧废气一同经排气筒高空排放，固体废弃物均按照要求进行妥善处置，危险废物均交由有资质单位进行处理，符合污染物排放管控要求</w:t>
                  </w:r>
                  <w:r>
                    <w:rPr>
                      <w:rFonts w:ascii="Times New Roman" w:hAnsi="Times New Roman" w:eastAsia="宋体" w:cs="Times New Roman"/>
                      <w:bCs/>
                      <w:color w:val="FF0000"/>
                      <w:sz w:val="21"/>
                      <w:szCs w:val="21"/>
                      <w:u w:val="single"/>
                    </w:rPr>
                    <w:t>。</w:t>
                  </w:r>
                </w:p>
                <w:p>
                  <w:pPr>
                    <w:adjustRightInd w:val="0"/>
                    <w:snapToGrid w:val="0"/>
                    <w:jc w:val="both"/>
                    <w:rPr>
                      <w:rFonts w:ascii="Times New Roman" w:hAnsi="Times New Roman" w:eastAsia="宋体" w:cs="Times New Roman"/>
                      <w:bCs/>
                      <w:color w:val="FF0000"/>
                      <w:sz w:val="21"/>
                      <w:szCs w:val="21"/>
                      <w:u w:val="single"/>
                    </w:rPr>
                  </w:pPr>
                  <w:r>
                    <w:rPr>
                      <w:rFonts w:ascii="Times New Roman" w:hAnsi="Times New Roman" w:eastAsia="宋体" w:cs="Times New Roman"/>
                      <w:bCs/>
                      <w:color w:val="FF0000"/>
                      <w:sz w:val="21"/>
                      <w:szCs w:val="21"/>
                      <w:u w:val="single"/>
                    </w:rPr>
                    <w:t>环境风险防控：</w:t>
                  </w:r>
                </w:p>
                <w:p>
                  <w:pPr>
                    <w:adjustRightInd w:val="0"/>
                    <w:snapToGrid w:val="0"/>
                    <w:jc w:val="both"/>
                    <w:rPr>
                      <w:rFonts w:ascii="Times New Roman" w:hAnsi="Times New Roman" w:eastAsia="宋体" w:cs="Times New Roman"/>
                      <w:bCs/>
                      <w:color w:val="FF0000"/>
                      <w:sz w:val="21"/>
                      <w:szCs w:val="21"/>
                      <w:u w:val="single"/>
                    </w:rPr>
                  </w:pPr>
                  <w:r>
                    <w:rPr>
                      <w:rFonts w:ascii="Times New Roman" w:hAnsi="Times New Roman" w:eastAsia="宋体" w:cs="Times New Roman"/>
                      <w:bCs/>
                      <w:color w:val="FF0000"/>
                      <w:sz w:val="21"/>
                      <w:szCs w:val="21"/>
                      <w:u w:val="single"/>
                      <w:lang w:val="en-US" w:eastAsia="zh-CN"/>
                    </w:rPr>
                    <w:t>（</w:t>
                  </w:r>
                  <w:r>
                    <w:rPr>
                      <w:rFonts w:hint="default" w:ascii="Times New Roman" w:hAnsi="Times New Roman" w:eastAsia="宋体" w:cs="Times New Roman"/>
                      <w:bCs/>
                      <w:color w:val="FF0000"/>
                      <w:sz w:val="21"/>
                      <w:szCs w:val="21"/>
                      <w:u w:val="single"/>
                      <w:lang w:val="en-US" w:eastAsia="zh-CN"/>
                    </w:rPr>
                    <w:t>3.1</w:t>
                  </w:r>
                  <w:r>
                    <w:rPr>
                      <w:rFonts w:hint="eastAsia" w:ascii="Times New Roman" w:hAnsi="Times New Roman" w:eastAsia="宋体" w:cs="Times New Roman"/>
                      <w:bCs/>
                      <w:color w:val="FF0000"/>
                      <w:sz w:val="21"/>
                      <w:szCs w:val="21"/>
                      <w:u w:val="single"/>
                      <w:lang w:val="en-US" w:eastAsia="zh-CN"/>
                    </w:rPr>
                    <w:t xml:space="preserve">）园区应建立健全环境风险防控体系，严格落实《湖南湘阴工业园区突发环境事件应急预案》中相关要求，严防突发环境事件发生，提高应急处置能力。 </w:t>
                  </w:r>
                </w:p>
                <w:p>
                  <w:pPr>
                    <w:adjustRightInd w:val="0"/>
                    <w:snapToGrid w:val="0"/>
                    <w:jc w:val="both"/>
                    <w:rPr>
                      <w:rFonts w:ascii="Times New Roman" w:hAnsi="Times New Roman" w:eastAsia="宋体" w:cs="Times New Roman"/>
                      <w:bCs/>
                      <w:color w:val="FF0000"/>
                      <w:sz w:val="21"/>
                      <w:szCs w:val="21"/>
                      <w:u w:val="single"/>
                    </w:rPr>
                  </w:pPr>
                  <w:r>
                    <w:rPr>
                      <w:rFonts w:hint="eastAsia" w:ascii="Times New Roman" w:hAnsi="Times New Roman" w:eastAsia="宋体" w:cs="Times New Roman"/>
                      <w:bCs/>
                      <w:color w:val="FF0000"/>
                      <w:sz w:val="21"/>
                      <w:szCs w:val="21"/>
                      <w:u w:val="single"/>
                      <w:lang w:val="en-US" w:eastAsia="zh-CN"/>
                    </w:rPr>
                    <w:t>（</w:t>
                  </w:r>
                  <w:r>
                    <w:rPr>
                      <w:rFonts w:hint="default" w:ascii="Times New Roman" w:hAnsi="Times New Roman" w:eastAsia="宋体" w:cs="Times New Roman"/>
                      <w:bCs/>
                      <w:color w:val="FF0000"/>
                      <w:sz w:val="21"/>
                      <w:szCs w:val="21"/>
                      <w:u w:val="single"/>
                      <w:lang w:val="en-US" w:eastAsia="zh-CN"/>
                    </w:rPr>
                    <w:t>3.2</w:t>
                  </w:r>
                  <w:r>
                    <w:rPr>
                      <w:rFonts w:hint="eastAsia" w:ascii="Times New Roman" w:hAnsi="Times New Roman" w:eastAsia="宋体" w:cs="Times New Roman"/>
                      <w:bCs/>
                      <w:color w:val="FF0000"/>
                      <w:sz w:val="21"/>
                      <w:szCs w:val="21"/>
                      <w:u w:val="single"/>
                      <w:lang w:val="en-US" w:eastAsia="zh-CN"/>
                    </w:rPr>
                    <w:t xml:space="preserve">）园区可能发生突发环境事件的污染物排放企业，生产、储存、运输、使用危险化学品的企业，产生、收集、贮存、运输、利用、处置危险废物的企业应当编制和实施环境应急预案；鼓励其他企业制定单独的环境应急预案，或在突发事件应急预案中制定环境应急预案专章，并备案。 </w:t>
                  </w:r>
                </w:p>
                <w:p>
                  <w:pPr>
                    <w:adjustRightInd w:val="0"/>
                    <w:snapToGrid w:val="0"/>
                    <w:jc w:val="both"/>
                    <w:rPr>
                      <w:rFonts w:ascii="Times New Roman" w:hAnsi="Times New Roman" w:eastAsia="宋体" w:cs="Times New Roman"/>
                      <w:bCs/>
                      <w:color w:val="FF0000"/>
                      <w:sz w:val="21"/>
                      <w:szCs w:val="21"/>
                      <w:u w:val="single"/>
                    </w:rPr>
                  </w:pPr>
                  <w:r>
                    <w:rPr>
                      <w:rFonts w:hint="eastAsia" w:ascii="Times New Roman" w:hAnsi="Times New Roman" w:eastAsia="宋体" w:cs="Times New Roman"/>
                      <w:bCs/>
                      <w:color w:val="FF0000"/>
                      <w:sz w:val="21"/>
                      <w:szCs w:val="21"/>
                      <w:u w:val="single"/>
                      <w:lang w:val="en-US" w:eastAsia="zh-CN"/>
                    </w:rPr>
                    <w:t>（</w:t>
                  </w:r>
                  <w:r>
                    <w:rPr>
                      <w:rFonts w:hint="default" w:ascii="Times New Roman" w:hAnsi="Times New Roman" w:eastAsia="宋体" w:cs="Times New Roman"/>
                      <w:bCs/>
                      <w:color w:val="FF0000"/>
                      <w:sz w:val="21"/>
                      <w:szCs w:val="21"/>
                      <w:u w:val="single"/>
                      <w:lang w:val="en-US" w:eastAsia="zh-CN"/>
                    </w:rPr>
                    <w:t>3.3</w:t>
                  </w:r>
                  <w:r>
                    <w:rPr>
                      <w:rFonts w:hint="eastAsia" w:ascii="Times New Roman" w:hAnsi="Times New Roman" w:eastAsia="宋体" w:cs="Times New Roman"/>
                      <w:bCs/>
                      <w:color w:val="FF0000"/>
                      <w:sz w:val="21"/>
                      <w:szCs w:val="21"/>
                      <w:u w:val="single"/>
                      <w:lang w:val="en-US" w:eastAsia="zh-CN"/>
                    </w:rPr>
                    <w:t xml:space="preserve">）建设用地土壤风险防控：对拟收回土地使用权的相关行业企业用地，以及用途拟变更为居住和商业、学校、医疗、养老机构等公共设施的企业用地开展土壤环境状况调查评估。 </w:t>
                  </w:r>
                </w:p>
                <w:p>
                  <w:pPr>
                    <w:adjustRightInd w:val="0"/>
                    <w:snapToGrid w:val="0"/>
                    <w:jc w:val="both"/>
                    <w:rPr>
                      <w:rFonts w:ascii="Times New Roman" w:hAnsi="Times New Roman" w:eastAsia="宋体" w:cs="Times New Roman"/>
                      <w:bCs/>
                      <w:color w:val="FF0000"/>
                      <w:sz w:val="21"/>
                      <w:szCs w:val="21"/>
                      <w:u w:val="single"/>
                    </w:rPr>
                  </w:pPr>
                  <w:r>
                    <w:rPr>
                      <w:rFonts w:hint="eastAsia" w:ascii="Times New Roman" w:hAnsi="Times New Roman" w:eastAsia="宋体" w:cs="Times New Roman"/>
                      <w:bCs/>
                      <w:color w:val="FF0000"/>
                      <w:sz w:val="21"/>
                      <w:szCs w:val="21"/>
                      <w:u w:val="single"/>
                      <w:lang w:val="en-US" w:eastAsia="zh-CN"/>
                    </w:rPr>
                    <w:t>（</w:t>
                  </w:r>
                  <w:r>
                    <w:rPr>
                      <w:rFonts w:hint="default" w:ascii="Times New Roman" w:hAnsi="Times New Roman" w:eastAsia="宋体" w:cs="Times New Roman"/>
                      <w:bCs/>
                      <w:color w:val="FF0000"/>
                      <w:sz w:val="21"/>
                      <w:szCs w:val="21"/>
                      <w:u w:val="single"/>
                      <w:lang w:val="en-US" w:eastAsia="zh-CN"/>
                    </w:rPr>
                    <w:t>3.4</w:t>
                  </w:r>
                  <w:r>
                    <w:rPr>
                      <w:rFonts w:hint="eastAsia" w:ascii="Times New Roman" w:hAnsi="Times New Roman" w:eastAsia="宋体" w:cs="Times New Roman"/>
                      <w:bCs/>
                      <w:color w:val="FF0000"/>
                      <w:sz w:val="21"/>
                      <w:szCs w:val="21"/>
                      <w:u w:val="single"/>
                      <w:lang w:val="en-US" w:eastAsia="zh-CN"/>
                    </w:rPr>
                    <w:t>）农用地土壤风险防控：拟开发为农用地的，地方人民政府组织开展土壤环境质量状况评估；不符合相应标准的，不得种植食用农产品。</w:t>
                  </w:r>
                </w:p>
                <w:p>
                  <w:pPr>
                    <w:adjustRightInd w:val="0"/>
                    <w:snapToGrid w:val="0"/>
                    <w:jc w:val="both"/>
                    <w:rPr>
                      <w:rFonts w:ascii="Times New Roman" w:hAnsi="Times New Roman" w:eastAsia="宋体" w:cs="Times New Roman"/>
                      <w:bCs/>
                      <w:color w:val="FF0000"/>
                      <w:sz w:val="21"/>
                      <w:szCs w:val="21"/>
                      <w:u w:val="single"/>
                    </w:rPr>
                  </w:pPr>
                  <w:r>
                    <w:rPr>
                      <w:rFonts w:hint="eastAsia" w:ascii="Times New Roman" w:hAnsi="Times New Roman" w:eastAsia="宋体" w:cs="Times New Roman"/>
                      <w:bCs/>
                      <w:color w:val="FF0000"/>
                      <w:sz w:val="21"/>
                      <w:szCs w:val="21"/>
                      <w:u w:val="single"/>
                      <w:lang w:val="en-US" w:eastAsia="zh-CN"/>
                    </w:rPr>
                    <w:t>项目位于湘阴县工业园内，该工业园编制了《湖南湘阴工业园区突发环境事件应急预案》，本项目地面进行了硬化处理、制定了安全生产制度等，</w:t>
                  </w:r>
                  <w:r>
                    <w:rPr>
                      <w:rFonts w:ascii="Times New Roman" w:hAnsi="Times New Roman" w:eastAsia="宋体" w:cs="Times New Roman"/>
                      <w:bCs/>
                      <w:color w:val="FF0000"/>
                      <w:sz w:val="21"/>
                      <w:szCs w:val="21"/>
                      <w:u w:val="single"/>
                    </w:rPr>
                    <w:t>污染防治措施完善，符合环境风险防控要求。</w:t>
                  </w:r>
                </w:p>
                <w:p>
                  <w:pPr>
                    <w:adjustRightInd w:val="0"/>
                    <w:snapToGrid w:val="0"/>
                    <w:jc w:val="both"/>
                    <w:rPr>
                      <w:rFonts w:hint="default" w:ascii="宋体" w:hAnsi="宋体" w:cs="宋体"/>
                      <w:color w:val="FF0000"/>
                      <w:kern w:val="0"/>
                      <w:sz w:val="21"/>
                      <w:szCs w:val="21"/>
                      <w:u w:val="single"/>
                      <w:vertAlign w:val="baseline"/>
                      <w:lang w:val="en-US" w:eastAsia="zh-CN"/>
                    </w:rPr>
                  </w:pPr>
                </w:p>
              </w:tc>
            </w:tr>
          </w:tbl>
          <w:p>
            <w:pPr>
              <w:numPr>
                <w:ilvl w:val="0"/>
                <w:numId w:val="0"/>
              </w:numPr>
              <w:bidi w:val="0"/>
              <w:spacing w:line="360" w:lineRule="auto"/>
              <w:jc w:val="both"/>
              <w:rPr>
                <w:rFonts w:hint="default" w:ascii="宋体" w:hAnsi="宋体" w:cs="宋体"/>
                <w:color w:val="FF0000"/>
                <w:kern w:val="0"/>
                <w:sz w:val="24"/>
                <w:szCs w:val="24"/>
                <w:u w:val="single"/>
                <w:lang w:val="en-US" w:eastAsia="zh-CN"/>
              </w:rPr>
            </w:pPr>
            <w:r>
              <w:rPr>
                <w:rFonts w:hint="eastAsia" w:ascii="宋体" w:hAnsi="宋体" w:cs="宋体"/>
                <w:color w:val="FF0000"/>
                <w:kern w:val="0"/>
                <w:sz w:val="24"/>
                <w:szCs w:val="24"/>
                <w:u w:val="single"/>
                <w:lang w:val="en-US" w:eastAsia="zh-CN"/>
              </w:rPr>
              <w:t>7、选址合理性分析</w:t>
            </w:r>
          </w:p>
          <w:p>
            <w:pPr>
              <w:numPr>
                <w:ilvl w:val="0"/>
                <w:numId w:val="0"/>
              </w:numPr>
              <w:bidi w:val="0"/>
              <w:spacing w:line="360" w:lineRule="auto"/>
              <w:ind w:firstLine="480" w:firstLineChars="200"/>
              <w:rPr>
                <w:rFonts w:hint="eastAsia" w:ascii="宋体" w:hAnsi="宋体" w:cs="宋体"/>
                <w:color w:val="FF0000"/>
                <w:kern w:val="0"/>
                <w:sz w:val="24"/>
                <w:szCs w:val="24"/>
                <w:u w:val="single"/>
                <w:lang w:val="en-US" w:eastAsia="zh-CN"/>
              </w:rPr>
            </w:pPr>
            <w:r>
              <w:rPr>
                <w:rFonts w:hint="eastAsia" w:ascii="宋体" w:hAnsi="宋体" w:cs="宋体"/>
                <w:color w:val="FF0000"/>
                <w:kern w:val="0"/>
                <w:sz w:val="24"/>
                <w:szCs w:val="24"/>
                <w:u w:val="single"/>
                <w:lang w:val="en-US" w:eastAsia="zh-CN"/>
              </w:rPr>
              <w:t>本项目位于湖南省岳阳市湘阴县工业园区顺天大道以南，属工业用地，项目属于机械制造类，符合</w:t>
            </w:r>
            <w:r>
              <w:rPr>
                <w:rFonts w:hint="default" w:ascii="Times New Roman" w:hAnsi="Times New Roman" w:eastAsia="宋体" w:cs="Times New Roman"/>
                <w:color w:val="FF0000"/>
                <w:kern w:val="0"/>
                <w:sz w:val="24"/>
                <w:szCs w:val="24"/>
                <w:u w:val="single"/>
                <w:lang w:val="en-US" w:eastAsia="zh-CN" w:bidi="ar"/>
              </w:rPr>
              <w:t>湖南湘阴高新技术产业开发区</w:t>
            </w:r>
            <w:r>
              <w:rPr>
                <w:rFonts w:hint="eastAsia" w:ascii="宋体" w:hAnsi="宋体" w:cs="宋体"/>
                <w:color w:val="FF0000"/>
                <w:kern w:val="0"/>
                <w:sz w:val="24"/>
                <w:szCs w:val="24"/>
                <w:u w:val="single"/>
                <w:lang w:val="en-US" w:eastAsia="zh-CN"/>
              </w:rPr>
              <w:t>以</w:t>
            </w:r>
            <w:r>
              <w:rPr>
                <w:rFonts w:hint="default" w:ascii="Times New Roman" w:hAnsi="Times New Roman" w:eastAsia="宋体" w:cs="Times New Roman"/>
                <w:color w:val="FF0000"/>
                <w:kern w:val="0"/>
                <w:sz w:val="24"/>
                <w:szCs w:val="24"/>
                <w:u w:val="single"/>
                <w:lang w:val="en-US" w:eastAsia="zh-CN" w:bidi="ar"/>
              </w:rPr>
              <w:t>绿色装备制造、绿色建筑建材、绿色食品加工</w:t>
            </w:r>
            <w:r>
              <w:rPr>
                <w:rFonts w:hint="eastAsia" w:ascii="宋体" w:hAnsi="宋体" w:cs="宋体"/>
                <w:color w:val="FF0000"/>
                <w:kern w:val="0"/>
                <w:sz w:val="24"/>
                <w:szCs w:val="24"/>
                <w:u w:val="single"/>
                <w:lang w:val="en-US" w:eastAsia="zh-CN"/>
              </w:rPr>
              <w:t>为主导的总体规划要求，同时，根据项目建设用地规划许可证，本项目所在地规划为二类工业用地，本项目为机加工项目，符合</w:t>
            </w:r>
            <w:r>
              <w:rPr>
                <w:rFonts w:hint="default" w:ascii="Times New Roman" w:hAnsi="Times New Roman" w:eastAsia="宋体" w:cs="Times New Roman"/>
                <w:color w:val="FF0000"/>
                <w:kern w:val="0"/>
                <w:sz w:val="24"/>
                <w:szCs w:val="24"/>
                <w:u w:val="single"/>
                <w:lang w:val="en-US" w:eastAsia="zh-CN" w:bidi="ar"/>
              </w:rPr>
              <w:t>湖南湘阴高新技术产业开发区</w:t>
            </w:r>
            <w:r>
              <w:rPr>
                <w:rFonts w:hint="eastAsia" w:ascii="宋体" w:hAnsi="宋体" w:cs="宋体"/>
                <w:color w:val="FF0000"/>
                <w:kern w:val="0"/>
                <w:sz w:val="24"/>
                <w:szCs w:val="24"/>
                <w:u w:val="single"/>
                <w:lang w:val="en-US" w:eastAsia="zh-CN"/>
              </w:rPr>
              <w:t>用地规划；评价区域内空气、纳污水体环境质量、声环境质量基本能满足相应功能区要求，有一定的环境容量；项目技术成熟先进，产品市场畅销；本项目投产后可以为当地村民创造更多的就业机会，带动当地经济发展；该项目技术优势明显，环保设备能达标并稳定运行，项目投产后对周围环境的符合相关标准要求。</w:t>
            </w:r>
          </w:p>
          <w:p>
            <w:pPr>
              <w:numPr>
                <w:ilvl w:val="0"/>
                <w:numId w:val="0"/>
              </w:numPr>
              <w:bidi w:val="0"/>
              <w:spacing w:line="360" w:lineRule="auto"/>
              <w:ind w:firstLine="480" w:firstLineChars="200"/>
              <w:rPr>
                <w:rFonts w:hint="eastAsia" w:ascii="宋体" w:hAnsi="宋体" w:cs="宋体"/>
                <w:color w:val="FF0000"/>
                <w:kern w:val="0"/>
                <w:sz w:val="24"/>
                <w:szCs w:val="24"/>
                <w:u w:val="single"/>
                <w:lang w:val="en-US" w:eastAsia="zh-CN"/>
              </w:rPr>
            </w:pPr>
            <w:r>
              <w:rPr>
                <w:rFonts w:hint="eastAsia" w:ascii="宋体" w:hAnsi="宋体" w:cs="宋体"/>
                <w:color w:val="FF0000"/>
                <w:kern w:val="0"/>
                <w:sz w:val="24"/>
                <w:szCs w:val="24"/>
                <w:u w:val="single"/>
                <w:lang w:val="en-US" w:eastAsia="zh-CN"/>
              </w:rPr>
              <w:t>综上所述，本项目的区位优势明显，符合规划、环保等方面的相关要求，选址合理。</w:t>
            </w:r>
          </w:p>
          <w:p>
            <w:pPr>
              <w:numPr>
                <w:ilvl w:val="0"/>
                <w:numId w:val="0"/>
              </w:numPr>
              <w:bidi w:val="0"/>
              <w:spacing w:line="360" w:lineRule="auto"/>
              <w:rPr>
                <w:rFonts w:hint="default" w:ascii="宋体" w:hAnsi="宋体" w:cs="宋体"/>
                <w:color w:val="FF0000"/>
                <w:kern w:val="0"/>
                <w:sz w:val="24"/>
                <w:szCs w:val="24"/>
                <w:u w:val="single"/>
                <w:lang w:val="en-US" w:eastAsia="zh-CN"/>
              </w:rPr>
            </w:pPr>
            <w:r>
              <w:rPr>
                <w:rFonts w:hint="eastAsia" w:ascii="宋体" w:hAnsi="宋体" w:cs="宋体"/>
                <w:color w:val="FF0000"/>
                <w:kern w:val="0"/>
                <w:sz w:val="24"/>
                <w:szCs w:val="24"/>
                <w:u w:val="single"/>
                <w:lang w:val="en-US" w:eastAsia="zh-CN"/>
              </w:rPr>
              <w:t>8、平面布置合理性分析</w:t>
            </w:r>
          </w:p>
          <w:p>
            <w:pPr>
              <w:numPr>
                <w:ilvl w:val="0"/>
                <w:numId w:val="0"/>
              </w:numPr>
              <w:bidi w:val="0"/>
              <w:spacing w:line="360" w:lineRule="auto"/>
              <w:ind w:firstLine="480" w:firstLineChars="200"/>
              <w:rPr>
                <w:rFonts w:hint="eastAsia" w:ascii="宋体" w:hAnsi="宋体" w:eastAsia="宋体" w:cs="宋体"/>
                <w:color w:val="FF0000"/>
                <w:kern w:val="0"/>
                <w:sz w:val="24"/>
                <w:szCs w:val="24"/>
                <w:u w:val="single"/>
                <w:lang w:val="en-US" w:eastAsia="zh-CN"/>
              </w:rPr>
            </w:pPr>
            <w:r>
              <w:rPr>
                <w:rFonts w:hint="eastAsia" w:ascii="宋体" w:hAnsi="宋体" w:cs="宋体"/>
                <w:color w:val="FF0000"/>
                <w:kern w:val="0"/>
                <w:sz w:val="24"/>
                <w:szCs w:val="24"/>
                <w:u w:val="single"/>
                <w:lang w:val="en-US" w:eastAsia="zh-CN"/>
              </w:rPr>
              <w:t>项目依托湖南定宇新材</w:t>
            </w:r>
            <w:r>
              <w:rPr>
                <w:rFonts w:hint="eastAsia" w:ascii="宋体" w:hAnsi="宋体" w:eastAsia="宋体" w:cs="宋体"/>
                <w:color w:val="FF0000"/>
                <w:kern w:val="0"/>
                <w:sz w:val="24"/>
                <w:szCs w:val="24"/>
                <w:u w:val="single"/>
                <w:lang w:val="en-US" w:eastAsia="zh-CN"/>
              </w:rPr>
              <w:t>料科技有限公司现有厂房，项目共建设四个生产车间，每个车间设置一条生产线，平面布置考虑了生产的特点，工艺顺畅，各工序衔接紧凑，利于生产活动，功能分区明确，环保设施齐全，将其活动对外界环境的影响降低到最小程度。东面</w:t>
            </w:r>
            <w:r>
              <w:rPr>
                <w:rFonts w:hint="eastAsia" w:ascii="宋体" w:hAnsi="宋体" w:cs="宋体"/>
                <w:color w:val="FF0000"/>
                <w:kern w:val="0"/>
                <w:sz w:val="24"/>
                <w:szCs w:val="24"/>
                <w:u w:val="single"/>
                <w:lang w:val="en-US" w:eastAsia="zh-CN"/>
              </w:rPr>
              <w:t>、西面</w:t>
            </w:r>
            <w:r>
              <w:rPr>
                <w:rFonts w:hint="eastAsia" w:ascii="宋体" w:hAnsi="宋体" w:eastAsia="宋体" w:cs="宋体"/>
                <w:color w:val="FF0000"/>
                <w:kern w:val="0"/>
                <w:sz w:val="24"/>
                <w:szCs w:val="24"/>
                <w:u w:val="single"/>
                <w:lang w:val="en-US" w:eastAsia="zh-CN"/>
              </w:rPr>
              <w:t>和北面</w:t>
            </w:r>
            <w:r>
              <w:rPr>
                <w:rFonts w:hint="eastAsia" w:ascii="宋体" w:hAnsi="宋体" w:cs="宋体"/>
                <w:color w:val="FF0000"/>
                <w:kern w:val="0"/>
                <w:sz w:val="24"/>
                <w:szCs w:val="24"/>
                <w:u w:val="single"/>
                <w:lang w:val="en-US" w:eastAsia="zh-CN"/>
              </w:rPr>
              <w:t>三</w:t>
            </w:r>
            <w:r>
              <w:rPr>
                <w:rFonts w:hint="eastAsia" w:ascii="宋体" w:hAnsi="宋体" w:eastAsia="宋体" w:cs="宋体"/>
                <w:color w:val="FF0000"/>
                <w:kern w:val="0"/>
                <w:sz w:val="24"/>
                <w:szCs w:val="24"/>
                <w:u w:val="single"/>
                <w:lang w:val="en-US" w:eastAsia="zh-CN"/>
              </w:rPr>
              <w:t>侧临近道路，设置四个进出口，方便人流物流通畅。</w:t>
            </w:r>
          </w:p>
          <w:p>
            <w:pPr>
              <w:numPr>
                <w:ilvl w:val="0"/>
                <w:numId w:val="0"/>
              </w:numPr>
              <w:bidi w:val="0"/>
              <w:spacing w:line="360" w:lineRule="auto"/>
              <w:ind w:firstLine="480" w:firstLineChars="200"/>
              <w:rPr>
                <w:rFonts w:hint="eastAsia" w:ascii="宋体" w:hAnsi="宋体" w:eastAsia="宋体" w:cs="宋体"/>
                <w:color w:val="FF0000"/>
                <w:kern w:val="0"/>
                <w:sz w:val="21"/>
                <w:szCs w:val="21"/>
                <w:lang w:val="en-US" w:eastAsia="zh-CN"/>
              </w:rPr>
            </w:pPr>
            <w:r>
              <w:rPr>
                <w:rFonts w:hint="eastAsia" w:ascii="宋体" w:hAnsi="宋体" w:eastAsia="宋体" w:cs="宋体"/>
                <w:color w:val="FF0000"/>
                <w:kern w:val="0"/>
                <w:sz w:val="24"/>
                <w:szCs w:val="24"/>
                <w:u w:val="single"/>
                <w:lang w:val="en-US" w:eastAsia="zh-CN"/>
              </w:rPr>
              <w:t>综上所述，本项目总体布局和功能分区充分考虑了位置、朝向等各个因素，各类污染防治措施布置合理可行，保证了污染物的达标排放及合理处置。</w:t>
            </w:r>
          </w:p>
        </w:tc>
      </w:tr>
    </w:tbl>
    <w:p>
      <w:pPr>
        <w:spacing w:line="360" w:lineRule="auto"/>
        <w:outlineLvl w:val="0"/>
        <w:rPr>
          <w:rFonts w:eastAsia="黑体"/>
          <w:sz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1"/>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2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32" w:hRule="atLeast"/>
          <w:jc w:val="center"/>
        </w:trPr>
        <w:tc>
          <w:tcPr>
            <w:tcW w:w="823" w:type="dxa"/>
            <w:noWrap w:val="0"/>
            <w:vAlign w:val="center"/>
          </w:tcPr>
          <w:p>
            <w:pPr>
              <w:pStyle w:val="11"/>
              <w:adjustRightInd w:val="0"/>
              <w:snapToGrid w:val="0"/>
              <w:spacing w:before="0" w:beforeAutospacing="0" w:after="0" w:afterAutospacing="0"/>
              <w:jc w:val="center"/>
              <w:rPr>
                <w:rFonts w:cs="宋体"/>
                <w:sz w:val="21"/>
                <w:szCs w:val="21"/>
              </w:rPr>
            </w:pPr>
            <w:r>
              <w:rPr>
                <w:rFonts w:hint="eastAsia" w:cs="宋体"/>
                <w:sz w:val="24"/>
                <w:szCs w:val="24"/>
              </w:rPr>
              <w:t>建设内容</w:t>
            </w:r>
          </w:p>
        </w:tc>
        <w:tc>
          <w:tcPr>
            <w:tcW w:w="8161" w:type="dxa"/>
            <w:noWrap w:val="0"/>
            <w:vAlign w:val="top"/>
          </w:tcPr>
          <w:p>
            <w:pPr>
              <w:adjustRightInd w:val="0"/>
              <w:snapToGrid w:val="0"/>
              <w:spacing w:line="360" w:lineRule="auto"/>
              <w:jc w:val="both"/>
              <w:rPr>
                <w:rFonts w:hint="default"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1.项目建设背景及项目由来</w:t>
            </w:r>
          </w:p>
          <w:p>
            <w:pPr>
              <w:adjustRightInd w:val="0"/>
              <w:snapToGrid w:val="0"/>
              <w:spacing w:line="360" w:lineRule="auto"/>
              <w:ind w:firstLine="480" w:firstLineChars="200"/>
              <w:jc w:val="both"/>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湖南定宇新材料科技有限公司成立于2012年，位于湖南湘阴工业园顺天大道南侧。湖南定宇新材料科技有限公司于2018年10月委托湖南景玺环保科技有限公司编制了《湖南定宇新材料科技有限公司年产40万吨镀锌型材技改项目环境影响报告表》，2018年11月28日岳阳市环境保护局对该项目环评文件出具了审批意见（岳环评批[2018]128号）</w:t>
            </w:r>
            <w:r>
              <w:rPr>
                <w:rFonts w:hint="eastAsia" w:ascii="宋体" w:hAnsi="宋体" w:cs="宋体"/>
                <w:bCs/>
                <w:sz w:val="24"/>
                <w:szCs w:val="24"/>
                <w:lang w:eastAsia="zh-CN"/>
              </w:rPr>
              <w:t>，</w:t>
            </w:r>
            <w:r>
              <w:rPr>
                <w:rFonts w:hint="eastAsia" w:ascii="宋体" w:hAnsi="宋体" w:cs="宋体"/>
                <w:bCs/>
                <w:color w:val="000000" w:themeColor="text1"/>
                <w:sz w:val="24"/>
                <w:szCs w:val="24"/>
                <w:lang w:val="en-US" w:eastAsia="zh-CN"/>
                <w14:textFill>
                  <w14:solidFill>
                    <w14:schemeClr w14:val="tx1"/>
                  </w14:solidFill>
                </w14:textFill>
              </w:rPr>
              <w:t>详见附件</w:t>
            </w:r>
            <w:r>
              <w:rPr>
                <w:rFonts w:hint="eastAsia" w:ascii="宋体" w:hAnsi="宋体" w:cs="宋体"/>
                <w:bCs/>
                <w:color w:val="000000" w:themeColor="text1"/>
                <w:sz w:val="24"/>
                <w:szCs w:val="24"/>
                <w14:textFill>
                  <w14:solidFill>
                    <w14:schemeClr w14:val="tx1"/>
                  </w14:solidFill>
                </w14:textFill>
              </w:rPr>
              <w:t>。项目于2018年11月开工建设，项目已于2019年3月2日完成了自主验收，（详见附件</w:t>
            </w:r>
            <w:r>
              <w:rPr>
                <w:rFonts w:hint="eastAsia" w:ascii="宋体" w:hAnsi="宋体" w:cs="宋体"/>
                <w:bCs/>
                <w:color w:val="000000" w:themeColor="text1"/>
                <w:sz w:val="24"/>
                <w:szCs w:val="24"/>
                <w:lang w:val="en-US" w:eastAsia="zh-CN"/>
                <w14:textFill>
                  <w14:solidFill>
                    <w14:schemeClr w14:val="tx1"/>
                  </w14:solidFill>
                </w14:textFill>
              </w:rPr>
              <w:t>五</w:t>
            </w:r>
            <w:r>
              <w:rPr>
                <w:rFonts w:hint="eastAsia" w:ascii="宋体" w:hAnsi="宋体" w:cs="宋体"/>
                <w:bCs/>
                <w:color w:val="000000" w:themeColor="text1"/>
                <w:sz w:val="24"/>
                <w:szCs w:val="24"/>
                <w14:textFill>
                  <w14:solidFill>
                    <w14:schemeClr w14:val="tx1"/>
                  </w14:solidFill>
                </w14:textFill>
              </w:rPr>
              <w:t>）。</w:t>
            </w:r>
          </w:p>
          <w:p>
            <w:pPr>
              <w:adjustRightInd w:val="0"/>
              <w:snapToGrid w:val="0"/>
              <w:spacing w:line="360" w:lineRule="auto"/>
              <w:ind w:firstLine="480" w:firstLineChars="200"/>
              <w:jc w:val="both"/>
              <w:rPr>
                <w:rFonts w:hint="eastAsia" w:ascii="宋体" w:hAnsi="宋体" w:cs="宋体"/>
                <w:bCs/>
                <w:color w:val="FF0000"/>
                <w:sz w:val="24"/>
                <w:szCs w:val="24"/>
                <w:u w:val="single"/>
              </w:rPr>
            </w:pPr>
            <w:r>
              <w:rPr>
                <w:rFonts w:hint="eastAsia" w:ascii="宋体" w:hAnsi="宋体" w:cs="宋体"/>
                <w:bCs/>
                <w:color w:val="FF0000"/>
                <w:sz w:val="24"/>
                <w:szCs w:val="24"/>
                <w:u w:val="single"/>
              </w:rPr>
              <w:t>原环评批复建设内容</w:t>
            </w:r>
            <w:r>
              <w:rPr>
                <w:rFonts w:hint="eastAsia" w:ascii="宋体" w:hAnsi="宋体" w:cs="宋体"/>
                <w:bCs/>
                <w:color w:val="FF0000"/>
                <w:sz w:val="24"/>
                <w:szCs w:val="24"/>
                <w:u w:val="single"/>
                <w:lang w:val="en-US" w:eastAsia="zh-CN"/>
              </w:rPr>
              <w:t>包括在项目厂区东侧厂房（现4#车间）建设3条热镀锌生产线</w:t>
            </w:r>
            <w:r>
              <w:rPr>
                <w:rFonts w:hint="eastAsia" w:ascii="宋体" w:hAnsi="宋体" w:cs="宋体"/>
                <w:bCs/>
                <w:color w:val="FF0000"/>
                <w:sz w:val="24"/>
                <w:szCs w:val="24"/>
                <w:u w:val="single"/>
              </w:rPr>
              <w:t>。目前，现有</w:t>
            </w:r>
            <w:r>
              <w:rPr>
                <w:rFonts w:hint="eastAsia" w:ascii="宋体" w:hAnsi="宋体" w:cs="宋体"/>
                <w:bCs/>
                <w:color w:val="FF0000"/>
                <w:sz w:val="24"/>
                <w:szCs w:val="24"/>
                <w:u w:val="single"/>
                <w:lang w:val="en-US" w:eastAsia="zh-CN"/>
              </w:rPr>
              <w:t>工程建设为1#和2#镀锌生产线，3#镀锌生产线未建设，4#车间南侧部分闲置</w:t>
            </w:r>
            <w:r>
              <w:rPr>
                <w:rFonts w:hint="eastAsia" w:ascii="宋体" w:hAnsi="宋体" w:cs="宋体"/>
                <w:bCs/>
                <w:color w:val="FF0000"/>
                <w:sz w:val="24"/>
                <w:szCs w:val="24"/>
                <w:u w:val="single"/>
              </w:rPr>
              <w:t>。</w:t>
            </w:r>
          </w:p>
          <w:p>
            <w:pPr>
              <w:adjustRightInd w:val="0"/>
              <w:snapToGrid w:val="0"/>
              <w:spacing w:line="360" w:lineRule="auto"/>
              <w:ind w:firstLine="480" w:firstLineChars="200"/>
              <w:jc w:val="both"/>
              <w:rPr>
                <w:rFonts w:hint="eastAsia" w:ascii="宋体" w:hAnsi="宋体" w:cs="宋体"/>
                <w:bCs/>
                <w:color w:val="FF0000"/>
                <w:sz w:val="24"/>
                <w:szCs w:val="24"/>
                <w:lang w:val="en-US" w:eastAsia="zh-CN"/>
              </w:rPr>
            </w:pPr>
            <w:r>
              <w:rPr>
                <w:rFonts w:hint="eastAsia" w:ascii="宋体" w:hAnsi="宋体" w:cs="宋体"/>
                <w:bCs/>
                <w:color w:val="FF0000"/>
                <w:sz w:val="24"/>
                <w:szCs w:val="24"/>
                <w:u w:val="single"/>
              </w:rPr>
              <w:t>考虑到市场行情，湖南定宇新材料科技有限公司投资800万元，在公司现有的</w:t>
            </w:r>
            <w:r>
              <w:rPr>
                <w:rFonts w:hint="eastAsia" w:ascii="宋体" w:hAnsi="宋体" w:cs="宋体"/>
                <w:bCs/>
                <w:color w:val="FF0000"/>
                <w:sz w:val="24"/>
                <w:szCs w:val="24"/>
                <w:u w:val="single"/>
                <w:lang w:val="en-US" w:eastAsia="zh-CN"/>
              </w:rPr>
              <w:t>闲置</w:t>
            </w:r>
            <w:r>
              <w:rPr>
                <w:rFonts w:hint="eastAsia" w:ascii="宋体" w:hAnsi="宋体" w:cs="宋体"/>
                <w:bCs/>
                <w:color w:val="FF0000"/>
                <w:sz w:val="24"/>
                <w:szCs w:val="24"/>
                <w:u w:val="single"/>
              </w:rPr>
              <w:t>厂房内新建</w:t>
            </w:r>
            <w:r>
              <w:rPr>
                <w:rFonts w:hint="eastAsia" w:ascii="宋体" w:hAnsi="宋体" w:cs="宋体"/>
                <w:bCs/>
                <w:color w:val="FF0000"/>
                <w:sz w:val="24"/>
                <w:szCs w:val="24"/>
                <w:u w:val="single"/>
                <w:lang w:val="en-US" w:eastAsia="zh-CN"/>
              </w:rPr>
              <w:t>机加工基地建设，共4</w:t>
            </w:r>
            <w:r>
              <w:rPr>
                <w:rFonts w:hint="eastAsia" w:ascii="宋体" w:hAnsi="宋体" w:cs="宋体"/>
                <w:bCs/>
                <w:color w:val="FF0000"/>
                <w:sz w:val="24"/>
                <w:szCs w:val="24"/>
                <w:u w:val="single"/>
              </w:rPr>
              <w:t>条机加工生产线</w:t>
            </w:r>
            <w:r>
              <w:rPr>
                <w:rFonts w:hint="eastAsia" w:ascii="宋体" w:hAnsi="宋体" w:cs="宋体"/>
                <w:bCs/>
                <w:color w:val="FF0000"/>
                <w:sz w:val="24"/>
                <w:szCs w:val="24"/>
                <w:u w:val="single"/>
                <w:lang w:eastAsia="zh-CN"/>
              </w:rPr>
              <w:t>。</w:t>
            </w:r>
            <w:r>
              <w:rPr>
                <w:rFonts w:hint="eastAsia" w:ascii="宋体" w:hAnsi="宋体" w:cs="宋体"/>
                <w:bCs/>
                <w:color w:val="FF0000"/>
                <w:sz w:val="24"/>
                <w:szCs w:val="24"/>
                <w:u w:val="single"/>
                <w:lang w:val="en-US" w:eastAsia="zh-CN"/>
              </w:rPr>
              <w:t>项目于2019年1月开始建设，2019年6月竣工，属于未批先建项目，相关部门已下达行政处罚（详见附件六），项目建设地原计划征收拆迁，故未及时补办相关环保手续，现今因政策变化，建设方完善相关环保手续后重新开始生产。</w:t>
            </w:r>
          </w:p>
          <w:p>
            <w:pPr>
              <w:adjustRightInd w:val="0"/>
              <w:snapToGrid w:val="0"/>
              <w:spacing w:line="360" w:lineRule="auto"/>
              <w:ind w:firstLine="480" w:firstLineChars="200"/>
              <w:jc w:val="both"/>
              <w:rPr>
                <w:rFonts w:hint="eastAsia" w:ascii="宋体" w:hAnsi="宋体" w:cs="宋体"/>
                <w:sz w:val="24"/>
                <w:szCs w:val="24"/>
                <w:lang w:val="en-US" w:eastAsia="zh-CN"/>
              </w:rPr>
            </w:pPr>
            <w:r>
              <w:rPr>
                <w:rFonts w:hint="eastAsia" w:ascii="宋体" w:hAnsi="宋体" w:cs="宋体"/>
                <w:sz w:val="24"/>
                <w:szCs w:val="24"/>
                <w:lang w:val="en-US" w:eastAsia="zh-CN"/>
              </w:rPr>
              <w:t>依据《中华人民共和国环境保护法》、《中华人民共和国环境影响评价法》、国务院令第682号《建设项目环境保护管理条例》以及《建设项目环境影响评价分类管理名录》（2021）中“三十、金属制品业33结构性金属制品制造331 ”，因此须编制环境影响报告表类型。</w:t>
            </w:r>
            <w:r>
              <w:rPr>
                <w:rFonts w:hint="eastAsia" w:ascii="宋体" w:hAnsi="宋体" w:cs="宋体"/>
                <w:bCs/>
                <w:sz w:val="24"/>
                <w:szCs w:val="24"/>
              </w:rPr>
              <w:t>湖南定宇新材料科技有限公司</w:t>
            </w:r>
            <w:r>
              <w:rPr>
                <w:rFonts w:hint="eastAsia" w:ascii="宋体" w:hAnsi="宋体" w:cs="宋体"/>
                <w:sz w:val="24"/>
                <w:szCs w:val="24"/>
                <w:lang w:val="en-US" w:eastAsia="zh-CN"/>
              </w:rPr>
              <w:t>委托湖南汇青环保科技有限公司（以下简称“我公司”）承担本项目的环境影响评价工作。我公司在接受委托后，对建设地进行了现场踏勘、调查，收集了有关该项目的资料，结合建设项目的具体内容，根据国家环保法规、标准和环境影响评价技术导则编制了本项目环境影响报告表。</w:t>
            </w:r>
          </w:p>
          <w:p>
            <w:pPr>
              <w:numPr>
                <w:ilvl w:val="0"/>
                <w:numId w:val="0"/>
              </w:numPr>
              <w:adjustRightInd w:val="0"/>
              <w:snapToGrid w:val="0"/>
              <w:spacing w:line="360" w:lineRule="auto"/>
              <w:jc w:val="both"/>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2.项目概况</w:t>
            </w:r>
          </w:p>
          <w:p>
            <w:pPr>
              <w:numPr>
                <w:ilvl w:val="0"/>
                <w:numId w:val="0"/>
              </w:numPr>
              <w:adjustRightInd w:val="0"/>
              <w:snapToGrid w:val="0"/>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1）项目名称：机加工基地（年产7600吨钢结构件）扩建项目</w:t>
            </w:r>
          </w:p>
          <w:p>
            <w:pPr>
              <w:numPr>
                <w:ilvl w:val="0"/>
                <w:numId w:val="0"/>
              </w:numPr>
              <w:adjustRightInd w:val="0"/>
              <w:snapToGrid w:val="0"/>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2）项目性质：扩建</w:t>
            </w:r>
          </w:p>
          <w:p>
            <w:pPr>
              <w:numPr>
                <w:ilvl w:val="0"/>
                <w:numId w:val="0"/>
              </w:numPr>
              <w:adjustRightInd w:val="0"/>
              <w:snapToGrid w:val="0"/>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3）项目总投资：800万元</w:t>
            </w:r>
          </w:p>
          <w:p>
            <w:pPr>
              <w:numPr>
                <w:ilvl w:val="0"/>
                <w:numId w:val="0"/>
              </w:numPr>
              <w:adjustRightInd w:val="0"/>
              <w:snapToGrid w:val="0"/>
              <w:spacing w:line="360" w:lineRule="auto"/>
              <w:ind w:firstLine="480" w:firstLineChars="200"/>
              <w:jc w:val="both"/>
              <w:rPr>
                <w:rFonts w:hint="default" w:ascii="宋体" w:hAnsi="宋体" w:cs="宋体"/>
                <w:bCs/>
                <w:color w:val="0000FF"/>
                <w:sz w:val="24"/>
                <w:szCs w:val="24"/>
                <w:lang w:val="en-US" w:eastAsia="zh-CN"/>
              </w:rPr>
            </w:pPr>
            <w:r>
              <w:rPr>
                <w:rFonts w:hint="eastAsia" w:ascii="宋体" w:hAnsi="宋体" w:cs="宋体"/>
                <w:bCs/>
                <w:sz w:val="24"/>
                <w:szCs w:val="24"/>
                <w:lang w:val="en-US" w:eastAsia="zh-CN"/>
              </w:rPr>
              <w:t>4）项目位置：湖南省岳阳市湘阴县工业园区顺天大道南侧。（中心位置：1#~3#车间112度54分30.511秒，28度37分53.724秒；4#车间112度54分36.691秒，28度37分46.617秒）；</w:t>
            </w:r>
            <w:r>
              <w:rPr>
                <w:rFonts w:hint="eastAsia" w:ascii="宋体" w:hAnsi="宋体" w:cs="宋体"/>
                <w:bCs/>
                <w:color w:val="000000" w:themeColor="text1"/>
                <w:sz w:val="24"/>
                <w:szCs w:val="24"/>
                <w:lang w:val="en-US" w:eastAsia="zh-CN"/>
                <w14:textFill>
                  <w14:solidFill>
                    <w14:schemeClr w14:val="tx1"/>
                  </w14:solidFill>
                </w14:textFill>
              </w:rPr>
              <w:t>详见附图1项目地理位置示意图。</w:t>
            </w:r>
          </w:p>
          <w:p>
            <w:pPr>
              <w:numPr>
                <w:ilvl w:val="0"/>
                <w:numId w:val="0"/>
              </w:numPr>
              <w:adjustRightInd w:val="0"/>
              <w:snapToGrid w:val="0"/>
              <w:spacing w:line="360" w:lineRule="auto"/>
              <w:jc w:val="both"/>
              <w:rPr>
                <w:rFonts w:hint="default" w:ascii="宋体" w:hAnsi="宋体" w:cs="宋体"/>
                <w:b/>
                <w:bCs w:val="0"/>
                <w:color w:val="FF0000"/>
                <w:sz w:val="24"/>
                <w:szCs w:val="24"/>
                <w:u w:val="single"/>
                <w:lang w:val="en-US" w:eastAsia="zh-CN"/>
              </w:rPr>
            </w:pPr>
            <w:r>
              <w:rPr>
                <w:rFonts w:hint="eastAsia" w:ascii="宋体" w:hAnsi="宋体" w:cs="宋体"/>
                <w:b/>
                <w:bCs w:val="0"/>
                <w:color w:val="FF0000"/>
                <w:sz w:val="24"/>
                <w:szCs w:val="24"/>
                <w:u w:val="single"/>
                <w:lang w:val="en-US" w:eastAsia="zh-CN"/>
              </w:rPr>
              <w:t>3.工程内容和规模</w:t>
            </w:r>
          </w:p>
          <w:p>
            <w:pPr>
              <w:numPr>
                <w:ilvl w:val="0"/>
                <w:numId w:val="0"/>
              </w:numPr>
              <w:adjustRightInd w:val="0"/>
              <w:snapToGrid w:val="0"/>
              <w:spacing w:line="360" w:lineRule="auto"/>
              <w:ind w:firstLine="480" w:firstLineChars="200"/>
              <w:jc w:val="both"/>
              <w:rPr>
                <w:rFonts w:hint="default" w:ascii="宋体" w:hAnsi="宋体" w:cs="宋体"/>
                <w:bCs/>
                <w:color w:val="FF0000"/>
                <w:sz w:val="24"/>
                <w:szCs w:val="24"/>
                <w:u w:val="single"/>
                <w:lang w:val="en-US" w:eastAsia="zh-CN"/>
              </w:rPr>
            </w:pPr>
            <w:r>
              <w:rPr>
                <w:rFonts w:hint="eastAsia" w:ascii="宋体" w:hAnsi="宋体" w:cs="宋体"/>
                <w:bCs/>
                <w:color w:val="FF0000"/>
                <w:sz w:val="24"/>
                <w:szCs w:val="24"/>
                <w:u w:val="single"/>
                <w:lang w:val="en-US" w:eastAsia="zh-CN"/>
              </w:rPr>
              <w:t>本项目总用地面积22760m</w:t>
            </w:r>
            <w:r>
              <w:rPr>
                <w:rFonts w:hint="eastAsia" w:ascii="宋体" w:hAnsi="宋体" w:cs="宋体"/>
                <w:bCs/>
                <w:color w:val="FF0000"/>
                <w:sz w:val="24"/>
                <w:szCs w:val="24"/>
                <w:u w:val="single"/>
                <w:vertAlign w:val="superscript"/>
                <w:lang w:val="en-US" w:eastAsia="zh-CN"/>
              </w:rPr>
              <w:t>2</w:t>
            </w:r>
            <w:r>
              <w:rPr>
                <w:rFonts w:hint="eastAsia" w:ascii="宋体" w:hAnsi="宋体" w:cs="宋体"/>
                <w:bCs/>
                <w:color w:val="FF0000"/>
                <w:sz w:val="24"/>
                <w:szCs w:val="24"/>
                <w:u w:val="single"/>
                <w:lang w:val="en-US" w:eastAsia="zh-CN"/>
              </w:rPr>
              <w:t>,主要建设内容为1#~4#机加工车间，工程组成见下表。</w:t>
            </w:r>
          </w:p>
          <w:p>
            <w:pPr>
              <w:numPr>
                <w:ilvl w:val="0"/>
                <w:numId w:val="0"/>
              </w:numPr>
              <w:adjustRightInd w:val="0"/>
              <w:snapToGrid w:val="0"/>
              <w:spacing w:line="360" w:lineRule="auto"/>
              <w:jc w:val="center"/>
              <w:rPr>
                <w:rFonts w:hint="default" w:ascii="宋体" w:hAnsi="宋体" w:cs="宋体"/>
                <w:b/>
                <w:bCs w:val="0"/>
                <w:color w:val="FF0000"/>
                <w:sz w:val="24"/>
                <w:szCs w:val="24"/>
                <w:u w:val="single"/>
                <w:lang w:val="en-US" w:eastAsia="zh-CN"/>
              </w:rPr>
            </w:pPr>
            <w:r>
              <w:rPr>
                <w:rFonts w:hint="eastAsia" w:ascii="宋体" w:hAnsi="宋体" w:cs="宋体"/>
                <w:b/>
                <w:bCs w:val="0"/>
                <w:color w:val="FF0000"/>
                <w:sz w:val="24"/>
                <w:szCs w:val="24"/>
                <w:u w:val="single"/>
                <w:lang w:val="en-US" w:eastAsia="zh-CN"/>
              </w:rPr>
              <w:t>表2-1  工程建设内容一览表</w:t>
            </w:r>
          </w:p>
          <w:tbl>
            <w:tblPr>
              <w:tblStyle w:val="13"/>
              <w:tblW w:w="4996" w:type="pct"/>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04"/>
              <w:gridCol w:w="1233"/>
              <w:gridCol w:w="4017"/>
              <w:gridCol w:w="10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tcBorders>
                    <w:tl2br w:val="nil"/>
                    <w:tr2bl w:val="nil"/>
                  </w:tcBorders>
                  <w:noWrap w:val="0"/>
                  <w:vAlign w:val="center"/>
                </w:tcPr>
                <w:p>
                  <w:pPr>
                    <w:adjustRightInd w:val="0"/>
                    <w:snapToGrid w:val="0"/>
                    <w:jc w:val="center"/>
                    <w:rPr>
                      <w:b/>
                      <w:bCs/>
                      <w:color w:val="FF0000"/>
                      <w:u w:val="single"/>
                    </w:rPr>
                  </w:pPr>
                  <w:r>
                    <w:rPr>
                      <w:b/>
                      <w:bCs/>
                      <w:color w:val="FF0000"/>
                      <w:u w:val="single"/>
                    </w:rPr>
                    <w:t>分类</w:t>
                  </w:r>
                </w:p>
              </w:tc>
              <w:tc>
                <w:tcPr>
                  <w:tcW w:w="687" w:type="pct"/>
                  <w:tcBorders>
                    <w:tl2br w:val="nil"/>
                    <w:tr2bl w:val="nil"/>
                  </w:tcBorders>
                  <w:noWrap w:val="0"/>
                  <w:vAlign w:val="center"/>
                </w:tcPr>
                <w:p>
                  <w:pPr>
                    <w:adjustRightInd w:val="0"/>
                    <w:snapToGrid w:val="0"/>
                    <w:jc w:val="center"/>
                    <w:rPr>
                      <w:b/>
                      <w:bCs/>
                      <w:color w:val="FF0000"/>
                      <w:u w:val="single"/>
                    </w:rPr>
                  </w:pPr>
                  <w:r>
                    <w:rPr>
                      <w:b/>
                      <w:bCs/>
                      <w:color w:val="FF0000"/>
                      <w:u w:val="single"/>
                    </w:rPr>
                    <w:t>项目组成</w:t>
                  </w:r>
                </w:p>
              </w:tc>
              <w:tc>
                <w:tcPr>
                  <w:tcW w:w="3266" w:type="pct"/>
                  <w:gridSpan w:val="2"/>
                  <w:tcBorders>
                    <w:tl2br w:val="nil"/>
                    <w:tr2bl w:val="nil"/>
                  </w:tcBorders>
                  <w:noWrap w:val="0"/>
                  <w:vAlign w:val="center"/>
                </w:tcPr>
                <w:p>
                  <w:pPr>
                    <w:adjustRightInd w:val="0"/>
                    <w:snapToGrid w:val="0"/>
                    <w:jc w:val="center"/>
                    <w:rPr>
                      <w:b/>
                      <w:bCs/>
                      <w:color w:val="FF0000"/>
                      <w:u w:val="single"/>
                    </w:rPr>
                  </w:pPr>
                  <w:r>
                    <w:rPr>
                      <w:b/>
                      <w:bCs/>
                      <w:color w:val="FF0000"/>
                      <w:u w:val="single"/>
                    </w:rPr>
                    <w:t>建设内容和规模</w:t>
                  </w:r>
                </w:p>
              </w:tc>
              <w:tc>
                <w:tcPr>
                  <w:tcW w:w="631" w:type="pct"/>
                  <w:tcBorders>
                    <w:tl2br w:val="nil"/>
                    <w:tr2bl w:val="nil"/>
                  </w:tcBorders>
                  <w:noWrap w:val="0"/>
                  <w:vAlign w:val="center"/>
                </w:tcPr>
                <w:p>
                  <w:pPr>
                    <w:adjustRightInd w:val="0"/>
                    <w:snapToGrid w:val="0"/>
                    <w:jc w:val="center"/>
                    <w:rPr>
                      <w:b/>
                      <w:bCs/>
                      <w:color w:val="FF0000"/>
                      <w:u w:val="single"/>
                    </w:rPr>
                  </w:pPr>
                  <w:r>
                    <w:rPr>
                      <w:b/>
                      <w:bCs/>
                      <w:color w:val="FF0000"/>
                      <w:u w:val="singl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restart"/>
                  <w:tcBorders>
                    <w:tl2br w:val="nil"/>
                    <w:tr2bl w:val="nil"/>
                  </w:tcBorders>
                  <w:noWrap w:val="0"/>
                  <w:vAlign w:val="center"/>
                </w:tcPr>
                <w:p>
                  <w:pPr>
                    <w:adjustRightInd w:val="0"/>
                    <w:snapToGrid w:val="0"/>
                    <w:jc w:val="center"/>
                    <w:rPr>
                      <w:color w:val="FF0000"/>
                      <w:u w:val="single"/>
                    </w:rPr>
                  </w:pPr>
                  <w:r>
                    <w:rPr>
                      <w:color w:val="FF0000"/>
                      <w:u w:val="single"/>
                    </w:rPr>
                    <w:t>主体工程</w:t>
                  </w:r>
                </w:p>
              </w:tc>
              <w:tc>
                <w:tcPr>
                  <w:tcW w:w="687" w:type="pct"/>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1#车间</w:t>
                  </w:r>
                </w:p>
              </w:tc>
              <w:tc>
                <w:tcPr>
                  <w:tcW w:w="3266" w:type="pct"/>
                  <w:gridSpan w:val="2"/>
                  <w:tcBorders>
                    <w:tl2br w:val="nil"/>
                    <w:tr2bl w:val="nil"/>
                  </w:tcBorders>
                  <w:noWrap w:val="0"/>
                  <w:vAlign w:val="center"/>
                </w:tcPr>
                <w:p>
                  <w:pPr>
                    <w:adjustRightInd w:val="0"/>
                    <w:snapToGrid w:val="0"/>
                    <w:jc w:val="center"/>
                    <w:rPr>
                      <w:rFonts w:hint="default" w:eastAsia="宋体"/>
                      <w:color w:val="FF0000"/>
                      <w:u w:val="single"/>
                      <w:vertAlign w:val="baseline"/>
                      <w:lang w:val="en-US" w:eastAsia="zh-CN"/>
                    </w:rPr>
                  </w:pPr>
                  <w:r>
                    <w:rPr>
                      <w:rFonts w:hint="eastAsia"/>
                      <w:color w:val="FF0000"/>
                      <w:u w:val="single"/>
                      <w:lang w:val="en-US" w:eastAsia="zh-CN"/>
                    </w:rPr>
                    <w:t>主要包括下料区、焊接区、组装区、打磨区、喷漆区，建筑面积6310m</w:t>
                  </w:r>
                  <w:r>
                    <w:rPr>
                      <w:rFonts w:hint="eastAsia"/>
                      <w:color w:val="FF0000"/>
                      <w:u w:val="single"/>
                      <w:vertAlign w:val="superscript"/>
                      <w:lang w:val="en-US" w:eastAsia="zh-CN"/>
                    </w:rPr>
                    <w:t>2</w:t>
                  </w:r>
                  <w:r>
                    <w:rPr>
                      <w:rFonts w:hint="eastAsia"/>
                      <w:color w:val="FF0000"/>
                      <w:u w:val="single"/>
                      <w:vertAlign w:val="baseline"/>
                      <w:lang w:val="en-US" w:eastAsia="zh-CN"/>
                    </w:rPr>
                    <w:t>，喷漆区面积550m2</w:t>
                  </w:r>
                </w:p>
              </w:tc>
              <w:tc>
                <w:tcPr>
                  <w:tcW w:w="631" w:type="pct"/>
                  <w:vMerge w:val="restart"/>
                  <w:tcBorders>
                    <w:tl2br w:val="nil"/>
                    <w:tr2bl w:val="nil"/>
                  </w:tcBorders>
                  <w:noWrap w:val="0"/>
                  <w:vAlign w:val="center"/>
                </w:tcPr>
                <w:p>
                  <w:pPr>
                    <w:adjustRightInd w:val="0"/>
                    <w:snapToGrid w:val="0"/>
                    <w:jc w:val="center"/>
                    <w:rPr>
                      <w:color w:val="FF0000"/>
                      <w:u w:val="single"/>
                    </w:rPr>
                  </w:pPr>
                  <w:r>
                    <w:rPr>
                      <w:rFonts w:hint="eastAsia"/>
                      <w:color w:val="FF0000"/>
                      <w:u w:val="single"/>
                    </w:rPr>
                    <w:t>湖南定宇新材料科技有限公司</w:t>
                  </w:r>
                  <w:r>
                    <w:rPr>
                      <w:color w:val="FF0000"/>
                      <w:u w:val="single"/>
                    </w:rPr>
                    <w:t>现有厂房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continue"/>
                  <w:tcBorders>
                    <w:tl2br w:val="nil"/>
                    <w:tr2bl w:val="nil"/>
                  </w:tcBorders>
                  <w:noWrap w:val="0"/>
                  <w:vAlign w:val="center"/>
                </w:tcPr>
                <w:p>
                  <w:pPr>
                    <w:adjustRightInd w:val="0"/>
                    <w:snapToGrid w:val="0"/>
                    <w:jc w:val="center"/>
                    <w:rPr>
                      <w:color w:val="FF0000"/>
                      <w:u w:val="single"/>
                    </w:rPr>
                  </w:pPr>
                </w:p>
              </w:tc>
              <w:tc>
                <w:tcPr>
                  <w:tcW w:w="687" w:type="pct"/>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2#车间</w:t>
                  </w:r>
                </w:p>
              </w:tc>
              <w:tc>
                <w:tcPr>
                  <w:tcW w:w="3266" w:type="pct"/>
                  <w:gridSpan w:val="2"/>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主要包括切割下料区、焊接区、组装区、打磨区、调试区、仓库，建筑面积5765m</w:t>
                  </w:r>
                  <w:r>
                    <w:rPr>
                      <w:rFonts w:hint="eastAsia"/>
                      <w:color w:val="FF0000"/>
                      <w:u w:val="single"/>
                      <w:vertAlign w:val="superscript"/>
                      <w:lang w:val="en-US" w:eastAsia="zh-CN"/>
                    </w:rPr>
                    <w:t>2</w:t>
                  </w:r>
                </w:p>
              </w:tc>
              <w:tc>
                <w:tcPr>
                  <w:tcW w:w="631" w:type="pct"/>
                  <w:vMerge w:val="continue"/>
                  <w:tcBorders>
                    <w:tl2br w:val="nil"/>
                    <w:tr2bl w:val="nil"/>
                  </w:tcBorders>
                  <w:noWrap w:val="0"/>
                  <w:vAlign w:val="center"/>
                </w:tcPr>
                <w:p>
                  <w:pPr>
                    <w:adjustRightInd w:val="0"/>
                    <w:snapToGrid w:val="0"/>
                    <w:jc w:val="center"/>
                    <w:rPr>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continue"/>
                  <w:tcBorders>
                    <w:tl2br w:val="nil"/>
                    <w:tr2bl w:val="nil"/>
                  </w:tcBorders>
                  <w:noWrap w:val="0"/>
                  <w:vAlign w:val="center"/>
                </w:tcPr>
                <w:p>
                  <w:pPr>
                    <w:adjustRightInd w:val="0"/>
                    <w:snapToGrid w:val="0"/>
                    <w:jc w:val="center"/>
                    <w:rPr>
                      <w:color w:val="FF0000"/>
                      <w:u w:val="single"/>
                    </w:rPr>
                  </w:pPr>
                </w:p>
              </w:tc>
              <w:tc>
                <w:tcPr>
                  <w:tcW w:w="687" w:type="pct"/>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3#车间</w:t>
                  </w:r>
                </w:p>
              </w:tc>
              <w:tc>
                <w:tcPr>
                  <w:tcW w:w="3266" w:type="pct"/>
                  <w:gridSpan w:val="2"/>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主要包括下料区、卷板区、焊接区、打磨区、仓库，建筑面积5135m</w:t>
                  </w:r>
                  <w:r>
                    <w:rPr>
                      <w:rFonts w:hint="eastAsia"/>
                      <w:color w:val="FF0000"/>
                      <w:u w:val="single"/>
                      <w:vertAlign w:val="superscript"/>
                      <w:lang w:val="en-US" w:eastAsia="zh-CN"/>
                    </w:rPr>
                    <w:t>2</w:t>
                  </w:r>
                </w:p>
              </w:tc>
              <w:tc>
                <w:tcPr>
                  <w:tcW w:w="631" w:type="pct"/>
                  <w:vMerge w:val="continue"/>
                  <w:tcBorders>
                    <w:tl2br w:val="nil"/>
                    <w:tr2bl w:val="nil"/>
                  </w:tcBorders>
                  <w:noWrap w:val="0"/>
                  <w:vAlign w:val="center"/>
                </w:tcPr>
                <w:p>
                  <w:pPr>
                    <w:adjustRightInd w:val="0"/>
                    <w:snapToGrid w:val="0"/>
                    <w:jc w:val="center"/>
                    <w:rPr>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continue"/>
                  <w:tcBorders>
                    <w:tl2br w:val="nil"/>
                    <w:tr2bl w:val="nil"/>
                  </w:tcBorders>
                  <w:noWrap w:val="0"/>
                  <w:vAlign w:val="center"/>
                </w:tcPr>
                <w:p>
                  <w:pPr>
                    <w:adjustRightInd w:val="0"/>
                    <w:snapToGrid w:val="0"/>
                    <w:jc w:val="center"/>
                    <w:rPr>
                      <w:color w:val="FF0000"/>
                      <w:u w:val="single"/>
                    </w:rPr>
                  </w:pPr>
                </w:p>
              </w:tc>
              <w:tc>
                <w:tcPr>
                  <w:tcW w:w="687" w:type="pct"/>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4#车间</w:t>
                  </w:r>
                </w:p>
              </w:tc>
              <w:tc>
                <w:tcPr>
                  <w:tcW w:w="3266" w:type="pct"/>
                  <w:gridSpan w:val="2"/>
                  <w:tcBorders>
                    <w:tl2br w:val="nil"/>
                    <w:tr2bl w:val="nil"/>
                  </w:tcBorders>
                  <w:noWrap w:val="0"/>
                  <w:vAlign w:val="center"/>
                </w:tcPr>
                <w:p>
                  <w:pPr>
                    <w:adjustRightInd w:val="0"/>
                    <w:snapToGrid w:val="0"/>
                    <w:jc w:val="center"/>
                    <w:rPr>
                      <w:rFonts w:hint="default"/>
                      <w:color w:val="FF0000"/>
                      <w:u w:val="single"/>
                      <w:lang w:val="en-US" w:eastAsia="zh-CN"/>
                    </w:rPr>
                  </w:pPr>
                  <w:r>
                    <w:rPr>
                      <w:rFonts w:hint="eastAsia"/>
                      <w:color w:val="FF0000"/>
                      <w:u w:val="single"/>
                      <w:lang w:val="en-US" w:eastAsia="zh-CN"/>
                    </w:rPr>
                    <w:t>主要包括原材料堆放区、焊管堆放区、下料区、制作区（剪切、折弯、机加）、打磨区、成品区，建筑面积5010m</w:t>
                  </w:r>
                  <w:r>
                    <w:rPr>
                      <w:rFonts w:hint="eastAsia"/>
                      <w:color w:val="FF0000"/>
                      <w:u w:val="single"/>
                      <w:vertAlign w:val="superscript"/>
                      <w:lang w:val="en-US" w:eastAsia="zh-CN"/>
                    </w:rPr>
                    <w:t>2</w:t>
                  </w:r>
                </w:p>
              </w:tc>
              <w:tc>
                <w:tcPr>
                  <w:tcW w:w="631" w:type="pct"/>
                  <w:vMerge w:val="continue"/>
                  <w:tcBorders>
                    <w:tl2br w:val="nil"/>
                    <w:tr2bl w:val="nil"/>
                  </w:tcBorders>
                  <w:noWrap w:val="0"/>
                  <w:vAlign w:val="center"/>
                </w:tcPr>
                <w:p>
                  <w:pPr>
                    <w:adjustRightInd w:val="0"/>
                    <w:snapToGrid w:val="0"/>
                    <w:jc w:val="center"/>
                    <w:rPr>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tcBorders>
                    <w:tl2br w:val="nil"/>
                    <w:tr2bl w:val="nil"/>
                  </w:tcBorders>
                  <w:noWrap w:val="0"/>
                  <w:vAlign w:val="center"/>
                </w:tcPr>
                <w:p>
                  <w:pPr>
                    <w:adjustRightInd w:val="0"/>
                    <w:snapToGrid w:val="0"/>
                    <w:jc w:val="center"/>
                    <w:rPr>
                      <w:color w:val="FF0000"/>
                      <w:u w:val="single"/>
                    </w:rPr>
                  </w:pPr>
                  <w:r>
                    <w:rPr>
                      <w:color w:val="FF0000"/>
                      <w:u w:val="single"/>
                    </w:rPr>
                    <w:t>辅助工程</w:t>
                  </w:r>
                </w:p>
              </w:tc>
              <w:tc>
                <w:tcPr>
                  <w:tcW w:w="687" w:type="pct"/>
                  <w:tcBorders>
                    <w:tl2br w:val="nil"/>
                    <w:tr2bl w:val="nil"/>
                  </w:tcBorders>
                  <w:noWrap w:val="0"/>
                  <w:vAlign w:val="center"/>
                </w:tcPr>
                <w:p>
                  <w:pPr>
                    <w:adjustRightInd w:val="0"/>
                    <w:snapToGrid w:val="0"/>
                    <w:jc w:val="center"/>
                    <w:rPr>
                      <w:color w:val="FF0000"/>
                      <w:u w:val="single"/>
                    </w:rPr>
                  </w:pPr>
                  <w:r>
                    <w:rPr>
                      <w:color w:val="FF0000"/>
                      <w:u w:val="single"/>
                    </w:rPr>
                    <w:t>办公室</w:t>
                  </w:r>
                </w:p>
              </w:tc>
              <w:tc>
                <w:tcPr>
                  <w:tcW w:w="3266" w:type="pct"/>
                  <w:gridSpan w:val="2"/>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依托公司现有办公区</w:t>
                  </w:r>
                </w:p>
              </w:tc>
              <w:tc>
                <w:tcPr>
                  <w:tcW w:w="631" w:type="pct"/>
                  <w:vMerge w:val="continue"/>
                  <w:tcBorders>
                    <w:tl2br w:val="nil"/>
                    <w:tr2bl w:val="nil"/>
                  </w:tcBorders>
                  <w:noWrap w:val="0"/>
                  <w:vAlign w:val="center"/>
                </w:tcPr>
                <w:p>
                  <w:pPr>
                    <w:adjustRightInd w:val="0"/>
                    <w:snapToGrid w:val="0"/>
                    <w:jc w:val="center"/>
                    <w:rPr>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restar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公用工程</w:t>
                  </w:r>
                </w:p>
              </w:tc>
              <w:tc>
                <w:tcPr>
                  <w:tcW w:w="687"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供电</w:t>
                  </w:r>
                </w:p>
              </w:tc>
              <w:tc>
                <w:tcPr>
                  <w:tcW w:w="3266" w:type="pct"/>
                  <w:gridSpan w:val="2"/>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由市政供电电网接入</w:t>
                  </w:r>
                </w:p>
              </w:tc>
              <w:tc>
                <w:tcPr>
                  <w:tcW w:w="631"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continue"/>
                  <w:tcBorders>
                    <w:tl2br w:val="nil"/>
                    <w:tr2bl w:val="nil"/>
                  </w:tcBorders>
                  <w:shd w:val="clear" w:color="auto" w:fill="auto"/>
                  <w:noWrap w:val="0"/>
                  <w:vAlign w:val="center"/>
                </w:tcPr>
                <w:p>
                  <w:pPr>
                    <w:adjustRightInd w:val="0"/>
                    <w:snapToGrid w:val="0"/>
                    <w:jc w:val="center"/>
                    <w:rPr>
                      <w:color w:val="FF0000"/>
                      <w:u w:val="single"/>
                    </w:rPr>
                  </w:pPr>
                </w:p>
              </w:tc>
              <w:tc>
                <w:tcPr>
                  <w:tcW w:w="687"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供水</w:t>
                  </w:r>
                </w:p>
              </w:tc>
              <w:tc>
                <w:tcPr>
                  <w:tcW w:w="3266" w:type="pct"/>
                  <w:gridSpan w:val="2"/>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由市政自来水管网供给</w:t>
                  </w:r>
                </w:p>
              </w:tc>
              <w:tc>
                <w:tcPr>
                  <w:tcW w:w="631"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restar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环</w:t>
                  </w:r>
                </w:p>
                <w:p>
                  <w:pPr>
                    <w:adjustRightInd w:val="0"/>
                    <w:snapToGrid w:val="0"/>
                    <w:jc w:val="center"/>
                    <w:rPr>
                      <w:color w:val="FF0000"/>
                      <w:u w:val="single"/>
                    </w:rPr>
                  </w:pPr>
                  <w:r>
                    <w:rPr>
                      <w:color w:val="FF0000"/>
                      <w:u w:val="single"/>
                    </w:rPr>
                    <w:t>保</w:t>
                  </w:r>
                </w:p>
                <w:p>
                  <w:pPr>
                    <w:adjustRightInd w:val="0"/>
                    <w:snapToGrid w:val="0"/>
                    <w:jc w:val="center"/>
                    <w:rPr>
                      <w:color w:val="FF0000"/>
                      <w:u w:val="single"/>
                    </w:rPr>
                  </w:pPr>
                  <w:r>
                    <w:rPr>
                      <w:color w:val="FF0000"/>
                      <w:u w:val="single"/>
                    </w:rPr>
                    <w:t>工</w:t>
                  </w:r>
                </w:p>
                <w:p>
                  <w:pPr>
                    <w:adjustRightInd w:val="0"/>
                    <w:snapToGrid w:val="0"/>
                    <w:jc w:val="center"/>
                    <w:rPr>
                      <w:color w:val="FF0000"/>
                      <w:u w:val="single"/>
                    </w:rPr>
                  </w:pPr>
                  <w:r>
                    <w:rPr>
                      <w:color w:val="FF0000"/>
                      <w:u w:val="single"/>
                    </w:rPr>
                    <w:t>程</w:t>
                  </w:r>
                </w:p>
              </w:tc>
              <w:tc>
                <w:tcPr>
                  <w:tcW w:w="687"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废水</w:t>
                  </w:r>
                </w:p>
              </w:tc>
              <w:tc>
                <w:tcPr>
                  <w:tcW w:w="767"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 xml:space="preserve">生活污水 </w:t>
                  </w:r>
                </w:p>
              </w:tc>
              <w:tc>
                <w:tcPr>
                  <w:tcW w:w="2498" w:type="pct"/>
                  <w:tcBorders>
                    <w:tl2br w:val="nil"/>
                    <w:tr2bl w:val="nil"/>
                  </w:tcBorders>
                  <w:shd w:val="clear" w:color="auto" w:fill="auto"/>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依托</w:t>
                  </w:r>
                  <w:r>
                    <w:rPr>
                      <w:rFonts w:hint="eastAsia"/>
                      <w:color w:val="FF0000"/>
                      <w:u w:val="single"/>
                    </w:rPr>
                    <w:t>湖南定宇新材料科技有限公司</w:t>
                  </w:r>
                  <w:r>
                    <w:rPr>
                      <w:rFonts w:hint="eastAsia"/>
                      <w:color w:val="FF0000"/>
                      <w:u w:val="single"/>
                      <w:lang w:val="en-US" w:eastAsia="zh-CN"/>
                    </w:rPr>
                    <w:t>已建成</w:t>
                  </w:r>
                  <w:r>
                    <w:rPr>
                      <w:color w:val="FF0000"/>
                      <w:u w:val="single"/>
                    </w:rPr>
                    <w:t>化粪池处理</w:t>
                  </w:r>
                  <w:r>
                    <w:rPr>
                      <w:rFonts w:hint="eastAsia"/>
                      <w:color w:val="FF0000"/>
                      <w:u w:val="single"/>
                      <w:lang w:val="en-US" w:eastAsia="zh-CN"/>
                    </w:rPr>
                    <w:t>后，排入园区市政污水管网</w:t>
                  </w:r>
                </w:p>
              </w:tc>
              <w:tc>
                <w:tcPr>
                  <w:tcW w:w="631"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continue"/>
                  <w:tcBorders>
                    <w:tl2br w:val="nil"/>
                    <w:tr2bl w:val="nil"/>
                  </w:tcBorders>
                  <w:shd w:val="clear" w:color="auto" w:fill="auto"/>
                  <w:noWrap w:val="0"/>
                  <w:vAlign w:val="center"/>
                </w:tcPr>
                <w:p>
                  <w:pPr>
                    <w:adjustRightInd w:val="0"/>
                    <w:snapToGrid w:val="0"/>
                    <w:jc w:val="center"/>
                    <w:rPr>
                      <w:color w:val="FF0000"/>
                      <w:u w:val="single"/>
                    </w:rPr>
                  </w:pPr>
                </w:p>
              </w:tc>
              <w:tc>
                <w:tcPr>
                  <w:tcW w:w="687" w:type="pct"/>
                  <w:vMerge w:val="restar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废气</w:t>
                  </w:r>
                </w:p>
              </w:tc>
              <w:tc>
                <w:tcPr>
                  <w:tcW w:w="767" w:type="pct"/>
                  <w:tcBorders>
                    <w:tl2br w:val="nil"/>
                    <w:tr2bl w:val="nil"/>
                  </w:tcBorders>
                  <w:shd w:val="clear" w:color="auto" w:fill="auto"/>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切割、打磨废气</w:t>
                  </w:r>
                </w:p>
              </w:tc>
              <w:tc>
                <w:tcPr>
                  <w:tcW w:w="2498" w:type="pct"/>
                  <w:tcBorders>
                    <w:tl2br w:val="nil"/>
                    <w:tr2bl w:val="nil"/>
                  </w:tcBorders>
                  <w:shd w:val="clear" w:color="auto" w:fill="auto"/>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移动式烟尘净化器</w:t>
                  </w:r>
                </w:p>
              </w:tc>
              <w:tc>
                <w:tcPr>
                  <w:tcW w:w="631"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continue"/>
                  <w:tcBorders>
                    <w:tl2br w:val="nil"/>
                    <w:tr2bl w:val="nil"/>
                  </w:tcBorders>
                  <w:shd w:val="clear" w:color="auto" w:fill="auto"/>
                  <w:noWrap w:val="0"/>
                  <w:vAlign w:val="center"/>
                </w:tcPr>
                <w:p>
                  <w:pPr>
                    <w:adjustRightInd w:val="0"/>
                    <w:snapToGrid w:val="0"/>
                    <w:jc w:val="center"/>
                    <w:rPr>
                      <w:color w:val="FF0000"/>
                      <w:u w:val="single"/>
                    </w:rPr>
                  </w:pPr>
                </w:p>
              </w:tc>
              <w:tc>
                <w:tcPr>
                  <w:tcW w:w="687" w:type="pct"/>
                  <w:vMerge w:val="continue"/>
                  <w:tcBorders>
                    <w:tl2br w:val="nil"/>
                    <w:tr2bl w:val="nil"/>
                  </w:tcBorders>
                  <w:shd w:val="clear" w:color="auto" w:fill="auto"/>
                  <w:noWrap w:val="0"/>
                  <w:vAlign w:val="center"/>
                </w:tcPr>
                <w:p>
                  <w:pPr>
                    <w:adjustRightInd w:val="0"/>
                    <w:snapToGrid w:val="0"/>
                    <w:jc w:val="center"/>
                    <w:rPr>
                      <w:color w:val="FF0000"/>
                      <w:u w:val="single"/>
                    </w:rPr>
                  </w:pPr>
                </w:p>
              </w:tc>
              <w:tc>
                <w:tcPr>
                  <w:tcW w:w="767" w:type="pct"/>
                  <w:tcBorders>
                    <w:tl2br w:val="nil"/>
                    <w:tr2bl w:val="nil"/>
                  </w:tcBorders>
                  <w:shd w:val="clear" w:color="auto" w:fill="auto"/>
                  <w:noWrap w:val="0"/>
                  <w:vAlign w:val="center"/>
                </w:tcPr>
                <w:p>
                  <w:pPr>
                    <w:adjustRightInd w:val="0"/>
                    <w:snapToGrid w:val="0"/>
                    <w:jc w:val="center"/>
                    <w:rPr>
                      <w:rFonts w:hint="default"/>
                      <w:color w:val="FF0000"/>
                      <w:u w:val="single"/>
                      <w:lang w:val="en-US" w:eastAsia="zh-CN"/>
                    </w:rPr>
                  </w:pPr>
                  <w:r>
                    <w:rPr>
                      <w:rFonts w:hint="eastAsia"/>
                      <w:color w:val="FF0000"/>
                      <w:u w:val="single"/>
                      <w:lang w:val="en-US" w:eastAsia="zh-CN"/>
                    </w:rPr>
                    <w:t>焊接废气</w:t>
                  </w:r>
                </w:p>
              </w:tc>
              <w:tc>
                <w:tcPr>
                  <w:tcW w:w="2498" w:type="pct"/>
                  <w:tcBorders>
                    <w:tl2br w:val="nil"/>
                    <w:tr2bl w:val="nil"/>
                  </w:tcBorders>
                  <w:shd w:val="clear" w:color="auto" w:fill="auto"/>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移动式烟尘净化器</w:t>
                  </w:r>
                </w:p>
              </w:tc>
              <w:tc>
                <w:tcPr>
                  <w:tcW w:w="631" w:type="pct"/>
                  <w:tcBorders>
                    <w:tl2br w:val="nil"/>
                    <w:tr2bl w:val="nil"/>
                  </w:tcBorders>
                  <w:shd w:val="clear" w:color="auto" w:fill="auto"/>
                  <w:noWrap w:val="0"/>
                  <w:vAlign w:val="center"/>
                </w:tcPr>
                <w:p>
                  <w:pPr>
                    <w:adjustRightInd w:val="0"/>
                    <w:snapToGrid w:val="0"/>
                    <w:jc w:val="center"/>
                    <w:rPr>
                      <w:rFonts w:hint="eastAsia" w:eastAsia="宋体"/>
                      <w:color w:val="FF0000"/>
                      <w:u w:val="single"/>
                      <w:lang w:val="en-US" w:eastAsia="zh-CN"/>
                    </w:rPr>
                  </w:pPr>
                  <w:r>
                    <w:rPr>
                      <w:rFonts w:hint="eastAsia"/>
                      <w:color w:val="FF0000"/>
                      <w:u w:val="singl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continue"/>
                  <w:tcBorders>
                    <w:tl2br w:val="nil"/>
                    <w:tr2bl w:val="nil"/>
                  </w:tcBorders>
                  <w:noWrap w:val="0"/>
                  <w:vAlign w:val="center"/>
                </w:tcPr>
                <w:p>
                  <w:pPr>
                    <w:adjustRightInd w:val="0"/>
                    <w:snapToGrid w:val="0"/>
                    <w:jc w:val="center"/>
                    <w:rPr>
                      <w:color w:val="FF0000"/>
                      <w:u w:val="single"/>
                    </w:rPr>
                  </w:pPr>
                </w:p>
              </w:tc>
              <w:tc>
                <w:tcPr>
                  <w:tcW w:w="687" w:type="pct"/>
                  <w:vMerge w:val="continue"/>
                  <w:tcBorders>
                    <w:tl2br w:val="nil"/>
                    <w:tr2bl w:val="nil"/>
                  </w:tcBorders>
                  <w:noWrap w:val="0"/>
                  <w:vAlign w:val="center"/>
                </w:tcPr>
                <w:p>
                  <w:pPr>
                    <w:adjustRightInd w:val="0"/>
                    <w:snapToGrid w:val="0"/>
                    <w:jc w:val="center"/>
                    <w:rPr>
                      <w:color w:val="FF0000"/>
                      <w:u w:val="single"/>
                    </w:rPr>
                  </w:pPr>
                </w:p>
              </w:tc>
              <w:tc>
                <w:tcPr>
                  <w:tcW w:w="767" w:type="pct"/>
                  <w:tcBorders>
                    <w:tl2br w:val="nil"/>
                    <w:tr2bl w:val="nil"/>
                  </w:tcBorders>
                  <w:noWrap w:val="0"/>
                  <w:vAlign w:val="center"/>
                </w:tcPr>
                <w:p>
                  <w:pPr>
                    <w:adjustRightInd w:val="0"/>
                    <w:snapToGrid w:val="0"/>
                    <w:jc w:val="center"/>
                    <w:rPr>
                      <w:color w:val="FF0000"/>
                      <w:u w:val="single"/>
                    </w:rPr>
                  </w:pPr>
                  <w:r>
                    <w:rPr>
                      <w:color w:val="FF0000"/>
                      <w:u w:val="single"/>
                    </w:rPr>
                    <w:t>有机废气</w:t>
                  </w:r>
                </w:p>
              </w:tc>
              <w:tc>
                <w:tcPr>
                  <w:tcW w:w="2498" w:type="pct"/>
                  <w:tcBorders>
                    <w:tl2br w:val="nil"/>
                    <w:tr2bl w:val="nil"/>
                  </w:tcBorders>
                  <w:noWrap w:val="0"/>
                  <w:vAlign w:val="center"/>
                </w:tcPr>
                <w:p>
                  <w:pPr>
                    <w:adjustRightInd w:val="0"/>
                    <w:snapToGrid w:val="0"/>
                    <w:jc w:val="center"/>
                    <w:rPr>
                      <w:rFonts w:hint="default"/>
                      <w:color w:val="FF0000"/>
                      <w:u w:val="single"/>
                      <w:lang w:val="en-US"/>
                    </w:rPr>
                  </w:pPr>
                  <w:r>
                    <w:rPr>
                      <w:rFonts w:hint="eastAsia" w:eastAsia="宋体"/>
                      <w:color w:val="FF0000"/>
                      <w:u w:val="single"/>
                      <w:lang w:val="en-US" w:eastAsia="zh-CN"/>
                    </w:rPr>
                    <w:t>过滤棉+活性炭光氧一体机</w:t>
                  </w:r>
                  <w:r>
                    <w:rPr>
                      <w:rFonts w:hint="eastAsia"/>
                      <w:color w:val="FF0000"/>
                      <w:u w:val="single"/>
                      <w:lang w:val="en-US" w:eastAsia="zh-CN"/>
                    </w:rPr>
                    <w:t>+15m高排气筒</w:t>
                  </w:r>
                </w:p>
              </w:tc>
              <w:tc>
                <w:tcPr>
                  <w:tcW w:w="631" w:type="pct"/>
                  <w:tcBorders>
                    <w:tl2br w:val="nil"/>
                    <w:tr2bl w:val="nil"/>
                  </w:tcBorders>
                  <w:noWrap w:val="0"/>
                  <w:vAlign w:val="center"/>
                </w:tcPr>
                <w:p>
                  <w:pPr>
                    <w:adjustRightInd w:val="0"/>
                    <w:snapToGrid w:val="0"/>
                    <w:jc w:val="center"/>
                    <w:rPr>
                      <w:color w:val="FF0000"/>
                      <w:u w:val="single"/>
                    </w:rPr>
                  </w:pPr>
                  <w:r>
                    <w:rPr>
                      <w:color w:val="FF0000"/>
                      <w:u w:val="single"/>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continue"/>
                  <w:tcBorders>
                    <w:tl2br w:val="nil"/>
                    <w:tr2bl w:val="nil"/>
                  </w:tcBorders>
                  <w:noWrap w:val="0"/>
                  <w:vAlign w:val="center"/>
                </w:tcPr>
                <w:p>
                  <w:pPr>
                    <w:adjustRightInd w:val="0"/>
                    <w:snapToGrid w:val="0"/>
                    <w:jc w:val="center"/>
                    <w:rPr>
                      <w:color w:val="FF0000"/>
                      <w:u w:val="single"/>
                    </w:rPr>
                  </w:pPr>
                </w:p>
              </w:tc>
              <w:tc>
                <w:tcPr>
                  <w:tcW w:w="687" w:type="pct"/>
                  <w:vMerge w:val="restart"/>
                  <w:tcBorders>
                    <w:tl2br w:val="nil"/>
                    <w:tr2bl w:val="nil"/>
                  </w:tcBorders>
                  <w:noWrap w:val="0"/>
                  <w:vAlign w:val="center"/>
                </w:tcPr>
                <w:p>
                  <w:pPr>
                    <w:adjustRightInd w:val="0"/>
                    <w:snapToGrid w:val="0"/>
                    <w:jc w:val="center"/>
                    <w:rPr>
                      <w:color w:val="FF0000"/>
                      <w:u w:val="single"/>
                    </w:rPr>
                  </w:pPr>
                  <w:r>
                    <w:rPr>
                      <w:color w:val="FF0000"/>
                      <w:u w:val="single"/>
                    </w:rPr>
                    <w:t>固废</w:t>
                  </w:r>
                </w:p>
              </w:tc>
              <w:tc>
                <w:tcPr>
                  <w:tcW w:w="767" w:type="pct"/>
                  <w:tcBorders>
                    <w:tl2br w:val="nil"/>
                    <w:tr2bl w:val="nil"/>
                  </w:tcBorders>
                  <w:noWrap w:val="0"/>
                  <w:vAlign w:val="center"/>
                </w:tcPr>
                <w:p>
                  <w:pPr>
                    <w:adjustRightInd w:val="0"/>
                    <w:snapToGrid w:val="0"/>
                    <w:jc w:val="center"/>
                    <w:rPr>
                      <w:color w:val="FF0000"/>
                      <w:u w:val="single"/>
                    </w:rPr>
                  </w:pPr>
                  <w:r>
                    <w:rPr>
                      <w:color w:val="FF0000"/>
                      <w:u w:val="single"/>
                    </w:rPr>
                    <w:t>生活垃圾</w:t>
                  </w:r>
                </w:p>
              </w:tc>
              <w:tc>
                <w:tcPr>
                  <w:tcW w:w="2498" w:type="pct"/>
                  <w:tcBorders>
                    <w:tl2br w:val="nil"/>
                    <w:tr2bl w:val="nil"/>
                  </w:tcBorders>
                  <w:noWrap w:val="0"/>
                  <w:vAlign w:val="center"/>
                </w:tcPr>
                <w:p>
                  <w:pPr>
                    <w:adjustRightInd w:val="0"/>
                    <w:snapToGrid w:val="0"/>
                    <w:jc w:val="center"/>
                    <w:rPr>
                      <w:color w:val="FF0000"/>
                      <w:u w:val="single"/>
                    </w:rPr>
                  </w:pPr>
                  <w:r>
                    <w:rPr>
                      <w:color w:val="FF0000"/>
                      <w:u w:val="single"/>
                    </w:rPr>
                    <w:t>环卫部门统一清运</w:t>
                  </w:r>
                </w:p>
              </w:tc>
              <w:tc>
                <w:tcPr>
                  <w:tcW w:w="631" w:type="pct"/>
                  <w:tcBorders>
                    <w:tl2br w:val="nil"/>
                    <w:tr2bl w:val="nil"/>
                  </w:tcBorders>
                  <w:noWrap w:val="0"/>
                  <w:vAlign w:val="center"/>
                </w:tcPr>
                <w:p>
                  <w:pPr>
                    <w:adjustRightInd w:val="0"/>
                    <w:snapToGrid w:val="0"/>
                    <w:jc w:val="center"/>
                    <w:rPr>
                      <w:color w:val="FF0000"/>
                      <w:u w:val="single"/>
                    </w:rPr>
                  </w:pPr>
                  <w:r>
                    <w:rPr>
                      <w:color w:val="FF0000"/>
                      <w:u w:val="single"/>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continue"/>
                  <w:tcBorders>
                    <w:tl2br w:val="nil"/>
                    <w:tr2bl w:val="nil"/>
                  </w:tcBorders>
                  <w:noWrap w:val="0"/>
                  <w:vAlign w:val="center"/>
                </w:tcPr>
                <w:p>
                  <w:pPr>
                    <w:adjustRightInd w:val="0"/>
                    <w:snapToGrid w:val="0"/>
                    <w:jc w:val="center"/>
                    <w:rPr>
                      <w:color w:val="FF0000"/>
                      <w:u w:val="single"/>
                    </w:rPr>
                  </w:pPr>
                </w:p>
              </w:tc>
              <w:tc>
                <w:tcPr>
                  <w:tcW w:w="687" w:type="pct"/>
                  <w:vMerge w:val="continue"/>
                  <w:tcBorders>
                    <w:tl2br w:val="nil"/>
                    <w:tr2bl w:val="nil"/>
                  </w:tcBorders>
                  <w:noWrap w:val="0"/>
                  <w:vAlign w:val="center"/>
                </w:tcPr>
                <w:p>
                  <w:pPr>
                    <w:adjustRightInd w:val="0"/>
                    <w:snapToGrid w:val="0"/>
                    <w:jc w:val="center"/>
                    <w:rPr>
                      <w:color w:val="FF0000"/>
                      <w:u w:val="single"/>
                    </w:rPr>
                  </w:pPr>
                </w:p>
              </w:tc>
              <w:tc>
                <w:tcPr>
                  <w:tcW w:w="767" w:type="pct"/>
                  <w:tcBorders>
                    <w:tl2br w:val="nil"/>
                    <w:tr2bl w:val="nil"/>
                  </w:tcBorders>
                  <w:noWrap w:val="0"/>
                  <w:vAlign w:val="center"/>
                </w:tcPr>
                <w:p>
                  <w:pPr>
                    <w:adjustRightInd w:val="0"/>
                    <w:snapToGrid w:val="0"/>
                    <w:jc w:val="center"/>
                    <w:rPr>
                      <w:color w:val="FF0000"/>
                      <w:u w:val="single"/>
                    </w:rPr>
                  </w:pPr>
                  <w:r>
                    <w:rPr>
                      <w:color w:val="FF0000"/>
                      <w:u w:val="single"/>
                    </w:rPr>
                    <w:t>一般固体废物</w:t>
                  </w:r>
                </w:p>
              </w:tc>
              <w:tc>
                <w:tcPr>
                  <w:tcW w:w="2498" w:type="pct"/>
                  <w:tcBorders>
                    <w:tl2br w:val="nil"/>
                    <w:tr2bl w:val="nil"/>
                  </w:tcBorders>
                  <w:noWrap w:val="0"/>
                  <w:vAlign w:val="center"/>
                </w:tcPr>
                <w:p>
                  <w:pPr>
                    <w:adjustRightInd w:val="0"/>
                    <w:snapToGrid w:val="0"/>
                    <w:jc w:val="center"/>
                    <w:rPr>
                      <w:rFonts w:hint="default" w:eastAsia="宋体"/>
                      <w:color w:val="FF0000"/>
                      <w:u w:val="single"/>
                      <w:lang w:val="en-US" w:eastAsia="zh-CN"/>
                    </w:rPr>
                  </w:pPr>
                  <w:r>
                    <w:rPr>
                      <w:color w:val="FF0000"/>
                      <w:u w:val="single"/>
                    </w:rPr>
                    <w:t>集中收集后外售综合利用</w:t>
                  </w:r>
                  <w:r>
                    <w:rPr>
                      <w:rFonts w:hint="eastAsia"/>
                      <w:color w:val="FF0000"/>
                      <w:u w:val="single"/>
                      <w:lang w:eastAsia="zh-CN"/>
                    </w:rPr>
                    <w:t>，</w:t>
                  </w:r>
                  <w:r>
                    <w:rPr>
                      <w:rFonts w:hint="eastAsia"/>
                      <w:color w:val="FF0000"/>
                      <w:u w:val="single"/>
                      <w:lang w:val="en-US" w:eastAsia="zh-CN"/>
                    </w:rPr>
                    <w:t>位于各车间内，面积5m</w:t>
                  </w:r>
                  <w:r>
                    <w:rPr>
                      <w:rFonts w:hint="eastAsia"/>
                      <w:color w:val="FF0000"/>
                      <w:u w:val="single"/>
                      <w:vertAlign w:val="superscript"/>
                      <w:lang w:val="en-US" w:eastAsia="zh-CN"/>
                    </w:rPr>
                    <w:t>2</w:t>
                  </w:r>
                </w:p>
              </w:tc>
              <w:tc>
                <w:tcPr>
                  <w:tcW w:w="631" w:type="pct"/>
                  <w:tcBorders>
                    <w:tl2br w:val="nil"/>
                    <w:tr2bl w:val="nil"/>
                  </w:tcBorders>
                  <w:noWrap w:val="0"/>
                  <w:vAlign w:val="center"/>
                </w:tcPr>
                <w:p>
                  <w:pPr>
                    <w:adjustRightInd w:val="0"/>
                    <w:snapToGrid w:val="0"/>
                    <w:jc w:val="center"/>
                    <w:rPr>
                      <w:color w:val="FF0000"/>
                      <w:u w:val="single"/>
                    </w:rPr>
                  </w:pPr>
                  <w:r>
                    <w:rPr>
                      <w:color w:val="FF0000"/>
                      <w:u w:val="single"/>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continue"/>
                  <w:tcBorders>
                    <w:tl2br w:val="nil"/>
                    <w:tr2bl w:val="nil"/>
                  </w:tcBorders>
                  <w:noWrap w:val="0"/>
                  <w:vAlign w:val="center"/>
                </w:tcPr>
                <w:p>
                  <w:pPr>
                    <w:adjustRightInd w:val="0"/>
                    <w:snapToGrid w:val="0"/>
                    <w:jc w:val="center"/>
                    <w:rPr>
                      <w:color w:val="FF0000"/>
                      <w:u w:val="single"/>
                    </w:rPr>
                  </w:pPr>
                </w:p>
              </w:tc>
              <w:tc>
                <w:tcPr>
                  <w:tcW w:w="687" w:type="pct"/>
                  <w:vMerge w:val="continue"/>
                  <w:tcBorders>
                    <w:tl2br w:val="nil"/>
                    <w:tr2bl w:val="nil"/>
                  </w:tcBorders>
                  <w:noWrap w:val="0"/>
                  <w:vAlign w:val="center"/>
                </w:tcPr>
                <w:p>
                  <w:pPr>
                    <w:adjustRightInd w:val="0"/>
                    <w:snapToGrid w:val="0"/>
                    <w:jc w:val="center"/>
                    <w:rPr>
                      <w:color w:val="FF0000"/>
                      <w:u w:val="single"/>
                    </w:rPr>
                  </w:pPr>
                </w:p>
              </w:tc>
              <w:tc>
                <w:tcPr>
                  <w:tcW w:w="767" w:type="pct"/>
                  <w:tcBorders>
                    <w:tl2br w:val="nil"/>
                    <w:tr2bl w:val="nil"/>
                  </w:tcBorders>
                  <w:noWrap w:val="0"/>
                  <w:vAlign w:val="center"/>
                </w:tcPr>
                <w:p>
                  <w:pPr>
                    <w:adjustRightInd w:val="0"/>
                    <w:snapToGrid w:val="0"/>
                    <w:jc w:val="center"/>
                    <w:rPr>
                      <w:color w:val="FF0000"/>
                      <w:u w:val="single"/>
                    </w:rPr>
                  </w:pPr>
                  <w:r>
                    <w:rPr>
                      <w:color w:val="FF0000"/>
                      <w:u w:val="single"/>
                    </w:rPr>
                    <w:t>危险废物</w:t>
                  </w:r>
                </w:p>
              </w:tc>
              <w:tc>
                <w:tcPr>
                  <w:tcW w:w="2498" w:type="pct"/>
                  <w:tcBorders>
                    <w:tl2br w:val="nil"/>
                    <w:tr2bl w:val="nil"/>
                  </w:tcBorders>
                  <w:noWrap w:val="0"/>
                  <w:vAlign w:val="center"/>
                </w:tcPr>
                <w:p>
                  <w:pPr>
                    <w:adjustRightInd w:val="0"/>
                    <w:snapToGrid w:val="0"/>
                    <w:jc w:val="center"/>
                    <w:rPr>
                      <w:color w:val="FF0000"/>
                      <w:u w:val="single"/>
                    </w:rPr>
                  </w:pPr>
                  <w:r>
                    <w:rPr>
                      <w:color w:val="FF0000"/>
                      <w:highlight w:val="none"/>
                      <w:u w:val="single"/>
                    </w:rPr>
                    <w:t>危废暂存间暂存</w:t>
                  </w:r>
                  <w:r>
                    <w:rPr>
                      <w:color w:val="FF0000"/>
                      <w:u w:val="single"/>
                    </w:rPr>
                    <w:t>，委托有资质的单位处理</w:t>
                  </w:r>
                </w:p>
              </w:tc>
              <w:tc>
                <w:tcPr>
                  <w:tcW w:w="631" w:type="pct"/>
                  <w:tcBorders>
                    <w:tl2br w:val="nil"/>
                    <w:tr2bl w:val="nil"/>
                  </w:tcBorders>
                  <w:noWrap w:val="0"/>
                  <w:vAlign w:val="center"/>
                </w:tcPr>
                <w:p>
                  <w:pPr>
                    <w:adjustRightInd w:val="0"/>
                    <w:snapToGrid w:val="0"/>
                    <w:jc w:val="center"/>
                    <w:rPr>
                      <w:rFonts w:hint="eastAsia" w:eastAsia="宋体"/>
                      <w:color w:val="FF0000"/>
                      <w:u w:val="single"/>
                      <w:lang w:eastAsia="zh-CN"/>
                    </w:rPr>
                  </w:pPr>
                  <w:r>
                    <w:rPr>
                      <w:rFonts w:hint="eastAsia"/>
                      <w:color w:val="FF0000"/>
                      <w:u w:val="singl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Merge w:val="continue"/>
                  <w:tcBorders>
                    <w:tl2br w:val="nil"/>
                    <w:tr2bl w:val="nil"/>
                  </w:tcBorders>
                  <w:noWrap w:val="0"/>
                  <w:vAlign w:val="center"/>
                </w:tcPr>
                <w:p>
                  <w:pPr>
                    <w:adjustRightInd w:val="0"/>
                    <w:snapToGrid w:val="0"/>
                    <w:jc w:val="center"/>
                    <w:rPr>
                      <w:color w:val="FF0000"/>
                      <w:u w:val="single"/>
                    </w:rPr>
                  </w:pPr>
                </w:p>
              </w:tc>
              <w:tc>
                <w:tcPr>
                  <w:tcW w:w="687" w:type="pct"/>
                  <w:tcBorders>
                    <w:tl2br w:val="nil"/>
                    <w:tr2bl w:val="nil"/>
                  </w:tcBorders>
                  <w:noWrap w:val="0"/>
                  <w:vAlign w:val="center"/>
                </w:tcPr>
                <w:p>
                  <w:pPr>
                    <w:adjustRightInd w:val="0"/>
                    <w:snapToGrid w:val="0"/>
                    <w:jc w:val="center"/>
                    <w:rPr>
                      <w:color w:val="FF0000"/>
                      <w:u w:val="single"/>
                    </w:rPr>
                  </w:pPr>
                  <w:r>
                    <w:rPr>
                      <w:color w:val="FF0000"/>
                      <w:u w:val="single"/>
                    </w:rPr>
                    <w:t>噪声</w:t>
                  </w:r>
                </w:p>
              </w:tc>
              <w:tc>
                <w:tcPr>
                  <w:tcW w:w="3266" w:type="pct"/>
                  <w:gridSpan w:val="2"/>
                  <w:tcBorders>
                    <w:tl2br w:val="nil"/>
                    <w:tr2bl w:val="nil"/>
                  </w:tcBorders>
                  <w:noWrap w:val="0"/>
                  <w:vAlign w:val="center"/>
                </w:tcPr>
                <w:p>
                  <w:pPr>
                    <w:adjustRightInd w:val="0"/>
                    <w:snapToGrid w:val="0"/>
                    <w:jc w:val="center"/>
                    <w:rPr>
                      <w:color w:val="FF0000"/>
                      <w:u w:val="single"/>
                    </w:rPr>
                  </w:pPr>
                  <w:r>
                    <w:rPr>
                      <w:color w:val="FF0000"/>
                      <w:u w:val="single"/>
                    </w:rPr>
                    <w:t>合理布局，设备采取基础减振、隔声等措施；加强设备维护和保养</w:t>
                  </w:r>
                </w:p>
              </w:tc>
              <w:tc>
                <w:tcPr>
                  <w:tcW w:w="631" w:type="pct"/>
                  <w:tcBorders>
                    <w:tl2br w:val="nil"/>
                    <w:tr2bl w:val="nil"/>
                  </w:tcBorders>
                  <w:noWrap w:val="0"/>
                  <w:vAlign w:val="center"/>
                </w:tcPr>
                <w:p>
                  <w:pPr>
                    <w:adjustRightInd w:val="0"/>
                    <w:snapToGrid w:val="0"/>
                    <w:jc w:val="center"/>
                    <w:rPr>
                      <w:color w:val="FF0000"/>
                      <w:u w:val="single"/>
                    </w:rPr>
                  </w:pPr>
                  <w:r>
                    <w:rPr>
                      <w:color w:val="FF0000"/>
                      <w:u w:val="single"/>
                    </w:rPr>
                    <w:t>新建</w:t>
                  </w:r>
                </w:p>
              </w:tc>
            </w:tr>
          </w:tbl>
          <w:p>
            <w:pPr>
              <w:numPr>
                <w:ilvl w:val="0"/>
                <w:numId w:val="0"/>
              </w:numPr>
              <w:adjustRightInd w:val="0"/>
              <w:snapToGrid w:val="0"/>
              <w:spacing w:line="360" w:lineRule="auto"/>
              <w:jc w:val="both"/>
              <w:rPr>
                <w:rFonts w:hint="default" w:ascii="宋体" w:hAnsi="宋体" w:cs="宋体"/>
                <w:b/>
                <w:bCs w:val="0"/>
                <w:color w:val="FF0000"/>
                <w:sz w:val="24"/>
                <w:szCs w:val="24"/>
                <w:u w:val="single"/>
                <w:lang w:val="en-US" w:eastAsia="zh-CN"/>
              </w:rPr>
            </w:pPr>
            <w:r>
              <w:rPr>
                <w:rFonts w:hint="eastAsia" w:ascii="宋体" w:hAnsi="宋体" w:cs="宋体"/>
                <w:b/>
                <w:bCs w:val="0"/>
                <w:color w:val="FF0000"/>
                <w:sz w:val="24"/>
                <w:szCs w:val="24"/>
                <w:u w:val="single"/>
                <w:lang w:val="en-US" w:eastAsia="zh-CN"/>
              </w:rPr>
              <w:t>4.原辅材料种类及消耗</w:t>
            </w:r>
          </w:p>
          <w:p>
            <w:pPr>
              <w:numPr>
                <w:ilvl w:val="0"/>
                <w:numId w:val="0"/>
              </w:numPr>
              <w:adjustRightInd w:val="0"/>
              <w:snapToGrid w:val="0"/>
              <w:spacing w:line="360" w:lineRule="auto"/>
              <w:ind w:firstLine="480" w:firstLineChars="200"/>
              <w:jc w:val="both"/>
              <w:rPr>
                <w:rFonts w:hint="eastAsia" w:ascii="宋体" w:hAnsi="宋体" w:cs="宋体"/>
                <w:color w:val="FF0000"/>
                <w:sz w:val="24"/>
                <w:szCs w:val="24"/>
                <w:u w:val="single"/>
                <w:lang w:val="en-US" w:eastAsia="zh-CN"/>
              </w:rPr>
            </w:pPr>
            <w:r>
              <w:rPr>
                <w:rFonts w:hint="eastAsia" w:ascii="宋体" w:hAnsi="宋体" w:cs="宋体"/>
                <w:color w:val="FF0000"/>
                <w:sz w:val="24"/>
                <w:szCs w:val="24"/>
                <w:u w:val="single"/>
                <w:lang w:val="en-US" w:eastAsia="zh-CN"/>
              </w:rPr>
              <w:t>根据建设方提供的相关资料，项目主要原辅材料消耗情况见下表2-2。</w:t>
            </w:r>
          </w:p>
          <w:p>
            <w:pPr>
              <w:numPr>
                <w:ilvl w:val="0"/>
                <w:numId w:val="0"/>
              </w:numPr>
              <w:adjustRightInd w:val="0"/>
              <w:snapToGrid w:val="0"/>
              <w:spacing w:line="360" w:lineRule="auto"/>
              <w:jc w:val="center"/>
              <w:rPr>
                <w:rFonts w:hint="default" w:ascii="宋体" w:hAnsi="宋体" w:cs="宋体"/>
                <w:color w:val="FF0000"/>
                <w:sz w:val="24"/>
                <w:szCs w:val="24"/>
                <w:u w:val="single"/>
                <w:lang w:val="en-US" w:eastAsia="zh-CN"/>
              </w:rPr>
            </w:pPr>
            <w:r>
              <w:rPr>
                <w:rFonts w:hint="eastAsia" w:ascii="宋体" w:hAnsi="宋体" w:cs="宋体"/>
                <w:b/>
                <w:bCs/>
                <w:color w:val="FF0000"/>
                <w:sz w:val="24"/>
                <w:szCs w:val="24"/>
                <w:u w:val="single"/>
                <w:lang w:val="en-US" w:eastAsia="zh-CN"/>
              </w:rPr>
              <w:t>表2-2  项目主要原辅材料及消耗一览表</w:t>
            </w:r>
          </w:p>
          <w:tbl>
            <w:tblPr>
              <w:tblStyle w:val="1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1782"/>
              <w:gridCol w:w="1126"/>
              <w:gridCol w:w="701"/>
              <w:gridCol w:w="715"/>
              <w:gridCol w:w="715"/>
              <w:gridCol w:w="1020"/>
              <w:gridCol w:w="15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b/>
                      <w:bCs/>
                      <w:color w:val="FF0000"/>
                      <w:sz w:val="21"/>
                      <w:szCs w:val="21"/>
                      <w:u w:val="single"/>
                      <w:lang w:val="en-US" w:eastAsia="zh-CN"/>
                    </w:rPr>
                  </w:pPr>
                  <w:r>
                    <w:rPr>
                      <w:rFonts w:hint="eastAsia"/>
                      <w:b/>
                      <w:bCs/>
                      <w:color w:val="FF0000"/>
                      <w:sz w:val="21"/>
                      <w:szCs w:val="21"/>
                      <w:u w:val="single"/>
                      <w:lang w:val="en-US" w:eastAsia="zh-CN"/>
                    </w:rPr>
                    <w:t>序号</w:t>
                  </w:r>
                </w:p>
              </w:tc>
              <w:tc>
                <w:tcPr>
                  <w:tcW w:w="1109" w:type="pct"/>
                  <w:tcBorders>
                    <w:tl2br w:val="nil"/>
                    <w:tr2bl w:val="nil"/>
                  </w:tcBorders>
                  <w:vAlign w:val="center"/>
                </w:tcPr>
                <w:p>
                  <w:pPr>
                    <w:bidi w:val="0"/>
                    <w:jc w:val="center"/>
                    <w:rPr>
                      <w:rFonts w:hint="default"/>
                      <w:b/>
                      <w:bCs/>
                      <w:color w:val="FF0000"/>
                      <w:sz w:val="21"/>
                      <w:szCs w:val="21"/>
                      <w:u w:val="single"/>
                      <w:lang w:val="en-US" w:eastAsia="zh-CN"/>
                    </w:rPr>
                  </w:pPr>
                  <w:r>
                    <w:rPr>
                      <w:rFonts w:hint="eastAsia"/>
                      <w:b/>
                      <w:bCs/>
                      <w:color w:val="FF0000"/>
                      <w:sz w:val="21"/>
                      <w:szCs w:val="21"/>
                      <w:u w:val="single"/>
                      <w:lang w:val="en-US" w:eastAsia="zh-CN"/>
                    </w:rPr>
                    <w:t>物料名称</w:t>
                  </w:r>
                </w:p>
              </w:tc>
              <w:tc>
                <w:tcPr>
                  <w:tcW w:w="701" w:type="pct"/>
                  <w:tcBorders>
                    <w:tl2br w:val="nil"/>
                    <w:tr2bl w:val="nil"/>
                  </w:tcBorders>
                  <w:vAlign w:val="center"/>
                </w:tcPr>
                <w:p>
                  <w:pPr>
                    <w:bidi w:val="0"/>
                    <w:jc w:val="center"/>
                    <w:rPr>
                      <w:rFonts w:hint="eastAsia"/>
                      <w:b/>
                      <w:bCs/>
                      <w:color w:val="FF0000"/>
                      <w:sz w:val="21"/>
                      <w:szCs w:val="21"/>
                      <w:u w:val="single"/>
                      <w:lang w:val="en-US" w:eastAsia="zh-CN"/>
                    </w:rPr>
                  </w:pPr>
                  <w:r>
                    <w:rPr>
                      <w:rFonts w:hint="eastAsia"/>
                      <w:b/>
                      <w:bCs/>
                      <w:color w:val="FF0000"/>
                      <w:sz w:val="21"/>
                      <w:szCs w:val="21"/>
                      <w:u w:val="single"/>
                      <w:lang w:val="en-US" w:eastAsia="zh-CN"/>
                    </w:rPr>
                    <w:t>常温下</w:t>
                  </w:r>
                </w:p>
                <w:p>
                  <w:pPr>
                    <w:bidi w:val="0"/>
                    <w:jc w:val="center"/>
                    <w:rPr>
                      <w:rFonts w:hint="default"/>
                      <w:b/>
                      <w:bCs/>
                      <w:color w:val="FF0000"/>
                      <w:sz w:val="21"/>
                      <w:szCs w:val="21"/>
                      <w:u w:val="single"/>
                      <w:lang w:val="en-US" w:eastAsia="zh-CN"/>
                    </w:rPr>
                  </w:pPr>
                  <w:r>
                    <w:rPr>
                      <w:rFonts w:hint="eastAsia"/>
                      <w:b/>
                      <w:bCs/>
                      <w:color w:val="FF0000"/>
                      <w:sz w:val="21"/>
                      <w:szCs w:val="21"/>
                      <w:u w:val="single"/>
                      <w:lang w:val="en-US" w:eastAsia="zh-CN"/>
                    </w:rPr>
                    <w:t>物理状态</w:t>
                  </w:r>
                </w:p>
              </w:tc>
              <w:tc>
                <w:tcPr>
                  <w:tcW w:w="436" w:type="pct"/>
                  <w:tcBorders>
                    <w:tl2br w:val="nil"/>
                    <w:tr2bl w:val="nil"/>
                  </w:tcBorders>
                  <w:vAlign w:val="center"/>
                </w:tcPr>
                <w:p>
                  <w:pPr>
                    <w:bidi w:val="0"/>
                    <w:jc w:val="center"/>
                    <w:rPr>
                      <w:rFonts w:hint="default"/>
                      <w:b/>
                      <w:bCs/>
                      <w:color w:val="FF0000"/>
                      <w:sz w:val="21"/>
                      <w:szCs w:val="21"/>
                      <w:u w:val="single"/>
                      <w:lang w:val="en-US" w:eastAsia="zh-CN"/>
                    </w:rPr>
                  </w:pPr>
                  <w:r>
                    <w:rPr>
                      <w:rFonts w:hint="eastAsia"/>
                      <w:b/>
                      <w:bCs/>
                      <w:color w:val="FF0000"/>
                      <w:sz w:val="21"/>
                      <w:szCs w:val="21"/>
                      <w:u w:val="single"/>
                      <w:lang w:val="en-US" w:eastAsia="zh-CN"/>
                    </w:rPr>
                    <w:t>运输方式</w:t>
                  </w:r>
                </w:p>
              </w:tc>
              <w:tc>
                <w:tcPr>
                  <w:tcW w:w="445" w:type="pct"/>
                  <w:tcBorders>
                    <w:tl2br w:val="nil"/>
                    <w:tr2bl w:val="nil"/>
                  </w:tcBorders>
                  <w:vAlign w:val="center"/>
                </w:tcPr>
                <w:p>
                  <w:pPr>
                    <w:bidi w:val="0"/>
                    <w:jc w:val="center"/>
                    <w:rPr>
                      <w:rFonts w:hint="default"/>
                      <w:b/>
                      <w:bCs/>
                      <w:color w:val="FF0000"/>
                      <w:sz w:val="21"/>
                      <w:szCs w:val="21"/>
                      <w:u w:val="single"/>
                      <w:lang w:val="en-US" w:eastAsia="zh-CN"/>
                    </w:rPr>
                  </w:pPr>
                  <w:r>
                    <w:rPr>
                      <w:rFonts w:hint="eastAsia"/>
                      <w:b/>
                      <w:bCs/>
                      <w:color w:val="FF0000"/>
                      <w:sz w:val="21"/>
                      <w:szCs w:val="21"/>
                      <w:u w:val="single"/>
                      <w:lang w:val="en-US" w:eastAsia="zh-CN"/>
                    </w:rPr>
                    <w:t>存储方式</w:t>
                  </w:r>
                </w:p>
              </w:tc>
              <w:tc>
                <w:tcPr>
                  <w:tcW w:w="445" w:type="pct"/>
                  <w:tcBorders>
                    <w:tl2br w:val="nil"/>
                    <w:tr2bl w:val="nil"/>
                  </w:tcBorders>
                  <w:vAlign w:val="center"/>
                </w:tcPr>
                <w:p>
                  <w:pPr>
                    <w:bidi w:val="0"/>
                    <w:jc w:val="center"/>
                    <w:rPr>
                      <w:rFonts w:hint="default"/>
                      <w:b/>
                      <w:bCs/>
                      <w:color w:val="FF0000"/>
                      <w:sz w:val="21"/>
                      <w:szCs w:val="21"/>
                      <w:u w:val="single"/>
                      <w:lang w:val="en-US" w:eastAsia="zh-CN"/>
                    </w:rPr>
                  </w:pPr>
                  <w:r>
                    <w:rPr>
                      <w:rFonts w:hint="eastAsia"/>
                      <w:b/>
                      <w:bCs/>
                      <w:color w:val="FF0000"/>
                      <w:sz w:val="21"/>
                      <w:szCs w:val="21"/>
                      <w:u w:val="single"/>
                      <w:lang w:val="en-US" w:eastAsia="zh-CN"/>
                    </w:rPr>
                    <w:t>存储位置</w:t>
                  </w:r>
                </w:p>
              </w:tc>
              <w:tc>
                <w:tcPr>
                  <w:tcW w:w="635" w:type="pct"/>
                  <w:tcBorders>
                    <w:tl2br w:val="nil"/>
                    <w:tr2bl w:val="nil"/>
                  </w:tcBorders>
                  <w:vAlign w:val="center"/>
                </w:tcPr>
                <w:p>
                  <w:pPr>
                    <w:bidi w:val="0"/>
                    <w:jc w:val="center"/>
                    <w:rPr>
                      <w:rFonts w:hint="default"/>
                      <w:b/>
                      <w:bCs/>
                      <w:color w:val="FF0000"/>
                      <w:sz w:val="21"/>
                      <w:szCs w:val="21"/>
                      <w:u w:val="single"/>
                      <w:lang w:val="en-US" w:eastAsia="zh-CN"/>
                    </w:rPr>
                  </w:pPr>
                  <w:r>
                    <w:rPr>
                      <w:rFonts w:hint="eastAsia"/>
                      <w:b/>
                      <w:bCs/>
                      <w:color w:val="FF0000"/>
                      <w:sz w:val="21"/>
                      <w:szCs w:val="21"/>
                      <w:u w:val="single"/>
                      <w:lang w:val="en-US" w:eastAsia="zh-CN"/>
                    </w:rPr>
                    <w:t>年用量</w:t>
                  </w:r>
                </w:p>
              </w:tc>
              <w:tc>
                <w:tcPr>
                  <w:tcW w:w="953" w:type="pct"/>
                  <w:tcBorders>
                    <w:tl2br w:val="nil"/>
                    <w:tr2bl w:val="nil"/>
                  </w:tcBorders>
                  <w:vAlign w:val="center"/>
                </w:tcPr>
                <w:p>
                  <w:pPr>
                    <w:bidi w:val="0"/>
                    <w:jc w:val="center"/>
                    <w:rPr>
                      <w:rFonts w:hint="default"/>
                      <w:b/>
                      <w:bCs/>
                      <w:color w:val="FF0000"/>
                      <w:sz w:val="21"/>
                      <w:szCs w:val="21"/>
                      <w:u w:val="single"/>
                      <w:lang w:val="en-US" w:eastAsia="zh-CN"/>
                    </w:rPr>
                  </w:pPr>
                  <w:r>
                    <w:rPr>
                      <w:rFonts w:hint="eastAsia"/>
                      <w:b/>
                      <w:bCs/>
                      <w:color w:val="FF0000"/>
                      <w:sz w:val="21"/>
                      <w:szCs w:val="21"/>
                      <w:u w:val="singl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正平板</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800t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方管</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800t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3</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槽钢</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100t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4</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钢板</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800t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5</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元钢</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200t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6</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型材</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200t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7</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无缝管</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50t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8</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焊丝</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50t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9</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气体</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气态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罐装</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10000罐</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氧气/混合气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10</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环氧底漆</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液态</w:t>
                  </w:r>
                </w:p>
              </w:tc>
              <w:tc>
                <w:tcPr>
                  <w:tcW w:w="436"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罐装</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2t</w:t>
                  </w:r>
                </w:p>
              </w:tc>
              <w:tc>
                <w:tcPr>
                  <w:tcW w:w="953"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湘江牌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11</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环氧底漆稀释剂</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液态</w:t>
                  </w:r>
                </w:p>
              </w:tc>
              <w:tc>
                <w:tcPr>
                  <w:tcW w:w="436"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罐装</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1t</w:t>
                  </w:r>
                </w:p>
              </w:tc>
              <w:tc>
                <w:tcPr>
                  <w:tcW w:w="953"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湘江牌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12</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聚氨酯面漆</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液态</w:t>
                  </w:r>
                </w:p>
              </w:tc>
              <w:tc>
                <w:tcPr>
                  <w:tcW w:w="436"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罐装</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1t</w:t>
                  </w:r>
                </w:p>
              </w:tc>
              <w:tc>
                <w:tcPr>
                  <w:tcW w:w="953"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湘江牌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13</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稀释剂</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液态</w:t>
                  </w:r>
                </w:p>
              </w:tc>
              <w:tc>
                <w:tcPr>
                  <w:tcW w:w="436"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罐装</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0.5t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湘江牌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14</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水性漆</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液态</w:t>
                  </w:r>
                </w:p>
              </w:tc>
              <w:tc>
                <w:tcPr>
                  <w:tcW w:w="436"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罐装</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湘江牌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15</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钢板</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150t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16</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角钢</w:t>
                  </w:r>
                </w:p>
              </w:tc>
              <w:tc>
                <w:tcPr>
                  <w:tcW w:w="701"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17</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紧固件</w:t>
                  </w:r>
                </w:p>
              </w:tc>
              <w:tc>
                <w:tcPr>
                  <w:tcW w:w="701"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18</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焊丝</w:t>
                  </w:r>
                </w:p>
              </w:tc>
              <w:tc>
                <w:tcPr>
                  <w:tcW w:w="701"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19</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电机</w:t>
                  </w:r>
                </w:p>
              </w:tc>
              <w:tc>
                <w:tcPr>
                  <w:tcW w:w="701"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200t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外购成品组装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20</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减速机</w:t>
                  </w:r>
                </w:p>
              </w:tc>
              <w:tc>
                <w:tcPr>
                  <w:tcW w:w="701"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200t</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外购成品组装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21</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钢板</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2000t</w:t>
                  </w:r>
                </w:p>
              </w:tc>
              <w:tc>
                <w:tcPr>
                  <w:tcW w:w="953" w:type="pct"/>
                  <w:tcBorders>
                    <w:tl2br w:val="nil"/>
                    <w:tr2bl w:val="nil"/>
                  </w:tcBorders>
                  <w:vAlign w:val="center"/>
                </w:tcPr>
                <w:p>
                  <w:pPr>
                    <w:bidi w:val="0"/>
                    <w:jc w:val="center"/>
                    <w:rPr>
                      <w:rFonts w:hint="eastAsia"/>
                      <w:color w:val="FF0000"/>
                      <w:sz w:val="21"/>
                      <w:szCs w:val="21"/>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22</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氧气</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气态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罐装</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150瓶</w:t>
                  </w:r>
                </w:p>
              </w:tc>
              <w:tc>
                <w:tcPr>
                  <w:tcW w:w="953" w:type="pct"/>
                  <w:tcBorders>
                    <w:tl2br w:val="nil"/>
                    <w:tr2bl w:val="nil"/>
                  </w:tcBorders>
                  <w:vAlign w:val="center"/>
                </w:tcPr>
                <w:p>
                  <w:pPr>
                    <w:bidi w:val="0"/>
                    <w:jc w:val="center"/>
                    <w:rPr>
                      <w:rFonts w:hint="eastAsia"/>
                      <w:color w:val="FF0000"/>
                      <w:sz w:val="21"/>
                      <w:szCs w:val="21"/>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23</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二氧化碳气</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气态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罐装</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300瓶</w:t>
                  </w:r>
                </w:p>
              </w:tc>
              <w:tc>
                <w:tcPr>
                  <w:tcW w:w="953" w:type="pct"/>
                  <w:tcBorders>
                    <w:tl2br w:val="nil"/>
                    <w:tr2bl w:val="nil"/>
                  </w:tcBorders>
                  <w:vAlign w:val="center"/>
                </w:tcPr>
                <w:p>
                  <w:pPr>
                    <w:bidi w:val="0"/>
                    <w:jc w:val="center"/>
                    <w:rPr>
                      <w:rFonts w:hint="eastAsia"/>
                      <w:color w:val="FF0000"/>
                      <w:sz w:val="21"/>
                      <w:szCs w:val="21"/>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24</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丙烷</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气态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罐装</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150瓶</w:t>
                  </w:r>
                </w:p>
              </w:tc>
              <w:tc>
                <w:tcPr>
                  <w:tcW w:w="953" w:type="pct"/>
                  <w:tcBorders>
                    <w:tl2br w:val="nil"/>
                    <w:tr2bl w:val="nil"/>
                  </w:tcBorders>
                  <w:vAlign w:val="center"/>
                </w:tcPr>
                <w:p>
                  <w:pPr>
                    <w:bidi w:val="0"/>
                    <w:jc w:val="center"/>
                    <w:rPr>
                      <w:rFonts w:hint="eastAsia"/>
                      <w:color w:val="FF0000"/>
                      <w:sz w:val="21"/>
                      <w:szCs w:val="21"/>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25</w:t>
                  </w:r>
                </w:p>
              </w:tc>
              <w:tc>
                <w:tcPr>
                  <w:tcW w:w="1109"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焊管</w:t>
                  </w:r>
                </w:p>
              </w:tc>
              <w:tc>
                <w:tcPr>
                  <w:tcW w:w="701"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300t</w:t>
                  </w:r>
                </w:p>
              </w:tc>
              <w:tc>
                <w:tcPr>
                  <w:tcW w:w="953"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26</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槽钢</w:t>
                  </w:r>
                </w:p>
              </w:tc>
              <w:tc>
                <w:tcPr>
                  <w:tcW w:w="701"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700t</w:t>
                  </w:r>
                </w:p>
              </w:tc>
              <w:tc>
                <w:tcPr>
                  <w:tcW w:w="953"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27</w:t>
                  </w:r>
                </w:p>
              </w:tc>
              <w:tc>
                <w:tcPr>
                  <w:tcW w:w="1109"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钢板</w:t>
                  </w:r>
                </w:p>
              </w:tc>
              <w:tc>
                <w:tcPr>
                  <w:tcW w:w="701"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500t</w:t>
                  </w:r>
                </w:p>
              </w:tc>
              <w:tc>
                <w:tcPr>
                  <w:tcW w:w="953"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28</w:t>
                  </w:r>
                </w:p>
              </w:tc>
              <w:tc>
                <w:tcPr>
                  <w:tcW w:w="1109"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角钢</w:t>
                  </w:r>
                </w:p>
              </w:tc>
              <w:tc>
                <w:tcPr>
                  <w:tcW w:w="701"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固态</w:t>
                  </w:r>
                </w:p>
              </w:tc>
              <w:tc>
                <w:tcPr>
                  <w:tcW w:w="436"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堆存</w:t>
                  </w:r>
                </w:p>
              </w:tc>
              <w:tc>
                <w:tcPr>
                  <w:tcW w:w="44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500t</w:t>
                  </w:r>
                </w:p>
              </w:tc>
              <w:tc>
                <w:tcPr>
                  <w:tcW w:w="953"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通用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29</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水</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c>
                <w:tcPr>
                  <w:tcW w:w="436"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c>
                <w:tcPr>
                  <w:tcW w:w="635" w:type="pct"/>
                  <w:tcBorders>
                    <w:tl2br w:val="nil"/>
                    <w:tr2bl w:val="nil"/>
                  </w:tcBorders>
                  <w:vAlign w:val="center"/>
                </w:tcPr>
                <w:p>
                  <w:pPr>
                    <w:bidi w:val="0"/>
                    <w:jc w:val="center"/>
                    <w:rPr>
                      <w:rFonts w:hint="eastAsia" w:ascii="Times New Roman" w:hAnsi="Times New Roman" w:eastAsia="宋体" w:cs="Times New Roman"/>
                      <w:color w:val="FF0000"/>
                      <w:sz w:val="21"/>
                      <w:szCs w:val="21"/>
                      <w:u w:val="single"/>
                      <w:lang w:val="en-US" w:eastAsia="zh-CN"/>
                    </w:rPr>
                  </w:pPr>
                  <w:r>
                    <w:rPr>
                      <w:rFonts w:hint="eastAsia" w:ascii="Times New Roman" w:hAnsi="Times New Roman" w:eastAsia="宋体" w:cs="Times New Roman"/>
                      <w:color w:val="FF0000"/>
                      <w:sz w:val="21"/>
                      <w:szCs w:val="21"/>
                      <w:u w:val="single"/>
                      <w:lang w:val="en-US" w:eastAsia="zh-CN"/>
                    </w:rPr>
                    <w:t>1486.8</w:t>
                  </w:r>
                </w:p>
                <w:p>
                  <w:pPr>
                    <w:bidi w:val="0"/>
                    <w:jc w:val="center"/>
                    <w:rPr>
                      <w:rFonts w:hint="eastAsia"/>
                      <w:color w:val="FF0000"/>
                      <w:sz w:val="21"/>
                      <w:szCs w:val="21"/>
                      <w:u w:val="single"/>
                      <w:lang w:val="en-US" w:eastAsia="zh-CN"/>
                    </w:rPr>
                  </w:pPr>
                  <w:r>
                    <w:rPr>
                      <w:rFonts w:hint="eastAsia" w:ascii="Times New Roman" w:hAnsi="Times New Roman" w:eastAsia="宋体" w:cs="Times New Roman"/>
                      <w:color w:val="FF0000"/>
                      <w:sz w:val="21"/>
                      <w:szCs w:val="21"/>
                      <w:u w:val="single"/>
                      <w:lang w:val="en-US" w:eastAsia="zh-CN"/>
                    </w:rPr>
                    <w:t>m</w:t>
                  </w:r>
                  <w:r>
                    <w:rPr>
                      <w:rFonts w:hint="eastAsia" w:ascii="Times New Roman" w:hAnsi="Times New Roman" w:eastAsia="宋体" w:cs="Times New Roman"/>
                      <w:color w:val="FF0000"/>
                      <w:sz w:val="21"/>
                      <w:szCs w:val="21"/>
                      <w:u w:val="single"/>
                      <w:vertAlign w:val="superscript"/>
                      <w:lang w:val="en-US" w:eastAsia="zh-CN"/>
                    </w:rPr>
                    <w:t>3</w:t>
                  </w:r>
                  <w:r>
                    <w:rPr>
                      <w:rFonts w:hint="eastAsia" w:ascii="Times New Roman" w:hAnsi="Times New Roman" w:eastAsia="宋体" w:cs="Times New Roman"/>
                      <w:color w:val="FF0000"/>
                      <w:sz w:val="21"/>
                      <w:szCs w:val="21"/>
                      <w:u w:val="single"/>
                      <w:lang w:val="en-US" w:eastAsia="zh-CN"/>
                    </w:rPr>
                    <w:t>/a</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园区供水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30</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电</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c>
                <w:tcPr>
                  <w:tcW w:w="436"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15万度</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园区供电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31</w:t>
                  </w:r>
                </w:p>
              </w:tc>
              <w:tc>
                <w:tcPr>
                  <w:tcW w:w="1109"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切削液</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液态</w:t>
                  </w:r>
                </w:p>
              </w:tc>
              <w:tc>
                <w:tcPr>
                  <w:tcW w:w="436"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瓶装</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100kg</w:t>
                  </w:r>
                </w:p>
              </w:tc>
              <w:tc>
                <w:tcPr>
                  <w:tcW w:w="953"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外购于储存桶中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32</w:t>
                  </w:r>
                </w:p>
              </w:tc>
              <w:tc>
                <w:tcPr>
                  <w:tcW w:w="1109"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机油</w:t>
                  </w:r>
                </w:p>
              </w:tc>
              <w:tc>
                <w:tcPr>
                  <w:tcW w:w="701"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液态</w:t>
                  </w:r>
                </w:p>
              </w:tc>
              <w:tc>
                <w:tcPr>
                  <w:tcW w:w="436"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汽运</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瓶装</w:t>
                  </w:r>
                </w:p>
              </w:tc>
              <w:tc>
                <w:tcPr>
                  <w:tcW w:w="44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仓库</w:t>
                  </w:r>
                </w:p>
              </w:tc>
              <w:tc>
                <w:tcPr>
                  <w:tcW w:w="635" w:type="pct"/>
                  <w:tcBorders>
                    <w:tl2br w:val="nil"/>
                    <w:tr2bl w:val="nil"/>
                  </w:tcBorders>
                  <w:vAlign w:val="center"/>
                </w:tcPr>
                <w:p>
                  <w:pPr>
                    <w:bidi w:val="0"/>
                    <w:jc w:val="center"/>
                    <w:rPr>
                      <w:rFonts w:hint="default"/>
                      <w:color w:val="FF0000"/>
                      <w:sz w:val="21"/>
                      <w:szCs w:val="21"/>
                      <w:u w:val="single"/>
                      <w:lang w:val="en-US" w:eastAsia="zh-CN"/>
                    </w:rPr>
                  </w:pPr>
                  <w:r>
                    <w:rPr>
                      <w:rFonts w:hint="eastAsia"/>
                      <w:color w:val="FF0000"/>
                      <w:sz w:val="21"/>
                      <w:szCs w:val="21"/>
                      <w:u w:val="single"/>
                      <w:lang w:val="en-US" w:eastAsia="zh-CN"/>
                    </w:rPr>
                    <w:t>100kg</w:t>
                  </w:r>
                </w:p>
              </w:tc>
              <w:tc>
                <w:tcPr>
                  <w:tcW w:w="953" w:type="pct"/>
                  <w:tcBorders>
                    <w:tl2br w:val="nil"/>
                    <w:tr2bl w:val="nil"/>
                  </w:tcBorders>
                  <w:vAlign w:val="center"/>
                </w:tcPr>
                <w:p>
                  <w:pPr>
                    <w:bidi w:val="0"/>
                    <w:jc w:val="center"/>
                    <w:rPr>
                      <w:rFonts w:hint="eastAsia"/>
                      <w:color w:val="FF0000"/>
                      <w:sz w:val="21"/>
                      <w:szCs w:val="21"/>
                      <w:u w:val="single"/>
                      <w:lang w:val="en-US" w:eastAsia="zh-CN"/>
                    </w:rPr>
                  </w:pPr>
                  <w:r>
                    <w:rPr>
                      <w:rFonts w:hint="eastAsia"/>
                      <w:color w:val="FF0000"/>
                      <w:sz w:val="21"/>
                      <w:szCs w:val="21"/>
                      <w:u w:val="single"/>
                      <w:lang w:val="en-US" w:eastAsia="zh-CN"/>
                    </w:rPr>
                    <w:t>外购于储存桶中</w:t>
                  </w:r>
                </w:p>
              </w:tc>
            </w:tr>
          </w:tbl>
          <w:p>
            <w:pPr>
              <w:adjustRightInd w:val="0"/>
              <w:snapToGrid w:val="0"/>
              <w:spacing w:line="360" w:lineRule="auto"/>
              <w:ind w:firstLine="480" w:firstLineChars="200"/>
              <w:rPr>
                <w:rFonts w:hint="eastAsia" w:ascii="宋体" w:hAnsi="宋体" w:eastAsia="宋体" w:cs="宋体"/>
                <w:color w:val="FF0000"/>
                <w:sz w:val="24"/>
                <w:highlight w:val="none"/>
                <w:u w:val="single"/>
              </w:rPr>
            </w:pPr>
            <w:r>
              <w:rPr>
                <w:rFonts w:hint="eastAsia" w:ascii="宋体" w:hAnsi="宋体" w:eastAsia="宋体" w:cs="宋体"/>
                <w:color w:val="FF0000"/>
                <w:sz w:val="24"/>
                <w:highlight w:val="none"/>
                <w:u w:val="single"/>
              </w:rPr>
              <w:t>本项目所用漆料及漆料组份与含量见表</w:t>
            </w:r>
            <w:r>
              <w:rPr>
                <w:rFonts w:hint="eastAsia" w:ascii="宋体" w:hAnsi="宋体" w:eastAsia="宋体" w:cs="宋体"/>
                <w:color w:val="FF0000"/>
                <w:sz w:val="24"/>
                <w:highlight w:val="none"/>
                <w:u w:val="single"/>
                <w:lang w:val="en-US" w:eastAsia="zh-CN"/>
              </w:rPr>
              <w:t>2-3</w:t>
            </w:r>
            <w:r>
              <w:rPr>
                <w:rFonts w:hint="eastAsia" w:ascii="宋体" w:hAnsi="宋体" w:eastAsia="宋体" w:cs="宋体"/>
                <w:color w:val="FF0000"/>
                <w:sz w:val="24"/>
                <w:highlight w:val="none"/>
                <w:u w:val="single"/>
              </w:rPr>
              <w:t>。</w:t>
            </w:r>
          </w:p>
          <w:p>
            <w:pPr>
              <w:keepNext w:val="0"/>
              <w:keepLines w:val="0"/>
              <w:pageBreakBefore w:val="0"/>
              <w:widowControl w:val="0"/>
              <w:tabs>
                <w:tab w:val="left" w:pos="1717"/>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eastAsia" w:ascii="宋体" w:hAnsi="宋体" w:eastAsia="宋体" w:cs="宋体"/>
                <w:b/>
                <w:color w:val="FF0000"/>
                <w:sz w:val="24"/>
                <w:szCs w:val="28"/>
                <w:u w:val="single"/>
              </w:rPr>
            </w:pPr>
            <w:r>
              <w:rPr>
                <w:rFonts w:hint="eastAsia" w:ascii="宋体" w:hAnsi="宋体" w:eastAsia="宋体" w:cs="宋体"/>
                <w:b/>
                <w:color w:val="FF0000"/>
                <w:sz w:val="24"/>
                <w:szCs w:val="28"/>
                <w:u w:val="single"/>
              </w:rPr>
              <w:t>表</w:t>
            </w:r>
            <w:r>
              <w:rPr>
                <w:rFonts w:hint="eastAsia" w:ascii="宋体" w:hAnsi="宋体" w:eastAsia="宋体" w:cs="宋体"/>
                <w:b/>
                <w:color w:val="FF0000"/>
                <w:sz w:val="24"/>
                <w:szCs w:val="28"/>
                <w:u w:val="single"/>
                <w:lang w:val="en-US" w:eastAsia="zh-CN"/>
              </w:rPr>
              <w:t>2-3</w:t>
            </w:r>
            <w:r>
              <w:rPr>
                <w:rFonts w:hint="eastAsia" w:ascii="宋体" w:hAnsi="宋体" w:eastAsia="宋体" w:cs="宋体"/>
                <w:b/>
                <w:color w:val="FF0000"/>
                <w:sz w:val="24"/>
                <w:szCs w:val="28"/>
                <w:u w:val="single"/>
              </w:rPr>
              <w:t xml:space="preserve">   漆料及稀释剂组分与含量</w:t>
            </w:r>
          </w:p>
          <w:tbl>
            <w:tblPr>
              <w:tblStyle w:val="13"/>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3"/>
              <w:gridCol w:w="72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pct"/>
                  <w:noWrap w:val="0"/>
                  <w:vAlign w:val="center"/>
                </w:tcPr>
                <w:p>
                  <w:pPr>
                    <w:keepNext w:val="0"/>
                    <w:keepLines w:val="0"/>
                    <w:pageBreakBefore w:val="0"/>
                    <w:kinsoku/>
                    <w:wordWrap/>
                    <w:overflowPunct/>
                    <w:topLinePunct w:val="0"/>
                    <w:autoSpaceDE w:val="0"/>
                    <w:autoSpaceDN w:val="0"/>
                    <w:bidi w:val="0"/>
                    <w:adjustRightInd/>
                    <w:snapToGrid/>
                    <w:spacing w:line="360" w:lineRule="exact"/>
                    <w:contextualSpacing/>
                    <w:jc w:val="center"/>
                    <w:textAlignment w:val="auto"/>
                    <w:rPr>
                      <w:rFonts w:hint="eastAsia" w:ascii="宋体" w:hAnsi="宋体" w:eastAsia="宋体" w:cs="宋体"/>
                      <w:bCs/>
                      <w:color w:val="FF0000"/>
                      <w:szCs w:val="21"/>
                      <w:highlight w:val="none"/>
                      <w:u w:val="single"/>
                    </w:rPr>
                  </w:pPr>
                  <w:r>
                    <w:rPr>
                      <w:rFonts w:hint="eastAsia" w:ascii="宋体" w:hAnsi="宋体" w:eastAsia="宋体" w:cs="宋体"/>
                      <w:bCs/>
                      <w:color w:val="FF0000"/>
                      <w:szCs w:val="21"/>
                      <w:highlight w:val="none"/>
                      <w:u w:val="single"/>
                    </w:rPr>
                    <w:t>名称</w:t>
                  </w:r>
                </w:p>
              </w:tc>
              <w:tc>
                <w:tcPr>
                  <w:tcW w:w="4525" w:type="pct"/>
                  <w:noWrap w:val="0"/>
                  <w:vAlign w:val="center"/>
                </w:tcPr>
                <w:p>
                  <w:pPr>
                    <w:keepNext w:val="0"/>
                    <w:keepLines w:val="0"/>
                    <w:pageBreakBefore w:val="0"/>
                    <w:kinsoku/>
                    <w:wordWrap/>
                    <w:overflowPunct/>
                    <w:topLinePunct w:val="0"/>
                    <w:autoSpaceDE w:val="0"/>
                    <w:autoSpaceDN w:val="0"/>
                    <w:bidi w:val="0"/>
                    <w:adjustRightInd/>
                    <w:snapToGrid/>
                    <w:spacing w:line="360" w:lineRule="exact"/>
                    <w:contextualSpacing/>
                    <w:jc w:val="center"/>
                    <w:textAlignment w:val="auto"/>
                    <w:rPr>
                      <w:rFonts w:hint="eastAsia" w:ascii="宋体" w:hAnsi="宋体" w:eastAsia="宋体" w:cs="宋体"/>
                      <w:bCs/>
                      <w:color w:val="FF0000"/>
                      <w:szCs w:val="21"/>
                      <w:highlight w:val="none"/>
                      <w:u w:val="single"/>
                    </w:rPr>
                  </w:pPr>
                  <w:r>
                    <w:rPr>
                      <w:rFonts w:hint="eastAsia" w:ascii="宋体" w:hAnsi="宋体" w:eastAsia="宋体" w:cs="宋体"/>
                      <w:bCs/>
                      <w:color w:val="FF0000"/>
                      <w:szCs w:val="21"/>
                      <w:highlight w:val="none"/>
                      <w:u w:val="single"/>
                    </w:rPr>
                    <w:t>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dxa"/>
                  <w:noWrap w:val="0"/>
                  <w:vAlign w:val="center"/>
                </w:tcPr>
                <w:p>
                  <w:pPr>
                    <w:bidi w:val="0"/>
                    <w:jc w:val="center"/>
                    <w:rPr>
                      <w:rFonts w:hint="eastAsia" w:ascii="宋体" w:hAnsi="宋体" w:eastAsia="宋体" w:cs="宋体"/>
                      <w:color w:val="FF0000"/>
                      <w:szCs w:val="21"/>
                      <w:highlight w:val="none"/>
                      <w:u w:val="single"/>
                    </w:rPr>
                  </w:pPr>
                  <w:r>
                    <w:rPr>
                      <w:rFonts w:hint="eastAsia"/>
                      <w:color w:val="FF0000"/>
                      <w:sz w:val="21"/>
                      <w:szCs w:val="21"/>
                      <w:u w:val="single"/>
                      <w:lang w:val="en-US" w:eastAsia="zh-CN"/>
                    </w:rPr>
                    <w:t>环氧底漆</w:t>
                  </w:r>
                </w:p>
              </w:tc>
              <w:tc>
                <w:tcPr>
                  <w:tcW w:w="4525" w:type="pct"/>
                  <w:noWrap w:val="0"/>
                  <w:vAlign w:val="center"/>
                </w:tcPr>
                <w:p>
                  <w:pPr>
                    <w:keepNext w:val="0"/>
                    <w:keepLines w:val="0"/>
                    <w:pageBreakBefore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FF0000"/>
                      <w:szCs w:val="21"/>
                      <w:highlight w:val="none"/>
                      <w:u w:val="single"/>
                    </w:rPr>
                  </w:pPr>
                  <w:r>
                    <w:rPr>
                      <w:rFonts w:hint="eastAsia" w:ascii="宋体" w:hAnsi="宋体" w:eastAsia="宋体" w:cs="宋体"/>
                      <w:color w:val="FF0000"/>
                      <w:szCs w:val="21"/>
                      <w:highlight w:val="none"/>
                      <w:u w:val="single"/>
                    </w:rPr>
                    <w:t>环氧树脂、锌粉60%、防锈颜料、料催干剂、成膜物质等8%、正丁醇10%，丙二醇甲醚2%、二甲苯20%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dxa"/>
                  <w:noWrap w:val="0"/>
                  <w:vAlign w:val="center"/>
                </w:tcPr>
                <w:p>
                  <w:pPr>
                    <w:bidi w:val="0"/>
                    <w:jc w:val="center"/>
                    <w:rPr>
                      <w:rFonts w:hint="eastAsia" w:ascii="宋体" w:hAnsi="宋体" w:eastAsia="宋体" w:cs="宋体"/>
                      <w:color w:val="FF0000"/>
                      <w:szCs w:val="21"/>
                      <w:highlight w:val="none"/>
                      <w:u w:val="single"/>
                    </w:rPr>
                  </w:pPr>
                  <w:r>
                    <w:rPr>
                      <w:rFonts w:hint="eastAsia"/>
                      <w:color w:val="FF0000"/>
                      <w:sz w:val="21"/>
                      <w:szCs w:val="21"/>
                      <w:u w:val="single"/>
                      <w:lang w:val="en-US" w:eastAsia="zh-CN"/>
                    </w:rPr>
                    <w:t>环氧底漆稀释剂</w:t>
                  </w:r>
                </w:p>
              </w:tc>
              <w:tc>
                <w:tcPr>
                  <w:tcW w:w="4525" w:type="pct"/>
                  <w:noWrap w:val="0"/>
                  <w:vAlign w:val="center"/>
                </w:tcPr>
                <w:p>
                  <w:pPr>
                    <w:keepNext w:val="0"/>
                    <w:keepLines w:val="0"/>
                    <w:pageBreakBefore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FF0000"/>
                      <w:szCs w:val="21"/>
                      <w:highlight w:val="none"/>
                      <w:u w:val="single"/>
                    </w:rPr>
                  </w:pPr>
                  <w:r>
                    <w:rPr>
                      <w:rFonts w:hint="eastAsia" w:ascii="宋体" w:hAnsi="宋体" w:eastAsia="宋体" w:cs="宋体"/>
                      <w:color w:val="FF0000"/>
                      <w:szCs w:val="21"/>
                      <w:highlight w:val="none"/>
                      <w:u w:val="single"/>
                    </w:rPr>
                    <w:t>环氧中间漆：环氧树脂、云母氧化铁55%、颜料12%、二甲苯20%、正丁醇10%，丙二醇甲醚2%、分散剂、颜料催干剂等助剂5%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dxa"/>
                  <w:noWrap w:val="0"/>
                  <w:vAlign w:val="center"/>
                </w:tcPr>
                <w:p>
                  <w:pPr>
                    <w:bidi w:val="0"/>
                    <w:jc w:val="center"/>
                    <w:rPr>
                      <w:rFonts w:hint="eastAsia" w:ascii="宋体" w:hAnsi="宋体" w:eastAsia="宋体" w:cs="宋体"/>
                      <w:color w:val="FF0000"/>
                      <w:szCs w:val="21"/>
                      <w:highlight w:val="none"/>
                      <w:u w:val="single"/>
                    </w:rPr>
                  </w:pPr>
                  <w:r>
                    <w:rPr>
                      <w:rFonts w:hint="eastAsia"/>
                      <w:color w:val="FF0000"/>
                      <w:sz w:val="21"/>
                      <w:szCs w:val="21"/>
                      <w:u w:val="single"/>
                      <w:lang w:val="en-US" w:eastAsia="zh-CN"/>
                    </w:rPr>
                    <w:t>聚氨酯面漆</w:t>
                  </w:r>
                </w:p>
              </w:tc>
              <w:tc>
                <w:tcPr>
                  <w:tcW w:w="4525" w:type="pct"/>
                  <w:noWrap w:val="0"/>
                  <w:vAlign w:val="center"/>
                </w:tcPr>
                <w:p>
                  <w:pPr>
                    <w:keepNext w:val="0"/>
                    <w:keepLines w:val="0"/>
                    <w:pageBreakBefore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FF0000"/>
                      <w:szCs w:val="21"/>
                      <w:highlight w:val="none"/>
                      <w:u w:val="single"/>
                    </w:rPr>
                  </w:pPr>
                  <w:r>
                    <w:rPr>
                      <w:rFonts w:hint="eastAsia" w:ascii="宋体" w:hAnsi="宋体" w:eastAsia="宋体" w:cs="宋体"/>
                      <w:color w:val="FF0000"/>
                      <w:szCs w:val="21"/>
                      <w:highlight w:val="none"/>
                      <w:u w:val="single"/>
                    </w:rPr>
                    <w:t>脂肪族二胺、多胺、芳香族多胺等500%、二甲苯20%、正丁醇10%，其他溶剂20%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dxa"/>
                  <w:noWrap w:val="0"/>
                  <w:vAlign w:val="center"/>
                </w:tcPr>
                <w:p>
                  <w:pPr>
                    <w:bidi w:val="0"/>
                    <w:jc w:val="center"/>
                    <w:rPr>
                      <w:rFonts w:hint="eastAsia" w:ascii="宋体" w:hAnsi="宋体" w:eastAsia="宋体" w:cs="宋体"/>
                      <w:color w:val="FF0000"/>
                      <w:szCs w:val="21"/>
                      <w:highlight w:val="none"/>
                      <w:u w:val="single"/>
                    </w:rPr>
                  </w:pPr>
                  <w:r>
                    <w:rPr>
                      <w:rFonts w:hint="eastAsia"/>
                      <w:color w:val="FF0000"/>
                      <w:sz w:val="21"/>
                      <w:szCs w:val="21"/>
                      <w:u w:val="single"/>
                      <w:lang w:val="en-US" w:eastAsia="zh-CN"/>
                    </w:rPr>
                    <w:t>稀释剂</w:t>
                  </w:r>
                </w:p>
              </w:tc>
              <w:tc>
                <w:tcPr>
                  <w:tcW w:w="4525" w:type="pct"/>
                  <w:noWrap w:val="0"/>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FF0000"/>
                      <w:szCs w:val="21"/>
                      <w:highlight w:val="none"/>
                      <w:u w:val="single"/>
                      <w:lang w:eastAsia="zh-CN"/>
                    </w:rPr>
                  </w:pPr>
                  <w:r>
                    <w:rPr>
                      <w:rFonts w:hint="eastAsia" w:ascii="宋体" w:hAnsi="宋体" w:eastAsia="宋体" w:cs="宋体"/>
                      <w:color w:val="FF0000"/>
                      <w:szCs w:val="21"/>
                      <w:highlight w:val="none"/>
                      <w:u w:val="single"/>
                    </w:rPr>
                    <w:t>二甲苯</w:t>
                  </w:r>
                  <w:r>
                    <w:rPr>
                      <w:rFonts w:hint="eastAsia" w:ascii="宋体" w:hAnsi="宋体" w:eastAsia="宋体" w:cs="宋体"/>
                      <w:color w:val="FF0000"/>
                      <w:szCs w:val="21"/>
                      <w:highlight w:val="none"/>
                      <w:u w:val="single"/>
                      <w:lang w:val="en-US" w:eastAsia="zh-CN"/>
                    </w:rPr>
                    <w:t>4</w:t>
                  </w:r>
                  <w:r>
                    <w:rPr>
                      <w:rFonts w:hint="eastAsia" w:ascii="宋体" w:hAnsi="宋体" w:eastAsia="宋体" w:cs="宋体"/>
                      <w:color w:val="FF0000"/>
                      <w:szCs w:val="21"/>
                      <w:highlight w:val="none"/>
                      <w:u w:val="single"/>
                    </w:rPr>
                    <w:t>0%、200#溶剂油</w:t>
                  </w:r>
                  <w:r>
                    <w:rPr>
                      <w:rFonts w:hint="eastAsia" w:ascii="宋体" w:hAnsi="宋体" w:eastAsia="宋体" w:cs="宋体"/>
                      <w:color w:val="FF0000"/>
                      <w:szCs w:val="21"/>
                      <w:highlight w:val="none"/>
                      <w:u w:val="single"/>
                      <w:lang w:val="en-US" w:eastAsia="zh-CN"/>
                    </w:rPr>
                    <w:t>60</w:t>
                  </w:r>
                  <w:r>
                    <w:rPr>
                      <w:rFonts w:hint="eastAsia" w:ascii="宋体" w:hAnsi="宋体" w:eastAsia="宋体" w:cs="宋体"/>
                      <w:color w:val="FF0000"/>
                      <w:szCs w:val="21"/>
                      <w:highlight w:val="none"/>
                      <w:u w:val="single"/>
                    </w:rPr>
                    <w:t>%</w:t>
                  </w:r>
                  <w:r>
                    <w:rPr>
                      <w:rFonts w:hint="eastAsia" w:cs="宋体"/>
                      <w:color w:val="FF0000"/>
                      <w:szCs w:val="21"/>
                      <w:highlight w:val="none"/>
                      <w:u w:val="single"/>
                      <w:lang w:eastAsia="zh-CN"/>
                    </w:rPr>
                    <w:t>（</w:t>
                  </w:r>
                  <w:r>
                    <w:rPr>
                      <w:rFonts w:hint="eastAsia" w:cs="宋体"/>
                      <w:color w:val="FF0000"/>
                      <w:szCs w:val="21"/>
                      <w:highlight w:val="none"/>
                      <w:u w:val="single"/>
                      <w:lang w:val="en-US" w:eastAsia="zh-CN"/>
                    </w:rPr>
                    <w:t>VOC</w:t>
                  </w:r>
                  <w:r>
                    <w:rPr>
                      <w:rFonts w:hint="eastAsia" w:cs="宋体"/>
                      <w:color w:val="FF0000"/>
                      <w:szCs w:val="21"/>
                      <w:highlight w:val="none"/>
                      <w:u w:val="single"/>
                      <w:vertAlign w:val="subscript"/>
                      <w:lang w:val="en-US" w:eastAsia="zh-CN"/>
                    </w:rPr>
                    <w:t>S</w:t>
                  </w:r>
                  <w:r>
                    <w:rPr>
                      <w:rFonts w:hint="eastAsia" w:cs="宋体"/>
                      <w:color w:val="FF0000"/>
                      <w:szCs w:val="21"/>
                      <w:highlight w:val="none"/>
                      <w:u w:val="single"/>
                      <w:lang w:eastAsia="zh-CN"/>
                    </w:rPr>
                    <w:t>）</w:t>
                  </w:r>
                </w:p>
              </w:tc>
            </w:tr>
          </w:tbl>
          <w:p>
            <w:pPr>
              <w:spacing w:line="360" w:lineRule="auto"/>
              <w:ind w:firstLine="480" w:firstLineChars="200"/>
              <w:rPr>
                <w:rFonts w:hint="eastAsia" w:ascii="宋体" w:hAnsi="宋体" w:eastAsia="宋体" w:cs="宋体"/>
                <w:color w:val="FF0000"/>
                <w:sz w:val="24"/>
                <w:highlight w:val="none"/>
                <w:u w:val="single"/>
              </w:rPr>
            </w:pPr>
            <w:r>
              <w:rPr>
                <w:rFonts w:hint="eastAsia" w:ascii="宋体" w:hAnsi="宋体" w:eastAsia="宋体" w:cs="宋体"/>
                <w:color w:val="FF0000"/>
                <w:sz w:val="24"/>
                <w:highlight w:val="none"/>
                <w:u w:val="single"/>
              </w:rPr>
              <w:t>本项目所用漆料及漆料主要组分原辅料理化性质、毒性毒理见表</w:t>
            </w:r>
            <w:r>
              <w:rPr>
                <w:rFonts w:hint="eastAsia" w:ascii="宋体" w:hAnsi="宋体" w:eastAsia="宋体" w:cs="宋体"/>
                <w:color w:val="FF0000"/>
                <w:sz w:val="24"/>
                <w:highlight w:val="none"/>
                <w:u w:val="single"/>
                <w:lang w:val="en-US" w:eastAsia="zh-CN"/>
              </w:rPr>
              <w:t>2-4</w:t>
            </w:r>
            <w:r>
              <w:rPr>
                <w:rFonts w:hint="eastAsia" w:ascii="宋体" w:hAnsi="宋体" w:eastAsia="宋体" w:cs="宋体"/>
                <w:color w:val="FF0000"/>
                <w:sz w:val="24"/>
                <w:highlight w:val="none"/>
                <w:u w:val="single"/>
              </w:rPr>
              <w:t>。</w:t>
            </w:r>
          </w:p>
          <w:p>
            <w:pPr>
              <w:keepNext w:val="0"/>
              <w:keepLines w:val="0"/>
              <w:pageBreakBefore w:val="0"/>
              <w:widowControl w:val="0"/>
              <w:tabs>
                <w:tab w:val="left" w:pos="1717"/>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eastAsia" w:ascii="宋体" w:hAnsi="宋体" w:eastAsia="宋体" w:cs="宋体"/>
                <w:b/>
                <w:color w:val="FF0000"/>
                <w:sz w:val="24"/>
                <w:szCs w:val="28"/>
                <w:u w:val="single"/>
              </w:rPr>
            </w:pPr>
            <w:r>
              <w:rPr>
                <w:rFonts w:hint="eastAsia" w:ascii="宋体" w:hAnsi="宋体" w:eastAsia="宋体" w:cs="宋体"/>
                <w:b/>
                <w:color w:val="FF0000"/>
                <w:sz w:val="24"/>
                <w:szCs w:val="28"/>
                <w:u w:val="single"/>
              </w:rPr>
              <w:t>表</w:t>
            </w:r>
            <w:r>
              <w:rPr>
                <w:rFonts w:hint="eastAsia" w:ascii="宋体" w:hAnsi="宋体" w:eastAsia="宋体" w:cs="宋体"/>
                <w:b/>
                <w:color w:val="FF0000"/>
                <w:sz w:val="24"/>
                <w:szCs w:val="28"/>
                <w:u w:val="single"/>
                <w:lang w:val="en-US" w:eastAsia="zh-CN"/>
              </w:rPr>
              <w:t>2-4</w:t>
            </w:r>
            <w:r>
              <w:rPr>
                <w:rFonts w:hint="eastAsia" w:ascii="宋体" w:hAnsi="宋体" w:eastAsia="宋体" w:cs="宋体"/>
                <w:b/>
                <w:color w:val="FF0000"/>
                <w:sz w:val="24"/>
                <w:szCs w:val="28"/>
                <w:u w:val="single"/>
              </w:rPr>
              <w:t xml:space="preserve">   主要原辅料、产品理化性质、毒性毒理</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9"/>
              <w:gridCol w:w="932"/>
              <w:gridCol w:w="3535"/>
              <w:gridCol w:w="901"/>
              <w:gridCol w:w="19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6" w:type="dxa"/>
                  <w:noWrap w:val="0"/>
                  <w:vAlign w:val="center"/>
                </w:tcPr>
                <w:p>
                  <w:pPr>
                    <w:adjustRightInd w:val="0"/>
                    <w:snapToGrid w:val="0"/>
                    <w:jc w:val="center"/>
                    <w:rPr>
                      <w:rFonts w:hint="default" w:ascii="Times New Roman" w:hAnsi="Times New Roman" w:eastAsia="宋体" w:cs="Times New Roman"/>
                      <w:bCs/>
                      <w:color w:val="FF0000"/>
                      <w:szCs w:val="21"/>
                      <w:highlight w:val="none"/>
                      <w:u w:val="single"/>
                    </w:rPr>
                  </w:pPr>
                  <w:r>
                    <w:rPr>
                      <w:rFonts w:hint="default" w:ascii="Times New Roman" w:hAnsi="Times New Roman" w:eastAsia="宋体" w:cs="Times New Roman"/>
                      <w:bCs/>
                      <w:color w:val="FF0000"/>
                      <w:szCs w:val="21"/>
                      <w:highlight w:val="none"/>
                      <w:u w:val="single"/>
                    </w:rPr>
                    <w:t>名称</w:t>
                  </w:r>
                </w:p>
              </w:tc>
              <w:tc>
                <w:tcPr>
                  <w:tcW w:w="964" w:type="dxa"/>
                  <w:noWrap w:val="0"/>
                  <w:vAlign w:val="center"/>
                </w:tcPr>
                <w:p>
                  <w:pPr>
                    <w:adjustRightInd w:val="0"/>
                    <w:snapToGrid w:val="0"/>
                    <w:jc w:val="center"/>
                    <w:rPr>
                      <w:rFonts w:hint="default" w:ascii="Times New Roman" w:hAnsi="Times New Roman" w:eastAsia="宋体" w:cs="Times New Roman"/>
                      <w:bCs/>
                      <w:color w:val="FF0000"/>
                      <w:szCs w:val="21"/>
                      <w:highlight w:val="none"/>
                      <w:u w:val="single"/>
                    </w:rPr>
                  </w:pPr>
                  <w:r>
                    <w:rPr>
                      <w:rFonts w:hint="default" w:ascii="Times New Roman" w:hAnsi="Times New Roman" w:eastAsia="宋体" w:cs="Times New Roman"/>
                      <w:bCs/>
                      <w:color w:val="FF0000"/>
                      <w:szCs w:val="21"/>
                      <w:highlight w:val="none"/>
                      <w:u w:val="single"/>
                    </w:rPr>
                    <w:t>分子式</w:t>
                  </w:r>
                </w:p>
              </w:tc>
              <w:tc>
                <w:tcPr>
                  <w:tcW w:w="4453" w:type="dxa"/>
                  <w:noWrap w:val="0"/>
                  <w:vAlign w:val="center"/>
                </w:tcPr>
                <w:p>
                  <w:pPr>
                    <w:adjustRightInd w:val="0"/>
                    <w:snapToGrid w:val="0"/>
                    <w:jc w:val="center"/>
                    <w:rPr>
                      <w:rFonts w:hint="default" w:ascii="Times New Roman" w:hAnsi="Times New Roman" w:eastAsia="宋体" w:cs="Times New Roman"/>
                      <w:bCs/>
                      <w:color w:val="FF0000"/>
                      <w:szCs w:val="21"/>
                      <w:highlight w:val="none"/>
                      <w:u w:val="single"/>
                    </w:rPr>
                  </w:pPr>
                  <w:r>
                    <w:rPr>
                      <w:rFonts w:hint="default" w:ascii="Times New Roman" w:hAnsi="Times New Roman" w:eastAsia="宋体" w:cs="Times New Roman"/>
                      <w:bCs/>
                      <w:color w:val="FF0000"/>
                      <w:szCs w:val="21"/>
                      <w:highlight w:val="none"/>
                      <w:u w:val="single"/>
                    </w:rPr>
                    <w:t>理化特性</w:t>
                  </w:r>
                </w:p>
              </w:tc>
              <w:tc>
                <w:tcPr>
                  <w:tcW w:w="1024" w:type="dxa"/>
                  <w:noWrap w:val="0"/>
                  <w:vAlign w:val="center"/>
                </w:tcPr>
                <w:p>
                  <w:pPr>
                    <w:adjustRightInd w:val="0"/>
                    <w:snapToGrid w:val="0"/>
                    <w:jc w:val="center"/>
                    <w:rPr>
                      <w:rFonts w:hint="default" w:ascii="Times New Roman" w:hAnsi="Times New Roman" w:eastAsia="宋体" w:cs="Times New Roman"/>
                      <w:bCs/>
                      <w:color w:val="FF0000"/>
                      <w:szCs w:val="21"/>
                      <w:highlight w:val="none"/>
                      <w:u w:val="single"/>
                    </w:rPr>
                  </w:pPr>
                  <w:r>
                    <w:rPr>
                      <w:rFonts w:hint="default" w:ascii="Times New Roman" w:hAnsi="Times New Roman" w:eastAsia="宋体" w:cs="Times New Roman"/>
                      <w:bCs/>
                      <w:color w:val="FF0000"/>
                      <w:szCs w:val="21"/>
                      <w:highlight w:val="none"/>
                      <w:u w:val="single"/>
                    </w:rPr>
                    <w:t>燃烧爆炸性</w:t>
                  </w:r>
                </w:p>
              </w:tc>
              <w:tc>
                <w:tcPr>
                  <w:tcW w:w="2021" w:type="dxa"/>
                  <w:noWrap w:val="0"/>
                  <w:vAlign w:val="center"/>
                </w:tcPr>
                <w:p>
                  <w:pPr>
                    <w:adjustRightInd w:val="0"/>
                    <w:snapToGrid w:val="0"/>
                    <w:jc w:val="center"/>
                    <w:rPr>
                      <w:rFonts w:hint="default" w:ascii="Times New Roman" w:hAnsi="Times New Roman" w:eastAsia="宋体" w:cs="Times New Roman"/>
                      <w:bCs/>
                      <w:color w:val="FF0000"/>
                      <w:szCs w:val="21"/>
                      <w:highlight w:val="none"/>
                      <w:u w:val="single"/>
                    </w:rPr>
                  </w:pPr>
                  <w:r>
                    <w:rPr>
                      <w:rFonts w:hint="default" w:ascii="Times New Roman" w:hAnsi="Times New Roman" w:eastAsia="宋体" w:cs="Times New Roman"/>
                      <w:bCs/>
                      <w:color w:val="FF0000"/>
                      <w:szCs w:val="21"/>
                      <w:highlight w:val="none"/>
                      <w:u w:val="single"/>
                    </w:rPr>
                    <w:t>毒性毒理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6" w:type="dxa"/>
                  <w:noWrap w:val="0"/>
                  <w:vAlign w:val="center"/>
                </w:tcPr>
                <w:p>
                  <w:pPr>
                    <w:adjustRightInd w:val="0"/>
                    <w:snapToGrid w:val="0"/>
                    <w:jc w:val="center"/>
                    <w:rPr>
                      <w:rFonts w:hint="default" w:ascii="Times New Roman" w:hAnsi="Times New Roman" w:eastAsia="宋体" w:cs="Times New Roman"/>
                      <w:color w:val="FF0000"/>
                      <w:kern w:val="0"/>
                      <w:szCs w:val="21"/>
                      <w:highlight w:val="none"/>
                      <w:u w:val="single"/>
                    </w:rPr>
                  </w:pPr>
                  <w:r>
                    <w:rPr>
                      <w:rFonts w:hint="default" w:ascii="Times New Roman" w:hAnsi="Times New Roman" w:eastAsia="宋体" w:cs="Times New Roman"/>
                      <w:color w:val="FF0000"/>
                      <w:kern w:val="0"/>
                      <w:szCs w:val="21"/>
                      <w:highlight w:val="none"/>
                      <w:u w:val="single"/>
                    </w:rPr>
                    <w:t>溶剂油</w:t>
                  </w:r>
                </w:p>
              </w:tc>
              <w:tc>
                <w:tcPr>
                  <w:tcW w:w="964"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rPr>
                    <w:t>/</w:t>
                  </w:r>
                </w:p>
              </w:tc>
              <w:tc>
                <w:tcPr>
                  <w:tcW w:w="4453"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rPr>
                    <w:t>微黄色液体。101.325kPa下初馏点≥135℃。干点≤230℃。闪点（闭口杯）≥30℃。由石油经预处理和常压蒸馏而制得。它能溶解酚醛树脂漆料、酯胶漆料、醇酸调合树脂及长油度醇酸树脂等。广泛用于在油性漆、酯胶漆、酚醛漆和醇酸漆中作溶剂，以降低油漆黏度而便于施工</w:t>
                  </w:r>
                </w:p>
              </w:tc>
              <w:tc>
                <w:tcPr>
                  <w:tcW w:w="1024"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rPr>
                    <w:t>/</w:t>
                  </w:r>
                </w:p>
              </w:tc>
              <w:tc>
                <w:tcPr>
                  <w:tcW w:w="2021"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6"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rPr>
                    <w:t>二甲苯</w:t>
                  </w:r>
                </w:p>
              </w:tc>
              <w:tc>
                <w:tcPr>
                  <w:tcW w:w="964"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rPr>
                    <w:t>C</w:t>
                  </w:r>
                  <w:r>
                    <w:rPr>
                      <w:rFonts w:hint="default" w:ascii="Times New Roman" w:hAnsi="Times New Roman" w:eastAsia="宋体" w:cs="Times New Roman"/>
                      <w:color w:val="FF0000"/>
                      <w:szCs w:val="21"/>
                      <w:highlight w:val="none"/>
                      <w:u w:val="single"/>
                      <w:vertAlign w:val="subscript"/>
                    </w:rPr>
                    <w:t>8</w:t>
                  </w:r>
                  <w:r>
                    <w:rPr>
                      <w:rFonts w:hint="default" w:ascii="Times New Roman" w:hAnsi="Times New Roman" w:eastAsia="宋体" w:cs="Times New Roman"/>
                      <w:color w:val="FF0000"/>
                      <w:szCs w:val="21"/>
                      <w:highlight w:val="none"/>
                      <w:u w:val="single"/>
                    </w:rPr>
                    <w:t>H</w:t>
                  </w:r>
                  <w:r>
                    <w:rPr>
                      <w:rFonts w:hint="default" w:ascii="Times New Roman" w:hAnsi="Times New Roman" w:eastAsia="宋体" w:cs="Times New Roman"/>
                      <w:color w:val="FF0000"/>
                      <w:szCs w:val="21"/>
                      <w:highlight w:val="none"/>
                      <w:u w:val="single"/>
                      <w:vertAlign w:val="subscript"/>
                    </w:rPr>
                    <w:t>10</w:t>
                  </w:r>
                </w:p>
              </w:tc>
              <w:tc>
                <w:tcPr>
                  <w:tcW w:w="4453"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rPr>
                    <w:t>无色透明液体。有芳香烃的特殊气味。系由45%～70%的间二甲苯、15%～25%的对二甲苯和10%～15%邻二甲苯三种异构体所组成的混合物。易流动。能与无水乙醇、乙醚和其他许多有机溶剂混溶，几乎不溶于水。相对密度约0.86。沸点137～140℃。折光率1.4970。闪点29℃。易燃，蒸气能与空气形成爆炸性混合物，爆炸极限约为1%～7%（体积）。</w:t>
                  </w:r>
                </w:p>
              </w:tc>
              <w:tc>
                <w:tcPr>
                  <w:tcW w:w="1024"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rPr>
                    <w:t>易燃</w:t>
                  </w:r>
                </w:p>
              </w:tc>
              <w:tc>
                <w:tcPr>
                  <w:tcW w:w="2021"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rPr>
                    <w:t>微毒，半数致死浓度（大鼠，吸入）0.67%/4h。有刺激性。蒸气高浓度时有麻醉性。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6" w:type="dxa"/>
                  <w:noWrap w:val="0"/>
                  <w:vAlign w:val="center"/>
                </w:tcPr>
                <w:p>
                  <w:pPr>
                    <w:widowControl/>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kern w:val="0"/>
                      <w:szCs w:val="21"/>
                      <w:highlight w:val="none"/>
                      <w:u w:val="single"/>
                    </w:rPr>
                    <w:t>正丁醇</w:t>
                  </w:r>
                </w:p>
              </w:tc>
              <w:tc>
                <w:tcPr>
                  <w:tcW w:w="964"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shd w:val="clear" w:color="auto" w:fill="FFFFFF"/>
                    </w:rPr>
                  </w:pPr>
                  <w:r>
                    <w:rPr>
                      <w:rFonts w:hint="default" w:ascii="Times New Roman" w:hAnsi="Times New Roman" w:eastAsia="宋体" w:cs="Times New Roman"/>
                      <w:color w:val="FF0000"/>
                      <w:szCs w:val="21"/>
                      <w:highlight w:val="none"/>
                      <w:u w:val="single"/>
                      <w:shd w:val="clear" w:color="auto" w:fill="FFFFFF"/>
                    </w:rPr>
                    <w:t>C</w:t>
                  </w:r>
                  <w:r>
                    <w:rPr>
                      <w:rFonts w:hint="default" w:ascii="Times New Roman" w:hAnsi="Times New Roman" w:eastAsia="宋体" w:cs="Times New Roman"/>
                      <w:color w:val="FF0000"/>
                      <w:szCs w:val="21"/>
                      <w:highlight w:val="none"/>
                      <w:u w:val="single"/>
                      <w:shd w:val="clear" w:color="auto" w:fill="FFFFFF"/>
                      <w:vertAlign w:val="subscript"/>
                    </w:rPr>
                    <w:t>4</w:t>
                  </w:r>
                  <w:r>
                    <w:rPr>
                      <w:rFonts w:hint="default" w:ascii="Times New Roman" w:hAnsi="Times New Roman" w:eastAsia="宋体" w:cs="Times New Roman"/>
                      <w:color w:val="FF0000"/>
                      <w:szCs w:val="21"/>
                      <w:highlight w:val="none"/>
                      <w:u w:val="single"/>
                      <w:shd w:val="clear" w:color="auto" w:fill="FFFFFF"/>
                    </w:rPr>
                    <w:t>H</w:t>
                  </w:r>
                  <w:r>
                    <w:rPr>
                      <w:rFonts w:hint="default" w:ascii="Times New Roman" w:hAnsi="Times New Roman" w:eastAsia="宋体" w:cs="Times New Roman"/>
                      <w:color w:val="FF0000"/>
                      <w:szCs w:val="21"/>
                      <w:highlight w:val="none"/>
                      <w:u w:val="single"/>
                      <w:shd w:val="clear" w:color="auto" w:fill="FFFFFF"/>
                      <w:vertAlign w:val="subscript"/>
                    </w:rPr>
                    <w:t>10</w:t>
                  </w:r>
                  <w:r>
                    <w:rPr>
                      <w:rFonts w:hint="default" w:ascii="Times New Roman" w:hAnsi="Times New Roman" w:eastAsia="宋体" w:cs="Times New Roman"/>
                      <w:color w:val="FF0000"/>
                      <w:szCs w:val="21"/>
                      <w:highlight w:val="none"/>
                      <w:u w:val="single"/>
                      <w:shd w:val="clear" w:color="auto" w:fill="FFFFFF"/>
                    </w:rPr>
                    <w:t>O</w:t>
                  </w:r>
                </w:p>
              </w:tc>
              <w:tc>
                <w:tcPr>
                  <w:tcW w:w="4453"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shd w:val="clear" w:color="auto" w:fill="FFFFFF"/>
                    </w:rPr>
                    <w:t>无色透明液体，具有酒气味。熔点-88.9℃，沸点117.5℃，相对密度（水=1）0.81，相对蒸气密度（空气=1）2.55，饱和蒸气压0.82KPa（25℃），燃烧热2673.2kj/mol，临界温度287℃，临界压力4.90MPa，闪点35℃，引燃温度340℃，爆炸上限%11.2V/V，爆炸下限%1.4V/V。微溶于水，溶于乙醇、醚、多数有机溶剂。</w:t>
                  </w:r>
                </w:p>
              </w:tc>
              <w:tc>
                <w:tcPr>
                  <w:tcW w:w="1024"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rPr>
                    <w:t>易燃</w:t>
                  </w:r>
                </w:p>
              </w:tc>
              <w:tc>
                <w:tcPr>
                  <w:tcW w:w="2021"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shd w:val="clear" w:color="auto" w:fill="FFFFFF"/>
                    </w:rPr>
                    <w:t>LD</w:t>
                  </w:r>
                  <w:r>
                    <w:rPr>
                      <w:rFonts w:hint="default" w:ascii="Times New Roman" w:hAnsi="Times New Roman" w:eastAsia="宋体" w:cs="Times New Roman"/>
                      <w:color w:val="FF0000"/>
                      <w:szCs w:val="21"/>
                      <w:highlight w:val="none"/>
                      <w:u w:val="single"/>
                      <w:shd w:val="clear" w:color="auto" w:fill="FFFFFF"/>
                      <w:vertAlign w:val="subscript"/>
                    </w:rPr>
                    <w:t>50</w:t>
                  </w:r>
                  <w:r>
                    <w:rPr>
                      <w:rFonts w:hint="default" w:ascii="Times New Roman" w:hAnsi="Times New Roman" w:eastAsia="宋体" w:cs="Times New Roman"/>
                      <w:color w:val="FF0000"/>
                      <w:szCs w:val="21"/>
                      <w:highlight w:val="none"/>
                      <w:u w:val="single"/>
                      <w:shd w:val="clear" w:color="auto" w:fill="FFFFFF"/>
                    </w:rPr>
                    <w:t>4360mg/kg(大鼠经口)；3400mg/kg(兔经皮)。LC</w:t>
                  </w:r>
                  <w:r>
                    <w:rPr>
                      <w:rFonts w:hint="default" w:ascii="Times New Roman" w:hAnsi="Times New Roman" w:eastAsia="宋体" w:cs="Times New Roman"/>
                      <w:color w:val="FF0000"/>
                      <w:szCs w:val="21"/>
                      <w:highlight w:val="none"/>
                      <w:u w:val="single"/>
                      <w:shd w:val="clear" w:color="auto" w:fill="FFFFFF"/>
                      <w:vertAlign w:val="subscript"/>
                    </w:rPr>
                    <w:t>50</w:t>
                  </w:r>
                  <w:r>
                    <w:rPr>
                      <w:rFonts w:hint="default" w:ascii="Times New Roman" w:hAnsi="Times New Roman" w:eastAsia="宋体" w:cs="Times New Roman"/>
                      <w:color w:val="FF0000"/>
                      <w:szCs w:val="21"/>
                      <w:highlight w:val="none"/>
                      <w:u w:val="single"/>
                      <w:shd w:val="clear" w:color="auto" w:fill="FFFFFF"/>
                    </w:rPr>
                    <w:t>24240mg/m</w:t>
                  </w:r>
                  <w:r>
                    <w:rPr>
                      <w:rFonts w:hint="default" w:ascii="Times New Roman" w:hAnsi="Times New Roman" w:eastAsia="宋体" w:cs="Times New Roman"/>
                      <w:color w:val="FF0000"/>
                      <w:szCs w:val="21"/>
                      <w:highlight w:val="none"/>
                      <w:u w:val="single"/>
                      <w:shd w:val="clear" w:color="auto" w:fill="FFFFFF"/>
                      <w:vertAlign w:val="superscript"/>
                    </w:rPr>
                    <w:t>3</w:t>
                  </w:r>
                  <w:r>
                    <w:rPr>
                      <w:rFonts w:hint="default" w:ascii="Times New Roman" w:hAnsi="Times New Roman" w:eastAsia="宋体" w:cs="Times New Roman"/>
                      <w:color w:val="FF0000"/>
                      <w:szCs w:val="21"/>
                      <w:highlight w:val="none"/>
                      <w:u w:val="single"/>
                      <w:shd w:val="clear" w:color="auto" w:fill="FFFFFF"/>
                    </w:rPr>
                    <w:t>，4小时(大鼠吸入)。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6" w:type="dxa"/>
                  <w:noWrap w:val="0"/>
                  <w:vAlign w:val="center"/>
                </w:tcPr>
                <w:p>
                  <w:pPr>
                    <w:adjustRightInd w:val="0"/>
                    <w:snapToGrid w:val="0"/>
                    <w:jc w:val="center"/>
                    <w:rPr>
                      <w:rFonts w:hint="default" w:ascii="Times New Roman" w:hAnsi="Times New Roman" w:eastAsia="宋体" w:cs="Times New Roman"/>
                      <w:color w:val="FF0000"/>
                      <w:kern w:val="0"/>
                      <w:szCs w:val="21"/>
                      <w:highlight w:val="none"/>
                      <w:u w:val="single"/>
                    </w:rPr>
                  </w:pPr>
                  <w:r>
                    <w:rPr>
                      <w:rFonts w:hint="default" w:ascii="Times New Roman" w:hAnsi="Times New Roman" w:eastAsia="宋体" w:cs="Times New Roman"/>
                      <w:color w:val="FF0000"/>
                      <w:kern w:val="0"/>
                      <w:szCs w:val="21"/>
                      <w:highlight w:val="none"/>
                      <w:u w:val="single"/>
                    </w:rPr>
                    <w:t>环氧树脂</w:t>
                  </w:r>
                </w:p>
              </w:tc>
              <w:tc>
                <w:tcPr>
                  <w:tcW w:w="964"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shd w:val="clear" w:color="auto" w:fill="FFFFFF"/>
                    </w:rPr>
                  </w:pPr>
                  <w:r>
                    <w:rPr>
                      <w:rFonts w:hint="default" w:ascii="Times New Roman" w:hAnsi="Times New Roman" w:eastAsia="宋体" w:cs="Times New Roman"/>
                      <w:color w:val="FF0000"/>
                      <w:szCs w:val="21"/>
                      <w:highlight w:val="none"/>
                      <w:u w:val="single"/>
                    </w:rPr>
                    <w:t>/</w:t>
                  </w:r>
                </w:p>
              </w:tc>
              <w:tc>
                <w:tcPr>
                  <w:tcW w:w="4453"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shd w:val="clear" w:color="auto" w:fill="FFFFFF"/>
                    </w:rPr>
                  </w:pPr>
                  <w:r>
                    <w:rPr>
                      <w:rFonts w:hint="default" w:ascii="Times New Roman" w:hAnsi="Times New Roman" w:eastAsia="宋体" w:cs="Times New Roman"/>
                      <w:color w:val="FF0000"/>
                      <w:szCs w:val="21"/>
                      <w:highlight w:val="none"/>
                      <w:u w:val="single"/>
                      <w:shd w:val="clear" w:color="auto" w:fill="FFFFFF"/>
                    </w:rPr>
                    <w:t>又称作人工树脂、人造树脂、树脂胶等，环氧树脂是泛指分子中含有两个或两个以上环氧基团的有机高分子化合物，除个别外，它们的相对分子质量都不高。环氧树脂的分子结构是以分子链中含有活泼的环氧基团为其特征，环氧基团可以位于分子链的末端、中间或成环状结构。由于分子结构中含有活泼的环氧基团，使它们可与多种类型的固化剂发生交联反应而形成不溶、不熔的具有三向网状结构的高聚物。固化后的环氧树脂具有良好的物理化学性能，它对金属和非金属材料的表面具有优异的粘接强度，介电性能良好，变定收缩率小，制品尺寸稳定性好，硬度高，柔韧性较好，对碱及大部分溶剂稳定，因而广泛应用于国防、国民经济各部门，作浇注、浸渍、层压料、粘接剂、涂料等用途</w:t>
                  </w:r>
                </w:p>
              </w:tc>
              <w:tc>
                <w:tcPr>
                  <w:tcW w:w="1024"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rPr>
                  </w:pPr>
                  <w:r>
                    <w:rPr>
                      <w:rFonts w:hint="default" w:ascii="Times New Roman" w:hAnsi="Times New Roman" w:eastAsia="宋体" w:cs="Times New Roman"/>
                      <w:color w:val="FF0000"/>
                      <w:szCs w:val="21"/>
                      <w:highlight w:val="none"/>
                      <w:u w:val="single"/>
                    </w:rPr>
                    <w:t>易燃液体。遇</w:t>
                  </w:r>
                  <w:r>
                    <w:rPr>
                      <w:rFonts w:hint="default" w:ascii="Times New Roman" w:hAnsi="Times New Roman" w:eastAsia="宋体" w:cs="Times New Roman"/>
                      <w:color w:val="FF0000"/>
                      <w:szCs w:val="21"/>
                      <w:highlight w:val="none"/>
                      <w:u w:val="single"/>
                    </w:rPr>
                    <w:fldChar w:fldCharType="begin"/>
                  </w:r>
                  <w:r>
                    <w:rPr>
                      <w:rFonts w:hint="default" w:ascii="Times New Roman" w:hAnsi="Times New Roman" w:eastAsia="宋体" w:cs="Times New Roman"/>
                      <w:color w:val="FF0000"/>
                      <w:szCs w:val="21"/>
                      <w:highlight w:val="none"/>
                      <w:u w:val="single"/>
                    </w:rPr>
                    <w:instrText xml:space="preserve"> HYPERLINK "http://baike.baidu.com/item/%E9%AB%98%E6%B8%A9" \t "http://baike.baidu.com/_blank" </w:instrText>
                  </w:r>
                  <w:r>
                    <w:rPr>
                      <w:rFonts w:hint="default" w:ascii="Times New Roman" w:hAnsi="Times New Roman" w:eastAsia="宋体" w:cs="Times New Roman"/>
                      <w:color w:val="FF0000"/>
                      <w:szCs w:val="21"/>
                      <w:highlight w:val="none"/>
                      <w:u w:val="single"/>
                    </w:rPr>
                    <w:fldChar w:fldCharType="separate"/>
                  </w:r>
                  <w:r>
                    <w:rPr>
                      <w:rFonts w:hint="default" w:ascii="Times New Roman" w:hAnsi="Times New Roman" w:eastAsia="宋体" w:cs="Times New Roman"/>
                      <w:color w:val="FF0000"/>
                      <w:szCs w:val="21"/>
                      <w:highlight w:val="none"/>
                      <w:u w:val="single"/>
                    </w:rPr>
                    <w:t>高温</w:t>
                  </w:r>
                  <w:r>
                    <w:rPr>
                      <w:rFonts w:hint="default" w:ascii="Times New Roman" w:hAnsi="Times New Roman" w:eastAsia="宋体" w:cs="Times New Roman"/>
                      <w:color w:val="FF0000"/>
                      <w:szCs w:val="21"/>
                      <w:highlight w:val="none"/>
                      <w:u w:val="single"/>
                    </w:rPr>
                    <w:fldChar w:fldCharType="end"/>
                  </w:r>
                  <w:r>
                    <w:rPr>
                      <w:rFonts w:hint="default" w:ascii="Times New Roman" w:hAnsi="Times New Roman" w:eastAsia="宋体" w:cs="Times New Roman"/>
                      <w:color w:val="FF0000"/>
                      <w:szCs w:val="21"/>
                      <w:highlight w:val="none"/>
                      <w:u w:val="single"/>
                    </w:rPr>
                    <w:t>、明火、氧化剂有引起燃烧危险。</w:t>
                  </w:r>
                </w:p>
              </w:tc>
              <w:tc>
                <w:tcPr>
                  <w:tcW w:w="2021" w:type="dxa"/>
                  <w:noWrap w:val="0"/>
                  <w:vAlign w:val="center"/>
                </w:tcPr>
                <w:p>
                  <w:pPr>
                    <w:adjustRightInd w:val="0"/>
                    <w:snapToGrid w:val="0"/>
                    <w:jc w:val="center"/>
                    <w:rPr>
                      <w:rFonts w:hint="default" w:ascii="Times New Roman" w:hAnsi="Times New Roman" w:eastAsia="宋体" w:cs="Times New Roman"/>
                      <w:color w:val="FF0000"/>
                      <w:szCs w:val="21"/>
                      <w:highlight w:val="none"/>
                      <w:u w:val="single"/>
                      <w:shd w:val="clear" w:color="auto" w:fill="FFFFFF"/>
                    </w:rPr>
                  </w:pPr>
                  <w:r>
                    <w:rPr>
                      <w:rFonts w:hint="default" w:ascii="Times New Roman" w:hAnsi="Times New Roman" w:eastAsia="宋体" w:cs="Times New Roman"/>
                      <w:color w:val="FF0000"/>
                      <w:szCs w:val="21"/>
                      <w:highlight w:val="none"/>
                      <w:u w:val="single"/>
                    </w:rPr>
                    <w:t>树脂的热解产物有毒</w:t>
                  </w:r>
                </w:p>
              </w:tc>
            </w:tr>
          </w:tbl>
          <w:p>
            <w:pPr>
              <w:numPr>
                <w:ilvl w:val="0"/>
                <w:numId w:val="0"/>
              </w:numPr>
              <w:adjustRightInd w:val="0"/>
              <w:snapToGrid w:val="0"/>
              <w:spacing w:line="360" w:lineRule="auto"/>
              <w:jc w:val="both"/>
              <w:rPr>
                <w:rFonts w:hint="default" w:ascii="宋体" w:hAnsi="宋体" w:cs="宋体"/>
                <w:b/>
                <w:bCs w:val="0"/>
                <w:color w:val="FF0000"/>
                <w:sz w:val="24"/>
                <w:szCs w:val="24"/>
                <w:u w:val="single"/>
                <w:lang w:val="en-US" w:eastAsia="zh-CN"/>
              </w:rPr>
            </w:pPr>
            <w:r>
              <w:rPr>
                <w:rFonts w:hint="eastAsia" w:ascii="宋体" w:hAnsi="宋体" w:cs="宋体"/>
                <w:b/>
                <w:bCs w:val="0"/>
                <w:color w:val="FF0000"/>
                <w:sz w:val="24"/>
                <w:szCs w:val="24"/>
                <w:u w:val="single"/>
                <w:lang w:val="en-US" w:eastAsia="zh-CN"/>
              </w:rPr>
              <w:t>5.主要生产设备</w:t>
            </w:r>
          </w:p>
          <w:p>
            <w:pPr>
              <w:adjustRightInd w:val="0"/>
              <w:snapToGrid w:val="0"/>
              <w:spacing w:line="360" w:lineRule="auto"/>
              <w:ind w:firstLine="480" w:firstLineChars="200"/>
              <w:jc w:val="both"/>
              <w:rPr>
                <w:rFonts w:hint="eastAsia" w:ascii="宋体" w:hAnsi="宋体" w:cs="宋体"/>
                <w:color w:val="FF0000"/>
                <w:sz w:val="24"/>
                <w:szCs w:val="24"/>
                <w:u w:val="single"/>
                <w:lang w:val="en-US" w:eastAsia="zh-CN"/>
              </w:rPr>
            </w:pPr>
            <w:r>
              <w:rPr>
                <w:rFonts w:hint="eastAsia" w:ascii="宋体" w:hAnsi="宋体" w:cs="宋体"/>
                <w:color w:val="FF0000"/>
                <w:sz w:val="24"/>
                <w:szCs w:val="24"/>
                <w:u w:val="single"/>
                <w:lang w:val="en-US" w:eastAsia="zh-CN"/>
              </w:rPr>
              <w:t>根据建设方单位提供资料，项目主要生产设备见表2-5。</w:t>
            </w:r>
          </w:p>
          <w:p>
            <w:pPr>
              <w:numPr>
                <w:ilvl w:val="0"/>
                <w:numId w:val="0"/>
              </w:numPr>
              <w:adjustRightInd w:val="0"/>
              <w:snapToGrid w:val="0"/>
              <w:spacing w:line="360" w:lineRule="auto"/>
              <w:jc w:val="center"/>
              <w:rPr>
                <w:rFonts w:hint="default" w:ascii="宋体" w:hAnsi="宋体" w:cs="宋体"/>
                <w:b/>
                <w:bCs/>
                <w:color w:val="FF0000"/>
                <w:sz w:val="24"/>
                <w:szCs w:val="24"/>
                <w:u w:val="single"/>
                <w:lang w:val="en-US" w:eastAsia="zh-CN"/>
              </w:rPr>
            </w:pPr>
            <w:r>
              <w:rPr>
                <w:rFonts w:hint="eastAsia" w:ascii="宋体" w:hAnsi="宋体" w:cs="宋体"/>
                <w:b/>
                <w:bCs/>
                <w:color w:val="FF0000"/>
                <w:sz w:val="24"/>
                <w:szCs w:val="24"/>
                <w:u w:val="single"/>
                <w:lang w:val="en-US" w:eastAsia="zh-CN"/>
              </w:rPr>
              <w:t>表2-5  项目主要设备一览表</w:t>
            </w:r>
          </w:p>
          <w:tbl>
            <w:tblPr>
              <w:tblStyle w:val="13"/>
              <w:tblW w:w="49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604"/>
              <w:gridCol w:w="1986"/>
              <w:gridCol w:w="725"/>
              <w:gridCol w:w="821"/>
              <w:gridCol w:w="830"/>
              <w:gridCol w:w="13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b/>
                      <w:bCs/>
                      <w:color w:val="FF0000"/>
                      <w:u w:val="single"/>
                    </w:rPr>
                  </w:pPr>
                  <w:r>
                    <w:rPr>
                      <w:rFonts w:hint="default"/>
                      <w:b/>
                      <w:bCs/>
                      <w:color w:val="FF0000"/>
                      <w:u w:val="single"/>
                    </w:rPr>
                    <w:t>序号</w:t>
                  </w:r>
                </w:p>
              </w:tc>
              <w:tc>
                <w:tcPr>
                  <w:tcW w:w="1000" w:type="pct"/>
                  <w:tcBorders>
                    <w:tl2br w:val="nil"/>
                    <w:tr2bl w:val="nil"/>
                  </w:tcBorders>
                  <w:noWrap w:val="0"/>
                  <w:vAlign w:val="center"/>
                </w:tcPr>
                <w:p>
                  <w:pPr>
                    <w:bidi w:val="0"/>
                    <w:jc w:val="center"/>
                    <w:rPr>
                      <w:rFonts w:hint="default"/>
                      <w:b/>
                      <w:bCs/>
                      <w:color w:val="FF0000"/>
                      <w:u w:val="single"/>
                    </w:rPr>
                  </w:pPr>
                  <w:r>
                    <w:rPr>
                      <w:rFonts w:hint="default"/>
                      <w:b/>
                      <w:bCs/>
                      <w:color w:val="FF0000"/>
                      <w:u w:val="single"/>
                    </w:rPr>
                    <w:t>设备名称</w:t>
                  </w:r>
                </w:p>
              </w:tc>
              <w:tc>
                <w:tcPr>
                  <w:tcW w:w="1238" w:type="pct"/>
                  <w:tcBorders>
                    <w:tl2br w:val="nil"/>
                    <w:tr2bl w:val="nil"/>
                  </w:tcBorders>
                  <w:noWrap w:val="0"/>
                  <w:vAlign w:val="center"/>
                </w:tcPr>
                <w:p>
                  <w:pPr>
                    <w:bidi w:val="0"/>
                    <w:jc w:val="center"/>
                    <w:rPr>
                      <w:rFonts w:hint="default"/>
                      <w:b/>
                      <w:bCs/>
                      <w:color w:val="FF0000"/>
                      <w:u w:val="single"/>
                    </w:rPr>
                  </w:pPr>
                  <w:r>
                    <w:rPr>
                      <w:rFonts w:hint="default"/>
                      <w:b/>
                      <w:bCs/>
                      <w:color w:val="FF0000"/>
                      <w:u w:val="single"/>
                    </w:rPr>
                    <w:t>型号</w:t>
                  </w:r>
                </w:p>
              </w:tc>
              <w:tc>
                <w:tcPr>
                  <w:tcW w:w="452" w:type="pct"/>
                  <w:tcBorders>
                    <w:tl2br w:val="nil"/>
                    <w:tr2bl w:val="nil"/>
                  </w:tcBorders>
                  <w:noWrap w:val="0"/>
                  <w:vAlign w:val="center"/>
                </w:tcPr>
                <w:p>
                  <w:pPr>
                    <w:bidi w:val="0"/>
                    <w:jc w:val="center"/>
                    <w:rPr>
                      <w:rFonts w:hint="default"/>
                      <w:b/>
                      <w:bCs/>
                      <w:color w:val="FF0000"/>
                      <w:u w:val="single"/>
                    </w:rPr>
                  </w:pPr>
                  <w:r>
                    <w:rPr>
                      <w:rFonts w:hint="default"/>
                      <w:b/>
                      <w:bCs/>
                      <w:color w:val="FF0000"/>
                      <w:u w:val="single"/>
                    </w:rPr>
                    <w:t>单位</w:t>
                  </w:r>
                </w:p>
              </w:tc>
              <w:tc>
                <w:tcPr>
                  <w:tcW w:w="512" w:type="pct"/>
                  <w:tcBorders>
                    <w:tl2br w:val="nil"/>
                    <w:tr2bl w:val="nil"/>
                  </w:tcBorders>
                  <w:noWrap w:val="0"/>
                  <w:vAlign w:val="center"/>
                </w:tcPr>
                <w:p>
                  <w:pPr>
                    <w:bidi w:val="0"/>
                    <w:jc w:val="center"/>
                    <w:rPr>
                      <w:rFonts w:hint="default"/>
                      <w:b/>
                      <w:bCs/>
                      <w:color w:val="FF0000"/>
                      <w:u w:val="single"/>
                    </w:rPr>
                  </w:pPr>
                  <w:r>
                    <w:rPr>
                      <w:rFonts w:hint="default"/>
                      <w:b/>
                      <w:bCs/>
                      <w:color w:val="FF0000"/>
                      <w:u w:val="single"/>
                    </w:rPr>
                    <w:t>数量</w:t>
                  </w:r>
                </w:p>
              </w:tc>
              <w:tc>
                <w:tcPr>
                  <w:tcW w:w="517" w:type="pct"/>
                  <w:tcBorders>
                    <w:tl2br w:val="nil"/>
                    <w:tr2bl w:val="nil"/>
                  </w:tcBorders>
                  <w:noWrap w:val="0"/>
                  <w:vAlign w:val="center"/>
                </w:tcPr>
                <w:p>
                  <w:pPr>
                    <w:bidi w:val="0"/>
                    <w:jc w:val="center"/>
                    <w:rPr>
                      <w:rFonts w:hint="eastAsia"/>
                      <w:b/>
                      <w:bCs/>
                      <w:color w:val="FF0000"/>
                      <w:u w:val="single"/>
                      <w:lang w:eastAsia="zh-CN"/>
                    </w:rPr>
                  </w:pPr>
                  <w:r>
                    <w:rPr>
                      <w:rFonts w:hint="eastAsia"/>
                      <w:b/>
                      <w:bCs/>
                      <w:color w:val="FF0000"/>
                      <w:u w:val="single"/>
                      <w:lang w:eastAsia="zh-CN"/>
                    </w:rPr>
                    <w:t>产地</w:t>
                  </w:r>
                </w:p>
              </w:tc>
              <w:tc>
                <w:tcPr>
                  <w:tcW w:w="833" w:type="pct"/>
                  <w:tcBorders>
                    <w:tl2br w:val="nil"/>
                    <w:tr2bl w:val="nil"/>
                  </w:tcBorders>
                  <w:noWrap w:val="0"/>
                  <w:vAlign w:val="center"/>
                </w:tcPr>
                <w:p>
                  <w:pPr>
                    <w:bidi w:val="0"/>
                    <w:jc w:val="center"/>
                    <w:rPr>
                      <w:rFonts w:hint="eastAsia"/>
                      <w:b/>
                      <w:bCs/>
                      <w:color w:val="FF0000"/>
                      <w:u w:val="single"/>
                      <w:lang w:eastAsia="zh-CN"/>
                    </w:rPr>
                  </w:pPr>
                  <w:r>
                    <w:rPr>
                      <w:rFonts w:hint="eastAsia"/>
                      <w:b/>
                      <w:bCs/>
                      <w:color w:val="FF0000"/>
                      <w:u w:val="single"/>
                      <w:lang w:eastAsia="zh-CN"/>
                    </w:rPr>
                    <w:t>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tcBorders>
                    <w:tl2br w:val="nil"/>
                    <w:tr2bl w:val="nil"/>
                  </w:tcBorders>
                  <w:noWrap w:val="0"/>
                  <w:vAlign w:val="center"/>
                </w:tcPr>
                <w:p>
                  <w:pPr>
                    <w:bidi w:val="0"/>
                    <w:rPr>
                      <w:rFonts w:hint="default"/>
                      <w:color w:val="FF0000"/>
                      <w:u w:val="single"/>
                      <w:lang w:val="en-US"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车床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6140</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冲床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JD21</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3</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冲剪机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Q35Y-20</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4</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等离子切割机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LGK</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5</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滚剪机</w:t>
                  </w:r>
                </w:p>
              </w:tc>
              <w:tc>
                <w:tcPr>
                  <w:tcW w:w="1238" w:type="pct"/>
                  <w:tcBorders>
                    <w:tl2br w:val="nil"/>
                    <w:tr2bl w:val="nil"/>
                  </w:tcBorders>
                  <w:noWrap w:val="0"/>
                  <w:vAlign w:val="center"/>
                </w:tcPr>
                <w:p>
                  <w:pPr>
                    <w:bidi w:val="0"/>
                    <w:jc w:val="center"/>
                    <w:rPr>
                      <w:rFonts w:hint="default"/>
                      <w:color w:val="FF0000"/>
                      <w:u w:val="single"/>
                    </w:rPr>
                  </w:pPr>
                  <w:r>
                    <w:rPr>
                      <w:rFonts w:hint="eastAsia" w:ascii="Times New Roman" w:hAnsi="Times New Roman"/>
                      <w:color w:val="FF0000"/>
                      <w:sz w:val="21"/>
                      <w:szCs w:val="21"/>
                      <w:u w:val="single"/>
                      <w:lang w:val="en-US" w:eastAsia="zh-CN"/>
                    </w:rPr>
                    <w:t>M7140-CM</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6</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焊机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RRⅡ</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50</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7</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焊机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NBG</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48</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8</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剪板机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OC11Y</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9</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剪板机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X2500</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10</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锯床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GB4235</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11</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锯床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GB4228</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12</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锯床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GB4028</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13</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立式铣床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X5032A</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14</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立式铣床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X5032</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15</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镗床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T611B-2</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16</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镗床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T6111C-4</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17</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铣边机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XBJ-6</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18</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摇臂钻床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Z3080×25A</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19</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摇臂钻床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Z3050×16</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20</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摇臂钻床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Z3080×25A</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21</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摇臂钻床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Z3050×16</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w:t>
                  </w:r>
                  <w:r>
                    <w:rPr>
                      <w:rFonts w:hint="eastAsia"/>
                      <w:color w:val="FF0000"/>
                      <w:u w:val="single"/>
                      <w:lang w:val="en-US" w:eastAsia="zh-CN"/>
                    </w:rPr>
                    <w:t>2</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折弯机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T1400</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w:t>
                  </w:r>
                  <w:r>
                    <w:rPr>
                      <w:rFonts w:hint="eastAsia"/>
                      <w:color w:val="FF0000"/>
                      <w:u w:val="single"/>
                      <w:lang w:val="en-US" w:eastAsia="zh-CN"/>
                    </w:rPr>
                    <w:t>3</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钻铣床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ZX50F</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w:t>
                  </w:r>
                  <w:r>
                    <w:rPr>
                      <w:rFonts w:hint="eastAsia"/>
                      <w:color w:val="FF0000"/>
                      <w:u w:val="single"/>
                      <w:lang w:val="en-US" w:eastAsia="zh-CN"/>
                    </w:rPr>
                    <w:t>4</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钻铣床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ZX50C</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w:t>
                  </w:r>
                  <w:r>
                    <w:rPr>
                      <w:rFonts w:hint="eastAsia"/>
                      <w:color w:val="FF0000"/>
                      <w:u w:val="single"/>
                      <w:lang w:val="en-US" w:eastAsia="zh-CN"/>
                    </w:rPr>
                    <w:t>5</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数控等离子火焰切割机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EC60</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w:t>
                  </w:r>
                  <w:r>
                    <w:rPr>
                      <w:rFonts w:hint="eastAsia"/>
                      <w:color w:val="FF0000"/>
                      <w:u w:val="single"/>
                      <w:lang w:val="en-US" w:eastAsia="zh-CN"/>
                    </w:rPr>
                    <w:t>6</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数控等离子火焰切割机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50</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w:t>
                  </w:r>
                  <w:r>
                    <w:rPr>
                      <w:rFonts w:hint="eastAsia"/>
                      <w:color w:val="FF0000"/>
                      <w:u w:val="single"/>
                      <w:lang w:val="en-US" w:eastAsia="zh-CN"/>
                    </w:rPr>
                    <w:t>7</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摇臂钻床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Z3080×25A</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w:t>
                  </w:r>
                  <w:r>
                    <w:rPr>
                      <w:rFonts w:hint="eastAsia"/>
                      <w:color w:val="FF0000"/>
                      <w:u w:val="single"/>
                      <w:lang w:val="en-US" w:eastAsia="zh-CN"/>
                    </w:rPr>
                    <w:t>8</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摇臂钻床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Z3050×16</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29</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钻铣床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ZX50C</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3</w:t>
                  </w:r>
                  <w:r>
                    <w:rPr>
                      <w:rFonts w:hint="eastAsia"/>
                      <w:color w:val="FF0000"/>
                      <w:u w:val="single"/>
                      <w:lang w:val="en-US" w:eastAsia="zh-CN"/>
                    </w:rPr>
                    <w:t>0</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镗床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T6111C-4</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3</w:t>
                  </w:r>
                  <w:r>
                    <w:rPr>
                      <w:rFonts w:hint="eastAsia"/>
                      <w:color w:val="FF0000"/>
                      <w:u w:val="single"/>
                      <w:lang w:val="en-US" w:eastAsia="zh-CN"/>
                    </w:rPr>
                    <w:t>1</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立式铣床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X5032</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3</w:t>
                  </w:r>
                  <w:r>
                    <w:rPr>
                      <w:rFonts w:hint="eastAsia"/>
                      <w:color w:val="FF0000"/>
                      <w:u w:val="single"/>
                      <w:lang w:val="en-US" w:eastAsia="zh-CN"/>
                    </w:rPr>
                    <w:t>2</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剪板机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X2500</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3</w:t>
                  </w:r>
                  <w:r>
                    <w:rPr>
                      <w:rFonts w:hint="eastAsia"/>
                      <w:color w:val="FF0000"/>
                      <w:u w:val="single"/>
                      <w:lang w:val="en-US" w:eastAsia="zh-CN"/>
                    </w:rPr>
                    <w:t>3</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锯床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GB4235</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3</w:t>
                  </w:r>
                  <w:r>
                    <w:rPr>
                      <w:rFonts w:hint="eastAsia"/>
                      <w:color w:val="FF0000"/>
                      <w:u w:val="single"/>
                      <w:lang w:val="en-US" w:eastAsia="zh-CN"/>
                    </w:rPr>
                    <w:t>4</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锯床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GB4228</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3</w:t>
                  </w:r>
                  <w:r>
                    <w:rPr>
                      <w:rFonts w:hint="eastAsia"/>
                      <w:color w:val="FF0000"/>
                      <w:u w:val="single"/>
                      <w:lang w:val="en-US" w:eastAsia="zh-CN"/>
                    </w:rPr>
                    <w:t>5</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锯床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GB4028</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3</w:t>
                  </w:r>
                  <w:r>
                    <w:rPr>
                      <w:rFonts w:hint="eastAsia"/>
                      <w:color w:val="FF0000"/>
                      <w:u w:val="single"/>
                      <w:lang w:val="en-US" w:eastAsia="zh-CN"/>
                    </w:rPr>
                    <w:t>6</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焊机</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NBG</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20</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3</w:t>
                  </w:r>
                  <w:r>
                    <w:rPr>
                      <w:rFonts w:hint="eastAsia"/>
                      <w:color w:val="FF0000"/>
                      <w:u w:val="single"/>
                      <w:lang w:val="en-US" w:eastAsia="zh-CN"/>
                    </w:rPr>
                    <w:t>7</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激光</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QL-FCP6025F</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3</w:t>
                  </w:r>
                  <w:r>
                    <w:rPr>
                      <w:rFonts w:hint="eastAsia"/>
                      <w:color w:val="FF0000"/>
                      <w:u w:val="single"/>
                      <w:lang w:val="en-US" w:eastAsia="zh-CN"/>
                    </w:rPr>
                    <w:t>8</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数控对头钻</w:t>
                  </w:r>
                </w:p>
              </w:tc>
              <w:tc>
                <w:tcPr>
                  <w:tcW w:w="1238" w:type="pct"/>
                  <w:tcBorders>
                    <w:tl2br w:val="nil"/>
                    <w:tr2bl w:val="nil"/>
                  </w:tcBorders>
                  <w:noWrap w:val="0"/>
                  <w:vAlign w:val="center"/>
                </w:tcPr>
                <w:p>
                  <w:pPr>
                    <w:bidi w:val="0"/>
                    <w:jc w:val="center"/>
                    <w:rPr>
                      <w:rFonts w:hint="eastAsia" w:eastAsia="宋体"/>
                      <w:color w:val="FF0000"/>
                      <w:u w:val="single"/>
                      <w:lang w:val="en-US" w:eastAsia="zh-CN"/>
                    </w:rPr>
                  </w:pPr>
                  <w:r>
                    <w:rPr>
                      <w:rFonts w:hint="eastAsia"/>
                      <w:color w:val="FF0000"/>
                      <w:sz w:val="21"/>
                      <w:szCs w:val="21"/>
                      <w:u w:val="single"/>
                      <w:lang w:val="en-US" w:eastAsia="zh-CN"/>
                    </w:rPr>
                    <w:t>Z32K</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39</w:t>
                  </w:r>
                </w:p>
              </w:tc>
              <w:tc>
                <w:tcPr>
                  <w:tcW w:w="1000"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车床</w:t>
                  </w:r>
                </w:p>
              </w:tc>
              <w:tc>
                <w:tcPr>
                  <w:tcW w:w="1238" w:type="pct"/>
                  <w:tcBorders>
                    <w:tl2br w:val="nil"/>
                    <w:tr2bl w:val="nil"/>
                  </w:tcBorders>
                  <w:noWrap w:val="0"/>
                  <w:vAlign w:val="center"/>
                </w:tcPr>
                <w:p>
                  <w:pPr>
                    <w:bidi w:val="0"/>
                    <w:jc w:val="center"/>
                    <w:rPr>
                      <w:rFonts w:hint="default"/>
                      <w:color w:val="FF0000"/>
                      <w:u w:val="single"/>
                    </w:rPr>
                  </w:pPr>
                  <w:r>
                    <w:rPr>
                      <w:rFonts w:hint="default"/>
                      <w:color w:val="FF0000"/>
                      <w:u w:val="single"/>
                      <w:lang w:val="en-US" w:eastAsia="zh-CN"/>
                    </w:rPr>
                    <w:t>6140</w:t>
                  </w:r>
                </w:p>
              </w:tc>
              <w:tc>
                <w:tcPr>
                  <w:tcW w:w="45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default"/>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40</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移动式烟尘净化器</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QK-11</w:t>
                  </w:r>
                </w:p>
              </w:tc>
              <w:tc>
                <w:tcPr>
                  <w:tcW w:w="45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w:t>
                  </w:r>
                </w:p>
              </w:tc>
              <w:tc>
                <w:tcPr>
                  <w:tcW w:w="517"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41</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过滤棉+活性炭光氧一体机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4-72-7.1A-11KW</w:t>
                  </w:r>
                </w:p>
              </w:tc>
              <w:tc>
                <w:tcPr>
                  <w:tcW w:w="45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套</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tcBorders>
                    <w:tl2br w:val="nil"/>
                    <w:tr2bl w:val="nil"/>
                  </w:tcBorders>
                  <w:noWrap w:val="0"/>
                  <w:vAlign w:val="center"/>
                </w:tcPr>
                <w:p>
                  <w:pPr>
                    <w:bidi w:val="0"/>
                    <w:rPr>
                      <w:rFonts w:hint="default"/>
                      <w:color w:val="FF0000"/>
                      <w:u w:val="single"/>
                      <w:lang w:val="en-US"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42</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气保焊机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KR500</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3</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上海</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43</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埋弧焊机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NB1000</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2</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江西</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44</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托辊支架</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sz w:val="21"/>
                      <w:szCs w:val="21"/>
                      <w:u w:val="single"/>
                      <w:lang w:val="en-US" w:eastAsia="zh-CN"/>
                    </w:rPr>
                    <w:t>Z4116B</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套</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2</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上海</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45</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摇臂钻</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Z3050*16/1</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沈阳</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46</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磁吸钻</w:t>
                  </w:r>
                </w:p>
              </w:tc>
              <w:tc>
                <w:tcPr>
                  <w:tcW w:w="1956" w:type="dxa"/>
                  <w:tcBorders>
                    <w:tl2br w:val="nil"/>
                    <w:tr2bl w:val="nil"/>
                  </w:tcBorders>
                  <w:noWrap w:val="0"/>
                  <w:vAlign w:val="center"/>
                </w:tcPr>
                <w:p>
                  <w:pPr>
                    <w:tabs>
                      <w:tab w:val="left" w:pos="1021"/>
                    </w:tabs>
                    <w:autoSpaceDE w:val="0"/>
                    <w:autoSpaceDN w:val="0"/>
                    <w:adjustRightInd w:val="0"/>
                    <w:spacing w:line="240" w:lineRule="auto"/>
                    <w:jc w:val="center"/>
                    <w:rPr>
                      <w:rFonts w:hint="default"/>
                      <w:color w:val="FF0000"/>
                      <w:u w:val="single"/>
                      <w:lang w:val="en-US" w:eastAsia="zh-CN"/>
                    </w:rPr>
                  </w:pPr>
                  <w:r>
                    <w:rPr>
                      <w:rFonts w:hint="eastAsia"/>
                      <w:color w:val="FF0000"/>
                      <w:sz w:val="21"/>
                      <w:szCs w:val="21"/>
                      <w:u w:val="single"/>
                      <w:lang w:val="en-US" w:eastAsia="zh-CN"/>
                    </w:rPr>
                    <w:t>Z32K</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47</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半自动气割</w:t>
                  </w:r>
                </w:p>
              </w:tc>
              <w:tc>
                <w:tcPr>
                  <w:tcW w:w="1956" w:type="dxa"/>
                  <w:tcBorders>
                    <w:tl2br w:val="nil"/>
                    <w:tr2bl w:val="nil"/>
                  </w:tcBorders>
                  <w:noWrap w:val="0"/>
                  <w:vAlign w:val="center"/>
                </w:tcPr>
                <w:p>
                  <w:pPr>
                    <w:tabs>
                      <w:tab w:val="left" w:pos="1021"/>
                    </w:tabs>
                    <w:autoSpaceDE w:val="0"/>
                    <w:autoSpaceDN w:val="0"/>
                    <w:adjustRightInd w:val="0"/>
                    <w:spacing w:line="240" w:lineRule="auto"/>
                    <w:jc w:val="center"/>
                    <w:rPr>
                      <w:rFonts w:hint="default"/>
                      <w:color w:val="FF0000"/>
                      <w:u w:val="single"/>
                      <w:lang w:val="en-US" w:eastAsia="zh-CN"/>
                    </w:rPr>
                  </w:pPr>
                  <w:r>
                    <w:rPr>
                      <w:rFonts w:hint="eastAsia"/>
                      <w:color w:val="FF0000"/>
                      <w:sz w:val="21"/>
                      <w:szCs w:val="21"/>
                      <w:u w:val="single"/>
                      <w:lang w:val="en-US" w:eastAsia="zh-CN"/>
                    </w:rPr>
                    <w:t>300型</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套</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48</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手动气割</w:t>
                  </w:r>
                </w:p>
              </w:tc>
              <w:tc>
                <w:tcPr>
                  <w:tcW w:w="1956" w:type="dxa"/>
                  <w:tcBorders>
                    <w:tl2br w:val="nil"/>
                    <w:tr2bl w:val="nil"/>
                  </w:tcBorders>
                  <w:noWrap w:val="0"/>
                  <w:vAlign w:val="center"/>
                </w:tcPr>
                <w:p>
                  <w:pPr>
                    <w:tabs>
                      <w:tab w:val="left" w:pos="1021"/>
                    </w:tabs>
                    <w:autoSpaceDE w:val="0"/>
                    <w:autoSpaceDN w:val="0"/>
                    <w:adjustRightInd w:val="0"/>
                    <w:spacing w:line="240" w:lineRule="auto"/>
                    <w:jc w:val="center"/>
                    <w:rPr>
                      <w:rFonts w:hint="default"/>
                      <w:color w:val="FF0000"/>
                      <w:u w:val="single"/>
                      <w:lang w:val="en-US" w:eastAsia="zh-CN"/>
                    </w:rPr>
                  </w:pPr>
                  <w:r>
                    <w:rPr>
                      <w:rFonts w:hint="eastAsia"/>
                      <w:color w:val="FF0000"/>
                      <w:sz w:val="21"/>
                      <w:szCs w:val="21"/>
                      <w:u w:val="single"/>
                      <w:lang w:val="en-US" w:eastAsia="zh-CN"/>
                    </w:rPr>
                    <w:t>DK7750</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套</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2</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49</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仿型气割</w:t>
                  </w:r>
                </w:p>
              </w:tc>
              <w:tc>
                <w:tcPr>
                  <w:tcW w:w="1956" w:type="dxa"/>
                  <w:tcBorders>
                    <w:tl2br w:val="nil"/>
                    <w:tr2bl w:val="nil"/>
                  </w:tcBorders>
                  <w:noWrap w:val="0"/>
                  <w:vAlign w:val="center"/>
                </w:tcPr>
                <w:p>
                  <w:pPr>
                    <w:tabs>
                      <w:tab w:val="left" w:pos="1021"/>
                    </w:tabs>
                    <w:autoSpaceDE w:val="0"/>
                    <w:autoSpaceDN w:val="0"/>
                    <w:adjustRightInd w:val="0"/>
                    <w:spacing w:line="240" w:lineRule="auto"/>
                    <w:jc w:val="center"/>
                    <w:rPr>
                      <w:rFonts w:hint="default"/>
                      <w:color w:val="FF0000"/>
                      <w:u w:val="single"/>
                      <w:lang w:val="en-US" w:eastAsia="zh-CN"/>
                    </w:rPr>
                  </w:pPr>
                  <w:r>
                    <w:rPr>
                      <w:rFonts w:hint="eastAsia"/>
                      <w:color w:val="FF0000"/>
                      <w:sz w:val="21"/>
                      <w:szCs w:val="21"/>
                      <w:u w:val="single"/>
                      <w:lang w:val="en-US" w:eastAsia="zh-CN"/>
                    </w:rPr>
                    <w:t>DK7740</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套</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50</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角磨机</w:t>
                  </w:r>
                </w:p>
              </w:tc>
              <w:tc>
                <w:tcPr>
                  <w:tcW w:w="1956" w:type="dxa"/>
                  <w:tcBorders>
                    <w:tl2br w:val="nil"/>
                    <w:tr2bl w:val="nil"/>
                  </w:tcBorders>
                  <w:noWrap w:val="0"/>
                  <w:vAlign w:val="center"/>
                </w:tcPr>
                <w:p>
                  <w:pPr>
                    <w:tabs>
                      <w:tab w:val="left" w:pos="1021"/>
                    </w:tabs>
                    <w:autoSpaceDE w:val="0"/>
                    <w:autoSpaceDN w:val="0"/>
                    <w:adjustRightInd w:val="0"/>
                    <w:spacing w:line="240" w:lineRule="auto"/>
                    <w:jc w:val="center"/>
                    <w:rPr>
                      <w:rFonts w:hint="default"/>
                      <w:color w:val="FF0000"/>
                      <w:u w:val="single"/>
                      <w:lang w:val="en-US" w:eastAsia="zh-CN"/>
                    </w:rPr>
                  </w:pPr>
                  <w:r>
                    <w:rPr>
                      <w:rFonts w:hint="eastAsia"/>
                      <w:color w:val="FF0000"/>
                      <w:sz w:val="21"/>
                      <w:szCs w:val="21"/>
                      <w:u w:val="single"/>
                      <w:lang w:val="en-US" w:eastAsia="zh-CN"/>
                    </w:rPr>
                    <w:t>DK7732</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3</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51</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吊物磁铁</w:t>
                  </w:r>
                </w:p>
              </w:tc>
              <w:tc>
                <w:tcPr>
                  <w:tcW w:w="1956" w:type="dxa"/>
                  <w:tcBorders>
                    <w:tl2br w:val="nil"/>
                    <w:tr2bl w:val="nil"/>
                  </w:tcBorders>
                  <w:noWrap w:val="0"/>
                  <w:vAlign w:val="center"/>
                </w:tcPr>
                <w:p>
                  <w:pPr>
                    <w:tabs>
                      <w:tab w:val="left" w:pos="1021"/>
                    </w:tabs>
                    <w:autoSpaceDE w:val="0"/>
                    <w:autoSpaceDN w:val="0"/>
                    <w:adjustRightInd w:val="0"/>
                    <w:spacing w:line="240" w:lineRule="auto"/>
                    <w:jc w:val="center"/>
                    <w:rPr>
                      <w:rFonts w:hint="default"/>
                      <w:color w:val="FF0000"/>
                      <w:u w:val="single"/>
                      <w:lang w:val="en-US" w:eastAsia="zh-CN"/>
                    </w:rPr>
                  </w:pPr>
                  <w:r>
                    <w:rPr>
                      <w:rFonts w:hint="eastAsia"/>
                      <w:color w:val="FF0000"/>
                      <w:sz w:val="21"/>
                      <w:szCs w:val="21"/>
                      <w:u w:val="single"/>
                      <w:lang w:val="en-US" w:eastAsia="zh-CN"/>
                    </w:rPr>
                    <w:t>SWJ-16</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52</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折板机</w:t>
                  </w:r>
                </w:p>
              </w:tc>
              <w:tc>
                <w:tcPr>
                  <w:tcW w:w="1956" w:type="dxa"/>
                  <w:tcBorders>
                    <w:tl2br w:val="nil"/>
                    <w:tr2bl w:val="nil"/>
                  </w:tcBorders>
                  <w:noWrap w:val="0"/>
                  <w:vAlign w:val="center"/>
                </w:tcPr>
                <w:p>
                  <w:pPr>
                    <w:tabs>
                      <w:tab w:val="left" w:pos="1021"/>
                    </w:tabs>
                    <w:autoSpaceDE w:val="0"/>
                    <w:autoSpaceDN w:val="0"/>
                    <w:adjustRightInd w:val="0"/>
                    <w:spacing w:line="240" w:lineRule="auto"/>
                    <w:jc w:val="center"/>
                    <w:rPr>
                      <w:rFonts w:hint="default"/>
                      <w:color w:val="FF0000"/>
                      <w:u w:val="single"/>
                      <w:lang w:val="en-US" w:eastAsia="zh-CN"/>
                    </w:rPr>
                  </w:pPr>
                  <w:r>
                    <w:rPr>
                      <w:rFonts w:hint="eastAsia"/>
                      <w:color w:val="FF0000"/>
                      <w:sz w:val="21"/>
                      <w:szCs w:val="21"/>
                      <w:u w:val="single"/>
                      <w:lang w:val="en-US" w:eastAsia="zh-CN"/>
                    </w:rPr>
                    <w:t>CA6240B/A</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53</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剪板机</w:t>
                  </w:r>
                </w:p>
              </w:tc>
              <w:tc>
                <w:tcPr>
                  <w:tcW w:w="1956" w:type="dxa"/>
                  <w:tcBorders>
                    <w:tl2br w:val="nil"/>
                    <w:tr2bl w:val="nil"/>
                  </w:tcBorders>
                  <w:noWrap w:val="0"/>
                  <w:vAlign w:val="center"/>
                </w:tcPr>
                <w:p>
                  <w:pPr>
                    <w:tabs>
                      <w:tab w:val="left" w:pos="1021"/>
                    </w:tabs>
                    <w:autoSpaceDE w:val="0"/>
                    <w:autoSpaceDN w:val="0"/>
                    <w:adjustRightInd w:val="0"/>
                    <w:spacing w:line="240" w:lineRule="auto"/>
                    <w:jc w:val="center"/>
                    <w:rPr>
                      <w:rFonts w:hint="default"/>
                      <w:color w:val="FF0000"/>
                      <w:u w:val="single"/>
                      <w:lang w:val="en-US" w:eastAsia="zh-CN"/>
                    </w:rPr>
                  </w:pPr>
                  <w:r>
                    <w:rPr>
                      <w:rFonts w:hint="eastAsia"/>
                      <w:color w:val="FF0000"/>
                      <w:sz w:val="21"/>
                      <w:szCs w:val="21"/>
                      <w:u w:val="single"/>
                      <w:lang w:val="en-US" w:eastAsia="zh-CN"/>
                    </w:rPr>
                    <w:t>CY6410T/1000</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54</w:t>
                  </w:r>
                </w:p>
              </w:tc>
              <w:tc>
                <w:tcPr>
                  <w:tcW w:w="100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移动式烟尘净化器</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QK-11</w:t>
                  </w:r>
                </w:p>
              </w:tc>
              <w:tc>
                <w:tcPr>
                  <w:tcW w:w="45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w:t>
                  </w:r>
                </w:p>
              </w:tc>
              <w:tc>
                <w:tcPr>
                  <w:tcW w:w="517"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tcBorders>
                    <w:tl2br w:val="nil"/>
                    <w:tr2bl w:val="nil"/>
                  </w:tcBorders>
                  <w:noWrap w:val="0"/>
                  <w:vAlign w:val="center"/>
                </w:tcPr>
                <w:p>
                  <w:pPr>
                    <w:bidi w:val="0"/>
                    <w:rPr>
                      <w:rFonts w:hint="default"/>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55</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地轨式行车</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2.8T</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5</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河南</w:t>
                  </w:r>
                </w:p>
                <w:p>
                  <w:pPr>
                    <w:bidi w:val="0"/>
                    <w:jc w:val="center"/>
                    <w:rPr>
                      <w:rFonts w:hint="eastAsia"/>
                      <w:color w:val="FF0000"/>
                      <w:u w:val="single"/>
                      <w:lang w:eastAsia="zh-CN"/>
                    </w:rPr>
                  </w:pPr>
                  <w:r>
                    <w:rPr>
                      <w:rFonts w:hint="eastAsia"/>
                      <w:color w:val="FF0000"/>
                      <w:u w:val="single"/>
                      <w:lang w:eastAsia="zh-CN"/>
                    </w:rPr>
                    <w:t>矿山</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56</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行车</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20T</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河南</w:t>
                  </w:r>
                </w:p>
                <w:p>
                  <w:pPr>
                    <w:bidi w:val="0"/>
                    <w:jc w:val="center"/>
                    <w:rPr>
                      <w:rFonts w:hint="eastAsia"/>
                      <w:color w:val="FF0000"/>
                      <w:u w:val="single"/>
                      <w:lang w:eastAsia="zh-CN"/>
                    </w:rPr>
                  </w:pPr>
                  <w:r>
                    <w:rPr>
                      <w:rFonts w:hint="eastAsia"/>
                      <w:color w:val="FF0000"/>
                      <w:u w:val="single"/>
                      <w:lang w:eastAsia="zh-CN"/>
                    </w:rPr>
                    <w:t>矿山</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57</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行车</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10T</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河南</w:t>
                  </w:r>
                </w:p>
                <w:p>
                  <w:pPr>
                    <w:bidi w:val="0"/>
                    <w:jc w:val="center"/>
                    <w:rPr>
                      <w:rFonts w:hint="eastAsia"/>
                      <w:color w:val="FF0000"/>
                      <w:u w:val="single"/>
                      <w:lang w:eastAsia="zh-CN"/>
                    </w:rPr>
                  </w:pPr>
                  <w:r>
                    <w:rPr>
                      <w:rFonts w:hint="eastAsia"/>
                      <w:color w:val="FF0000"/>
                      <w:u w:val="single"/>
                      <w:lang w:eastAsia="zh-CN"/>
                    </w:rPr>
                    <w:t>矿山</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58</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双梁行车</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50T</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2</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河南</w:t>
                  </w:r>
                </w:p>
                <w:p>
                  <w:pPr>
                    <w:bidi w:val="0"/>
                    <w:jc w:val="center"/>
                    <w:rPr>
                      <w:rFonts w:hint="eastAsia"/>
                      <w:color w:val="FF0000"/>
                      <w:u w:val="single"/>
                      <w:lang w:eastAsia="zh-CN"/>
                    </w:rPr>
                  </w:pPr>
                  <w:r>
                    <w:rPr>
                      <w:rFonts w:hint="eastAsia"/>
                      <w:color w:val="FF0000"/>
                      <w:u w:val="single"/>
                      <w:lang w:eastAsia="zh-CN"/>
                    </w:rPr>
                    <w:t>矿山</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59</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行车</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10T</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河南</w:t>
                  </w:r>
                </w:p>
                <w:p>
                  <w:pPr>
                    <w:bidi w:val="0"/>
                    <w:jc w:val="center"/>
                    <w:rPr>
                      <w:rFonts w:hint="eastAsia"/>
                      <w:color w:val="FF0000"/>
                      <w:u w:val="single"/>
                      <w:lang w:eastAsia="zh-CN"/>
                    </w:rPr>
                  </w:pPr>
                  <w:r>
                    <w:rPr>
                      <w:rFonts w:hint="eastAsia"/>
                      <w:color w:val="FF0000"/>
                      <w:u w:val="single"/>
                      <w:lang w:eastAsia="zh-CN"/>
                    </w:rPr>
                    <w:t>矿山</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60</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双梁行车</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10T</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河南</w:t>
                  </w:r>
                </w:p>
                <w:p>
                  <w:pPr>
                    <w:bidi w:val="0"/>
                    <w:jc w:val="center"/>
                    <w:rPr>
                      <w:rFonts w:hint="eastAsia"/>
                      <w:color w:val="FF0000"/>
                      <w:u w:val="single"/>
                      <w:lang w:eastAsia="zh-CN"/>
                    </w:rPr>
                  </w:pPr>
                  <w:r>
                    <w:rPr>
                      <w:rFonts w:hint="eastAsia"/>
                      <w:color w:val="FF0000"/>
                      <w:u w:val="single"/>
                      <w:lang w:eastAsia="zh-CN"/>
                    </w:rPr>
                    <w:t>矿山</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61</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KRⅡ500焊机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KRⅡ500</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唐山</w:t>
                  </w:r>
                </w:p>
                <w:p>
                  <w:pPr>
                    <w:bidi w:val="0"/>
                    <w:jc w:val="center"/>
                    <w:rPr>
                      <w:rFonts w:hint="eastAsia"/>
                      <w:color w:val="FF0000"/>
                      <w:u w:val="single"/>
                      <w:lang w:eastAsia="zh-CN"/>
                    </w:rPr>
                  </w:pPr>
                  <w:r>
                    <w:rPr>
                      <w:rFonts w:hint="eastAsia"/>
                      <w:color w:val="FF0000"/>
                      <w:u w:val="single"/>
                      <w:lang w:eastAsia="zh-CN"/>
                    </w:rPr>
                    <w:t>松下</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62</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气保焊机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KRⅡ350</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唐山</w:t>
                  </w:r>
                </w:p>
                <w:p>
                  <w:pPr>
                    <w:bidi w:val="0"/>
                    <w:jc w:val="center"/>
                    <w:rPr>
                      <w:rFonts w:hint="eastAsia"/>
                      <w:color w:val="FF0000"/>
                      <w:u w:val="single"/>
                      <w:lang w:eastAsia="zh-CN"/>
                    </w:rPr>
                  </w:pPr>
                  <w:r>
                    <w:rPr>
                      <w:rFonts w:hint="eastAsia"/>
                      <w:color w:val="FF0000"/>
                      <w:u w:val="single"/>
                      <w:lang w:eastAsia="zh-CN"/>
                    </w:rPr>
                    <w:t>松下</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63</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气保焊机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NBC-500T</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龙太</w:t>
                  </w:r>
                </w:p>
                <w:p>
                  <w:pPr>
                    <w:bidi w:val="0"/>
                    <w:jc w:val="center"/>
                    <w:rPr>
                      <w:rFonts w:hint="eastAsia"/>
                      <w:color w:val="FF0000"/>
                      <w:u w:val="single"/>
                      <w:lang w:eastAsia="zh-CN"/>
                    </w:rPr>
                  </w:pPr>
                  <w:r>
                    <w:rPr>
                      <w:rFonts w:hint="eastAsia"/>
                      <w:color w:val="FF0000"/>
                      <w:u w:val="single"/>
                      <w:lang w:eastAsia="zh-CN"/>
                    </w:rPr>
                    <w:t>电气</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64</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气保焊机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NB-500KR</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上海</w:t>
                  </w:r>
                </w:p>
                <w:p>
                  <w:pPr>
                    <w:bidi w:val="0"/>
                    <w:jc w:val="center"/>
                    <w:rPr>
                      <w:rFonts w:hint="eastAsia"/>
                      <w:color w:val="FF0000"/>
                      <w:u w:val="single"/>
                      <w:lang w:eastAsia="zh-CN"/>
                    </w:rPr>
                  </w:pPr>
                  <w:r>
                    <w:rPr>
                      <w:rFonts w:hint="eastAsia"/>
                      <w:color w:val="FF0000"/>
                      <w:u w:val="single"/>
                      <w:lang w:eastAsia="zh-CN"/>
                    </w:rPr>
                    <w:t>通用</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65</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气保焊机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KRⅡ500</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9</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唐山</w:t>
                  </w:r>
                </w:p>
                <w:p>
                  <w:pPr>
                    <w:bidi w:val="0"/>
                    <w:jc w:val="center"/>
                    <w:rPr>
                      <w:rFonts w:hint="eastAsia"/>
                      <w:color w:val="FF0000"/>
                      <w:u w:val="single"/>
                      <w:lang w:eastAsia="zh-CN"/>
                    </w:rPr>
                  </w:pPr>
                  <w:r>
                    <w:rPr>
                      <w:rFonts w:hint="eastAsia"/>
                      <w:color w:val="FF0000"/>
                      <w:u w:val="single"/>
                      <w:lang w:eastAsia="zh-CN"/>
                    </w:rPr>
                    <w:t>松下</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66</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气保焊机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NBC-500G</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4</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上海</w:t>
                  </w:r>
                </w:p>
                <w:p>
                  <w:pPr>
                    <w:bidi w:val="0"/>
                    <w:jc w:val="center"/>
                    <w:rPr>
                      <w:rFonts w:hint="eastAsia"/>
                      <w:color w:val="FF0000"/>
                      <w:u w:val="single"/>
                      <w:lang w:eastAsia="zh-CN"/>
                    </w:rPr>
                  </w:pPr>
                  <w:r>
                    <w:rPr>
                      <w:rFonts w:hint="eastAsia"/>
                      <w:color w:val="FF0000"/>
                      <w:u w:val="single"/>
                      <w:lang w:eastAsia="zh-CN"/>
                    </w:rPr>
                    <w:t>东升</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67</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气保焊机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KRⅡ350</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8</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唐山</w:t>
                  </w:r>
                </w:p>
                <w:p>
                  <w:pPr>
                    <w:bidi w:val="0"/>
                    <w:jc w:val="center"/>
                    <w:rPr>
                      <w:rFonts w:hint="eastAsia"/>
                      <w:color w:val="FF0000"/>
                      <w:u w:val="single"/>
                      <w:lang w:eastAsia="zh-CN"/>
                    </w:rPr>
                  </w:pPr>
                  <w:r>
                    <w:rPr>
                      <w:rFonts w:hint="eastAsia"/>
                      <w:color w:val="FF0000"/>
                      <w:u w:val="single"/>
                      <w:lang w:eastAsia="zh-CN"/>
                    </w:rPr>
                    <w:t>松下</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68</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气保焊机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NBC-500T</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龙太</w:t>
                  </w:r>
                </w:p>
                <w:p>
                  <w:pPr>
                    <w:bidi w:val="0"/>
                    <w:jc w:val="center"/>
                    <w:rPr>
                      <w:rFonts w:hint="eastAsia"/>
                      <w:color w:val="FF0000"/>
                      <w:u w:val="single"/>
                      <w:lang w:eastAsia="zh-CN"/>
                    </w:rPr>
                  </w:pPr>
                  <w:r>
                    <w:rPr>
                      <w:rFonts w:hint="eastAsia"/>
                      <w:color w:val="FF0000"/>
                      <w:u w:val="single"/>
                      <w:lang w:eastAsia="zh-CN"/>
                    </w:rPr>
                    <w:t>电气</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69</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气保焊机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NB-500</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南工</w:t>
                  </w:r>
                </w:p>
                <w:p>
                  <w:pPr>
                    <w:bidi w:val="0"/>
                    <w:jc w:val="center"/>
                    <w:rPr>
                      <w:rFonts w:hint="eastAsia"/>
                      <w:color w:val="FF0000"/>
                      <w:u w:val="single"/>
                      <w:lang w:eastAsia="zh-CN"/>
                    </w:rPr>
                  </w:pPr>
                  <w:r>
                    <w:rPr>
                      <w:rFonts w:hint="eastAsia"/>
                      <w:color w:val="FF0000"/>
                      <w:u w:val="single"/>
                      <w:lang w:eastAsia="zh-CN"/>
                    </w:rPr>
                    <w:t>银象</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70</w:t>
                  </w:r>
                </w:p>
              </w:tc>
              <w:tc>
                <w:tcPr>
                  <w:tcW w:w="1000"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电弦焊机</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2X7-400K</w:t>
                  </w:r>
                </w:p>
              </w:tc>
              <w:tc>
                <w:tcPr>
                  <w:tcW w:w="45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南工</w:t>
                  </w:r>
                </w:p>
                <w:p>
                  <w:pPr>
                    <w:bidi w:val="0"/>
                    <w:jc w:val="center"/>
                    <w:rPr>
                      <w:rFonts w:hint="eastAsia"/>
                      <w:color w:val="FF0000"/>
                      <w:u w:val="single"/>
                      <w:lang w:eastAsia="zh-CN"/>
                    </w:rPr>
                  </w:pPr>
                  <w:r>
                    <w:rPr>
                      <w:rFonts w:hint="eastAsia"/>
                      <w:color w:val="FF0000"/>
                      <w:u w:val="single"/>
                      <w:lang w:eastAsia="zh-CN"/>
                    </w:rPr>
                    <w:t>银象</w:t>
                  </w:r>
                </w:p>
              </w:tc>
              <w:tc>
                <w:tcPr>
                  <w:tcW w:w="833"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71</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移动式烟尘净化器</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QK-11</w:t>
                  </w:r>
                </w:p>
              </w:tc>
              <w:tc>
                <w:tcPr>
                  <w:tcW w:w="45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w:t>
                  </w:r>
                </w:p>
              </w:tc>
              <w:tc>
                <w:tcPr>
                  <w:tcW w:w="517"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tcBorders>
                    <w:tl2br w:val="nil"/>
                    <w:tr2bl w:val="nil"/>
                  </w:tcBorders>
                  <w:noWrap w:val="0"/>
                  <w:vAlign w:val="center"/>
                </w:tcPr>
                <w:p>
                  <w:pPr>
                    <w:bidi w:val="0"/>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72</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剪板机</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QC11Y-16*2500</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江苏</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73</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剪板机</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QC11Y-200*2000</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江苏</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74</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折弯机</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200-4000</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江苏</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75</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冲压机</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JB23-25</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江苏</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76</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冲压机</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JB23-40</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山东</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77</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摇臂钻</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Z3050*16</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2</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沈阳</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78</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钻铣床</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Z*50C</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滕州</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79</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锯床</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GB 4260</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浙江</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80</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锯床</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GB 4028</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浙江</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81</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冲压机</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JB23-80</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山东</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82</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冲剪机</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Q35Y-20</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靖江</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83</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弯管机</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HWD.38</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2</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张家港</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84</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焊机</w:t>
                  </w:r>
                </w:p>
              </w:tc>
              <w:tc>
                <w:tcPr>
                  <w:tcW w:w="1238"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NBC-350</w:t>
                  </w:r>
                </w:p>
              </w:tc>
              <w:tc>
                <w:tcPr>
                  <w:tcW w:w="452"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13</w:t>
                  </w:r>
                </w:p>
              </w:tc>
              <w:tc>
                <w:tcPr>
                  <w:tcW w:w="517"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山东</w:t>
                  </w:r>
                </w:p>
              </w:tc>
              <w:tc>
                <w:tcPr>
                  <w:tcW w:w="833"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85</w:t>
                  </w:r>
                </w:p>
              </w:tc>
              <w:tc>
                <w:tcPr>
                  <w:tcW w:w="100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移动式烟尘净化器</w:t>
                  </w:r>
                </w:p>
              </w:tc>
              <w:tc>
                <w:tcPr>
                  <w:tcW w:w="1238"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QK-11</w:t>
                  </w:r>
                </w:p>
              </w:tc>
              <w:tc>
                <w:tcPr>
                  <w:tcW w:w="45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台</w:t>
                  </w:r>
                </w:p>
              </w:tc>
              <w:tc>
                <w:tcPr>
                  <w:tcW w:w="51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10</w:t>
                  </w:r>
                </w:p>
              </w:tc>
              <w:tc>
                <w:tcPr>
                  <w:tcW w:w="517"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w:t>
                  </w:r>
                </w:p>
              </w:tc>
              <w:tc>
                <w:tcPr>
                  <w:tcW w:w="833"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4#车间</w:t>
                  </w:r>
                </w:p>
              </w:tc>
            </w:tr>
          </w:tbl>
          <w:p>
            <w:pPr>
              <w:numPr>
                <w:ilvl w:val="0"/>
                <w:numId w:val="0"/>
              </w:numPr>
              <w:adjustRightInd w:val="0"/>
              <w:snapToGrid w:val="0"/>
              <w:spacing w:line="360" w:lineRule="auto"/>
              <w:jc w:val="both"/>
              <w:rPr>
                <w:rFonts w:hint="default" w:ascii="宋体" w:hAnsi="宋体" w:cs="宋体"/>
                <w:b/>
                <w:bCs w:val="0"/>
                <w:color w:val="FF0000"/>
                <w:sz w:val="24"/>
                <w:szCs w:val="24"/>
                <w:u w:val="single"/>
                <w:lang w:val="en-US" w:eastAsia="zh-CN"/>
              </w:rPr>
            </w:pPr>
            <w:r>
              <w:rPr>
                <w:rFonts w:hint="eastAsia" w:ascii="宋体" w:hAnsi="宋体" w:cs="宋体"/>
                <w:b/>
                <w:bCs w:val="0"/>
                <w:color w:val="FF0000"/>
                <w:sz w:val="24"/>
                <w:szCs w:val="24"/>
                <w:u w:val="single"/>
                <w:lang w:val="en-US" w:eastAsia="zh-CN"/>
              </w:rPr>
              <w:t>6.产品方案及规模</w:t>
            </w:r>
          </w:p>
          <w:p>
            <w:pPr>
              <w:numPr>
                <w:ilvl w:val="0"/>
                <w:numId w:val="0"/>
              </w:numPr>
              <w:adjustRightInd w:val="0"/>
              <w:snapToGrid w:val="0"/>
              <w:spacing w:line="360" w:lineRule="auto"/>
              <w:ind w:firstLine="480" w:firstLineChars="200"/>
              <w:jc w:val="both"/>
              <w:rPr>
                <w:rFonts w:hint="default" w:ascii="宋体" w:hAnsi="宋体" w:cs="宋体"/>
                <w:bCs/>
                <w:color w:val="FF0000"/>
                <w:sz w:val="24"/>
                <w:szCs w:val="24"/>
                <w:u w:val="single"/>
                <w:lang w:val="en-US" w:eastAsia="zh-CN"/>
              </w:rPr>
            </w:pPr>
            <w:r>
              <w:rPr>
                <w:rFonts w:hint="eastAsia" w:ascii="宋体" w:hAnsi="宋体" w:cs="宋体"/>
                <w:bCs/>
                <w:color w:val="FF0000"/>
                <w:sz w:val="24"/>
                <w:szCs w:val="24"/>
                <w:u w:val="single"/>
                <w:lang w:val="en-US" w:eastAsia="zh-CN"/>
              </w:rPr>
              <w:t>项目产品方案和规模见下表2-6。</w:t>
            </w:r>
          </w:p>
          <w:p>
            <w:pPr>
              <w:numPr>
                <w:ilvl w:val="0"/>
                <w:numId w:val="0"/>
              </w:numPr>
              <w:adjustRightInd w:val="0"/>
              <w:snapToGrid w:val="0"/>
              <w:spacing w:line="360" w:lineRule="auto"/>
              <w:jc w:val="center"/>
              <w:rPr>
                <w:rFonts w:hint="default" w:ascii="宋体" w:hAnsi="宋体" w:eastAsia="宋体" w:cs="宋体"/>
                <w:b/>
                <w:bCs/>
                <w:color w:val="FF0000"/>
                <w:sz w:val="24"/>
                <w:szCs w:val="24"/>
                <w:u w:val="single"/>
                <w:lang w:val="en-US" w:eastAsia="zh-CN"/>
              </w:rPr>
            </w:pPr>
            <w:r>
              <w:rPr>
                <w:rFonts w:hint="eastAsia" w:ascii="宋体" w:hAnsi="宋体" w:eastAsia="宋体" w:cs="宋体"/>
                <w:b/>
                <w:bCs/>
                <w:color w:val="FF0000"/>
                <w:sz w:val="24"/>
                <w:szCs w:val="24"/>
                <w:u w:val="single"/>
                <w:lang w:val="en-US" w:eastAsia="zh-CN"/>
              </w:rPr>
              <w:t>表2-</w:t>
            </w:r>
            <w:r>
              <w:rPr>
                <w:rFonts w:hint="eastAsia" w:ascii="宋体" w:hAnsi="宋体" w:cs="宋体"/>
                <w:b/>
                <w:bCs/>
                <w:color w:val="FF0000"/>
                <w:sz w:val="24"/>
                <w:szCs w:val="24"/>
                <w:u w:val="single"/>
                <w:lang w:val="en-US" w:eastAsia="zh-CN"/>
              </w:rPr>
              <w:t>6</w:t>
            </w:r>
            <w:r>
              <w:rPr>
                <w:rFonts w:hint="eastAsia" w:ascii="宋体" w:hAnsi="宋体" w:eastAsia="宋体" w:cs="宋体"/>
                <w:b/>
                <w:bCs/>
                <w:color w:val="FF0000"/>
                <w:sz w:val="24"/>
                <w:szCs w:val="24"/>
                <w:u w:val="single"/>
                <w:lang w:val="en-US" w:eastAsia="zh-CN"/>
              </w:rPr>
              <w:t xml:space="preserve">  项目产品方案和规模一览表</w:t>
            </w:r>
          </w:p>
          <w:tbl>
            <w:tblPr>
              <w:tblStyle w:val="13"/>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58"/>
              <w:gridCol w:w="5602"/>
              <w:gridCol w:w="636"/>
              <w:gridCol w:w="7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pct"/>
                  <w:tcBorders>
                    <w:tl2br w:val="nil"/>
                    <w:tr2bl w:val="nil"/>
                  </w:tcBorders>
                  <w:noWrap w:val="0"/>
                  <w:vAlign w:val="center"/>
                </w:tcPr>
                <w:p>
                  <w:pPr>
                    <w:bidi w:val="0"/>
                    <w:jc w:val="center"/>
                    <w:rPr>
                      <w:rFonts w:hint="default"/>
                      <w:b/>
                      <w:bCs/>
                      <w:color w:val="FF0000"/>
                      <w:u w:val="single"/>
                    </w:rPr>
                  </w:pPr>
                  <w:r>
                    <w:rPr>
                      <w:rFonts w:hint="default"/>
                      <w:b/>
                      <w:bCs/>
                      <w:color w:val="FF0000"/>
                      <w:u w:val="single"/>
                    </w:rPr>
                    <w:t>序号</w:t>
                  </w:r>
                </w:p>
              </w:tc>
              <w:tc>
                <w:tcPr>
                  <w:tcW w:w="910" w:type="pct"/>
                  <w:tcBorders>
                    <w:tl2br w:val="nil"/>
                    <w:tr2bl w:val="nil"/>
                  </w:tcBorders>
                  <w:noWrap w:val="0"/>
                  <w:vAlign w:val="center"/>
                </w:tcPr>
                <w:p>
                  <w:pPr>
                    <w:bidi w:val="0"/>
                    <w:jc w:val="center"/>
                    <w:rPr>
                      <w:rFonts w:hint="default"/>
                      <w:b/>
                      <w:bCs/>
                      <w:color w:val="FF0000"/>
                      <w:u w:val="single"/>
                    </w:rPr>
                  </w:pPr>
                  <w:r>
                    <w:rPr>
                      <w:rFonts w:hint="default"/>
                      <w:b/>
                      <w:bCs/>
                      <w:color w:val="FF0000"/>
                      <w:u w:val="single"/>
                    </w:rPr>
                    <w:t>产品名称</w:t>
                  </w:r>
                </w:p>
              </w:tc>
              <w:tc>
                <w:tcPr>
                  <w:tcW w:w="2095" w:type="pct"/>
                  <w:tcBorders>
                    <w:tl2br w:val="nil"/>
                    <w:tr2bl w:val="nil"/>
                  </w:tcBorders>
                  <w:noWrap w:val="0"/>
                  <w:vAlign w:val="center"/>
                </w:tcPr>
                <w:p>
                  <w:pPr>
                    <w:bidi w:val="0"/>
                    <w:jc w:val="center"/>
                    <w:rPr>
                      <w:rFonts w:hint="default"/>
                      <w:b/>
                      <w:bCs/>
                      <w:color w:val="FF0000"/>
                      <w:u w:val="single"/>
                      <w:lang w:val="en-US" w:eastAsia="zh-CN"/>
                    </w:rPr>
                  </w:pPr>
                  <w:r>
                    <w:rPr>
                      <w:rFonts w:hint="default"/>
                      <w:b/>
                      <w:bCs/>
                      <w:color w:val="FF0000"/>
                      <w:u w:val="single"/>
                    </w:rPr>
                    <w:t>规格</w:t>
                  </w:r>
                  <w:r>
                    <w:rPr>
                      <w:rFonts w:hint="eastAsia"/>
                      <w:b/>
                      <w:bCs/>
                      <w:color w:val="FF0000"/>
                      <w:u w:val="single"/>
                      <w:lang w:val="en-US" w:eastAsia="zh-CN"/>
                    </w:rPr>
                    <w:t>/型号</w:t>
                  </w:r>
                </w:p>
              </w:tc>
              <w:tc>
                <w:tcPr>
                  <w:tcW w:w="739" w:type="pct"/>
                  <w:tcBorders>
                    <w:tl2br w:val="nil"/>
                    <w:tr2bl w:val="nil"/>
                  </w:tcBorders>
                  <w:noWrap w:val="0"/>
                  <w:vAlign w:val="center"/>
                </w:tcPr>
                <w:p>
                  <w:pPr>
                    <w:bidi w:val="0"/>
                    <w:jc w:val="center"/>
                    <w:rPr>
                      <w:rFonts w:hint="default"/>
                      <w:b/>
                      <w:bCs/>
                      <w:color w:val="FF0000"/>
                      <w:u w:val="single"/>
                    </w:rPr>
                  </w:pPr>
                  <w:r>
                    <w:rPr>
                      <w:rFonts w:hint="default"/>
                      <w:b/>
                      <w:bCs/>
                      <w:color w:val="FF0000"/>
                      <w:u w:val="single"/>
                    </w:rPr>
                    <w:t>年产量</w:t>
                  </w:r>
                </w:p>
              </w:tc>
              <w:tc>
                <w:tcPr>
                  <w:tcW w:w="792" w:type="pct"/>
                  <w:tcBorders>
                    <w:tl2br w:val="nil"/>
                    <w:tr2bl w:val="nil"/>
                  </w:tcBorders>
                  <w:noWrap w:val="0"/>
                  <w:vAlign w:val="center"/>
                </w:tcPr>
                <w:p>
                  <w:pPr>
                    <w:bidi w:val="0"/>
                    <w:jc w:val="center"/>
                    <w:rPr>
                      <w:rFonts w:hint="default"/>
                      <w:b/>
                      <w:bCs/>
                      <w:color w:val="FF0000"/>
                      <w:u w:val="single"/>
                    </w:rPr>
                  </w:pPr>
                  <w:r>
                    <w:rPr>
                      <w:rFonts w:hint="default"/>
                      <w:b/>
                      <w:bCs/>
                      <w:color w:val="FF0000"/>
                      <w:u w:val="single"/>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l2br w:val="nil"/>
                    <w:tr2bl w:val="nil"/>
                  </w:tcBorders>
                  <w:noWrap w:val="0"/>
                  <w:vAlign w:val="center"/>
                </w:tcPr>
                <w:p>
                  <w:pPr>
                    <w:bidi w:val="0"/>
                    <w:rPr>
                      <w:rFonts w:hint="default"/>
                      <w:color w:val="FF0000"/>
                      <w:u w:val="single"/>
                      <w:lang w:val="en-US" w:eastAsia="zh-CN"/>
                    </w:rPr>
                  </w:pPr>
                  <w:r>
                    <w:rPr>
                      <w:rFonts w:hint="eastAsia"/>
                      <w:color w:val="FF0000"/>
                      <w:u w:val="singl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1</w:t>
                  </w:r>
                </w:p>
              </w:tc>
              <w:tc>
                <w:tcPr>
                  <w:tcW w:w="91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平衡臂</w:t>
                  </w:r>
                </w:p>
              </w:tc>
              <w:tc>
                <w:tcPr>
                  <w:tcW w:w="209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5610/8017</w:t>
                  </w:r>
                </w:p>
              </w:tc>
              <w:tc>
                <w:tcPr>
                  <w:tcW w:w="739"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1500</w:t>
                  </w:r>
                </w:p>
              </w:tc>
              <w:tc>
                <w:tcPr>
                  <w:tcW w:w="79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2</w:t>
                  </w:r>
                </w:p>
              </w:tc>
              <w:tc>
                <w:tcPr>
                  <w:tcW w:w="91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套架</w:t>
                  </w:r>
                </w:p>
              </w:tc>
              <w:tc>
                <w:tcPr>
                  <w:tcW w:w="209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T600</w:t>
                  </w:r>
                </w:p>
              </w:tc>
              <w:tc>
                <w:tcPr>
                  <w:tcW w:w="739"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600</w:t>
                  </w:r>
                </w:p>
              </w:tc>
              <w:tc>
                <w:tcPr>
                  <w:tcW w:w="79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3</w:t>
                  </w:r>
                </w:p>
              </w:tc>
              <w:tc>
                <w:tcPr>
                  <w:tcW w:w="91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底架</w:t>
                  </w:r>
                </w:p>
              </w:tc>
              <w:tc>
                <w:tcPr>
                  <w:tcW w:w="209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16/20/25</w:t>
                  </w:r>
                </w:p>
              </w:tc>
              <w:tc>
                <w:tcPr>
                  <w:tcW w:w="739"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800</w:t>
                  </w:r>
                </w:p>
              </w:tc>
              <w:tc>
                <w:tcPr>
                  <w:tcW w:w="79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4</w:t>
                  </w:r>
                </w:p>
              </w:tc>
              <w:tc>
                <w:tcPr>
                  <w:tcW w:w="91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套架片</w:t>
                  </w:r>
                </w:p>
              </w:tc>
              <w:tc>
                <w:tcPr>
                  <w:tcW w:w="2095"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6015</w:t>
                  </w:r>
                </w:p>
              </w:tc>
              <w:tc>
                <w:tcPr>
                  <w:tcW w:w="739"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100</w:t>
                  </w:r>
                </w:p>
              </w:tc>
              <w:tc>
                <w:tcPr>
                  <w:tcW w:w="792" w:type="pct"/>
                  <w:tcBorders>
                    <w:tl2br w:val="nil"/>
                    <w:tr2bl w:val="nil"/>
                  </w:tcBorders>
                  <w:noWrap w:val="0"/>
                  <w:vAlign w:val="center"/>
                </w:tcPr>
                <w:p>
                  <w:pPr>
                    <w:bidi w:val="0"/>
                    <w:jc w:val="center"/>
                    <w:rPr>
                      <w:rFonts w:hint="eastAsia"/>
                      <w:color w:val="FF0000"/>
                      <w:u w:val="single"/>
                      <w:lang w:val="en-US" w:eastAsia="zh-CN"/>
                    </w:rPr>
                  </w:pPr>
                  <w:r>
                    <w:rPr>
                      <w:rFonts w:hint="eastAsia"/>
                      <w:color w:val="FF0000"/>
                      <w:u w:val="single"/>
                      <w:lang w:val="en-US" w:eastAsia="zh-CN"/>
                    </w:rPr>
                    <w:t>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l2br w:val="nil"/>
                    <w:tr2bl w:val="nil"/>
                  </w:tcBorders>
                  <w:noWrap w:val="0"/>
                  <w:vAlign w:val="center"/>
                </w:tcPr>
                <w:p>
                  <w:pPr>
                    <w:bidi w:val="0"/>
                    <w:rPr>
                      <w:rFonts w:hint="default"/>
                      <w:color w:val="FF0000"/>
                      <w:u w:val="single"/>
                      <w:lang w:val="en-US" w:eastAsia="zh-CN"/>
                    </w:rPr>
                  </w:pPr>
                  <w:r>
                    <w:rPr>
                      <w:rFonts w:hint="eastAsia"/>
                      <w:color w:val="FF0000"/>
                      <w:u w:val="singl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pct"/>
                  <w:tcBorders>
                    <w:tl2br w:val="nil"/>
                    <w:tr2bl w:val="nil"/>
                  </w:tcBorders>
                  <w:noWrap w:val="0"/>
                  <w:vAlign w:val="center"/>
                </w:tcPr>
                <w:p>
                  <w:pPr>
                    <w:bidi w:val="0"/>
                    <w:jc w:val="center"/>
                    <w:rPr>
                      <w:rFonts w:hint="eastAsia" w:eastAsia="宋体"/>
                      <w:color w:val="FF0000"/>
                      <w:u w:val="single"/>
                      <w:lang w:val="en-US" w:eastAsia="zh-CN"/>
                    </w:rPr>
                  </w:pPr>
                  <w:r>
                    <w:rPr>
                      <w:rFonts w:hint="eastAsia"/>
                      <w:color w:val="FF0000"/>
                      <w:u w:val="single"/>
                      <w:lang w:val="en-US" w:eastAsia="zh-CN"/>
                    </w:rPr>
                    <w:t>5</w:t>
                  </w:r>
                </w:p>
              </w:tc>
              <w:tc>
                <w:tcPr>
                  <w:tcW w:w="91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辊压机</w:t>
                  </w:r>
                </w:p>
              </w:tc>
              <w:tc>
                <w:tcPr>
                  <w:tcW w:w="2095"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WY100~70/WY120~80/WY140~80/WY140~100/WY160~140</w:t>
                  </w:r>
                </w:p>
              </w:tc>
              <w:tc>
                <w:tcPr>
                  <w:tcW w:w="739"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600</w:t>
                  </w:r>
                </w:p>
              </w:tc>
              <w:tc>
                <w:tcPr>
                  <w:tcW w:w="792"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l2br w:val="nil"/>
                    <w:tr2bl w:val="nil"/>
                  </w:tcBorders>
                  <w:noWrap w:val="0"/>
                  <w:vAlign w:val="center"/>
                </w:tcPr>
                <w:p>
                  <w:pPr>
                    <w:bidi w:val="0"/>
                    <w:rPr>
                      <w:rFonts w:hint="default"/>
                      <w:color w:val="FF0000"/>
                      <w:u w:val="single"/>
                      <w:lang w:val="en-US" w:eastAsia="zh-CN"/>
                    </w:rPr>
                  </w:pPr>
                  <w:r>
                    <w:rPr>
                      <w:rFonts w:hint="eastAsia"/>
                      <w:color w:val="FF0000"/>
                      <w:u w:val="single"/>
                      <w:lang w:val="en-US" w:eastAsia="zh-CN"/>
                    </w:rPr>
                    <w:t>3#车间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pct"/>
                  <w:tcBorders>
                    <w:tl2br w:val="nil"/>
                    <w:tr2bl w:val="nil"/>
                  </w:tcBorders>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6</w:t>
                  </w:r>
                </w:p>
              </w:tc>
              <w:tc>
                <w:tcPr>
                  <w:tcW w:w="91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eastAsia="zh-CN"/>
                    </w:rPr>
                    <w:t>钢结构件</w:t>
                  </w:r>
                </w:p>
              </w:tc>
              <w:tc>
                <w:tcPr>
                  <w:tcW w:w="2095"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T20/T30/T40</w:t>
                  </w:r>
                </w:p>
              </w:tc>
              <w:tc>
                <w:tcPr>
                  <w:tcW w:w="739"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2000</w:t>
                  </w:r>
                </w:p>
              </w:tc>
              <w:tc>
                <w:tcPr>
                  <w:tcW w:w="792" w:type="pct"/>
                  <w:tcBorders>
                    <w:tl2br w:val="nil"/>
                    <w:tr2bl w:val="nil"/>
                  </w:tcBorders>
                  <w:noWrap w:val="0"/>
                  <w:vAlign w:val="center"/>
                </w:tcPr>
                <w:p>
                  <w:pPr>
                    <w:bidi w:val="0"/>
                    <w:jc w:val="center"/>
                    <w:rPr>
                      <w:rFonts w:hint="default"/>
                      <w:color w:val="FF0000"/>
                      <w:u w:val="single"/>
                    </w:rPr>
                  </w:pPr>
                  <w:r>
                    <w:rPr>
                      <w:rFonts w:hint="eastAsia"/>
                      <w:color w:val="FF0000"/>
                      <w:u w:val="single"/>
                      <w:lang w:eastAsia="zh-CN"/>
                    </w:rPr>
                    <w:t>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l2br w:val="nil"/>
                    <w:tr2bl w:val="nil"/>
                  </w:tcBorders>
                  <w:noWrap w:val="0"/>
                  <w:vAlign w:val="center"/>
                </w:tcPr>
                <w:p>
                  <w:pPr>
                    <w:bidi w:val="0"/>
                    <w:rPr>
                      <w:rFonts w:hint="default"/>
                      <w:color w:val="FF0000"/>
                      <w:u w:val="single"/>
                      <w:lang w:val="en-US" w:eastAsia="zh-CN"/>
                    </w:rPr>
                  </w:pPr>
                  <w:r>
                    <w:rPr>
                      <w:rFonts w:hint="eastAsia"/>
                      <w:color w:val="FF0000"/>
                      <w:u w:val="single"/>
                      <w:lang w:val="en-US" w:eastAsia="zh-CN"/>
                    </w:rPr>
                    <w:t>4#车间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pct"/>
                  <w:tcBorders>
                    <w:tl2br w:val="nil"/>
                    <w:tr2bl w:val="nil"/>
                  </w:tcBorders>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7</w:t>
                  </w:r>
                </w:p>
              </w:tc>
              <w:tc>
                <w:tcPr>
                  <w:tcW w:w="910" w:type="pct"/>
                  <w:tcBorders>
                    <w:tl2br w:val="nil"/>
                    <w:tr2bl w:val="nil"/>
                  </w:tcBorders>
                  <w:noWrap w:val="0"/>
                  <w:vAlign w:val="center"/>
                </w:tcPr>
                <w:p>
                  <w:pPr>
                    <w:bidi w:val="0"/>
                    <w:jc w:val="center"/>
                    <w:rPr>
                      <w:rFonts w:hint="eastAsia"/>
                      <w:color w:val="FF0000"/>
                      <w:u w:val="single"/>
                      <w:lang w:eastAsia="zh-CN"/>
                    </w:rPr>
                  </w:pPr>
                  <w:r>
                    <w:rPr>
                      <w:rFonts w:hint="eastAsia"/>
                      <w:color w:val="FF0000"/>
                      <w:u w:val="single"/>
                      <w:lang w:val="en-US" w:eastAsia="zh-CN"/>
                    </w:rPr>
                    <w:t>塔吊平台</w:t>
                  </w:r>
                </w:p>
              </w:tc>
              <w:tc>
                <w:tcPr>
                  <w:tcW w:w="2095" w:type="pct"/>
                  <w:tcBorders>
                    <w:tl2br w:val="nil"/>
                    <w:tr2bl w:val="nil"/>
                  </w:tcBorders>
                  <w:noWrap w:val="0"/>
                  <w:vAlign w:val="center"/>
                </w:tcPr>
                <w:p>
                  <w:pPr>
                    <w:bidi w:val="0"/>
                    <w:jc w:val="center"/>
                    <w:rPr>
                      <w:rFonts w:hint="default"/>
                      <w:color w:val="FF0000"/>
                      <w:u w:val="single"/>
                    </w:rPr>
                  </w:pPr>
                  <w:r>
                    <w:rPr>
                      <w:rFonts w:hint="eastAsia"/>
                      <w:color w:val="FF0000"/>
                      <w:u w:val="single"/>
                      <w:lang w:val="en-US" w:eastAsia="zh-CN"/>
                    </w:rPr>
                    <w:t>W6010</w:t>
                  </w:r>
                </w:p>
              </w:tc>
              <w:tc>
                <w:tcPr>
                  <w:tcW w:w="739"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2000</w:t>
                  </w:r>
                </w:p>
              </w:tc>
              <w:tc>
                <w:tcPr>
                  <w:tcW w:w="792" w:type="pct"/>
                  <w:tcBorders>
                    <w:tl2br w:val="nil"/>
                    <w:tr2bl w:val="nil"/>
                  </w:tcBorders>
                  <w:noWrap w:val="0"/>
                  <w:vAlign w:val="center"/>
                </w:tcPr>
                <w:p>
                  <w:pPr>
                    <w:bidi w:val="0"/>
                    <w:jc w:val="center"/>
                    <w:rPr>
                      <w:rFonts w:hint="default"/>
                      <w:color w:val="FF0000"/>
                      <w:u w:val="single"/>
                    </w:rPr>
                  </w:pPr>
                  <w:r>
                    <w:rPr>
                      <w:rFonts w:hint="eastAsia"/>
                      <w:color w:val="FF0000"/>
                      <w:u w:val="single"/>
                      <w:lang w:eastAsia="zh-CN"/>
                    </w:rPr>
                    <w:t>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pct"/>
                  <w:tcBorders>
                    <w:tl2br w:val="nil"/>
                    <w:tr2bl w:val="nil"/>
                  </w:tcBorders>
                  <w:noWrap w:val="0"/>
                  <w:vAlign w:val="center"/>
                </w:tcPr>
                <w:p>
                  <w:pPr>
                    <w:bidi w:val="0"/>
                    <w:jc w:val="center"/>
                    <w:rPr>
                      <w:rFonts w:hint="eastAsia"/>
                      <w:color w:val="FF0000"/>
                      <w:u w:val="single"/>
                      <w:lang w:val="en-US" w:eastAsia="zh-CN"/>
                    </w:rPr>
                  </w:pPr>
                </w:p>
              </w:tc>
              <w:tc>
                <w:tcPr>
                  <w:tcW w:w="910"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合计</w:t>
                  </w:r>
                </w:p>
              </w:tc>
              <w:tc>
                <w:tcPr>
                  <w:tcW w:w="2095" w:type="pct"/>
                  <w:tcBorders>
                    <w:tl2br w:val="nil"/>
                    <w:tr2bl w:val="nil"/>
                  </w:tcBorders>
                  <w:noWrap w:val="0"/>
                  <w:vAlign w:val="center"/>
                </w:tcPr>
                <w:p>
                  <w:pPr>
                    <w:bidi w:val="0"/>
                    <w:jc w:val="center"/>
                    <w:rPr>
                      <w:rFonts w:hint="eastAsia"/>
                      <w:color w:val="FF0000"/>
                      <w:u w:val="single"/>
                      <w:lang w:val="en-US" w:eastAsia="zh-CN"/>
                    </w:rPr>
                  </w:pPr>
                </w:p>
              </w:tc>
              <w:tc>
                <w:tcPr>
                  <w:tcW w:w="739"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7600</w:t>
                  </w:r>
                </w:p>
              </w:tc>
              <w:tc>
                <w:tcPr>
                  <w:tcW w:w="792" w:type="pct"/>
                  <w:tcBorders>
                    <w:tl2br w:val="nil"/>
                    <w:tr2bl w:val="nil"/>
                  </w:tcBorders>
                  <w:noWrap w:val="0"/>
                  <w:vAlign w:val="center"/>
                </w:tcPr>
                <w:p>
                  <w:pPr>
                    <w:bidi w:val="0"/>
                    <w:jc w:val="center"/>
                    <w:rPr>
                      <w:rFonts w:hint="default"/>
                      <w:color w:val="FF0000"/>
                      <w:u w:val="single"/>
                      <w:lang w:val="en-US" w:eastAsia="zh-CN"/>
                    </w:rPr>
                  </w:pPr>
                  <w:r>
                    <w:rPr>
                      <w:rFonts w:hint="eastAsia"/>
                      <w:color w:val="FF0000"/>
                      <w:u w:val="single"/>
                      <w:lang w:val="en-US" w:eastAsia="zh-CN"/>
                    </w:rPr>
                    <w:t>吨</w:t>
                  </w:r>
                </w:p>
              </w:tc>
            </w:tr>
          </w:tbl>
          <w:p>
            <w:pPr>
              <w:numPr>
                <w:ilvl w:val="0"/>
                <w:numId w:val="0"/>
              </w:numPr>
              <w:adjustRightInd w:val="0"/>
              <w:snapToGrid w:val="0"/>
              <w:spacing w:line="360" w:lineRule="auto"/>
              <w:jc w:val="both"/>
              <w:rPr>
                <w:rFonts w:hint="default" w:ascii="宋体" w:hAnsi="宋体" w:cs="宋体"/>
                <w:b/>
                <w:bCs w:val="0"/>
                <w:color w:val="FF0000"/>
                <w:sz w:val="24"/>
                <w:szCs w:val="24"/>
                <w:u w:val="single"/>
                <w:lang w:val="en-US" w:eastAsia="zh-CN"/>
              </w:rPr>
            </w:pPr>
            <w:r>
              <w:rPr>
                <w:rFonts w:hint="eastAsia" w:ascii="宋体" w:hAnsi="宋体" w:cs="宋体"/>
                <w:b/>
                <w:bCs w:val="0"/>
                <w:color w:val="FF0000"/>
                <w:sz w:val="24"/>
                <w:szCs w:val="24"/>
                <w:u w:val="single"/>
                <w:lang w:val="en-US" w:eastAsia="zh-CN"/>
              </w:rPr>
              <w:t>7.平面布置</w:t>
            </w:r>
          </w:p>
          <w:p>
            <w:pPr>
              <w:numPr>
                <w:ilvl w:val="0"/>
                <w:numId w:val="0"/>
              </w:numPr>
              <w:bidi w:val="0"/>
              <w:spacing w:line="360" w:lineRule="auto"/>
              <w:ind w:firstLine="480" w:firstLineChars="200"/>
              <w:rPr>
                <w:rFonts w:hint="eastAsia" w:ascii="宋体" w:hAnsi="宋体" w:cs="宋体"/>
                <w:color w:val="FF0000"/>
                <w:sz w:val="24"/>
                <w:szCs w:val="24"/>
                <w:highlight w:val="yellow"/>
                <w:u w:val="single"/>
                <w:lang w:val="en-US" w:eastAsia="zh-CN"/>
              </w:rPr>
            </w:pPr>
            <w:r>
              <w:rPr>
                <w:rFonts w:hint="eastAsia" w:ascii="宋体" w:hAnsi="宋体" w:cs="宋体"/>
                <w:color w:val="FF0000"/>
                <w:kern w:val="0"/>
                <w:sz w:val="24"/>
                <w:szCs w:val="24"/>
                <w:u w:val="single"/>
                <w:lang w:val="en-US" w:eastAsia="zh-CN"/>
              </w:rPr>
              <w:t>项目依托湖南定宇新材</w:t>
            </w:r>
            <w:r>
              <w:rPr>
                <w:rFonts w:hint="eastAsia" w:ascii="宋体" w:hAnsi="宋体" w:eastAsia="宋体" w:cs="宋体"/>
                <w:color w:val="FF0000"/>
                <w:kern w:val="0"/>
                <w:sz w:val="24"/>
                <w:szCs w:val="24"/>
                <w:u w:val="single"/>
                <w:lang w:val="en-US" w:eastAsia="zh-CN"/>
              </w:rPr>
              <w:t>料科技有限公司现有厂房，项目共建设四个生产车间，每个车间设置一条生产线，从北至南分别为1#车间、2#车间、3#车间、4#车间，平面布置考虑了生产的特点，工艺顺畅，各工序衔接紧凑，利于生产活动，功能分区明确，环保设施齐全，将其活动对外界环境的影响降低到最小程度。东面和北面两侧临近道路，设置四个进出口，方便人流物流通畅。</w:t>
            </w:r>
            <w:r>
              <w:rPr>
                <w:rFonts w:hint="eastAsia" w:ascii="宋体" w:hAnsi="宋体" w:cs="宋体"/>
                <w:b w:val="0"/>
                <w:bCs w:val="0"/>
                <w:color w:val="FF0000"/>
                <w:sz w:val="24"/>
                <w:szCs w:val="24"/>
                <w:highlight w:val="none"/>
                <w:u w:val="single"/>
                <w:lang w:val="en-US" w:eastAsia="zh-CN"/>
              </w:rPr>
              <w:t>厂区平面布置见附图二。</w:t>
            </w:r>
          </w:p>
          <w:p>
            <w:pPr>
              <w:numPr>
                <w:ilvl w:val="0"/>
                <w:numId w:val="0"/>
              </w:numPr>
              <w:adjustRightInd w:val="0"/>
              <w:snapToGrid w:val="0"/>
              <w:spacing w:line="360" w:lineRule="auto"/>
              <w:jc w:val="both"/>
              <w:rPr>
                <w:rFonts w:hint="default" w:ascii="宋体" w:hAnsi="宋体" w:cs="宋体"/>
                <w:b/>
                <w:bCs w:val="0"/>
                <w:sz w:val="24"/>
                <w:szCs w:val="24"/>
                <w:lang w:val="en-US" w:eastAsia="zh-CN"/>
              </w:rPr>
            </w:pPr>
            <w:r>
              <w:rPr>
                <w:rFonts w:hint="eastAsia" w:ascii="宋体" w:hAnsi="宋体" w:cs="宋体"/>
                <w:b/>
                <w:bCs w:val="0"/>
                <w:sz w:val="24"/>
                <w:szCs w:val="24"/>
                <w:lang w:val="en-US" w:eastAsia="zh-CN"/>
              </w:rPr>
              <w:t>8.公用工程</w:t>
            </w:r>
          </w:p>
          <w:p>
            <w:pPr>
              <w:numPr>
                <w:ilvl w:val="0"/>
                <w:numId w:val="0"/>
              </w:numPr>
              <w:adjustRightInd w:val="0"/>
              <w:snapToGrid w:val="0"/>
              <w:spacing w:line="360" w:lineRule="auto"/>
              <w:ind w:firstLine="480" w:firstLineChars="200"/>
              <w:jc w:val="both"/>
              <w:rPr>
                <w:rFonts w:hint="default" w:ascii="宋体" w:hAnsi="宋体" w:cs="宋体"/>
                <w:sz w:val="24"/>
                <w:szCs w:val="24"/>
                <w:lang w:val="en-US" w:eastAsia="zh-CN"/>
              </w:rPr>
            </w:pPr>
            <w:r>
              <w:rPr>
                <w:rFonts w:hint="eastAsia" w:ascii="宋体" w:hAnsi="宋体" w:cs="宋体"/>
                <w:sz w:val="24"/>
                <w:szCs w:val="24"/>
                <w:lang w:val="en-US" w:eastAsia="zh-CN"/>
              </w:rPr>
              <w:t>（1）给水</w:t>
            </w:r>
          </w:p>
          <w:p>
            <w:pPr>
              <w:numPr>
                <w:ilvl w:val="0"/>
                <w:numId w:val="0"/>
              </w:numPr>
              <w:adjustRightInd w:val="0"/>
              <w:snapToGrid w:val="0"/>
              <w:spacing w:line="360" w:lineRule="auto"/>
              <w:ind w:firstLine="480" w:firstLineChars="200"/>
              <w:jc w:val="both"/>
              <w:rPr>
                <w:rFonts w:hint="default" w:ascii="宋体" w:hAnsi="宋体" w:cs="宋体"/>
                <w:sz w:val="24"/>
                <w:szCs w:val="24"/>
                <w:lang w:val="en-US" w:eastAsia="zh-CN"/>
              </w:rPr>
            </w:pPr>
            <w:r>
              <w:rPr>
                <w:rFonts w:hint="eastAsia" w:ascii="宋体" w:hAnsi="宋体" w:cs="宋体"/>
                <w:sz w:val="24"/>
                <w:szCs w:val="24"/>
                <w:lang w:val="en-US" w:eastAsia="zh-CN"/>
              </w:rPr>
              <w:t>根据建设方提供的资料，本项目用水主要为员工生活用水，供水采用自来水，管网依托标准厂房。项目劳动定员118人，员工均不在厂区内食宿，参照《湖南省用水定额》（DB43/T388-2020）用水量为45L/人·d，年工作时间为280d，则生活用水量为5.31</w:t>
            </w:r>
            <w:r>
              <w:rPr>
                <w:spacing w:val="4"/>
                <w:sz w:val="24"/>
                <w:szCs w:val="24"/>
              </w:rPr>
              <w:t>m</w:t>
            </w:r>
            <w:r>
              <w:rPr>
                <w:spacing w:val="4"/>
                <w:sz w:val="24"/>
                <w:szCs w:val="24"/>
                <w:vertAlign w:val="superscript"/>
              </w:rPr>
              <w:t>3</w:t>
            </w:r>
            <w:r>
              <w:rPr>
                <w:spacing w:val="4"/>
                <w:sz w:val="24"/>
                <w:szCs w:val="24"/>
              </w:rPr>
              <w:t>/d</w:t>
            </w:r>
            <w:r>
              <w:rPr>
                <w:rFonts w:hint="eastAsia" w:ascii="宋体" w:hAnsi="宋体" w:cs="宋体"/>
                <w:sz w:val="24"/>
                <w:szCs w:val="24"/>
                <w:lang w:val="en-US" w:eastAsia="zh-CN"/>
              </w:rPr>
              <w:t>,1486.8</w:t>
            </w:r>
            <w:r>
              <w:rPr>
                <w:spacing w:val="4"/>
                <w:sz w:val="24"/>
                <w:szCs w:val="24"/>
              </w:rPr>
              <w:t>m</w:t>
            </w:r>
            <w:r>
              <w:rPr>
                <w:spacing w:val="4"/>
                <w:sz w:val="24"/>
                <w:szCs w:val="24"/>
                <w:vertAlign w:val="superscript"/>
              </w:rPr>
              <w:t>3</w:t>
            </w:r>
            <w:r>
              <w:rPr>
                <w:spacing w:val="4"/>
                <w:sz w:val="24"/>
                <w:szCs w:val="24"/>
              </w:rPr>
              <w:t>/</w:t>
            </w:r>
            <w:r>
              <w:rPr>
                <w:rFonts w:hint="eastAsia"/>
                <w:spacing w:val="4"/>
                <w:sz w:val="24"/>
                <w:szCs w:val="24"/>
                <w:lang w:val="en-US" w:eastAsia="zh-CN"/>
              </w:rPr>
              <w:t>a</w:t>
            </w:r>
            <w:r>
              <w:rPr>
                <w:rFonts w:hint="eastAsia" w:ascii="宋体" w:hAnsi="宋体" w:cs="宋体"/>
                <w:sz w:val="24"/>
                <w:szCs w:val="24"/>
                <w:lang w:val="en-US" w:eastAsia="zh-CN"/>
              </w:rPr>
              <w:t>。</w:t>
            </w:r>
          </w:p>
          <w:p>
            <w:pPr>
              <w:numPr>
                <w:ilvl w:val="0"/>
                <w:numId w:val="0"/>
              </w:numPr>
              <w:adjustRightInd w:val="0"/>
              <w:snapToGrid w:val="0"/>
              <w:spacing w:line="360" w:lineRule="auto"/>
              <w:ind w:firstLine="480" w:firstLineChars="200"/>
              <w:jc w:val="both"/>
              <w:rPr>
                <w:rFonts w:hint="eastAsia" w:ascii="宋体" w:hAnsi="宋体" w:cs="宋体"/>
                <w:color w:val="FF0000"/>
                <w:sz w:val="24"/>
                <w:szCs w:val="24"/>
                <w:u w:val="single"/>
                <w:lang w:val="en-US" w:eastAsia="zh-CN"/>
              </w:rPr>
            </w:pPr>
            <w:r>
              <w:rPr>
                <w:rFonts w:hint="eastAsia" w:ascii="宋体" w:hAnsi="宋体" w:cs="宋体"/>
                <w:color w:val="FF0000"/>
                <w:sz w:val="24"/>
                <w:szCs w:val="24"/>
                <w:u w:val="single"/>
                <w:lang w:val="en-US" w:eastAsia="zh-CN"/>
              </w:rPr>
              <w:t>（2）排水</w:t>
            </w:r>
          </w:p>
          <w:p>
            <w:pPr>
              <w:numPr>
                <w:ilvl w:val="0"/>
                <w:numId w:val="0"/>
              </w:numPr>
              <w:adjustRightInd w:val="0"/>
              <w:snapToGrid w:val="0"/>
              <w:spacing w:line="360" w:lineRule="auto"/>
              <w:ind w:firstLine="480" w:firstLineChars="200"/>
              <w:jc w:val="both"/>
              <w:rPr>
                <w:rFonts w:hint="default" w:ascii="宋体" w:hAnsi="宋体" w:cs="宋体"/>
                <w:color w:val="FF0000"/>
                <w:sz w:val="24"/>
                <w:szCs w:val="24"/>
                <w:u w:val="single"/>
                <w:lang w:val="en-US" w:eastAsia="zh-CN"/>
              </w:rPr>
            </w:pPr>
            <w:r>
              <w:rPr>
                <w:rFonts w:hint="eastAsia" w:ascii="宋体" w:hAnsi="宋体" w:cs="宋体"/>
                <w:color w:val="FF0000"/>
                <w:sz w:val="24"/>
                <w:szCs w:val="24"/>
                <w:u w:val="single"/>
                <w:lang w:val="en-US" w:eastAsia="zh-CN"/>
              </w:rPr>
              <w:t>项目排水实行雨污分流制，雨水由已建成雨水沟，进入园区雨水管网；生活污水量按照产污系数0.8计算，则生活污水量为4.24</w:t>
            </w:r>
            <w:r>
              <w:rPr>
                <w:color w:val="FF0000"/>
                <w:spacing w:val="4"/>
                <w:sz w:val="24"/>
                <w:szCs w:val="24"/>
                <w:u w:val="single"/>
              </w:rPr>
              <w:t>m</w:t>
            </w:r>
            <w:r>
              <w:rPr>
                <w:color w:val="FF0000"/>
                <w:spacing w:val="4"/>
                <w:sz w:val="24"/>
                <w:szCs w:val="24"/>
                <w:u w:val="single"/>
                <w:vertAlign w:val="superscript"/>
              </w:rPr>
              <w:t>3</w:t>
            </w:r>
            <w:r>
              <w:rPr>
                <w:color w:val="FF0000"/>
                <w:spacing w:val="4"/>
                <w:sz w:val="24"/>
                <w:szCs w:val="24"/>
                <w:u w:val="single"/>
              </w:rPr>
              <w:t>/d</w:t>
            </w:r>
            <w:r>
              <w:rPr>
                <w:rFonts w:hint="eastAsia" w:ascii="宋体" w:hAnsi="宋体" w:cs="宋体"/>
                <w:color w:val="FF0000"/>
                <w:sz w:val="24"/>
                <w:szCs w:val="24"/>
                <w:u w:val="single"/>
                <w:lang w:val="en-US" w:eastAsia="zh-CN"/>
              </w:rPr>
              <w:t>,1187.2</w:t>
            </w:r>
            <w:r>
              <w:rPr>
                <w:color w:val="FF0000"/>
                <w:spacing w:val="4"/>
                <w:sz w:val="24"/>
                <w:szCs w:val="24"/>
                <w:u w:val="single"/>
              </w:rPr>
              <w:t>m</w:t>
            </w:r>
            <w:r>
              <w:rPr>
                <w:color w:val="FF0000"/>
                <w:spacing w:val="4"/>
                <w:sz w:val="24"/>
                <w:szCs w:val="24"/>
                <w:u w:val="single"/>
                <w:vertAlign w:val="superscript"/>
              </w:rPr>
              <w:t>3</w:t>
            </w:r>
            <w:r>
              <w:rPr>
                <w:color w:val="FF0000"/>
                <w:spacing w:val="4"/>
                <w:sz w:val="24"/>
                <w:szCs w:val="24"/>
                <w:u w:val="single"/>
              </w:rPr>
              <w:t>/</w:t>
            </w:r>
            <w:r>
              <w:rPr>
                <w:rFonts w:hint="eastAsia"/>
                <w:color w:val="FF0000"/>
                <w:spacing w:val="4"/>
                <w:sz w:val="24"/>
                <w:szCs w:val="24"/>
                <w:u w:val="single"/>
                <w:lang w:val="en-US" w:eastAsia="zh-CN"/>
              </w:rPr>
              <w:t>a</w:t>
            </w:r>
            <w:r>
              <w:rPr>
                <w:rFonts w:hint="eastAsia" w:ascii="宋体" w:hAnsi="宋体" w:cs="宋体"/>
                <w:color w:val="FF0000"/>
                <w:sz w:val="24"/>
                <w:szCs w:val="24"/>
                <w:u w:val="single"/>
                <w:lang w:val="en-US" w:eastAsia="zh-CN"/>
              </w:rPr>
              <w:t>，经原项目已建成隔油池、化粪池处理达到《污水综合排放标准》（GB8978-1996）中三级标准后排入园区污水管网，再排入湘阴县第二污水处理厂进行处理。</w:t>
            </w:r>
          </w:p>
          <w:p>
            <w:pPr>
              <w:numPr>
                <w:ilvl w:val="0"/>
                <w:numId w:val="0"/>
              </w:numPr>
              <w:adjustRightInd w:val="0"/>
              <w:snapToGrid w:val="0"/>
              <w:spacing w:line="360" w:lineRule="auto"/>
              <w:ind w:firstLine="480" w:firstLineChars="200"/>
              <w:jc w:val="both"/>
              <w:rPr>
                <w:rFonts w:hint="eastAsia" w:ascii="宋体" w:hAnsi="宋体" w:cs="宋体"/>
                <w:sz w:val="24"/>
                <w:szCs w:val="24"/>
                <w:lang w:val="en-US" w:eastAsia="zh-CN"/>
              </w:rPr>
            </w:pPr>
            <w:r>
              <w:rPr>
                <w:rFonts w:hint="eastAsia" w:ascii="宋体" w:hAnsi="宋体" w:cs="宋体"/>
                <w:sz w:val="24"/>
                <w:szCs w:val="24"/>
                <w:lang w:val="en-US" w:eastAsia="zh-CN"/>
              </w:rPr>
              <w:t>（3）供电</w:t>
            </w:r>
          </w:p>
          <w:p>
            <w:pPr>
              <w:numPr>
                <w:ilvl w:val="0"/>
                <w:numId w:val="0"/>
              </w:numPr>
              <w:adjustRightInd w:val="0"/>
              <w:snapToGrid w:val="0"/>
              <w:spacing w:line="360" w:lineRule="auto"/>
              <w:ind w:firstLine="480" w:firstLineChars="200"/>
              <w:jc w:val="both"/>
              <w:rPr>
                <w:rFonts w:hint="default" w:ascii="宋体" w:hAnsi="宋体" w:cs="宋体"/>
                <w:sz w:val="24"/>
                <w:szCs w:val="24"/>
                <w:lang w:val="en-US" w:eastAsia="zh-CN"/>
              </w:rPr>
            </w:pPr>
            <w:r>
              <w:rPr>
                <w:rFonts w:hint="eastAsia" w:ascii="宋体" w:hAnsi="宋体" w:cs="宋体"/>
                <w:sz w:val="24"/>
                <w:szCs w:val="24"/>
                <w:lang w:val="en-US" w:eastAsia="zh-CN"/>
              </w:rPr>
              <w:t>项目用电由湘阴县电力局供应。</w:t>
            </w:r>
          </w:p>
          <w:p>
            <w:pPr>
              <w:numPr>
                <w:ilvl w:val="0"/>
                <w:numId w:val="0"/>
              </w:numPr>
              <w:adjustRightInd w:val="0"/>
              <w:snapToGrid w:val="0"/>
              <w:spacing w:line="360" w:lineRule="auto"/>
              <w:jc w:val="both"/>
              <w:rPr>
                <w:rFonts w:hint="default" w:ascii="宋体" w:hAnsi="宋体" w:cs="宋体"/>
                <w:b/>
                <w:bCs w:val="0"/>
                <w:sz w:val="24"/>
                <w:szCs w:val="24"/>
                <w:lang w:val="en-US" w:eastAsia="zh-CN"/>
              </w:rPr>
            </w:pPr>
            <w:r>
              <w:rPr>
                <w:rFonts w:hint="eastAsia" w:ascii="宋体" w:hAnsi="宋体" w:cs="宋体"/>
                <w:b/>
                <w:bCs w:val="0"/>
                <w:sz w:val="24"/>
                <w:szCs w:val="24"/>
                <w:lang w:val="en-US" w:eastAsia="zh-CN"/>
              </w:rPr>
              <w:t>9.劳动定员</w:t>
            </w:r>
          </w:p>
          <w:p>
            <w:pPr>
              <w:numPr>
                <w:ilvl w:val="0"/>
                <w:numId w:val="0"/>
              </w:numPr>
              <w:adjustRightInd w:val="0"/>
              <w:snapToGrid w:val="0"/>
              <w:spacing w:line="360" w:lineRule="auto"/>
              <w:ind w:firstLine="480" w:firstLineChars="200"/>
              <w:jc w:val="both"/>
              <w:rPr>
                <w:rFonts w:hint="eastAsia" w:ascii="宋体" w:hAnsi="宋体" w:cs="宋体"/>
                <w:bCs/>
                <w:sz w:val="24"/>
                <w:szCs w:val="24"/>
                <w:lang w:val="en-US" w:eastAsia="zh-CN"/>
              </w:rPr>
            </w:pPr>
            <w:r>
              <w:rPr>
                <w:rFonts w:hint="eastAsia" w:ascii="宋体" w:hAnsi="宋体" w:cs="宋体"/>
                <w:sz w:val="24"/>
                <w:szCs w:val="24"/>
                <w:lang w:val="en-US" w:eastAsia="zh-CN"/>
              </w:rPr>
              <w:t>项目劳动定员118人（1#车间40人，2#车间4人，3#车间40人,4#车间34人），均不在厂区内食宿，项目年生产天数280天，1天1班，每班8小时。</w:t>
            </w:r>
          </w:p>
          <w:p>
            <w:pPr>
              <w:numPr>
                <w:ilvl w:val="0"/>
                <w:numId w:val="0"/>
              </w:numPr>
              <w:adjustRightInd w:val="0"/>
              <w:snapToGrid w:val="0"/>
              <w:spacing w:line="360" w:lineRule="auto"/>
              <w:jc w:val="both"/>
              <w:rPr>
                <w:rFonts w:hint="default" w:ascii="宋体" w:hAnsi="宋体" w:eastAsia="宋体" w:cs="宋体"/>
                <w:bCs/>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23" w:type="dxa"/>
            <w:noWrap w:val="0"/>
            <w:vAlign w:val="center"/>
          </w:tcPr>
          <w:p>
            <w:pPr>
              <w:pStyle w:val="11"/>
              <w:adjustRightInd w:val="0"/>
              <w:snapToGrid w:val="0"/>
              <w:spacing w:before="0" w:beforeAutospacing="0" w:after="0" w:afterAutospacing="0"/>
              <w:jc w:val="center"/>
              <w:rPr>
                <w:rFonts w:cs="宋体"/>
                <w:sz w:val="24"/>
                <w:szCs w:val="24"/>
              </w:rPr>
            </w:pPr>
            <w:r>
              <w:rPr>
                <w:rFonts w:hint="eastAsia" w:cs="宋体"/>
                <w:sz w:val="24"/>
                <w:szCs w:val="24"/>
              </w:rPr>
              <w:t>工艺流程和产排污环节</w:t>
            </w:r>
          </w:p>
        </w:tc>
        <w:tc>
          <w:tcPr>
            <w:tcW w:w="8161" w:type="dxa"/>
            <w:noWrap w:val="0"/>
            <w:vAlign w:val="top"/>
          </w:tcPr>
          <w:p>
            <w:pPr>
              <w:numPr>
                <w:ilvl w:val="0"/>
                <w:numId w:val="0"/>
              </w:numPr>
              <w:adjustRightInd w:val="0"/>
              <w:snapToGrid w:val="0"/>
              <w:spacing w:line="360" w:lineRule="auto"/>
              <w:rPr>
                <w:rFonts w:hint="eastAsia" w:ascii="宋体" w:hAnsi="宋体"/>
                <w:b/>
                <w:bCs w:val="0"/>
                <w:sz w:val="24"/>
                <w:szCs w:val="24"/>
                <w:lang w:val="en-US" w:eastAsia="zh-CN"/>
              </w:rPr>
            </w:pPr>
            <w:r>
              <w:rPr>
                <w:rFonts w:hint="eastAsia" w:ascii="宋体" w:hAnsi="宋体"/>
                <w:b/>
                <w:bCs w:val="0"/>
                <w:sz w:val="24"/>
                <w:szCs w:val="24"/>
                <w:lang w:val="en-US" w:eastAsia="zh-CN"/>
              </w:rPr>
              <w:t>1.施工期</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cs="宋体"/>
                <w:bCs/>
                <w:sz w:val="24"/>
                <w:szCs w:val="24"/>
                <w:lang w:val="en-US" w:eastAsia="zh-CN"/>
              </w:rPr>
              <w:t>项</w:t>
            </w:r>
            <w:r>
              <w:rPr>
                <w:rFonts w:hint="eastAsia" w:ascii="宋体" w:hAnsi="宋体" w:cs="宋体"/>
                <w:bCs/>
                <w:color w:val="auto"/>
                <w:sz w:val="24"/>
                <w:szCs w:val="24"/>
                <w:lang w:val="en-US" w:eastAsia="zh-CN"/>
              </w:rPr>
              <w:t>目于2019年1月开始建设，2019年6月竣工，属于未批先建项目，相关部门已下达行政处罚，项目已完成施工期建设，</w:t>
            </w:r>
            <w:r>
              <w:rPr>
                <w:rFonts w:hint="eastAsia" w:ascii="宋体" w:hAnsi="宋体"/>
                <w:bCs/>
                <w:color w:val="auto"/>
                <w:sz w:val="24"/>
                <w:szCs w:val="24"/>
              </w:rPr>
              <w:t>因此，本环评不再对施工期的影响进行分析、预测及评价。</w:t>
            </w:r>
          </w:p>
          <w:p>
            <w:pPr>
              <w:numPr>
                <w:ilvl w:val="0"/>
                <w:numId w:val="0"/>
              </w:numPr>
              <w:adjustRightInd w:val="0"/>
              <w:snapToGrid w:val="0"/>
              <w:spacing w:line="360" w:lineRule="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2.营运期</w:t>
            </w:r>
          </w:p>
          <w:p>
            <w:pPr>
              <w:numPr>
                <w:ilvl w:val="0"/>
                <w:numId w:val="0"/>
              </w:numPr>
              <w:adjustRightInd w:val="0"/>
              <w:snapToGrid w:val="0"/>
              <w:spacing w:line="360" w:lineRule="auto"/>
              <w:ind w:firstLine="480" w:firstLineChars="200"/>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项目主要从事机加工生产，生产工艺流程见下图。</w:t>
            </w:r>
          </w:p>
          <w:p>
            <w:pPr>
              <w:numPr>
                <w:ilvl w:val="0"/>
                <w:numId w:val="0"/>
              </w:numPr>
              <w:adjustRightInd w:val="0"/>
              <w:snapToGrid w:val="0"/>
              <w:spacing w:line="360" w:lineRule="auto"/>
              <w:jc w:val="center"/>
              <w:rPr>
                <w:rFonts w:hint="eastAsia" w:ascii="宋体" w:hAnsi="宋体"/>
                <w:b/>
                <w:bCs w:val="0"/>
                <w:color w:val="auto"/>
                <w:sz w:val="24"/>
                <w:szCs w:val="24"/>
                <w:lang w:val="en-US" w:eastAsia="zh-CN"/>
              </w:rPr>
            </w:pPr>
            <w:r>
              <w:rPr>
                <w:rFonts w:hint="default" w:ascii="宋体" w:hAnsi="宋体" w:eastAsia="宋体"/>
                <w:bCs/>
                <w:color w:val="auto"/>
                <w:sz w:val="24"/>
                <w:szCs w:val="24"/>
                <w:lang w:val="en-US" w:eastAsia="zh-CN"/>
              </w:rPr>
              <w:drawing>
                <wp:inline distT="0" distB="0" distL="114300" distR="114300">
                  <wp:extent cx="5036185" cy="2767965"/>
                  <wp:effectExtent l="0" t="0" r="12065" b="13335"/>
                  <wp:docPr id="1" name="图片 1" descr="1#车间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车间工艺流程"/>
                          <pic:cNvPicPr>
                            <a:picLocks noChangeAspect="1"/>
                          </pic:cNvPicPr>
                        </pic:nvPicPr>
                        <pic:blipFill>
                          <a:blip r:embed="rId10"/>
                          <a:stretch>
                            <a:fillRect/>
                          </a:stretch>
                        </pic:blipFill>
                        <pic:spPr>
                          <a:xfrm>
                            <a:off x="0" y="0"/>
                            <a:ext cx="5036185" cy="2767965"/>
                          </a:xfrm>
                          <a:prstGeom prst="rect">
                            <a:avLst/>
                          </a:prstGeom>
                        </pic:spPr>
                      </pic:pic>
                    </a:graphicData>
                  </a:graphic>
                </wp:inline>
              </w:drawing>
            </w:r>
            <w:r>
              <w:rPr>
                <w:rFonts w:hint="eastAsia" w:ascii="宋体" w:hAnsi="宋体"/>
                <w:b/>
                <w:bCs w:val="0"/>
                <w:color w:val="auto"/>
                <w:sz w:val="24"/>
                <w:szCs w:val="24"/>
                <w:lang w:val="en-US" w:eastAsia="zh-CN"/>
              </w:rPr>
              <w:t>图2-1.1  1#车间工艺流程图</w:t>
            </w:r>
          </w:p>
          <w:p>
            <w:pPr>
              <w:numPr>
                <w:ilvl w:val="0"/>
                <w:numId w:val="0"/>
              </w:numPr>
              <w:adjustRightInd w:val="0"/>
              <w:snapToGrid w:val="0"/>
              <w:spacing w:line="360" w:lineRule="auto"/>
              <w:jc w:val="both"/>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工艺流程说明：</w:t>
            </w:r>
          </w:p>
          <w:p>
            <w:pPr>
              <w:numPr>
                <w:ilvl w:val="0"/>
                <w:numId w:val="0"/>
              </w:numPr>
              <w:adjustRightInd w:val="0"/>
              <w:snapToGrid w:val="0"/>
              <w:spacing w:line="360" w:lineRule="auto"/>
              <w:ind w:firstLine="480" w:firstLineChars="200"/>
              <w:jc w:val="both"/>
              <w:rPr>
                <w:rFonts w:hint="eastAsia"/>
                <w:color w:val="auto"/>
                <w:lang w:val="en-US" w:eastAsia="zh-CN"/>
              </w:rPr>
            </w:pPr>
            <w:r>
              <w:rPr>
                <w:rFonts w:hint="eastAsia" w:ascii="宋体" w:hAnsi="宋体"/>
                <w:b w:val="0"/>
                <w:bCs/>
                <w:color w:val="auto"/>
                <w:sz w:val="24"/>
                <w:szCs w:val="24"/>
                <w:lang w:val="en-US" w:eastAsia="zh-CN"/>
              </w:rPr>
              <w:t>将原材料从仓库运送到生产车间，对钢材、型材等进行机加工，使用焊条对部件进行焊接，固定产品形状及尺寸，再使用打磨机对半成品进行打磨，将打磨后的产品进行喷漆，干燥后进行组装最后成品入库。</w:t>
            </w:r>
          </w:p>
          <w:p>
            <w:pPr>
              <w:numPr>
                <w:ilvl w:val="0"/>
                <w:numId w:val="0"/>
              </w:numPr>
              <w:adjustRightInd w:val="0"/>
              <w:snapToGrid w:val="0"/>
              <w:spacing w:line="360" w:lineRule="auto"/>
              <w:jc w:val="center"/>
              <w:rPr>
                <w:rFonts w:hint="eastAsia" w:ascii="宋体" w:hAnsi="宋体"/>
                <w:b/>
                <w:bCs w:val="0"/>
                <w:color w:val="auto"/>
                <w:sz w:val="24"/>
                <w:szCs w:val="24"/>
                <w:lang w:val="en-US" w:eastAsia="zh-CN"/>
              </w:rPr>
            </w:pPr>
            <w:r>
              <w:rPr>
                <w:rFonts w:hint="default" w:ascii="宋体" w:hAnsi="宋体" w:eastAsia="宋体"/>
                <w:bCs/>
                <w:color w:val="auto"/>
                <w:sz w:val="24"/>
                <w:szCs w:val="24"/>
                <w:lang w:val="en-US" w:eastAsia="zh-CN"/>
              </w:rPr>
              <w:drawing>
                <wp:inline distT="0" distB="0" distL="114300" distR="114300">
                  <wp:extent cx="5036185" cy="2767965"/>
                  <wp:effectExtent l="0" t="0" r="12065" b="13335"/>
                  <wp:docPr id="2" name="图片 2" descr="2#车间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车间工艺流程"/>
                          <pic:cNvPicPr>
                            <a:picLocks noChangeAspect="1"/>
                          </pic:cNvPicPr>
                        </pic:nvPicPr>
                        <pic:blipFill>
                          <a:blip r:embed="rId11"/>
                          <a:stretch>
                            <a:fillRect/>
                          </a:stretch>
                        </pic:blipFill>
                        <pic:spPr>
                          <a:xfrm>
                            <a:off x="0" y="0"/>
                            <a:ext cx="5036185" cy="2767965"/>
                          </a:xfrm>
                          <a:prstGeom prst="rect">
                            <a:avLst/>
                          </a:prstGeom>
                        </pic:spPr>
                      </pic:pic>
                    </a:graphicData>
                  </a:graphic>
                </wp:inline>
              </w:drawing>
            </w:r>
          </w:p>
          <w:p>
            <w:pPr>
              <w:numPr>
                <w:ilvl w:val="0"/>
                <w:numId w:val="0"/>
              </w:numPr>
              <w:adjustRightInd w:val="0"/>
              <w:snapToGrid w:val="0"/>
              <w:spacing w:line="360" w:lineRule="auto"/>
              <w:jc w:val="center"/>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图2-1.2  2#车间工艺流程图</w:t>
            </w:r>
          </w:p>
          <w:p>
            <w:pPr>
              <w:numPr>
                <w:ilvl w:val="0"/>
                <w:numId w:val="0"/>
              </w:numPr>
              <w:adjustRightInd w:val="0"/>
              <w:snapToGrid w:val="0"/>
              <w:spacing w:line="360" w:lineRule="auto"/>
              <w:jc w:val="both"/>
              <w:rPr>
                <w:rFonts w:hint="default" w:ascii="宋体" w:hAnsi="宋体"/>
                <w:b/>
                <w:bCs w:val="0"/>
                <w:color w:val="auto"/>
                <w:sz w:val="24"/>
                <w:szCs w:val="24"/>
                <w:lang w:val="en-US" w:eastAsia="zh-CN"/>
              </w:rPr>
            </w:pPr>
            <w:r>
              <w:rPr>
                <w:rFonts w:hint="eastAsia" w:ascii="宋体" w:hAnsi="宋体"/>
                <w:b/>
                <w:bCs w:val="0"/>
                <w:color w:val="auto"/>
                <w:sz w:val="24"/>
                <w:szCs w:val="24"/>
                <w:lang w:val="en-US" w:eastAsia="zh-CN"/>
              </w:rPr>
              <w:t>工艺流程说明</w:t>
            </w:r>
          </w:p>
          <w:p>
            <w:pPr>
              <w:pStyle w:val="2"/>
              <w:ind w:left="0" w:leftChars="0" w:firstLine="480" w:firstLineChars="200"/>
              <w:rPr>
                <w:rFonts w:hint="default"/>
                <w:color w:val="auto"/>
                <w:lang w:val="en-US" w:eastAsia="zh-CN"/>
              </w:rPr>
            </w:pPr>
            <w:r>
              <w:rPr>
                <w:rFonts w:hint="eastAsia"/>
                <w:color w:val="auto"/>
                <w:lang w:val="en-US" w:eastAsia="zh-CN"/>
              </w:rPr>
              <w:t>将原材料从仓库运送到生产车间，使用切割机对钢材进行切割，使用焊条对部件进行焊接，固定产品形状及尺寸，再使用打磨机对钢板进行打磨，将打磨后的半成品组装后调试入库。</w:t>
            </w:r>
          </w:p>
          <w:p>
            <w:pPr>
              <w:pStyle w:val="2"/>
              <w:ind w:left="0" w:leftChars="0" w:firstLine="0" w:firstLineChars="0"/>
              <w:jc w:val="center"/>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drawing>
                <wp:inline distT="0" distB="0" distL="114300" distR="114300">
                  <wp:extent cx="5036185" cy="2767965"/>
                  <wp:effectExtent l="0" t="0" r="12065" b="13335"/>
                  <wp:docPr id="3" name="图片 3" descr="3#车间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车间工艺流程"/>
                          <pic:cNvPicPr>
                            <a:picLocks noChangeAspect="1"/>
                          </pic:cNvPicPr>
                        </pic:nvPicPr>
                        <pic:blipFill>
                          <a:blip r:embed="rId12"/>
                          <a:stretch>
                            <a:fillRect/>
                          </a:stretch>
                        </pic:blipFill>
                        <pic:spPr>
                          <a:xfrm>
                            <a:off x="0" y="0"/>
                            <a:ext cx="5036185" cy="2767965"/>
                          </a:xfrm>
                          <a:prstGeom prst="rect">
                            <a:avLst/>
                          </a:prstGeom>
                        </pic:spPr>
                      </pic:pic>
                    </a:graphicData>
                  </a:graphic>
                </wp:inline>
              </w:drawing>
            </w:r>
          </w:p>
          <w:p>
            <w:pPr>
              <w:pStyle w:val="2"/>
              <w:ind w:left="0" w:leftChars="0" w:firstLine="0" w:firstLineChars="0"/>
              <w:jc w:val="center"/>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图2-1.3  3#车间工艺流程图</w:t>
            </w:r>
          </w:p>
          <w:p>
            <w:pPr>
              <w:pStyle w:val="2"/>
              <w:ind w:left="0" w:leftChars="0" w:firstLine="0" w:firstLineChars="0"/>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工艺流程说明</w:t>
            </w:r>
          </w:p>
          <w:p>
            <w:pPr>
              <w:pStyle w:val="2"/>
              <w:ind w:left="0" w:leftChars="0" w:firstLine="480" w:firstLineChars="200"/>
              <w:rPr>
                <w:rFonts w:hint="eastAsia"/>
                <w:color w:val="auto"/>
                <w:lang w:val="en-US" w:eastAsia="zh-CN"/>
              </w:rPr>
            </w:pPr>
            <w:r>
              <w:rPr>
                <w:rFonts w:hint="eastAsia"/>
                <w:color w:val="auto"/>
                <w:lang w:val="en-US" w:eastAsia="zh-CN"/>
              </w:rPr>
              <w:t>将原材料从仓库运送到生产车间，使用切割机对钢材进行切割，使用焊条对部件进行焊接，固定产品形状及尺寸，再使用打磨机对钢板进行打磨，将打磨后的半成品组装后入库。</w:t>
            </w:r>
          </w:p>
          <w:p>
            <w:pPr>
              <w:pStyle w:val="2"/>
              <w:ind w:left="0" w:leftChars="0" w:firstLine="0" w:firstLineChars="0"/>
              <w:jc w:val="center"/>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drawing>
                <wp:inline distT="0" distB="0" distL="114300" distR="114300">
                  <wp:extent cx="5036185" cy="2767965"/>
                  <wp:effectExtent l="0" t="0" r="12065" b="13335"/>
                  <wp:docPr id="4" name="图片 4" descr="4#车间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车间工艺流程图"/>
                          <pic:cNvPicPr>
                            <a:picLocks noChangeAspect="1"/>
                          </pic:cNvPicPr>
                        </pic:nvPicPr>
                        <pic:blipFill>
                          <a:blip r:embed="rId13"/>
                          <a:stretch>
                            <a:fillRect/>
                          </a:stretch>
                        </pic:blipFill>
                        <pic:spPr>
                          <a:xfrm>
                            <a:off x="0" y="0"/>
                            <a:ext cx="5036185" cy="2767965"/>
                          </a:xfrm>
                          <a:prstGeom prst="rect">
                            <a:avLst/>
                          </a:prstGeom>
                        </pic:spPr>
                      </pic:pic>
                    </a:graphicData>
                  </a:graphic>
                </wp:inline>
              </w:drawing>
            </w:r>
          </w:p>
          <w:p>
            <w:pPr>
              <w:pStyle w:val="2"/>
              <w:ind w:left="0" w:leftChars="0" w:firstLine="0" w:firstLineChars="0"/>
              <w:jc w:val="center"/>
              <w:rPr>
                <w:rFonts w:hint="eastAsia"/>
                <w:color w:val="auto"/>
                <w:lang w:val="en-US" w:eastAsia="zh-CN"/>
              </w:rPr>
            </w:pPr>
            <w:r>
              <w:rPr>
                <w:rFonts w:hint="eastAsia" w:ascii="宋体" w:hAnsi="宋体"/>
                <w:b/>
                <w:bCs w:val="0"/>
                <w:color w:val="auto"/>
                <w:sz w:val="24"/>
                <w:szCs w:val="24"/>
                <w:lang w:val="en-US" w:eastAsia="zh-CN"/>
              </w:rPr>
              <w:t>图2-1.4  4#车间工艺流程图</w:t>
            </w:r>
          </w:p>
          <w:p>
            <w:pPr>
              <w:numPr>
                <w:ilvl w:val="0"/>
                <w:numId w:val="0"/>
              </w:numPr>
              <w:adjustRightInd w:val="0"/>
              <w:snapToGrid w:val="0"/>
              <w:spacing w:line="360" w:lineRule="auto"/>
              <w:jc w:val="both"/>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工艺流程说明</w:t>
            </w:r>
          </w:p>
          <w:p>
            <w:pPr>
              <w:pStyle w:val="2"/>
              <w:ind w:left="0" w:leftChars="0" w:firstLine="480" w:firstLineChars="200"/>
              <w:rPr>
                <w:rFonts w:hint="default" w:ascii="宋体" w:hAnsi="宋体"/>
                <w:b w:val="0"/>
                <w:bCs/>
                <w:color w:val="auto"/>
                <w:sz w:val="24"/>
                <w:szCs w:val="24"/>
                <w:lang w:val="en-US" w:eastAsia="zh-CN"/>
              </w:rPr>
            </w:pPr>
            <w:r>
              <w:rPr>
                <w:rFonts w:hint="eastAsia"/>
                <w:color w:val="auto"/>
                <w:lang w:val="en-US" w:eastAsia="zh-CN"/>
              </w:rPr>
              <w:t>将原材料从仓库运送到生产车间，使用切割机对钢材进行切割，使用剪板机、折弯机等设备对钢材、型材进行机加工，再使用焊条对部件进行焊接，固定产品形状及尺寸，将焊接后的半成品组装后入库。</w:t>
            </w:r>
          </w:p>
          <w:p>
            <w:pPr>
              <w:numPr>
                <w:ilvl w:val="0"/>
                <w:numId w:val="0"/>
              </w:numPr>
              <w:adjustRightInd w:val="0"/>
              <w:snapToGrid w:val="0"/>
              <w:spacing w:line="360" w:lineRule="auto"/>
              <w:jc w:val="center"/>
              <w:rPr>
                <w:rFonts w:hint="default" w:ascii="宋体" w:hAnsi="宋体"/>
                <w:b/>
                <w:bCs w:val="0"/>
                <w:color w:val="auto"/>
                <w:sz w:val="24"/>
                <w:szCs w:val="24"/>
                <w:lang w:val="en-US" w:eastAsia="zh-CN"/>
              </w:rPr>
            </w:pPr>
            <w:r>
              <w:rPr>
                <w:rFonts w:hint="eastAsia" w:ascii="宋体" w:hAnsi="宋体"/>
                <w:b/>
                <w:bCs w:val="0"/>
                <w:color w:val="auto"/>
                <w:sz w:val="24"/>
                <w:szCs w:val="24"/>
                <w:lang w:val="en-US" w:eastAsia="zh-CN"/>
              </w:rPr>
              <w:t>表2-7  主要产污环节</w:t>
            </w:r>
          </w:p>
          <w:tbl>
            <w:tblPr>
              <w:tblStyle w:val="1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997"/>
              <w:gridCol w:w="1252"/>
              <w:gridCol w:w="1675"/>
              <w:gridCol w:w="33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6" w:type="pct"/>
                  <w:gridSpan w:val="3"/>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主要污染源</w:t>
                  </w:r>
                </w:p>
              </w:tc>
              <w:tc>
                <w:tcPr>
                  <w:tcW w:w="1042" w:type="pct"/>
                  <w:vMerge w:val="restart"/>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污染物名称</w:t>
                  </w:r>
                </w:p>
              </w:tc>
              <w:tc>
                <w:tcPr>
                  <w:tcW w:w="2111" w:type="pct"/>
                  <w:vMerge w:val="restart"/>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类别</w:t>
                  </w:r>
                </w:p>
              </w:tc>
              <w:tc>
                <w:tcPr>
                  <w:tcW w:w="620" w:type="pct"/>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编号</w:t>
                  </w:r>
                </w:p>
              </w:tc>
              <w:tc>
                <w:tcPr>
                  <w:tcW w:w="778" w:type="pct"/>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污染源</w:t>
                  </w:r>
                </w:p>
              </w:tc>
              <w:tc>
                <w:tcPr>
                  <w:tcW w:w="1042" w:type="pct"/>
                  <w:vMerge w:val="continue"/>
                  <w:tcBorders>
                    <w:tl2br w:val="nil"/>
                    <w:tr2bl w:val="nil"/>
                  </w:tcBorders>
                  <w:vAlign w:val="center"/>
                </w:tcPr>
                <w:p>
                  <w:pPr>
                    <w:jc w:val="center"/>
                    <w:rPr>
                      <w:rFonts w:hint="default" w:eastAsia="宋体"/>
                      <w:color w:val="auto"/>
                      <w:sz w:val="21"/>
                      <w:szCs w:val="21"/>
                      <w:vertAlign w:val="baseline"/>
                      <w:lang w:val="en-US" w:eastAsia="zh-CN"/>
                    </w:rPr>
                  </w:pPr>
                </w:p>
              </w:tc>
              <w:tc>
                <w:tcPr>
                  <w:tcW w:w="2111" w:type="pct"/>
                  <w:vMerge w:val="continue"/>
                  <w:tcBorders>
                    <w:tl2br w:val="nil"/>
                    <w:tr2bl w:val="nil"/>
                  </w:tcBorders>
                  <w:vAlign w:val="center"/>
                </w:tcPr>
                <w:p>
                  <w:pPr>
                    <w:jc w:val="center"/>
                    <w:rPr>
                      <w:rFonts w:hint="default" w:eastAsia="宋体"/>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废水</w:t>
                  </w:r>
                </w:p>
              </w:tc>
              <w:tc>
                <w:tcPr>
                  <w:tcW w:w="620"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W1</w:t>
                  </w:r>
                </w:p>
              </w:tc>
              <w:tc>
                <w:tcPr>
                  <w:tcW w:w="778"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日常生活</w:t>
                  </w:r>
                </w:p>
              </w:tc>
              <w:tc>
                <w:tcPr>
                  <w:tcW w:w="1042"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生活污水</w:t>
                  </w:r>
                </w:p>
              </w:tc>
              <w:tc>
                <w:tcPr>
                  <w:tcW w:w="2111" w:type="pct"/>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COD</w:t>
                  </w:r>
                  <w:r>
                    <w:rPr>
                      <w:rFonts w:hint="eastAsia"/>
                      <w:color w:val="auto"/>
                      <w:sz w:val="21"/>
                      <w:szCs w:val="21"/>
                      <w:vertAlign w:val="subscript"/>
                      <w:lang w:val="en-US" w:eastAsia="zh-CN"/>
                    </w:rPr>
                    <w:t>Cr</w:t>
                  </w:r>
                  <w:r>
                    <w:rPr>
                      <w:rFonts w:hint="eastAsia"/>
                      <w:color w:val="auto"/>
                      <w:sz w:val="21"/>
                      <w:szCs w:val="21"/>
                      <w:vertAlign w:val="baseline"/>
                      <w:lang w:val="en-US" w:eastAsia="zh-CN"/>
                    </w:rPr>
                    <w:t>、</w:t>
                  </w:r>
                  <w:r>
                    <w:rPr>
                      <w:rFonts w:hint="default" w:eastAsia="宋体"/>
                      <w:color w:val="auto"/>
                      <w:sz w:val="21"/>
                      <w:szCs w:val="21"/>
                      <w:vertAlign w:val="baseline"/>
                      <w:lang w:val="en-US" w:eastAsia="zh-CN"/>
                    </w:rPr>
                    <w:t>NH</w:t>
                  </w:r>
                  <w:r>
                    <w:rPr>
                      <w:rFonts w:hint="default" w:eastAsia="宋体"/>
                      <w:color w:val="auto"/>
                      <w:sz w:val="21"/>
                      <w:szCs w:val="21"/>
                      <w:vertAlign w:val="subscript"/>
                      <w:lang w:val="en-US" w:eastAsia="zh-CN"/>
                    </w:rPr>
                    <w:t>3</w:t>
                  </w:r>
                  <w:r>
                    <w:rPr>
                      <w:rFonts w:hint="default" w:eastAsia="宋体"/>
                      <w:color w:val="auto"/>
                      <w:sz w:val="21"/>
                      <w:szCs w:val="21"/>
                      <w:vertAlign w:val="baseline"/>
                      <w:lang w:val="en-US" w:eastAsia="zh-CN"/>
                    </w:rPr>
                    <w:t>-N、SS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Merge w:val="restart"/>
                  <w:tcBorders>
                    <w:tl2br w:val="nil"/>
                    <w:tr2bl w:val="nil"/>
                  </w:tcBorders>
                  <w:vAlign w:val="center"/>
                </w:tcPr>
                <w:p>
                  <w:pPr>
                    <w:jc w:val="center"/>
                    <w:rPr>
                      <w:rFonts w:hint="default"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废气</w:t>
                  </w:r>
                </w:p>
                <w:p>
                  <w:pPr>
                    <w:jc w:val="center"/>
                    <w:rPr>
                      <w:rFonts w:hint="eastAsia"/>
                      <w:color w:val="auto"/>
                      <w:sz w:val="21"/>
                      <w:szCs w:val="21"/>
                      <w:vertAlign w:val="baseline"/>
                      <w:lang w:val="en-US" w:eastAsia="zh-CN"/>
                    </w:rPr>
                  </w:pPr>
                </w:p>
              </w:tc>
              <w:tc>
                <w:tcPr>
                  <w:tcW w:w="620" w:type="pct"/>
                  <w:tcBorders>
                    <w:tl2br w:val="nil"/>
                    <w:tr2bl w:val="nil"/>
                  </w:tcBorders>
                  <w:vAlign w:val="center"/>
                </w:tcPr>
                <w:p>
                  <w:pPr>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G1</w:t>
                  </w:r>
                </w:p>
              </w:tc>
              <w:tc>
                <w:tcPr>
                  <w:tcW w:w="778" w:type="pct"/>
                  <w:tcBorders>
                    <w:tl2br w:val="nil"/>
                    <w:tr2bl w:val="nil"/>
                  </w:tcBorders>
                  <w:vAlign w:val="center"/>
                </w:tcPr>
                <w:p>
                  <w:pPr>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切割下料</w:t>
                  </w:r>
                </w:p>
              </w:tc>
              <w:tc>
                <w:tcPr>
                  <w:tcW w:w="1042" w:type="pct"/>
                  <w:tcBorders>
                    <w:tl2br w:val="nil"/>
                    <w:tr2bl w:val="nil"/>
                  </w:tcBorders>
                  <w:vAlign w:val="center"/>
                </w:tcPr>
                <w:p>
                  <w:pPr>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切割废气</w:t>
                  </w:r>
                </w:p>
              </w:tc>
              <w:tc>
                <w:tcPr>
                  <w:tcW w:w="2111" w:type="pct"/>
                  <w:tcBorders>
                    <w:tl2br w:val="nil"/>
                    <w:tr2bl w:val="nil"/>
                  </w:tcBorders>
                  <w:vAlign w:val="center"/>
                </w:tcPr>
                <w:p>
                  <w:pPr>
                    <w:jc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Merge w:val="continue"/>
                  <w:tcBorders>
                    <w:tl2br w:val="nil"/>
                    <w:tr2bl w:val="nil"/>
                  </w:tcBorders>
                  <w:vAlign w:val="center"/>
                </w:tcPr>
                <w:p>
                  <w:pPr>
                    <w:jc w:val="center"/>
                    <w:rPr>
                      <w:rFonts w:hint="eastAsia"/>
                      <w:color w:val="auto"/>
                      <w:sz w:val="21"/>
                      <w:szCs w:val="21"/>
                      <w:vertAlign w:val="baseline"/>
                      <w:lang w:val="en-US" w:eastAsia="zh-CN"/>
                    </w:rPr>
                  </w:pPr>
                </w:p>
              </w:tc>
              <w:tc>
                <w:tcPr>
                  <w:tcW w:w="620" w:type="pct"/>
                  <w:tcBorders>
                    <w:tl2br w:val="nil"/>
                    <w:tr2bl w:val="nil"/>
                  </w:tcBorders>
                  <w:vAlign w:val="center"/>
                </w:tcPr>
                <w:p>
                  <w:pPr>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G2</w:t>
                  </w:r>
                </w:p>
              </w:tc>
              <w:tc>
                <w:tcPr>
                  <w:tcW w:w="778" w:type="pct"/>
                  <w:tcBorders>
                    <w:tl2br w:val="nil"/>
                    <w:tr2bl w:val="nil"/>
                  </w:tcBorders>
                  <w:vAlign w:val="center"/>
                </w:tcPr>
                <w:p>
                  <w:pPr>
                    <w:jc w:val="center"/>
                    <w:rPr>
                      <w:rFonts w:hint="default"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焊接</w:t>
                  </w:r>
                </w:p>
              </w:tc>
              <w:tc>
                <w:tcPr>
                  <w:tcW w:w="1042" w:type="pct"/>
                  <w:tcBorders>
                    <w:tl2br w:val="nil"/>
                    <w:tr2bl w:val="nil"/>
                  </w:tcBorders>
                  <w:vAlign w:val="center"/>
                </w:tcPr>
                <w:p>
                  <w:pPr>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焊接废气</w:t>
                  </w:r>
                </w:p>
              </w:tc>
              <w:tc>
                <w:tcPr>
                  <w:tcW w:w="2111" w:type="pct"/>
                  <w:tcBorders>
                    <w:tl2br w:val="nil"/>
                    <w:tr2bl w:val="nil"/>
                  </w:tcBorders>
                  <w:vAlign w:val="center"/>
                </w:tcPr>
                <w:p>
                  <w:pPr>
                    <w:jc w:val="center"/>
                    <w:rPr>
                      <w:rFonts w:hint="default"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Merge w:val="continue"/>
                  <w:tcBorders>
                    <w:tl2br w:val="nil"/>
                    <w:tr2bl w:val="nil"/>
                  </w:tcBorders>
                  <w:vAlign w:val="center"/>
                </w:tcPr>
                <w:p>
                  <w:pPr>
                    <w:jc w:val="center"/>
                    <w:rPr>
                      <w:rFonts w:hint="eastAsia"/>
                      <w:color w:val="auto"/>
                      <w:sz w:val="21"/>
                      <w:szCs w:val="21"/>
                      <w:vertAlign w:val="baseline"/>
                      <w:lang w:val="en-US" w:eastAsia="zh-CN"/>
                    </w:rPr>
                  </w:pPr>
                </w:p>
              </w:tc>
              <w:tc>
                <w:tcPr>
                  <w:tcW w:w="620"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G3</w:t>
                  </w:r>
                </w:p>
              </w:tc>
              <w:tc>
                <w:tcPr>
                  <w:tcW w:w="778"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喷漆</w:t>
                  </w:r>
                </w:p>
              </w:tc>
              <w:tc>
                <w:tcPr>
                  <w:tcW w:w="1042"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喷漆废气</w:t>
                  </w:r>
                </w:p>
              </w:tc>
              <w:tc>
                <w:tcPr>
                  <w:tcW w:w="2111"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有机废气（以VOCs计）、二甲苯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Merge w:val="continue"/>
                  <w:tcBorders>
                    <w:tl2br w:val="nil"/>
                    <w:tr2bl w:val="nil"/>
                  </w:tcBorders>
                  <w:vAlign w:val="center"/>
                </w:tcPr>
                <w:p>
                  <w:pPr>
                    <w:jc w:val="center"/>
                    <w:rPr>
                      <w:rFonts w:hint="eastAsia"/>
                      <w:color w:val="auto"/>
                      <w:sz w:val="21"/>
                      <w:szCs w:val="21"/>
                      <w:vertAlign w:val="baseline"/>
                      <w:lang w:val="en-US" w:eastAsia="zh-CN"/>
                    </w:rPr>
                  </w:pPr>
                </w:p>
              </w:tc>
              <w:tc>
                <w:tcPr>
                  <w:tcW w:w="620"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G4</w:t>
                  </w:r>
                </w:p>
              </w:tc>
              <w:tc>
                <w:tcPr>
                  <w:tcW w:w="778"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打磨</w:t>
                  </w:r>
                </w:p>
              </w:tc>
              <w:tc>
                <w:tcPr>
                  <w:tcW w:w="1042"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打磨废气</w:t>
                  </w:r>
                </w:p>
              </w:tc>
              <w:tc>
                <w:tcPr>
                  <w:tcW w:w="2111"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Merge w:val="restar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固体废物</w:t>
                  </w:r>
                </w:p>
              </w:tc>
              <w:tc>
                <w:tcPr>
                  <w:tcW w:w="620"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S1</w:t>
                  </w:r>
                </w:p>
              </w:tc>
              <w:tc>
                <w:tcPr>
                  <w:tcW w:w="778"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日常生活</w:t>
                  </w:r>
                </w:p>
              </w:tc>
              <w:tc>
                <w:tcPr>
                  <w:tcW w:w="3153" w:type="pct"/>
                  <w:gridSpan w:val="2"/>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Merge w:val="continue"/>
                  <w:tcBorders>
                    <w:tl2br w:val="nil"/>
                    <w:tr2bl w:val="nil"/>
                  </w:tcBorders>
                  <w:vAlign w:val="center"/>
                </w:tcPr>
                <w:p>
                  <w:pPr>
                    <w:jc w:val="center"/>
                    <w:rPr>
                      <w:rFonts w:hint="eastAsia"/>
                      <w:color w:val="auto"/>
                      <w:sz w:val="21"/>
                      <w:szCs w:val="21"/>
                      <w:vertAlign w:val="baseline"/>
                      <w:lang w:val="en-US" w:eastAsia="zh-CN"/>
                    </w:rPr>
                  </w:pPr>
                </w:p>
              </w:tc>
              <w:tc>
                <w:tcPr>
                  <w:tcW w:w="620"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S2</w:t>
                  </w:r>
                </w:p>
              </w:tc>
              <w:tc>
                <w:tcPr>
                  <w:tcW w:w="778" w:type="pct"/>
                  <w:tcBorders>
                    <w:tl2br w:val="nil"/>
                    <w:tr2bl w:val="nil"/>
                  </w:tcBorders>
                  <w:vAlign w:val="center"/>
                </w:tcPr>
                <w:p>
                  <w:pPr>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制品处理</w:t>
                  </w:r>
                </w:p>
              </w:tc>
              <w:tc>
                <w:tcPr>
                  <w:tcW w:w="3153" w:type="pct"/>
                  <w:gridSpan w:val="2"/>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废边角料、焊渣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Merge w:val="continue"/>
                  <w:tcBorders>
                    <w:tl2br w:val="nil"/>
                    <w:tr2bl w:val="nil"/>
                  </w:tcBorders>
                  <w:vAlign w:val="center"/>
                </w:tcPr>
                <w:p>
                  <w:pPr>
                    <w:jc w:val="center"/>
                    <w:rPr>
                      <w:rFonts w:hint="eastAsia"/>
                      <w:color w:val="auto"/>
                      <w:sz w:val="21"/>
                      <w:szCs w:val="21"/>
                      <w:vertAlign w:val="baseline"/>
                      <w:lang w:val="en-US" w:eastAsia="zh-CN"/>
                    </w:rPr>
                  </w:pPr>
                </w:p>
              </w:tc>
              <w:tc>
                <w:tcPr>
                  <w:tcW w:w="620"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S3</w:t>
                  </w:r>
                </w:p>
              </w:tc>
              <w:tc>
                <w:tcPr>
                  <w:tcW w:w="778"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设备运行</w:t>
                  </w:r>
                </w:p>
              </w:tc>
              <w:tc>
                <w:tcPr>
                  <w:tcW w:w="3153" w:type="pct"/>
                  <w:gridSpan w:val="2"/>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废机油、废机油桶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Merge w:val="continue"/>
                  <w:tcBorders>
                    <w:tl2br w:val="nil"/>
                    <w:tr2bl w:val="nil"/>
                  </w:tcBorders>
                  <w:vAlign w:val="center"/>
                </w:tcPr>
                <w:p>
                  <w:pPr>
                    <w:jc w:val="center"/>
                    <w:rPr>
                      <w:rFonts w:hint="eastAsia"/>
                      <w:color w:val="auto"/>
                      <w:sz w:val="21"/>
                      <w:szCs w:val="21"/>
                      <w:vertAlign w:val="baseline"/>
                      <w:lang w:val="en-US" w:eastAsia="zh-CN"/>
                    </w:rPr>
                  </w:pPr>
                </w:p>
              </w:tc>
              <w:tc>
                <w:tcPr>
                  <w:tcW w:w="620"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S4</w:t>
                  </w:r>
                </w:p>
              </w:tc>
              <w:tc>
                <w:tcPr>
                  <w:tcW w:w="778" w:type="pct"/>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废气处理</w:t>
                  </w:r>
                </w:p>
              </w:tc>
              <w:tc>
                <w:tcPr>
                  <w:tcW w:w="3153" w:type="pct"/>
                  <w:gridSpan w:val="2"/>
                  <w:tcBorders>
                    <w:tl2br w:val="nil"/>
                    <w:tr2bl w:val="nil"/>
                  </w:tcBorders>
                  <w:vAlign w:val="center"/>
                </w:tcPr>
                <w:p>
                  <w:pPr>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废过滤棉、废活性炭、废UV灯管</w:t>
                  </w:r>
                </w:p>
              </w:tc>
            </w:tr>
          </w:tbl>
          <w:p>
            <w:pPr>
              <w:numPr>
                <w:ilvl w:val="0"/>
                <w:numId w:val="0"/>
              </w:numPr>
              <w:adjustRightInd w:val="0"/>
              <w:snapToGrid w:val="0"/>
              <w:spacing w:line="360" w:lineRule="auto"/>
              <w:jc w:val="both"/>
              <w:rPr>
                <w:rFonts w:hint="default" w:ascii="宋体" w:hAnsi="宋体" w:eastAsia="宋体"/>
                <w:bCs/>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23" w:type="dxa"/>
            <w:noWrap w:val="0"/>
            <w:vAlign w:val="center"/>
          </w:tcPr>
          <w:p>
            <w:pPr>
              <w:pStyle w:val="11"/>
              <w:adjustRightInd w:val="0"/>
              <w:snapToGrid w:val="0"/>
              <w:spacing w:before="0" w:beforeAutospacing="0" w:after="0" w:afterAutospacing="0"/>
              <w:jc w:val="center"/>
              <w:rPr>
                <w:rFonts w:cs="宋体"/>
                <w:color w:val="FF0000"/>
                <w:sz w:val="24"/>
                <w:szCs w:val="24"/>
              </w:rPr>
            </w:pPr>
            <w:r>
              <w:rPr>
                <w:rFonts w:hint="eastAsia" w:cs="宋体"/>
                <w:bCs/>
                <w:color w:val="auto"/>
                <w:kern w:val="2"/>
                <w:sz w:val="24"/>
                <w:szCs w:val="24"/>
              </w:rPr>
              <w:t>与项目有关的原有环境污染问题</w:t>
            </w:r>
          </w:p>
        </w:tc>
        <w:tc>
          <w:tcPr>
            <w:tcW w:w="8161" w:type="dxa"/>
            <w:noWrap w:val="0"/>
            <w:vAlign w:val="top"/>
          </w:tcPr>
          <w:p>
            <w:pPr>
              <w:numPr>
                <w:ilvl w:val="0"/>
                <w:numId w:val="0"/>
              </w:numPr>
              <w:spacing w:before="62" w:beforeLines="20" w:line="360" w:lineRule="auto"/>
              <w:rPr>
                <w:rFonts w:hint="eastAsia" w:eastAsia="宋体"/>
                <w:b/>
                <w:color w:val="FF0000"/>
                <w:sz w:val="24"/>
                <w:highlight w:val="none"/>
                <w:u w:val="single"/>
                <w:lang w:val="en-US" w:eastAsia="zh-CN"/>
              </w:rPr>
            </w:pPr>
            <w:r>
              <w:rPr>
                <w:rFonts w:hint="eastAsia"/>
                <w:b/>
                <w:color w:val="FF0000"/>
                <w:sz w:val="24"/>
                <w:highlight w:val="none"/>
                <w:u w:val="none"/>
                <w:lang w:val="en-US" w:eastAsia="zh-CN"/>
              </w:rPr>
              <w:t>一、</w:t>
            </w:r>
            <w:r>
              <w:rPr>
                <w:rFonts w:hint="eastAsia"/>
                <w:b/>
                <w:color w:val="FF0000"/>
                <w:sz w:val="24"/>
                <w:highlight w:val="none"/>
                <w:u w:val="single"/>
                <w:lang w:val="en-US" w:eastAsia="zh-CN"/>
              </w:rPr>
              <w:t>湖南定宇新材料科技有限公司年产40万吨镀锌型材技改项目</w:t>
            </w:r>
          </w:p>
          <w:p>
            <w:pPr>
              <w:numPr>
                <w:ilvl w:val="0"/>
                <w:numId w:val="0"/>
              </w:numPr>
              <w:spacing w:before="62" w:beforeLines="20" w:line="360" w:lineRule="auto"/>
              <w:ind w:left="540" w:leftChars="0"/>
              <w:rPr>
                <w:b/>
                <w:color w:val="FF0000"/>
                <w:sz w:val="24"/>
                <w:highlight w:val="none"/>
                <w:u w:val="single"/>
              </w:rPr>
            </w:pPr>
            <w:r>
              <w:rPr>
                <w:b/>
                <w:color w:val="FF0000"/>
                <w:sz w:val="24"/>
                <w:highlight w:val="none"/>
                <w:u w:val="single"/>
              </w:rPr>
              <w:t>现有情况</w:t>
            </w:r>
          </w:p>
          <w:p>
            <w:pPr>
              <w:spacing w:line="360" w:lineRule="auto"/>
              <w:ind w:firstLine="480"/>
              <w:textAlignment w:val="center"/>
              <w:rPr>
                <w:rFonts w:hint="eastAsia"/>
                <w:color w:val="FF0000"/>
                <w:sz w:val="24"/>
                <w:highlight w:val="none"/>
                <w:u w:val="single"/>
              </w:rPr>
            </w:pPr>
            <w:r>
              <w:rPr>
                <w:rFonts w:hint="eastAsia"/>
                <w:bCs/>
                <w:color w:val="FF0000"/>
                <w:sz w:val="24"/>
                <w:highlight w:val="none"/>
                <w:u w:val="single"/>
              </w:rPr>
              <w:t>湖南定宇新材料科技有限公司成立于2012年，位于湖南湘阴工业园顺天大道南侧。由于国家产业政策变化，公司原40万吨轧钢件项目停产后，40万吨热镀锌型材项目的原料无法自产，同时热镀锌型材项目经处理后的废水也无法再回用于轧钢，另外由于3#热镀锌生产线原设计布局过于紧凑导致生产操作不便。为解决上述问题，湖南定宇新材料科技有限公司对原年产40万吨热镀锌型材改扩建项目进行了技改。湖南定宇新材料科技有限公司于2018年10月委托湖南景玺环保科技有限公司编制了《湖南定宇新材料科技有限公司年产40万吨镀锌型材技改项目环境影响报告表》，2018年11月28日岳阳市环境保护局对该项目环评文件出具了审批意见（岳环评批[2018]128号）（详见附件</w:t>
            </w:r>
            <w:r>
              <w:rPr>
                <w:rFonts w:hint="eastAsia"/>
                <w:bCs/>
                <w:color w:val="FF0000"/>
                <w:sz w:val="24"/>
                <w:highlight w:val="none"/>
                <w:u w:val="single"/>
                <w:lang w:val="en-US" w:eastAsia="zh-CN"/>
              </w:rPr>
              <w:t>四</w:t>
            </w:r>
            <w:r>
              <w:rPr>
                <w:rFonts w:hint="eastAsia"/>
                <w:bCs/>
                <w:color w:val="FF0000"/>
                <w:sz w:val="24"/>
                <w:highlight w:val="none"/>
                <w:u w:val="single"/>
              </w:rPr>
              <w:t>）。项目于2018年11月开工建设，2018年12月竣工并投入生产</w:t>
            </w:r>
            <w:r>
              <w:rPr>
                <w:color w:val="FF0000"/>
                <w:sz w:val="24"/>
                <w:highlight w:val="none"/>
                <w:u w:val="single"/>
              </w:rPr>
              <w:t>。</w:t>
            </w:r>
          </w:p>
          <w:p>
            <w:pPr>
              <w:numPr>
                <w:ilvl w:val="0"/>
                <w:numId w:val="0"/>
              </w:numPr>
              <w:spacing w:before="62" w:beforeLines="20" w:line="360" w:lineRule="auto"/>
              <w:ind w:left="540" w:leftChars="0"/>
              <w:rPr>
                <w:b/>
                <w:color w:val="FF0000"/>
                <w:sz w:val="24"/>
                <w:highlight w:val="none"/>
                <w:u w:val="single"/>
              </w:rPr>
            </w:pPr>
            <w:r>
              <w:rPr>
                <w:b/>
                <w:color w:val="FF0000"/>
                <w:sz w:val="24"/>
                <w:highlight w:val="none"/>
                <w:u w:val="single"/>
              </w:rPr>
              <w:t>现有工艺：</w:t>
            </w:r>
          </w:p>
          <w:p>
            <w:pPr>
              <w:tabs>
                <w:tab w:val="left" w:pos="8918"/>
              </w:tabs>
              <w:spacing w:line="360" w:lineRule="auto"/>
              <w:ind w:firstLine="472" w:firstLineChars="196"/>
              <w:rPr>
                <w:b/>
                <w:color w:val="FF0000"/>
                <w:sz w:val="24"/>
                <w:highlight w:val="none"/>
                <w:u w:val="single"/>
              </w:rPr>
            </w:pPr>
            <w:r>
              <w:rPr>
                <w:b/>
                <w:color w:val="FF0000"/>
                <w:sz w:val="24"/>
                <w:highlight w:val="none"/>
                <w:u w:val="single"/>
              </w:rPr>
              <w:t>项目现有生产工艺及产污节点图</w:t>
            </w:r>
          </w:p>
          <w:p>
            <w:pPr>
              <w:spacing w:line="360" w:lineRule="auto"/>
              <w:jc w:val="center"/>
              <w:rPr>
                <w:color w:val="FF0000"/>
                <w:highlight w:val="none"/>
                <w:u w:val="single"/>
              </w:rPr>
            </w:pPr>
            <w:r>
              <w:rPr>
                <w:color w:val="FF0000"/>
                <w:highlight w:val="none"/>
                <w:u w:val="single"/>
              </w:rPr>
              <w:drawing>
                <wp:inline distT="0" distB="0" distL="114300" distR="114300">
                  <wp:extent cx="5040630" cy="2776220"/>
                  <wp:effectExtent l="0" t="0" r="7620" b="508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5040630" cy="2776220"/>
                          </a:xfrm>
                          <a:prstGeom prst="rect">
                            <a:avLst/>
                          </a:prstGeom>
                          <a:noFill/>
                          <a:ln>
                            <a:noFill/>
                          </a:ln>
                        </pic:spPr>
                      </pic:pic>
                    </a:graphicData>
                  </a:graphic>
                </wp:inline>
              </w:drawing>
            </w:r>
          </w:p>
          <w:p>
            <w:pPr>
              <w:spacing w:line="360" w:lineRule="auto"/>
              <w:jc w:val="center"/>
              <w:rPr>
                <w:b/>
                <w:color w:val="FF0000"/>
                <w:sz w:val="24"/>
                <w:highlight w:val="none"/>
                <w:u w:val="single"/>
              </w:rPr>
            </w:pPr>
            <w:r>
              <w:rPr>
                <w:b/>
                <w:color w:val="FF0000"/>
                <w:sz w:val="24"/>
                <w:highlight w:val="none"/>
                <w:u w:val="single"/>
              </w:rPr>
              <w:t>图</w:t>
            </w:r>
            <w:r>
              <w:rPr>
                <w:rFonts w:hint="eastAsia"/>
                <w:b/>
                <w:color w:val="FF0000"/>
                <w:sz w:val="24"/>
                <w:highlight w:val="none"/>
                <w:u w:val="single"/>
                <w:lang w:val="en-US" w:eastAsia="zh-CN"/>
              </w:rPr>
              <w:t>2-2</w:t>
            </w:r>
            <w:r>
              <w:rPr>
                <w:b/>
                <w:color w:val="FF0000"/>
                <w:sz w:val="24"/>
                <w:highlight w:val="none"/>
                <w:u w:val="single"/>
              </w:rPr>
              <w:t xml:space="preserve">  项目</w:t>
            </w:r>
            <w:r>
              <w:rPr>
                <w:rFonts w:hint="eastAsia"/>
                <w:b/>
                <w:color w:val="FF0000"/>
                <w:sz w:val="24"/>
                <w:highlight w:val="none"/>
                <w:u w:val="single"/>
              </w:rPr>
              <w:t>热镀锌生产工艺流程和产排污节点</w:t>
            </w:r>
            <w:r>
              <w:rPr>
                <w:b/>
                <w:color w:val="FF0000"/>
                <w:sz w:val="24"/>
                <w:highlight w:val="none"/>
                <w:u w:val="single"/>
              </w:rPr>
              <w:t>图</w:t>
            </w:r>
          </w:p>
          <w:p>
            <w:pPr>
              <w:numPr>
                <w:ilvl w:val="0"/>
                <w:numId w:val="0"/>
              </w:numPr>
              <w:spacing w:before="62" w:beforeLines="20" w:line="360" w:lineRule="auto"/>
              <w:ind w:firstLine="482" w:firstLineChars="200"/>
              <w:rPr>
                <w:b/>
                <w:color w:val="FF0000"/>
                <w:sz w:val="24"/>
                <w:highlight w:val="none"/>
                <w:u w:val="single"/>
              </w:rPr>
            </w:pPr>
            <w:r>
              <w:rPr>
                <w:b/>
                <w:color w:val="FF0000"/>
                <w:sz w:val="24"/>
                <w:highlight w:val="none"/>
                <w:u w:val="single"/>
              </w:rPr>
              <w:t>生产工艺流程说明：</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（1）挂件及酸洗</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通过行车将型材角钢原料吊运至轨道车上，运送至酸洗槽进行酸洗。酸洗处理是为了去处钢材表面的铁锈和氧化铁皮，主要方程式为：FeO+H</w:t>
            </w:r>
            <w:r>
              <w:rPr>
                <w:rFonts w:hint="eastAsia"/>
                <w:color w:val="FF0000"/>
                <w:sz w:val="24"/>
                <w:highlight w:val="none"/>
                <w:u w:val="single"/>
                <w:vertAlign w:val="subscript"/>
              </w:rPr>
              <w:t>2</w:t>
            </w:r>
            <w:r>
              <w:rPr>
                <w:rFonts w:hint="eastAsia"/>
                <w:color w:val="FF0000"/>
                <w:sz w:val="24"/>
                <w:highlight w:val="none"/>
                <w:u w:val="single"/>
              </w:rPr>
              <w:t>SO4→FeSO</w:t>
            </w:r>
            <w:r>
              <w:rPr>
                <w:rFonts w:hint="eastAsia"/>
                <w:color w:val="FF0000"/>
                <w:sz w:val="24"/>
                <w:highlight w:val="none"/>
                <w:u w:val="single"/>
                <w:vertAlign w:val="subscript"/>
              </w:rPr>
              <w:t>4</w:t>
            </w:r>
            <w:r>
              <w:rPr>
                <w:rFonts w:hint="eastAsia"/>
                <w:color w:val="FF0000"/>
                <w:sz w:val="24"/>
                <w:highlight w:val="none"/>
                <w:u w:val="single"/>
              </w:rPr>
              <w:t>+H</w:t>
            </w:r>
            <w:r>
              <w:rPr>
                <w:rFonts w:hint="eastAsia"/>
                <w:color w:val="FF0000"/>
                <w:sz w:val="24"/>
                <w:highlight w:val="none"/>
                <w:u w:val="single"/>
                <w:vertAlign w:val="subscript"/>
              </w:rPr>
              <w:t>2</w:t>
            </w:r>
            <w:r>
              <w:rPr>
                <w:rFonts w:hint="eastAsia"/>
                <w:color w:val="FF0000"/>
                <w:sz w:val="24"/>
                <w:highlight w:val="none"/>
                <w:u w:val="single"/>
              </w:rPr>
              <w:t>O；Fe(OH)</w:t>
            </w:r>
            <w:r>
              <w:rPr>
                <w:rFonts w:hint="eastAsia"/>
                <w:color w:val="FF0000"/>
                <w:sz w:val="24"/>
                <w:highlight w:val="none"/>
                <w:u w:val="single"/>
                <w:vertAlign w:val="subscript"/>
              </w:rPr>
              <w:t>2</w:t>
            </w:r>
            <w:r>
              <w:rPr>
                <w:rFonts w:hint="eastAsia"/>
                <w:color w:val="FF0000"/>
                <w:sz w:val="24"/>
                <w:highlight w:val="none"/>
                <w:u w:val="single"/>
              </w:rPr>
              <w:t xml:space="preserve"> +H</w:t>
            </w:r>
            <w:r>
              <w:rPr>
                <w:rFonts w:hint="eastAsia"/>
                <w:color w:val="FF0000"/>
                <w:sz w:val="24"/>
                <w:highlight w:val="none"/>
                <w:u w:val="single"/>
                <w:vertAlign w:val="subscript"/>
              </w:rPr>
              <w:t>2</w:t>
            </w:r>
            <w:r>
              <w:rPr>
                <w:rFonts w:hint="eastAsia"/>
                <w:color w:val="FF0000"/>
                <w:sz w:val="24"/>
                <w:highlight w:val="none"/>
                <w:u w:val="single"/>
              </w:rPr>
              <w:t>SO</w:t>
            </w:r>
            <w:r>
              <w:rPr>
                <w:rFonts w:hint="eastAsia"/>
                <w:color w:val="FF0000"/>
                <w:sz w:val="24"/>
                <w:highlight w:val="none"/>
                <w:u w:val="single"/>
                <w:vertAlign w:val="subscript"/>
              </w:rPr>
              <w:t>4</w:t>
            </w:r>
            <w:r>
              <w:rPr>
                <w:rFonts w:hint="eastAsia"/>
                <w:color w:val="FF0000"/>
                <w:sz w:val="24"/>
                <w:highlight w:val="none"/>
                <w:u w:val="single"/>
              </w:rPr>
              <w:t>→FeSO</w:t>
            </w:r>
            <w:r>
              <w:rPr>
                <w:rFonts w:hint="eastAsia"/>
                <w:color w:val="FF0000"/>
                <w:sz w:val="24"/>
                <w:highlight w:val="none"/>
                <w:u w:val="single"/>
                <w:vertAlign w:val="subscript"/>
              </w:rPr>
              <w:t>4</w:t>
            </w:r>
            <w:r>
              <w:rPr>
                <w:rFonts w:hint="eastAsia"/>
                <w:color w:val="FF0000"/>
                <w:sz w:val="24"/>
                <w:highlight w:val="none"/>
                <w:u w:val="single"/>
              </w:rPr>
              <w:t>+2H</w:t>
            </w:r>
            <w:r>
              <w:rPr>
                <w:rFonts w:hint="eastAsia"/>
                <w:color w:val="FF0000"/>
                <w:sz w:val="24"/>
                <w:highlight w:val="none"/>
                <w:u w:val="single"/>
                <w:vertAlign w:val="subscript"/>
              </w:rPr>
              <w:t>2</w:t>
            </w:r>
            <w:r>
              <w:rPr>
                <w:rFonts w:hint="eastAsia"/>
                <w:color w:val="FF0000"/>
                <w:sz w:val="24"/>
                <w:highlight w:val="none"/>
                <w:u w:val="single"/>
              </w:rPr>
              <w:t>O。酸洗槽投入硫酸浓度为18%，根据加工件的不同腐蚀程度，常温下严格控制酸洗停留时间3min~4min中。当溶液中硫酸浓度由18%下降到 12%左右时，要进行酸洗液的更换。平均每酸洗10天更换一次硫酸，更换的硫酸进入废水处理系统。</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（2）水洗</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酸洗除锈后的钢件要经过水清洗以清除酸洗的残留溶液及铁盐等物质。钢材的清洗应当在酸洗后立即进行。钢材清洗采用常温清水，清洗时间为 5~9 分钟，清洗水需要定期更换。水洗槽平均每天换一次，以便去除其中的淤渣和污物，更换下来的含酸的水洗槽废水进入废水处理系统。</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（3）助镀处理</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将水洗后的工件加入助镀池，助镀剂为氯化锌、氯化铵混合溶液，不需额外添加水，氯化锌和氯化铵的浓度为27%，比例为1:1，助镀时间40秒，温度50℃，助镀混合液定期补充，不外排。助镀的目的主要是在镀锌过程中清除钢件表面氧化物。</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钢件上黏附的氯化锌在加热过程中，能与水形成 ZnCl 2 •H 2 O，在热镀锌过程中，会发生如下反应：ZnCl</w:t>
            </w:r>
            <w:r>
              <w:rPr>
                <w:rFonts w:hint="eastAsia"/>
                <w:color w:val="FF0000"/>
                <w:sz w:val="24"/>
                <w:highlight w:val="none"/>
                <w:u w:val="single"/>
                <w:vertAlign w:val="subscript"/>
              </w:rPr>
              <w:t>2</w:t>
            </w:r>
            <w:r>
              <w:rPr>
                <w:rFonts w:hint="eastAsia"/>
                <w:color w:val="FF0000"/>
                <w:sz w:val="24"/>
                <w:highlight w:val="none"/>
                <w:u w:val="single"/>
              </w:rPr>
              <w:t>•H</w:t>
            </w:r>
            <w:r>
              <w:rPr>
                <w:rFonts w:hint="eastAsia"/>
                <w:color w:val="FF0000"/>
                <w:sz w:val="24"/>
                <w:highlight w:val="none"/>
                <w:u w:val="single"/>
                <w:vertAlign w:val="subscript"/>
              </w:rPr>
              <w:t>2</w:t>
            </w:r>
            <w:r>
              <w:rPr>
                <w:rFonts w:hint="eastAsia"/>
                <w:color w:val="FF0000"/>
                <w:sz w:val="24"/>
                <w:highlight w:val="none"/>
                <w:u w:val="single"/>
              </w:rPr>
              <w:t>O+FeO→ZnCl</w:t>
            </w:r>
            <w:r>
              <w:rPr>
                <w:rFonts w:hint="eastAsia"/>
                <w:color w:val="FF0000"/>
                <w:sz w:val="24"/>
                <w:highlight w:val="none"/>
                <w:u w:val="single"/>
                <w:vertAlign w:val="subscript"/>
              </w:rPr>
              <w:t>2</w:t>
            </w:r>
            <w:r>
              <w:rPr>
                <w:rFonts w:hint="eastAsia"/>
                <w:color w:val="FF0000"/>
                <w:sz w:val="24"/>
                <w:highlight w:val="none"/>
                <w:u w:val="single"/>
              </w:rPr>
              <w:t>•FeO+H</w:t>
            </w:r>
            <w:r>
              <w:rPr>
                <w:rFonts w:hint="eastAsia"/>
                <w:color w:val="FF0000"/>
                <w:sz w:val="24"/>
                <w:highlight w:val="none"/>
                <w:u w:val="single"/>
                <w:vertAlign w:val="subscript"/>
              </w:rPr>
              <w:t>2</w:t>
            </w:r>
            <w:r>
              <w:rPr>
                <w:rFonts w:hint="eastAsia"/>
                <w:color w:val="FF0000"/>
                <w:sz w:val="24"/>
                <w:highlight w:val="none"/>
                <w:u w:val="single"/>
              </w:rPr>
              <w:t>O，可以去除钢件表面的氧化物。</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钢件上黏附的氯化氨在热镀锌过程中，由于高温作用，会导致氯化铵迅速发生分解反应：NH</w:t>
            </w:r>
            <w:r>
              <w:rPr>
                <w:rFonts w:hint="eastAsia"/>
                <w:color w:val="FF0000"/>
                <w:sz w:val="24"/>
                <w:highlight w:val="none"/>
                <w:u w:val="single"/>
                <w:vertAlign w:val="subscript"/>
              </w:rPr>
              <w:t>4</w:t>
            </w:r>
            <w:r>
              <w:rPr>
                <w:rFonts w:hint="eastAsia"/>
                <w:color w:val="FF0000"/>
                <w:sz w:val="24"/>
                <w:highlight w:val="none"/>
                <w:u w:val="single"/>
              </w:rPr>
              <w:t>Cl→NH</w:t>
            </w:r>
            <w:r>
              <w:rPr>
                <w:rFonts w:hint="eastAsia"/>
                <w:color w:val="FF0000"/>
                <w:sz w:val="24"/>
                <w:highlight w:val="none"/>
                <w:u w:val="single"/>
                <w:vertAlign w:val="subscript"/>
              </w:rPr>
              <w:t>3</w:t>
            </w:r>
            <w:r>
              <w:rPr>
                <w:rFonts w:hint="eastAsia"/>
                <w:color w:val="FF0000"/>
                <w:sz w:val="24"/>
                <w:highlight w:val="none"/>
                <w:u w:val="single"/>
              </w:rPr>
              <w:t>+HCl，产生 NH</w:t>
            </w:r>
            <w:r>
              <w:rPr>
                <w:rFonts w:hint="eastAsia"/>
                <w:color w:val="FF0000"/>
                <w:sz w:val="24"/>
                <w:highlight w:val="none"/>
                <w:u w:val="single"/>
                <w:vertAlign w:val="subscript"/>
              </w:rPr>
              <w:t>3</w:t>
            </w:r>
            <w:r>
              <w:rPr>
                <w:rFonts w:hint="eastAsia"/>
                <w:color w:val="FF0000"/>
                <w:sz w:val="24"/>
                <w:highlight w:val="none"/>
                <w:u w:val="single"/>
              </w:rPr>
              <w:t>及 HCl气体，其中一部分HCl与ZnO、FeO进行反应，去除钢件表面的杂物以及钢材周围锌液表面的杂物。</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（4）烘干</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涂在钢材表面上的助镀剂水溶液要在烘干平台进行干燥，以便蒸发掉助镀剂中的水分，使钢材表面被一层干燥透明的助镀剂盐薄膜所包住。工件的烘干采用烘烤的方法，即利用锌锅加热产生的烟气余热，通过烘干炕下设置的排烟烟道，对工件进行间接加热。烘干温度保持在 75℃左右。</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（5）热镀锌</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经过烘干的钢材送入锌锅中进行浸锌作业，后从锌锅中移出，钢材表面被浸上了液态的锌层。钢材从锌液中抽出的速度应考虑到使镀件表面上过剩的锌液能够流淌下来。</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钢材由锌液中提出后，要在锌锅上方停留一段时间进行控锌，使钢材表面多余的锌液流回锌锅。镀锌锅中温度保持在 450~460℃，镀锌锅中的锌水不外排，每天加一次锌锭。</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（6）空气吹平</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钢材在镀锌处理后经风刀将余锌吹净，并使锌更牢固的黏贴在镀件上。</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（7）冷却</w:t>
            </w:r>
          </w:p>
          <w:p>
            <w:pPr>
              <w:spacing w:line="360" w:lineRule="auto"/>
              <w:ind w:firstLine="480" w:firstLineChars="200"/>
              <w:rPr>
                <w:rFonts w:hint="eastAsia"/>
                <w:color w:val="FF0000"/>
                <w:sz w:val="24"/>
                <w:highlight w:val="none"/>
                <w:u w:val="single"/>
              </w:rPr>
            </w:pPr>
            <w:r>
              <w:rPr>
                <w:rFonts w:hint="eastAsia"/>
                <w:color w:val="FF0000"/>
                <w:sz w:val="24"/>
                <w:highlight w:val="none"/>
                <w:u w:val="single"/>
              </w:rPr>
              <w:t>经过空气吹平后的钢件放入冷却槽中用水冷却，冷却池每天补充新鲜水，无废水外排。</w:t>
            </w:r>
          </w:p>
          <w:p>
            <w:pPr>
              <w:numPr>
                <w:ilvl w:val="0"/>
                <w:numId w:val="0"/>
              </w:numPr>
              <w:spacing w:before="62" w:beforeLines="20" w:line="360" w:lineRule="auto"/>
              <w:ind w:left="540" w:leftChars="0"/>
              <w:rPr>
                <w:b/>
                <w:color w:val="FF0000"/>
                <w:sz w:val="24"/>
                <w:highlight w:val="none"/>
                <w:u w:val="single"/>
              </w:rPr>
            </w:pPr>
            <w:r>
              <w:rPr>
                <w:b/>
                <w:color w:val="FF0000"/>
                <w:sz w:val="24"/>
                <w:highlight w:val="none"/>
                <w:u w:val="single"/>
              </w:rPr>
              <w:t>现有工程主要生产设备</w:t>
            </w:r>
          </w:p>
          <w:p>
            <w:pPr>
              <w:spacing w:before="62" w:beforeLines="20" w:line="360" w:lineRule="auto"/>
              <w:ind w:left="540" w:leftChars="257" w:firstLine="1063" w:firstLineChars="441"/>
              <w:rPr>
                <w:b/>
                <w:color w:val="FF0000"/>
                <w:sz w:val="24"/>
                <w:highlight w:val="none"/>
                <w:u w:val="single"/>
              </w:rPr>
            </w:pPr>
            <w:r>
              <w:rPr>
                <w:b/>
                <w:color w:val="FF0000"/>
                <w:sz w:val="24"/>
                <w:highlight w:val="none"/>
                <w:u w:val="single"/>
              </w:rPr>
              <w:t>表</w:t>
            </w:r>
            <w:r>
              <w:rPr>
                <w:rFonts w:hint="eastAsia"/>
                <w:b/>
                <w:color w:val="FF0000"/>
                <w:sz w:val="24"/>
                <w:highlight w:val="none"/>
                <w:u w:val="single"/>
                <w:lang w:val="en-US" w:eastAsia="zh-CN"/>
              </w:rPr>
              <w:t>2-8</w:t>
            </w:r>
            <w:r>
              <w:rPr>
                <w:rFonts w:hint="eastAsia"/>
                <w:b/>
                <w:color w:val="FF0000"/>
                <w:sz w:val="24"/>
                <w:highlight w:val="none"/>
                <w:u w:val="single"/>
              </w:rPr>
              <w:t xml:space="preserve"> </w:t>
            </w:r>
            <w:r>
              <w:rPr>
                <w:b/>
                <w:color w:val="FF0000"/>
                <w:sz w:val="24"/>
                <w:highlight w:val="none"/>
                <w:u w:val="single"/>
              </w:rPr>
              <w:t xml:space="preserve"> 现有工程主要设备清单现有污染排放情况</w:t>
            </w:r>
          </w:p>
          <w:tbl>
            <w:tblPr>
              <w:tblStyle w:val="1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808"/>
              <w:gridCol w:w="2916"/>
              <w:gridCol w:w="1906"/>
              <w:gridCol w:w="16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15" w:type="dxa"/>
                  <w:gridSpan w:val="2"/>
                  <w:tcBorders>
                    <w:tl2br w:val="nil"/>
                    <w:tr2bl w:val="nil"/>
                  </w:tcBorders>
                  <w:vAlign w:val="center"/>
                </w:tcPr>
                <w:p>
                  <w:pPr>
                    <w:jc w:val="center"/>
                    <w:rPr>
                      <w:rFonts w:hint="eastAsia"/>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项目名称</w:t>
                  </w:r>
                </w:p>
              </w:tc>
              <w:tc>
                <w:tcPr>
                  <w:tcW w:w="2925" w:type="dxa"/>
                  <w:tcBorders>
                    <w:tl2br w:val="nil"/>
                    <w:tr2bl w:val="nil"/>
                  </w:tcBorders>
                  <w:vAlign w:val="center"/>
                </w:tcPr>
                <w:p>
                  <w:pPr>
                    <w:jc w:val="center"/>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设备名称</w:t>
                  </w:r>
                </w:p>
              </w:tc>
              <w:tc>
                <w:tcPr>
                  <w:tcW w:w="1908" w:type="dxa"/>
                  <w:tcBorders>
                    <w:tl2br w:val="nil"/>
                    <w:tr2bl w:val="nil"/>
                  </w:tcBorders>
                  <w:vAlign w:val="center"/>
                </w:tcPr>
                <w:p>
                  <w:pPr>
                    <w:jc w:val="center"/>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规格型号</w:t>
                  </w:r>
                </w:p>
              </w:tc>
              <w:tc>
                <w:tcPr>
                  <w:tcW w:w="1612" w:type="dxa"/>
                  <w:tcBorders>
                    <w:tl2br w:val="nil"/>
                    <w:tr2bl w:val="nil"/>
                  </w:tcBorders>
                  <w:vAlign w:val="center"/>
                </w:tcPr>
                <w:p>
                  <w:pPr>
                    <w:jc w:val="center"/>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生产设备</w:t>
                  </w:r>
                </w:p>
              </w:tc>
              <w:tc>
                <w:tcPr>
                  <w:tcW w:w="810" w:type="dxa"/>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热镀锌生产线</w:t>
                  </w: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酸洗槽</w:t>
                  </w:r>
                </w:p>
              </w:tc>
              <w:tc>
                <w:tcPr>
                  <w:tcW w:w="1908"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8m*1.5m*1m</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9座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10"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水洗槽</w:t>
                  </w:r>
                </w:p>
              </w:tc>
              <w:tc>
                <w:tcPr>
                  <w:tcW w:w="1908"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8m*1.5m*1m</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6座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10"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助镀槽</w:t>
                  </w:r>
                </w:p>
              </w:tc>
              <w:tc>
                <w:tcPr>
                  <w:tcW w:w="1908"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8m*1.5m*1m</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3座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10"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钢制锌锅</w:t>
                  </w:r>
                </w:p>
              </w:tc>
              <w:tc>
                <w:tcPr>
                  <w:tcW w:w="1908"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8m*1.3m*2m</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3台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10"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锌锅加热器</w:t>
                  </w:r>
                </w:p>
              </w:tc>
              <w:tc>
                <w:tcPr>
                  <w:tcW w:w="1908"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燃料：天然气</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3台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10"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烘干炕</w:t>
                  </w:r>
                </w:p>
              </w:tc>
              <w:tc>
                <w:tcPr>
                  <w:tcW w:w="1908"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8m*6m*0.8m</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3座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10"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空压机</w:t>
                  </w:r>
                </w:p>
              </w:tc>
              <w:tc>
                <w:tcPr>
                  <w:tcW w:w="1908"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3台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10"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冷却槽</w:t>
                  </w:r>
                </w:p>
              </w:tc>
              <w:tc>
                <w:tcPr>
                  <w:tcW w:w="1908" w:type="dxa"/>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8m*1.5m*1m</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3座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10"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行车</w:t>
                  </w:r>
                </w:p>
              </w:tc>
              <w:tc>
                <w:tcPr>
                  <w:tcW w:w="1908"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5t</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18台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环保设备</w:t>
                  </w:r>
                </w:p>
              </w:tc>
              <w:tc>
                <w:tcPr>
                  <w:tcW w:w="810" w:type="dxa"/>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废气处理</w:t>
                  </w: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天然气燃烧废气：20m排气筒高空排放</w:t>
                  </w:r>
                </w:p>
              </w:tc>
              <w:tc>
                <w:tcPr>
                  <w:tcW w:w="1908"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每套处理系统风量均为10000m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/h</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10" w:type="dxa"/>
                  <w:vMerge w:val="continue"/>
                  <w:tcBorders>
                    <w:tl2br w:val="nil"/>
                    <w:tr2bl w:val="nil"/>
                  </w:tcBorders>
                  <w:vAlign w:val="center"/>
                </w:tcPr>
                <w:p>
                  <w:pPr>
                    <w:jc w:val="center"/>
                    <w:rPr>
                      <w:rFonts w:hint="default"/>
                      <w:color w:val="FF0000"/>
                      <w:sz w:val="21"/>
                      <w:szCs w:val="21"/>
                      <w:u w:val="single"/>
                      <w:vertAlign w:val="baseline"/>
                      <w:lang w:val="en-US" w:eastAsia="zh-CN"/>
                    </w:rPr>
                  </w:pP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锌锅废气和空气吹平废气：高温布袋除尘器+20m高排气筒</w:t>
                  </w:r>
                </w:p>
              </w:tc>
              <w:tc>
                <w:tcPr>
                  <w:tcW w:w="1908" w:type="dxa"/>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每套处理系统风量均为10000m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/h</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10"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酸洗废气：碱液吸收塔+20m高排气筒</w:t>
                  </w:r>
                </w:p>
              </w:tc>
              <w:tc>
                <w:tcPr>
                  <w:tcW w:w="1908" w:type="dxa"/>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每套处理系统风量均为10000m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/h</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10" w:type="dxa"/>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废水处理</w:t>
                  </w:r>
                </w:p>
              </w:tc>
              <w:tc>
                <w:tcPr>
                  <w:tcW w:w="2925"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中和+ 絮凝沉淀+过滤+超滤+反渗透除盐</w:t>
                  </w:r>
                </w:p>
              </w:tc>
              <w:tc>
                <w:tcPr>
                  <w:tcW w:w="1908"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处理规模100t/d</w:t>
                  </w:r>
                </w:p>
              </w:tc>
              <w:tc>
                <w:tcPr>
                  <w:tcW w:w="1612" w:type="dxa"/>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1套</w:t>
                  </w:r>
                </w:p>
              </w:tc>
            </w:tr>
          </w:tbl>
          <w:p>
            <w:pPr>
              <w:spacing w:before="62" w:beforeLines="20" w:line="360" w:lineRule="auto"/>
              <w:jc w:val="center"/>
              <w:rPr>
                <w:b/>
                <w:color w:val="FF0000"/>
                <w:sz w:val="24"/>
                <w:highlight w:val="none"/>
                <w:u w:val="single"/>
              </w:rPr>
            </w:pPr>
          </w:p>
          <w:p>
            <w:pPr>
              <w:snapToGrid w:val="0"/>
              <w:spacing w:line="360" w:lineRule="auto"/>
              <w:jc w:val="center"/>
              <w:rPr>
                <w:b/>
                <w:color w:val="FF0000"/>
                <w:sz w:val="24"/>
                <w:highlight w:val="none"/>
                <w:u w:val="single"/>
              </w:rPr>
            </w:pPr>
            <w:r>
              <w:rPr>
                <w:b/>
                <w:bCs/>
                <w:color w:val="FF0000"/>
                <w:sz w:val="24"/>
                <w:highlight w:val="none"/>
                <w:u w:val="single"/>
              </w:rPr>
              <w:t>表</w:t>
            </w:r>
            <w:r>
              <w:rPr>
                <w:rFonts w:hint="eastAsia"/>
                <w:b/>
                <w:bCs/>
                <w:color w:val="FF0000"/>
                <w:sz w:val="24"/>
                <w:highlight w:val="none"/>
                <w:u w:val="single"/>
                <w:lang w:val="en-US" w:eastAsia="zh-CN"/>
              </w:rPr>
              <w:t>2-9</w:t>
            </w:r>
            <w:r>
              <w:rPr>
                <w:b/>
                <w:bCs/>
                <w:color w:val="FF0000"/>
                <w:sz w:val="24"/>
                <w:highlight w:val="none"/>
                <w:u w:val="single"/>
              </w:rPr>
              <w:t xml:space="preserve">   现有污染物排放情况汇总表</w:t>
            </w:r>
          </w:p>
          <w:tbl>
            <w:tblPr>
              <w:tblStyle w:val="14"/>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426"/>
              <w:gridCol w:w="1113"/>
              <w:gridCol w:w="1333"/>
              <w:gridCol w:w="1929"/>
              <w:gridCol w:w="1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tcBorders>
                    <w:tl2br w:val="single" w:color="auto" w:sz="12" w:space="0"/>
                  </w:tcBorders>
                  <w:vAlign w:val="center"/>
                </w:tcPr>
                <w:p>
                  <w:pPr>
                    <w:jc w:val="center"/>
                    <w:rPr>
                      <w:rFonts w:hint="eastAsia"/>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 xml:space="preserve">      内容</w:t>
                  </w:r>
                </w:p>
                <w:p>
                  <w:pPr>
                    <w:jc w:val="both"/>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类型</w:t>
                  </w:r>
                </w:p>
              </w:tc>
              <w:tc>
                <w:tcPr>
                  <w:tcW w:w="957" w:type="pct"/>
                  <w:gridSpan w:val="2"/>
                  <w:tcBorders>
                    <w:tl2br w:val="nil"/>
                    <w:tr2bl w:val="nil"/>
                  </w:tcBorders>
                  <w:vAlign w:val="center"/>
                </w:tcPr>
                <w:p>
                  <w:pPr>
                    <w:jc w:val="center"/>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排放源</w:t>
                  </w:r>
                </w:p>
              </w:tc>
              <w:tc>
                <w:tcPr>
                  <w:tcW w:w="829" w:type="pct"/>
                  <w:tcBorders>
                    <w:tl2br w:val="nil"/>
                    <w:tr2bl w:val="nil"/>
                  </w:tcBorders>
                  <w:vAlign w:val="center"/>
                </w:tcPr>
                <w:p>
                  <w:pPr>
                    <w:jc w:val="center"/>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污染物名称</w:t>
                  </w:r>
                </w:p>
              </w:tc>
              <w:tc>
                <w:tcPr>
                  <w:tcW w:w="1200" w:type="pct"/>
                  <w:tcBorders>
                    <w:tl2br w:val="nil"/>
                    <w:tr2bl w:val="nil"/>
                  </w:tcBorders>
                  <w:vAlign w:val="center"/>
                </w:tcPr>
                <w:p>
                  <w:pPr>
                    <w:jc w:val="center"/>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处理前产生浓度及产生量</w:t>
                  </w:r>
                </w:p>
              </w:tc>
              <w:tc>
                <w:tcPr>
                  <w:tcW w:w="1180" w:type="pct"/>
                  <w:tcBorders>
                    <w:tl2br w:val="nil"/>
                    <w:tr2bl w:val="nil"/>
                  </w:tcBorders>
                  <w:vAlign w:val="center"/>
                </w:tcPr>
                <w:p>
                  <w:pPr>
                    <w:jc w:val="center"/>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排放浓度及排放量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restart"/>
                  <w:tcBorders>
                    <w:tl2br w:val="nil"/>
                    <w:tr2bl w:val="nil"/>
                  </w:tcBorders>
                  <w:vAlign w:val="center"/>
                </w:tcPr>
                <w:p>
                  <w:pPr>
                    <w:jc w:val="center"/>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大气污染物</w:t>
                  </w:r>
                </w:p>
              </w:tc>
              <w:tc>
                <w:tcPr>
                  <w:tcW w:w="265" w:type="pct"/>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有组织</w:t>
                  </w:r>
                </w:p>
              </w:tc>
              <w:tc>
                <w:tcPr>
                  <w:tcW w:w="692" w:type="pct"/>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天然气燃烧废气</w:t>
                  </w: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二氧化硫</w:t>
                  </w:r>
                </w:p>
              </w:tc>
              <w:tc>
                <w:tcPr>
                  <w:tcW w:w="120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14mg/m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，3.024t/a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14mg/m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，3.024t/a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265"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692"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氮氧化物</w:t>
                  </w:r>
                </w:p>
              </w:tc>
              <w:tc>
                <w:tcPr>
                  <w:tcW w:w="120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2mg/m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w:t>
                  </w:r>
                  <w:r>
                    <w:rPr>
                      <w:rFonts w:hint="eastAsia" w:ascii="宋体" w:hAnsi="宋体" w:cs="宋体"/>
                      <w:color w:val="FF0000"/>
                      <w:sz w:val="21"/>
                      <w:szCs w:val="21"/>
                      <w:u w:val="single"/>
                      <w:vertAlign w:val="baseline"/>
                      <w:lang w:val="en-US" w:eastAsia="zh-CN"/>
                    </w:rPr>
                    <w:t>0.432</w:t>
                  </w:r>
                  <w:r>
                    <w:rPr>
                      <w:rFonts w:hint="eastAsia"/>
                      <w:color w:val="FF0000"/>
                      <w:sz w:val="21"/>
                      <w:szCs w:val="21"/>
                      <w:u w:val="single"/>
                      <w:vertAlign w:val="baseline"/>
                      <w:lang w:val="en-US" w:eastAsia="zh-CN"/>
                    </w:rPr>
                    <w:t>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2mg/m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w:t>
                  </w:r>
                  <w:r>
                    <w:rPr>
                      <w:rFonts w:hint="eastAsia" w:ascii="宋体" w:hAnsi="宋体" w:cs="宋体"/>
                      <w:color w:val="FF0000"/>
                      <w:sz w:val="21"/>
                      <w:szCs w:val="21"/>
                      <w:u w:val="single"/>
                      <w:vertAlign w:val="baseline"/>
                      <w:lang w:val="en-US" w:eastAsia="zh-CN"/>
                    </w:rPr>
                    <w:t>0.432</w:t>
                  </w:r>
                  <w:r>
                    <w:rPr>
                      <w:rFonts w:hint="eastAsia"/>
                      <w:color w:val="FF0000"/>
                      <w:sz w:val="21"/>
                      <w:szCs w:val="21"/>
                      <w:u w:val="single"/>
                      <w:vertAlign w:val="baseline"/>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265"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692" w:type="pct"/>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锌锅废气和空气吹平废气</w:t>
                  </w: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颗粒物</w:t>
                  </w:r>
                </w:p>
              </w:tc>
              <w:tc>
                <w:tcPr>
                  <w:tcW w:w="120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486mg/m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，104.98t/a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1.79mg/m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，0.387t/a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265"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692"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HCl</w:t>
                  </w:r>
                </w:p>
              </w:tc>
              <w:tc>
                <w:tcPr>
                  <w:tcW w:w="120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9.72mg/m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，2.10t/a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9.72mg/m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，2.10t/a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265"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692"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氨</w:t>
                  </w:r>
                </w:p>
              </w:tc>
              <w:tc>
                <w:tcPr>
                  <w:tcW w:w="120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45.30mg/m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，9.785t/a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45.30mg/m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，9.785t/a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265"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692"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酸洗废气</w:t>
                  </w: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硫酸雾</w:t>
                  </w:r>
                </w:p>
              </w:tc>
              <w:tc>
                <w:tcPr>
                  <w:tcW w:w="120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15.73mg/m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，3.40t/a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4.72mg/m</w:t>
                  </w:r>
                  <w:r>
                    <w:rPr>
                      <w:rFonts w:hint="eastAsia"/>
                      <w:color w:val="FF0000"/>
                      <w:sz w:val="21"/>
                      <w:szCs w:val="21"/>
                      <w:u w:val="single"/>
                      <w:vertAlign w:val="superscript"/>
                      <w:lang w:val="en-US" w:eastAsia="zh-CN"/>
                    </w:rPr>
                    <w:t>3</w:t>
                  </w:r>
                  <w:r>
                    <w:rPr>
                      <w:rFonts w:hint="eastAsia"/>
                      <w:color w:val="FF0000"/>
                      <w:sz w:val="21"/>
                      <w:szCs w:val="21"/>
                      <w:u w:val="single"/>
                      <w:vertAlign w:val="baseline"/>
                      <w:lang w:val="en-US" w:eastAsia="zh-CN"/>
                    </w:rPr>
                    <w:t>，1.02t/a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265" w:type="pct"/>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无组织</w:t>
                  </w:r>
                </w:p>
              </w:tc>
              <w:tc>
                <w:tcPr>
                  <w:tcW w:w="692" w:type="pct"/>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镀锌车间</w:t>
                  </w: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颗粒物</w:t>
                  </w:r>
                </w:p>
              </w:tc>
              <w:tc>
                <w:tcPr>
                  <w:tcW w:w="120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5.53t/a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5.53t/a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265"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692"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HCl</w:t>
                  </w:r>
                </w:p>
              </w:tc>
              <w:tc>
                <w:tcPr>
                  <w:tcW w:w="120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0.11t/a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0.11t/a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265"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692" w:type="pct"/>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氨</w:t>
                  </w:r>
                </w:p>
              </w:tc>
              <w:tc>
                <w:tcPr>
                  <w:tcW w:w="120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0.515t/a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0.515t/a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restart"/>
                  <w:tcBorders>
                    <w:tl2br w:val="nil"/>
                    <w:tr2bl w:val="nil"/>
                  </w:tcBorders>
                  <w:vAlign w:val="center"/>
                </w:tcPr>
                <w:p>
                  <w:pPr>
                    <w:jc w:val="center"/>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水污染物</w:t>
                  </w:r>
                </w:p>
              </w:tc>
              <w:tc>
                <w:tcPr>
                  <w:tcW w:w="957" w:type="pct"/>
                  <w:gridSpan w:val="2"/>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生活污水</w:t>
                  </w: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CODcr</w:t>
                  </w:r>
                </w:p>
              </w:tc>
              <w:tc>
                <w:tcPr>
                  <w:tcW w:w="120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198mg/L，0.527t/a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198mg/L，0.527t/a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957" w:type="pct"/>
                  <w:gridSpan w:val="2"/>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氨氮</w:t>
                  </w:r>
                </w:p>
              </w:tc>
              <w:tc>
                <w:tcPr>
                  <w:tcW w:w="120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6.88mg/L，0.018t/a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6.88mg/L，0.018t/a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957" w:type="pct"/>
                  <w:gridSpan w:val="2"/>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生产废水</w:t>
                  </w: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CODcr</w:t>
                  </w:r>
                </w:p>
              </w:tc>
              <w:tc>
                <w:tcPr>
                  <w:tcW w:w="120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220mg/L，3.169t/a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6mg/L，0.086t/a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957" w:type="pct"/>
                  <w:gridSpan w:val="2"/>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氨氮</w:t>
                  </w:r>
                </w:p>
              </w:tc>
              <w:tc>
                <w:tcPr>
                  <w:tcW w:w="120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17.6mg/L，0.254t/a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0.12mg/L，0.002t/a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957" w:type="pct"/>
                  <w:gridSpan w:val="2"/>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总磷</w:t>
                  </w:r>
                </w:p>
              </w:tc>
              <w:tc>
                <w:tcPr>
                  <w:tcW w:w="120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0.8mg/L，0.012t/a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0.07mg/L，0.001t/a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957" w:type="pct"/>
                  <w:gridSpan w:val="2"/>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SS</w:t>
                  </w:r>
                </w:p>
              </w:tc>
              <w:tc>
                <w:tcPr>
                  <w:tcW w:w="120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209mg/L，3.011t/a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7mg/L，0.101t/a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restart"/>
                  <w:tcBorders>
                    <w:tl2br w:val="nil"/>
                    <w:tr2bl w:val="nil"/>
                  </w:tcBorders>
                  <w:vAlign w:val="center"/>
                </w:tcPr>
                <w:p>
                  <w:pPr>
                    <w:jc w:val="center"/>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固体废物</w:t>
                  </w:r>
                </w:p>
              </w:tc>
              <w:tc>
                <w:tcPr>
                  <w:tcW w:w="957" w:type="pct"/>
                  <w:gridSpan w:val="2"/>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可利用物</w:t>
                  </w: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铁锈剥离物</w:t>
                  </w:r>
                </w:p>
              </w:tc>
              <w:tc>
                <w:tcPr>
                  <w:tcW w:w="120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190t/a</w:t>
                  </w:r>
                </w:p>
              </w:tc>
              <w:tc>
                <w:tcPr>
                  <w:tcW w:w="118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物资回收公司回收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957" w:type="pct"/>
                  <w:gridSpan w:val="2"/>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锌渣</w:t>
                  </w:r>
                </w:p>
              </w:tc>
              <w:tc>
                <w:tcPr>
                  <w:tcW w:w="120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2100t/a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物资回收公司回收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957" w:type="pct"/>
                  <w:gridSpan w:val="2"/>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不合格产品</w:t>
                  </w:r>
                </w:p>
              </w:tc>
              <w:tc>
                <w:tcPr>
                  <w:tcW w:w="120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2100t/a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物资回收公司回收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957" w:type="pct"/>
                  <w:gridSpan w:val="2"/>
                  <w:vMerge w:val="restar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危险废物</w:t>
                  </w: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废气处理收集的锌灰（HW23）</w:t>
                  </w:r>
                </w:p>
              </w:tc>
              <w:tc>
                <w:tcPr>
                  <w:tcW w:w="120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104.6t/a</w:t>
                  </w:r>
                </w:p>
              </w:tc>
              <w:tc>
                <w:tcPr>
                  <w:tcW w:w="118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104.6t/a，交由有资质单位处理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957" w:type="pct"/>
                  <w:gridSpan w:val="2"/>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废水处理产生的污泥（HW23）</w:t>
                  </w:r>
                </w:p>
              </w:tc>
              <w:tc>
                <w:tcPr>
                  <w:tcW w:w="120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330t/a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330t/a，交由有资质单位处理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vMerge w:val="continue"/>
                  <w:tcBorders>
                    <w:tl2br w:val="nil"/>
                    <w:tr2bl w:val="nil"/>
                  </w:tcBorders>
                  <w:vAlign w:val="center"/>
                </w:tcPr>
                <w:p>
                  <w:pPr>
                    <w:jc w:val="center"/>
                    <w:rPr>
                      <w:rFonts w:hint="eastAsia"/>
                      <w:b/>
                      <w:bCs/>
                      <w:color w:val="FF0000"/>
                      <w:sz w:val="21"/>
                      <w:szCs w:val="21"/>
                      <w:u w:val="single"/>
                      <w:vertAlign w:val="baseline"/>
                      <w:lang w:val="en-US" w:eastAsia="zh-CN"/>
                    </w:rPr>
                  </w:pPr>
                </w:p>
              </w:tc>
              <w:tc>
                <w:tcPr>
                  <w:tcW w:w="957" w:type="pct"/>
                  <w:gridSpan w:val="2"/>
                  <w:vMerge w:val="continue"/>
                  <w:tcBorders>
                    <w:tl2br w:val="nil"/>
                    <w:tr2bl w:val="nil"/>
                  </w:tcBorders>
                  <w:vAlign w:val="center"/>
                </w:tcPr>
                <w:p>
                  <w:pPr>
                    <w:jc w:val="center"/>
                    <w:rPr>
                      <w:rFonts w:hint="eastAsia"/>
                      <w:color w:val="FF0000"/>
                      <w:sz w:val="21"/>
                      <w:szCs w:val="21"/>
                      <w:u w:val="single"/>
                      <w:vertAlign w:val="baseline"/>
                      <w:lang w:val="en-US" w:eastAsia="zh-CN"/>
                    </w:rPr>
                  </w:pPr>
                </w:p>
              </w:tc>
              <w:tc>
                <w:tcPr>
                  <w:tcW w:w="829"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废超滤膜和废反渗透膜（HW49）</w:t>
                  </w:r>
                </w:p>
              </w:tc>
              <w:tc>
                <w:tcPr>
                  <w:tcW w:w="1200" w:type="pct"/>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0.2t/a</w:t>
                  </w:r>
                </w:p>
              </w:tc>
              <w:tc>
                <w:tcPr>
                  <w:tcW w:w="1180" w:type="pct"/>
                  <w:tcBorders>
                    <w:tl2br w:val="nil"/>
                    <w:tr2bl w:val="nil"/>
                  </w:tcBorders>
                  <w:vAlign w:val="center"/>
                </w:tcPr>
                <w:p>
                  <w:pPr>
                    <w:jc w:val="center"/>
                    <w:rPr>
                      <w:rFonts w:hint="eastAsia"/>
                      <w:color w:val="FF0000"/>
                      <w:sz w:val="21"/>
                      <w:szCs w:val="21"/>
                      <w:u w:val="single"/>
                      <w:vertAlign w:val="baseline"/>
                      <w:lang w:val="en-US" w:eastAsia="zh-CN"/>
                    </w:rPr>
                  </w:pPr>
                  <w:r>
                    <w:rPr>
                      <w:rFonts w:hint="eastAsia"/>
                      <w:color w:val="FF0000"/>
                      <w:sz w:val="21"/>
                      <w:szCs w:val="21"/>
                      <w:u w:val="single"/>
                      <w:vertAlign w:val="baseline"/>
                      <w:lang w:val="en-US" w:eastAsia="zh-CN"/>
                    </w:rPr>
                    <w:t>0.2t/a，交由有资质单位处理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tcBorders>
                    <w:tl2br w:val="nil"/>
                    <w:tr2bl w:val="nil"/>
                  </w:tcBorders>
                  <w:vAlign w:val="center"/>
                </w:tcPr>
                <w:p>
                  <w:pPr>
                    <w:jc w:val="center"/>
                    <w:rPr>
                      <w:rFonts w:hint="default"/>
                      <w:b/>
                      <w:bCs/>
                      <w:color w:val="FF0000"/>
                      <w:sz w:val="21"/>
                      <w:szCs w:val="21"/>
                      <w:u w:val="single"/>
                      <w:vertAlign w:val="baseline"/>
                      <w:lang w:val="en-US" w:eastAsia="zh-CN"/>
                    </w:rPr>
                  </w:pPr>
                  <w:r>
                    <w:rPr>
                      <w:rFonts w:hint="eastAsia"/>
                      <w:b/>
                      <w:bCs/>
                      <w:color w:val="FF0000"/>
                      <w:sz w:val="21"/>
                      <w:szCs w:val="21"/>
                      <w:u w:val="single"/>
                      <w:vertAlign w:val="baseline"/>
                      <w:lang w:val="en-US" w:eastAsia="zh-CN"/>
                    </w:rPr>
                    <w:t>噪声</w:t>
                  </w:r>
                </w:p>
              </w:tc>
              <w:tc>
                <w:tcPr>
                  <w:tcW w:w="4168" w:type="pct"/>
                  <w:gridSpan w:val="5"/>
                  <w:tcBorders>
                    <w:tl2br w:val="nil"/>
                    <w:tr2bl w:val="nil"/>
                  </w:tcBorders>
                  <w:vAlign w:val="center"/>
                </w:tcPr>
                <w:p>
                  <w:pPr>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本项目噪声主要来源于机械设备运行时产生的噪声，主要为空压机、风机、行车等设备噪声，噪声声级在80~95dB（A），经隔声、减振、消声等处理后厂界噪声昼间低于65dB（A），夜间低于55dB（A）。</w:t>
                  </w:r>
                </w:p>
              </w:tc>
            </w:tr>
          </w:tbl>
          <w:p>
            <w:pPr>
              <w:adjustRightInd w:val="0"/>
              <w:snapToGrid w:val="0"/>
              <w:spacing w:line="360" w:lineRule="auto"/>
              <w:jc w:val="center"/>
              <w:rPr>
                <w:rFonts w:hint="eastAsia"/>
                <w:b/>
                <w:bCs/>
                <w:color w:val="FF0000"/>
                <w:sz w:val="24"/>
                <w:highlight w:val="none"/>
                <w:u w:val="single"/>
                <w:lang w:val="en-US" w:eastAsia="zh-CN"/>
              </w:rPr>
            </w:pPr>
          </w:p>
          <w:p>
            <w:pPr>
              <w:adjustRightInd w:val="0"/>
              <w:snapToGrid w:val="0"/>
              <w:spacing w:line="360" w:lineRule="auto"/>
              <w:ind w:firstLine="482" w:firstLineChars="200"/>
              <w:rPr>
                <w:rFonts w:hint="eastAsia"/>
                <w:b/>
                <w:bCs/>
                <w:color w:val="FF0000"/>
                <w:sz w:val="24"/>
                <w:highlight w:val="none"/>
                <w:u w:val="single"/>
                <w:lang w:val="en-US" w:eastAsia="zh-CN"/>
              </w:rPr>
            </w:pPr>
            <w:r>
              <w:rPr>
                <w:rFonts w:hint="eastAsia"/>
                <w:b/>
                <w:bCs/>
                <w:color w:val="FF0000"/>
                <w:sz w:val="24"/>
                <w:highlight w:val="none"/>
                <w:u w:val="single"/>
                <w:lang w:val="en-US" w:eastAsia="zh-CN"/>
              </w:rPr>
              <w:t>存在问题</w:t>
            </w:r>
          </w:p>
          <w:p>
            <w:pPr>
              <w:pStyle w:val="2"/>
              <w:ind w:left="0" w:leftChars="0" w:firstLine="480" w:firstLineChars="200"/>
              <w:rPr>
                <w:rFonts w:hint="default"/>
                <w:color w:val="FF0000"/>
                <w:u w:val="single"/>
                <w:lang w:val="en-US" w:eastAsia="zh-CN"/>
              </w:rPr>
            </w:pPr>
            <w:r>
              <w:rPr>
                <w:rFonts w:hint="eastAsia"/>
                <w:color w:val="FF0000"/>
                <w:u w:val="single"/>
                <w:lang w:val="en-US" w:eastAsia="zh-CN"/>
              </w:rPr>
              <w:t>该项目</w:t>
            </w:r>
            <w:r>
              <w:rPr>
                <w:rFonts w:hint="default"/>
                <w:color w:val="FF0000"/>
                <w:u w:val="single"/>
                <w:lang w:val="en-US" w:eastAsia="zh-CN"/>
              </w:rPr>
              <w:t>于201</w:t>
            </w:r>
            <w:r>
              <w:rPr>
                <w:rFonts w:hint="eastAsia"/>
                <w:color w:val="FF0000"/>
                <w:u w:val="single"/>
                <w:lang w:val="en-US" w:eastAsia="zh-CN"/>
              </w:rPr>
              <w:t>8</w:t>
            </w:r>
            <w:r>
              <w:rPr>
                <w:rFonts w:hint="default"/>
                <w:color w:val="FF0000"/>
                <w:u w:val="single"/>
                <w:lang w:val="en-US" w:eastAsia="zh-CN"/>
              </w:rPr>
              <w:t>年11月开工建设，2018年12月竣工并投入生产，于2019年3月通过了环保验收。项目投产至今未接到周边居民环保投诉，目前运行良好，根据现有工程验收资料，项目各污染防治措施基本到位，“三废”均能做到达标排放。</w:t>
            </w:r>
          </w:p>
          <w:p>
            <w:pPr>
              <w:adjustRightInd w:val="0"/>
              <w:snapToGrid w:val="0"/>
              <w:spacing w:line="360" w:lineRule="auto"/>
              <w:ind w:firstLine="482" w:firstLineChars="200"/>
              <w:rPr>
                <w:rFonts w:hint="default"/>
                <w:b/>
                <w:bCs/>
                <w:color w:val="FF0000"/>
                <w:sz w:val="24"/>
                <w:highlight w:val="none"/>
                <w:u w:val="single"/>
                <w:lang w:val="en-US" w:eastAsia="zh-CN"/>
              </w:rPr>
            </w:pPr>
            <w:r>
              <w:rPr>
                <w:rFonts w:hint="eastAsia"/>
                <w:b/>
                <w:bCs/>
                <w:color w:val="FF0000"/>
                <w:sz w:val="24"/>
                <w:highlight w:val="none"/>
                <w:u w:val="single"/>
                <w:lang w:val="en-US" w:eastAsia="zh-CN"/>
              </w:rPr>
              <w:t>二、机加工基地（年产7600吨钢结构件）扩建项目</w:t>
            </w:r>
          </w:p>
          <w:p>
            <w:pPr>
              <w:adjustRightInd w:val="0"/>
              <w:snapToGrid w:val="0"/>
              <w:spacing w:line="360" w:lineRule="auto"/>
              <w:ind w:firstLine="482" w:firstLineChars="200"/>
              <w:rPr>
                <w:rFonts w:hint="default"/>
                <w:b/>
                <w:bCs/>
                <w:color w:val="FF0000"/>
                <w:sz w:val="24"/>
                <w:highlight w:val="none"/>
                <w:u w:val="single"/>
                <w:lang w:val="en-US" w:eastAsia="zh-CN"/>
              </w:rPr>
            </w:pPr>
            <w:r>
              <w:rPr>
                <w:rFonts w:hint="eastAsia"/>
                <w:b/>
                <w:bCs/>
                <w:color w:val="FF0000"/>
                <w:sz w:val="24"/>
                <w:highlight w:val="none"/>
                <w:u w:val="single"/>
                <w:lang w:val="en-US" w:eastAsia="zh-CN"/>
              </w:rPr>
              <w:t>现有情况</w:t>
            </w:r>
          </w:p>
          <w:p>
            <w:pPr>
              <w:adjustRightInd w:val="0"/>
              <w:snapToGrid w:val="0"/>
              <w:spacing w:line="360" w:lineRule="auto"/>
              <w:jc w:val="center"/>
              <w:rPr>
                <w:rFonts w:hint="default"/>
                <w:b/>
                <w:bCs/>
                <w:color w:val="FF0000"/>
                <w:sz w:val="24"/>
                <w:highlight w:val="none"/>
                <w:u w:val="single"/>
                <w:lang w:val="en-US" w:eastAsia="zh-CN"/>
              </w:rPr>
            </w:pPr>
            <w:r>
              <w:rPr>
                <w:rFonts w:hint="eastAsia"/>
                <w:b/>
                <w:bCs/>
                <w:color w:val="FF0000"/>
                <w:sz w:val="24"/>
                <w:highlight w:val="none"/>
                <w:u w:val="single"/>
                <w:lang w:val="en-US" w:eastAsia="zh-CN"/>
              </w:rPr>
              <w:t>表2-10  机加工基地（年产7600吨钢结构件）扩建项目现有建设情况一览表</w:t>
            </w:r>
          </w:p>
          <w:tbl>
            <w:tblPr>
              <w:tblStyle w:val="13"/>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64"/>
              <w:gridCol w:w="1412"/>
              <w:gridCol w:w="46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tcBorders>
                    <w:tl2br w:val="nil"/>
                    <w:tr2bl w:val="nil"/>
                  </w:tcBorders>
                  <w:noWrap w:val="0"/>
                  <w:vAlign w:val="center"/>
                </w:tcPr>
                <w:p>
                  <w:pPr>
                    <w:adjustRightInd w:val="0"/>
                    <w:snapToGrid w:val="0"/>
                    <w:jc w:val="center"/>
                    <w:rPr>
                      <w:b/>
                      <w:bCs/>
                      <w:color w:val="FF0000"/>
                      <w:u w:val="single"/>
                    </w:rPr>
                  </w:pPr>
                  <w:r>
                    <w:rPr>
                      <w:b/>
                      <w:bCs/>
                      <w:color w:val="FF0000"/>
                      <w:u w:val="single"/>
                    </w:rPr>
                    <w:t>分类</w:t>
                  </w:r>
                </w:p>
              </w:tc>
              <w:tc>
                <w:tcPr>
                  <w:tcW w:w="786" w:type="pct"/>
                  <w:tcBorders>
                    <w:tl2br w:val="nil"/>
                    <w:tr2bl w:val="nil"/>
                  </w:tcBorders>
                  <w:noWrap w:val="0"/>
                  <w:vAlign w:val="center"/>
                </w:tcPr>
                <w:p>
                  <w:pPr>
                    <w:adjustRightInd w:val="0"/>
                    <w:snapToGrid w:val="0"/>
                    <w:jc w:val="center"/>
                    <w:rPr>
                      <w:b/>
                      <w:bCs/>
                      <w:color w:val="FF0000"/>
                      <w:u w:val="single"/>
                    </w:rPr>
                  </w:pPr>
                  <w:r>
                    <w:rPr>
                      <w:b/>
                      <w:bCs/>
                      <w:color w:val="FF0000"/>
                      <w:u w:val="single"/>
                    </w:rPr>
                    <w:t>项目组成</w:t>
                  </w:r>
                </w:p>
              </w:tc>
              <w:tc>
                <w:tcPr>
                  <w:tcW w:w="3739" w:type="pct"/>
                  <w:gridSpan w:val="2"/>
                  <w:tcBorders>
                    <w:tl2br w:val="nil"/>
                    <w:tr2bl w:val="nil"/>
                  </w:tcBorders>
                  <w:noWrap w:val="0"/>
                  <w:vAlign w:val="center"/>
                </w:tcPr>
                <w:p>
                  <w:pPr>
                    <w:adjustRightInd w:val="0"/>
                    <w:snapToGrid w:val="0"/>
                    <w:jc w:val="center"/>
                    <w:rPr>
                      <w:b/>
                      <w:bCs/>
                      <w:color w:val="FF0000"/>
                      <w:u w:val="single"/>
                    </w:rPr>
                  </w:pPr>
                  <w:r>
                    <w:rPr>
                      <w:b/>
                      <w:bCs/>
                      <w:color w:val="FF0000"/>
                      <w:u w:val="single"/>
                    </w:rPr>
                    <w:t>建设内容和规模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restart"/>
                  <w:tcBorders>
                    <w:tl2br w:val="nil"/>
                    <w:tr2bl w:val="nil"/>
                  </w:tcBorders>
                  <w:noWrap w:val="0"/>
                  <w:vAlign w:val="center"/>
                </w:tcPr>
                <w:p>
                  <w:pPr>
                    <w:adjustRightInd w:val="0"/>
                    <w:snapToGrid w:val="0"/>
                    <w:jc w:val="center"/>
                    <w:rPr>
                      <w:color w:val="FF0000"/>
                      <w:u w:val="single"/>
                    </w:rPr>
                  </w:pPr>
                  <w:r>
                    <w:rPr>
                      <w:color w:val="FF0000"/>
                      <w:u w:val="single"/>
                    </w:rPr>
                    <w:t>主体工程</w:t>
                  </w:r>
                </w:p>
              </w:tc>
              <w:tc>
                <w:tcPr>
                  <w:tcW w:w="786" w:type="pct"/>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1#车间</w:t>
                  </w:r>
                </w:p>
              </w:tc>
              <w:tc>
                <w:tcPr>
                  <w:tcW w:w="3739" w:type="pct"/>
                  <w:gridSpan w:val="2"/>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主要包括下料区、焊接区、组装区、打磨区、喷漆区，建筑面积6310m</w:t>
                  </w:r>
                  <w:r>
                    <w:rPr>
                      <w:rFonts w:hint="eastAsia"/>
                      <w:color w:val="FF0000"/>
                      <w:u w:val="single"/>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continue"/>
                  <w:tcBorders>
                    <w:tl2br w:val="nil"/>
                    <w:tr2bl w:val="nil"/>
                  </w:tcBorders>
                  <w:noWrap w:val="0"/>
                  <w:vAlign w:val="center"/>
                </w:tcPr>
                <w:p>
                  <w:pPr>
                    <w:adjustRightInd w:val="0"/>
                    <w:snapToGrid w:val="0"/>
                    <w:jc w:val="center"/>
                    <w:rPr>
                      <w:color w:val="FF0000"/>
                      <w:u w:val="single"/>
                    </w:rPr>
                  </w:pPr>
                </w:p>
              </w:tc>
              <w:tc>
                <w:tcPr>
                  <w:tcW w:w="786" w:type="pct"/>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2#车间</w:t>
                  </w:r>
                </w:p>
              </w:tc>
              <w:tc>
                <w:tcPr>
                  <w:tcW w:w="3739" w:type="pct"/>
                  <w:gridSpan w:val="2"/>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主要包括切割下料区、焊接区、组装区、打磨区、调试区、仓库，建筑面积5765m</w:t>
                  </w:r>
                  <w:r>
                    <w:rPr>
                      <w:rFonts w:hint="eastAsia"/>
                      <w:color w:val="FF0000"/>
                      <w:u w:val="single"/>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continue"/>
                  <w:tcBorders>
                    <w:tl2br w:val="nil"/>
                    <w:tr2bl w:val="nil"/>
                  </w:tcBorders>
                  <w:noWrap w:val="0"/>
                  <w:vAlign w:val="center"/>
                </w:tcPr>
                <w:p>
                  <w:pPr>
                    <w:adjustRightInd w:val="0"/>
                    <w:snapToGrid w:val="0"/>
                    <w:jc w:val="center"/>
                    <w:rPr>
                      <w:color w:val="FF0000"/>
                      <w:u w:val="single"/>
                    </w:rPr>
                  </w:pPr>
                </w:p>
              </w:tc>
              <w:tc>
                <w:tcPr>
                  <w:tcW w:w="786" w:type="pct"/>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3#车间</w:t>
                  </w:r>
                </w:p>
              </w:tc>
              <w:tc>
                <w:tcPr>
                  <w:tcW w:w="3739" w:type="pct"/>
                  <w:gridSpan w:val="2"/>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主要包括下料区、卷板区、焊接区、打磨区、仓库，建筑面积5135m</w:t>
                  </w:r>
                  <w:r>
                    <w:rPr>
                      <w:rFonts w:hint="eastAsia"/>
                      <w:color w:val="FF0000"/>
                      <w:u w:val="single"/>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continue"/>
                  <w:tcBorders>
                    <w:tl2br w:val="nil"/>
                    <w:tr2bl w:val="nil"/>
                  </w:tcBorders>
                  <w:noWrap w:val="0"/>
                  <w:vAlign w:val="center"/>
                </w:tcPr>
                <w:p>
                  <w:pPr>
                    <w:adjustRightInd w:val="0"/>
                    <w:snapToGrid w:val="0"/>
                    <w:jc w:val="center"/>
                    <w:rPr>
                      <w:color w:val="FF0000"/>
                      <w:u w:val="single"/>
                    </w:rPr>
                  </w:pPr>
                </w:p>
              </w:tc>
              <w:tc>
                <w:tcPr>
                  <w:tcW w:w="786" w:type="pct"/>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4#车间</w:t>
                  </w:r>
                </w:p>
              </w:tc>
              <w:tc>
                <w:tcPr>
                  <w:tcW w:w="3739" w:type="pct"/>
                  <w:gridSpan w:val="2"/>
                  <w:tcBorders>
                    <w:tl2br w:val="nil"/>
                    <w:tr2bl w:val="nil"/>
                  </w:tcBorders>
                  <w:noWrap w:val="0"/>
                  <w:vAlign w:val="center"/>
                </w:tcPr>
                <w:p>
                  <w:pPr>
                    <w:adjustRightInd w:val="0"/>
                    <w:snapToGrid w:val="0"/>
                    <w:jc w:val="center"/>
                    <w:rPr>
                      <w:rFonts w:hint="default"/>
                      <w:color w:val="FF0000"/>
                      <w:u w:val="single"/>
                      <w:lang w:val="en-US" w:eastAsia="zh-CN"/>
                    </w:rPr>
                  </w:pPr>
                  <w:r>
                    <w:rPr>
                      <w:rFonts w:hint="eastAsia"/>
                      <w:color w:val="FF0000"/>
                      <w:u w:val="single"/>
                      <w:lang w:val="en-US" w:eastAsia="zh-CN"/>
                    </w:rPr>
                    <w:t>主要包括原材料堆放区、焊管堆放区、下料区、制作区（剪切、折弯、机加）、打磨区、成品区，建筑面积5010m</w:t>
                  </w:r>
                  <w:r>
                    <w:rPr>
                      <w:rFonts w:hint="eastAsia"/>
                      <w:color w:val="FF0000"/>
                      <w:u w:val="single"/>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tcBorders>
                    <w:tl2br w:val="nil"/>
                    <w:tr2bl w:val="nil"/>
                  </w:tcBorders>
                  <w:noWrap w:val="0"/>
                  <w:vAlign w:val="center"/>
                </w:tcPr>
                <w:p>
                  <w:pPr>
                    <w:adjustRightInd w:val="0"/>
                    <w:snapToGrid w:val="0"/>
                    <w:jc w:val="center"/>
                    <w:rPr>
                      <w:color w:val="FF0000"/>
                      <w:u w:val="single"/>
                    </w:rPr>
                  </w:pPr>
                  <w:r>
                    <w:rPr>
                      <w:color w:val="FF0000"/>
                      <w:u w:val="single"/>
                    </w:rPr>
                    <w:t>辅助工程</w:t>
                  </w:r>
                </w:p>
              </w:tc>
              <w:tc>
                <w:tcPr>
                  <w:tcW w:w="786" w:type="pct"/>
                  <w:tcBorders>
                    <w:tl2br w:val="nil"/>
                    <w:tr2bl w:val="nil"/>
                  </w:tcBorders>
                  <w:noWrap w:val="0"/>
                  <w:vAlign w:val="center"/>
                </w:tcPr>
                <w:p>
                  <w:pPr>
                    <w:adjustRightInd w:val="0"/>
                    <w:snapToGrid w:val="0"/>
                    <w:jc w:val="center"/>
                    <w:rPr>
                      <w:color w:val="FF0000"/>
                      <w:u w:val="single"/>
                    </w:rPr>
                  </w:pPr>
                  <w:r>
                    <w:rPr>
                      <w:color w:val="FF0000"/>
                      <w:u w:val="single"/>
                    </w:rPr>
                    <w:t>办公室</w:t>
                  </w:r>
                </w:p>
              </w:tc>
              <w:tc>
                <w:tcPr>
                  <w:tcW w:w="3739" w:type="pct"/>
                  <w:gridSpan w:val="2"/>
                  <w:tcBorders>
                    <w:tl2br w:val="nil"/>
                    <w:tr2bl w:val="nil"/>
                  </w:tcBorders>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依托公司现有办公区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restar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公用工程</w:t>
                  </w:r>
                </w:p>
              </w:tc>
              <w:tc>
                <w:tcPr>
                  <w:tcW w:w="786"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供电</w:t>
                  </w:r>
                </w:p>
              </w:tc>
              <w:tc>
                <w:tcPr>
                  <w:tcW w:w="3739" w:type="pct"/>
                  <w:gridSpan w:val="2"/>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由市政供电电网接入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continue"/>
                  <w:tcBorders>
                    <w:tl2br w:val="nil"/>
                    <w:tr2bl w:val="nil"/>
                  </w:tcBorders>
                  <w:shd w:val="clear" w:color="auto" w:fill="auto"/>
                  <w:noWrap w:val="0"/>
                  <w:vAlign w:val="center"/>
                </w:tcPr>
                <w:p>
                  <w:pPr>
                    <w:adjustRightInd w:val="0"/>
                    <w:snapToGrid w:val="0"/>
                    <w:jc w:val="center"/>
                    <w:rPr>
                      <w:color w:val="FF0000"/>
                      <w:u w:val="single"/>
                    </w:rPr>
                  </w:pPr>
                </w:p>
              </w:tc>
              <w:tc>
                <w:tcPr>
                  <w:tcW w:w="786"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供水</w:t>
                  </w:r>
                </w:p>
              </w:tc>
              <w:tc>
                <w:tcPr>
                  <w:tcW w:w="3739" w:type="pct"/>
                  <w:gridSpan w:val="2"/>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由市政自来水管网供给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restar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环</w:t>
                  </w:r>
                </w:p>
                <w:p>
                  <w:pPr>
                    <w:adjustRightInd w:val="0"/>
                    <w:snapToGrid w:val="0"/>
                    <w:jc w:val="center"/>
                    <w:rPr>
                      <w:color w:val="FF0000"/>
                      <w:u w:val="single"/>
                    </w:rPr>
                  </w:pPr>
                  <w:r>
                    <w:rPr>
                      <w:color w:val="FF0000"/>
                      <w:u w:val="single"/>
                    </w:rPr>
                    <w:t>保</w:t>
                  </w:r>
                </w:p>
                <w:p>
                  <w:pPr>
                    <w:adjustRightInd w:val="0"/>
                    <w:snapToGrid w:val="0"/>
                    <w:jc w:val="center"/>
                    <w:rPr>
                      <w:color w:val="FF0000"/>
                      <w:u w:val="single"/>
                    </w:rPr>
                  </w:pPr>
                  <w:r>
                    <w:rPr>
                      <w:color w:val="FF0000"/>
                      <w:u w:val="single"/>
                    </w:rPr>
                    <w:t>工</w:t>
                  </w:r>
                </w:p>
                <w:p>
                  <w:pPr>
                    <w:adjustRightInd w:val="0"/>
                    <w:snapToGrid w:val="0"/>
                    <w:jc w:val="center"/>
                    <w:rPr>
                      <w:color w:val="FF0000"/>
                      <w:u w:val="single"/>
                    </w:rPr>
                  </w:pPr>
                  <w:r>
                    <w:rPr>
                      <w:color w:val="FF0000"/>
                      <w:u w:val="single"/>
                    </w:rPr>
                    <w:t>程</w:t>
                  </w:r>
                </w:p>
              </w:tc>
              <w:tc>
                <w:tcPr>
                  <w:tcW w:w="786"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废水</w:t>
                  </w:r>
                </w:p>
              </w:tc>
              <w:tc>
                <w:tcPr>
                  <w:tcW w:w="878" w:type="pc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 xml:space="preserve">生活污水 </w:t>
                  </w:r>
                </w:p>
              </w:tc>
              <w:tc>
                <w:tcPr>
                  <w:tcW w:w="2861" w:type="pct"/>
                  <w:tcBorders>
                    <w:tl2br w:val="nil"/>
                    <w:tr2bl w:val="nil"/>
                  </w:tcBorders>
                  <w:shd w:val="clear" w:color="auto" w:fill="auto"/>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依托</w:t>
                  </w:r>
                  <w:r>
                    <w:rPr>
                      <w:rFonts w:hint="eastAsia"/>
                      <w:color w:val="FF0000"/>
                      <w:u w:val="single"/>
                    </w:rPr>
                    <w:t>湖南定宇新材料科技有限公司</w:t>
                  </w:r>
                  <w:r>
                    <w:rPr>
                      <w:rFonts w:hint="eastAsia"/>
                      <w:color w:val="FF0000"/>
                      <w:u w:val="single"/>
                      <w:lang w:val="en-US" w:eastAsia="zh-CN"/>
                    </w:rPr>
                    <w:t>已建成</w:t>
                  </w:r>
                  <w:r>
                    <w:rPr>
                      <w:color w:val="FF0000"/>
                      <w:u w:val="single"/>
                    </w:rPr>
                    <w:t>化粪池处理</w:t>
                  </w:r>
                  <w:r>
                    <w:rPr>
                      <w:rFonts w:hint="eastAsia"/>
                      <w:color w:val="FF0000"/>
                      <w:u w:val="single"/>
                      <w:lang w:val="en-US" w:eastAsia="zh-CN"/>
                    </w:rPr>
                    <w:t>后，排入园区市政污水管网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continue"/>
                  <w:tcBorders>
                    <w:tl2br w:val="nil"/>
                    <w:tr2bl w:val="nil"/>
                  </w:tcBorders>
                  <w:shd w:val="clear" w:color="auto" w:fill="auto"/>
                  <w:noWrap w:val="0"/>
                  <w:vAlign w:val="center"/>
                </w:tcPr>
                <w:p>
                  <w:pPr>
                    <w:adjustRightInd w:val="0"/>
                    <w:snapToGrid w:val="0"/>
                    <w:jc w:val="center"/>
                    <w:rPr>
                      <w:color w:val="FF0000"/>
                      <w:u w:val="single"/>
                    </w:rPr>
                  </w:pPr>
                </w:p>
              </w:tc>
              <w:tc>
                <w:tcPr>
                  <w:tcW w:w="786" w:type="pct"/>
                  <w:vMerge w:val="restart"/>
                  <w:tcBorders>
                    <w:tl2br w:val="nil"/>
                    <w:tr2bl w:val="nil"/>
                  </w:tcBorders>
                  <w:shd w:val="clear" w:color="auto" w:fill="auto"/>
                  <w:noWrap w:val="0"/>
                  <w:vAlign w:val="center"/>
                </w:tcPr>
                <w:p>
                  <w:pPr>
                    <w:adjustRightInd w:val="0"/>
                    <w:snapToGrid w:val="0"/>
                    <w:jc w:val="center"/>
                    <w:rPr>
                      <w:color w:val="FF0000"/>
                      <w:u w:val="single"/>
                    </w:rPr>
                  </w:pPr>
                  <w:r>
                    <w:rPr>
                      <w:color w:val="FF0000"/>
                      <w:u w:val="single"/>
                    </w:rPr>
                    <w:t>废气</w:t>
                  </w:r>
                </w:p>
              </w:tc>
              <w:tc>
                <w:tcPr>
                  <w:tcW w:w="878" w:type="pct"/>
                  <w:tcBorders>
                    <w:tl2br w:val="nil"/>
                    <w:tr2bl w:val="nil"/>
                  </w:tcBorders>
                  <w:shd w:val="clear" w:color="auto" w:fill="auto"/>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切割废气</w:t>
                  </w:r>
                </w:p>
              </w:tc>
              <w:tc>
                <w:tcPr>
                  <w:tcW w:w="2861" w:type="pct"/>
                  <w:tcBorders>
                    <w:tl2br w:val="nil"/>
                    <w:tr2bl w:val="nil"/>
                  </w:tcBorders>
                  <w:shd w:val="clear" w:color="auto" w:fill="auto"/>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移动式烟尘净化器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continue"/>
                  <w:tcBorders>
                    <w:tl2br w:val="nil"/>
                    <w:tr2bl w:val="nil"/>
                  </w:tcBorders>
                  <w:shd w:val="clear" w:color="auto" w:fill="auto"/>
                  <w:noWrap w:val="0"/>
                  <w:vAlign w:val="center"/>
                </w:tcPr>
                <w:p>
                  <w:pPr>
                    <w:adjustRightInd w:val="0"/>
                    <w:snapToGrid w:val="0"/>
                    <w:jc w:val="center"/>
                    <w:rPr>
                      <w:color w:val="FF0000"/>
                      <w:u w:val="single"/>
                    </w:rPr>
                  </w:pPr>
                </w:p>
              </w:tc>
              <w:tc>
                <w:tcPr>
                  <w:tcW w:w="786" w:type="pct"/>
                  <w:vMerge w:val="continue"/>
                  <w:tcBorders>
                    <w:tl2br w:val="nil"/>
                    <w:tr2bl w:val="nil"/>
                  </w:tcBorders>
                  <w:shd w:val="clear" w:color="auto" w:fill="auto"/>
                  <w:noWrap w:val="0"/>
                  <w:vAlign w:val="center"/>
                </w:tcPr>
                <w:p>
                  <w:pPr>
                    <w:adjustRightInd w:val="0"/>
                    <w:snapToGrid w:val="0"/>
                    <w:jc w:val="center"/>
                    <w:rPr>
                      <w:color w:val="FF0000"/>
                      <w:u w:val="single"/>
                    </w:rPr>
                  </w:pPr>
                </w:p>
              </w:tc>
              <w:tc>
                <w:tcPr>
                  <w:tcW w:w="878" w:type="pct"/>
                  <w:tcBorders>
                    <w:tl2br w:val="nil"/>
                    <w:tr2bl w:val="nil"/>
                  </w:tcBorders>
                  <w:shd w:val="clear" w:color="auto" w:fill="auto"/>
                  <w:noWrap w:val="0"/>
                  <w:vAlign w:val="center"/>
                </w:tcPr>
                <w:p>
                  <w:pPr>
                    <w:adjustRightInd w:val="0"/>
                    <w:snapToGrid w:val="0"/>
                    <w:jc w:val="center"/>
                    <w:rPr>
                      <w:rFonts w:hint="default"/>
                      <w:color w:val="FF0000"/>
                      <w:u w:val="single"/>
                      <w:lang w:val="en-US" w:eastAsia="zh-CN"/>
                    </w:rPr>
                  </w:pPr>
                  <w:r>
                    <w:rPr>
                      <w:rFonts w:hint="eastAsia"/>
                      <w:color w:val="FF0000"/>
                      <w:u w:val="single"/>
                      <w:lang w:val="en-US" w:eastAsia="zh-CN"/>
                    </w:rPr>
                    <w:t>焊接废气</w:t>
                  </w:r>
                </w:p>
              </w:tc>
              <w:tc>
                <w:tcPr>
                  <w:tcW w:w="2861" w:type="pct"/>
                  <w:tcBorders>
                    <w:tl2br w:val="nil"/>
                    <w:tr2bl w:val="nil"/>
                  </w:tcBorders>
                  <w:shd w:val="clear" w:color="auto" w:fill="auto"/>
                  <w:noWrap w:val="0"/>
                  <w:vAlign w:val="center"/>
                </w:tcPr>
                <w:p>
                  <w:pPr>
                    <w:adjustRightInd w:val="0"/>
                    <w:snapToGrid w:val="0"/>
                    <w:jc w:val="center"/>
                    <w:rPr>
                      <w:rFonts w:hint="default" w:eastAsia="宋体"/>
                      <w:color w:val="FF0000"/>
                      <w:u w:val="single"/>
                      <w:lang w:val="en-US" w:eastAsia="zh-CN"/>
                    </w:rPr>
                  </w:pPr>
                  <w:r>
                    <w:rPr>
                      <w:rFonts w:hint="eastAsia"/>
                      <w:color w:val="FF0000"/>
                      <w:u w:val="single"/>
                      <w:lang w:val="en-US" w:eastAsia="zh-CN"/>
                    </w:rPr>
                    <w:t>移动式烟尘净化器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continue"/>
                  <w:tcBorders>
                    <w:tl2br w:val="nil"/>
                    <w:tr2bl w:val="nil"/>
                  </w:tcBorders>
                  <w:noWrap w:val="0"/>
                  <w:vAlign w:val="center"/>
                </w:tcPr>
                <w:p>
                  <w:pPr>
                    <w:adjustRightInd w:val="0"/>
                    <w:snapToGrid w:val="0"/>
                    <w:jc w:val="center"/>
                    <w:rPr>
                      <w:color w:val="FF0000"/>
                      <w:u w:val="single"/>
                    </w:rPr>
                  </w:pPr>
                </w:p>
              </w:tc>
              <w:tc>
                <w:tcPr>
                  <w:tcW w:w="786" w:type="pct"/>
                  <w:vMerge w:val="continue"/>
                  <w:tcBorders>
                    <w:tl2br w:val="nil"/>
                    <w:tr2bl w:val="nil"/>
                  </w:tcBorders>
                  <w:noWrap w:val="0"/>
                  <w:vAlign w:val="center"/>
                </w:tcPr>
                <w:p>
                  <w:pPr>
                    <w:adjustRightInd w:val="0"/>
                    <w:snapToGrid w:val="0"/>
                    <w:jc w:val="center"/>
                    <w:rPr>
                      <w:color w:val="FF0000"/>
                      <w:u w:val="single"/>
                    </w:rPr>
                  </w:pPr>
                </w:p>
              </w:tc>
              <w:tc>
                <w:tcPr>
                  <w:tcW w:w="878" w:type="pct"/>
                  <w:tcBorders>
                    <w:tl2br w:val="nil"/>
                    <w:tr2bl w:val="nil"/>
                  </w:tcBorders>
                  <w:noWrap w:val="0"/>
                  <w:vAlign w:val="center"/>
                </w:tcPr>
                <w:p>
                  <w:pPr>
                    <w:adjustRightInd w:val="0"/>
                    <w:snapToGrid w:val="0"/>
                    <w:jc w:val="center"/>
                    <w:rPr>
                      <w:color w:val="FF0000"/>
                      <w:u w:val="single"/>
                    </w:rPr>
                  </w:pPr>
                  <w:r>
                    <w:rPr>
                      <w:color w:val="FF0000"/>
                      <w:u w:val="single"/>
                    </w:rPr>
                    <w:t>有机废气</w:t>
                  </w:r>
                </w:p>
              </w:tc>
              <w:tc>
                <w:tcPr>
                  <w:tcW w:w="2861" w:type="pct"/>
                  <w:tcBorders>
                    <w:tl2br w:val="nil"/>
                    <w:tr2bl w:val="nil"/>
                  </w:tcBorders>
                  <w:noWrap w:val="0"/>
                  <w:vAlign w:val="center"/>
                </w:tcPr>
                <w:p>
                  <w:pPr>
                    <w:adjustRightInd w:val="0"/>
                    <w:snapToGrid w:val="0"/>
                    <w:jc w:val="center"/>
                    <w:rPr>
                      <w:rFonts w:hint="default"/>
                      <w:color w:val="FF0000"/>
                      <w:u w:val="single"/>
                      <w:lang w:val="en-US"/>
                    </w:rPr>
                  </w:pPr>
                  <w:r>
                    <w:rPr>
                      <w:rFonts w:hint="eastAsia" w:eastAsia="宋体"/>
                      <w:color w:val="FF0000"/>
                      <w:u w:val="single"/>
                      <w:lang w:val="en-US" w:eastAsia="zh-CN"/>
                    </w:rPr>
                    <w:t>水幕喷淋+UV光氧+活性炭+15m高排气筒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continue"/>
                  <w:tcBorders>
                    <w:tl2br w:val="nil"/>
                    <w:tr2bl w:val="nil"/>
                  </w:tcBorders>
                  <w:noWrap w:val="0"/>
                  <w:vAlign w:val="center"/>
                </w:tcPr>
                <w:p>
                  <w:pPr>
                    <w:adjustRightInd w:val="0"/>
                    <w:snapToGrid w:val="0"/>
                    <w:jc w:val="center"/>
                    <w:rPr>
                      <w:color w:val="FF0000"/>
                      <w:u w:val="single"/>
                    </w:rPr>
                  </w:pPr>
                </w:p>
              </w:tc>
              <w:tc>
                <w:tcPr>
                  <w:tcW w:w="786" w:type="pct"/>
                  <w:vMerge w:val="restart"/>
                  <w:tcBorders>
                    <w:tl2br w:val="nil"/>
                    <w:tr2bl w:val="nil"/>
                  </w:tcBorders>
                  <w:noWrap w:val="0"/>
                  <w:vAlign w:val="center"/>
                </w:tcPr>
                <w:p>
                  <w:pPr>
                    <w:adjustRightInd w:val="0"/>
                    <w:snapToGrid w:val="0"/>
                    <w:jc w:val="center"/>
                    <w:rPr>
                      <w:color w:val="FF0000"/>
                      <w:u w:val="single"/>
                    </w:rPr>
                  </w:pPr>
                  <w:r>
                    <w:rPr>
                      <w:color w:val="FF0000"/>
                      <w:u w:val="single"/>
                    </w:rPr>
                    <w:t>固废</w:t>
                  </w:r>
                </w:p>
              </w:tc>
              <w:tc>
                <w:tcPr>
                  <w:tcW w:w="878" w:type="pct"/>
                  <w:tcBorders>
                    <w:tl2br w:val="nil"/>
                    <w:tr2bl w:val="nil"/>
                  </w:tcBorders>
                  <w:noWrap w:val="0"/>
                  <w:vAlign w:val="center"/>
                </w:tcPr>
                <w:p>
                  <w:pPr>
                    <w:adjustRightInd w:val="0"/>
                    <w:snapToGrid w:val="0"/>
                    <w:jc w:val="center"/>
                    <w:rPr>
                      <w:color w:val="FF0000"/>
                      <w:u w:val="single"/>
                    </w:rPr>
                  </w:pPr>
                  <w:r>
                    <w:rPr>
                      <w:color w:val="FF0000"/>
                      <w:u w:val="single"/>
                    </w:rPr>
                    <w:t>生活垃圾</w:t>
                  </w:r>
                </w:p>
              </w:tc>
              <w:tc>
                <w:tcPr>
                  <w:tcW w:w="2861" w:type="pct"/>
                  <w:tcBorders>
                    <w:tl2br w:val="nil"/>
                    <w:tr2bl w:val="nil"/>
                  </w:tcBorders>
                  <w:noWrap w:val="0"/>
                  <w:vAlign w:val="center"/>
                </w:tcPr>
                <w:p>
                  <w:pPr>
                    <w:adjustRightInd w:val="0"/>
                    <w:snapToGrid w:val="0"/>
                    <w:jc w:val="center"/>
                    <w:rPr>
                      <w:color w:val="FF0000"/>
                      <w:u w:val="single"/>
                    </w:rPr>
                  </w:pPr>
                  <w:r>
                    <w:rPr>
                      <w:color w:val="FF0000"/>
                      <w:u w:val="single"/>
                    </w:rPr>
                    <w:t>环卫部门统一清运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continue"/>
                  <w:tcBorders>
                    <w:tl2br w:val="nil"/>
                    <w:tr2bl w:val="nil"/>
                  </w:tcBorders>
                  <w:noWrap w:val="0"/>
                  <w:vAlign w:val="center"/>
                </w:tcPr>
                <w:p>
                  <w:pPr>
                    <w:adjustRightInd w:val="0"/>
                    <w:snapToGrid w:val="0"/>
                    <w:jc w:val="center"/>
                    <w:rPr>
                      <w:color w:val="FF0000"/>
                      <w:u w:val="single"/>
                    </w:rPr>
                  </w:pPr>
                </w:p>
              </w:tc>
              <w:tc>
                <w:tcPr>
                  <w:tcW w:w="786" w:type="pct"/>
                  <w:vMerge w:val="continue"/>
                  <w:tcBorders>
                    <w:tl2br w:val="nil"/>
                    <w:tr2bl w:val="nil"/>
                  </w:tcBorders>
                  <w:noWrap w:val="0"/>
                  <w:vAlign w:val="center"/>
                </w:tcPr>
                <w:p>
                  <w:pPr>
                    <w:adjustRightInd w:val="0"/>
                    <w:snapToGrid w:val="0"/>
                    <w:jc w:val="center"/>
                    <w:rPr>
                      <w:color w:val="FF0000"/>
                      <w:u w:val="single"/>
                    </w:rPr>
                  </w:pPr>
                </w:p>
              </w:tc>
              <w:tc>
                <w:tcPr>
                  <w:tcW w:w="878" w:type="pct"/>
                  <w:tcBorders>
                    <w:tl2br w:val="nil"/>
                    <w:tr2bl w:val="nil"/>
                  </w:tcBorders>
                  <w:noWrap w:val="0"/>
                  <w:vAlign w:val="center"/>
                </w:tcPr>
                <w:p>
                  <w:pPr>
                    <w:adjustRightInd w:val="0"/>
                    <w:snapToGrid w:val="0"/>
                    <w:jc w:val="center"/>
                    <w:rPr>
                      <w:color w:val="FF0000"/>
                      <w:u w:val="single"/>
                    </w:rPr>
                  </w:pPr>
                  <w:r>
                    <w:rPr>
                      <w:color w:val="FF0000"/>
                      <w:u w:val="single"/>
                    </w:rPr>
                    <w:t>一般固体废物</w:t>
                  </w:r>
                </w:p>
              </w:tc>
              <w:tc>
                <w:tcPr>
                  <w:tcW w:w="2861" w:type="pct"/>
                  <w:tcBorders>
                    <w:tl2br w:val="nil"/>
                    <w:tr2bl w:val="nil"/>
                  </w:tcBorders>
                  <w:noWrap w:val="0"/>
                  <w:vAlign w:val="center"/>
                </w:tcPr>
                <w:p>
                  <w:pPr>
                    <w:adjustRightInd w:val="0"/>
                    <w:snapToGrid w:val="0"/>
                    <w:jc w:val="center"/>
                    <w:rPr>
                      <w:rFonts w:hint="default" w:eastAsia="宋体"/>
                      <w:color w:val="FF0000"/>
                      <w:u w:val="single"/>
                      <w:lang w:val="en-US" w:eastAsia="zh-CN"/>
                    </w:rPr>
                  </w:pPr>
                  <w:r>
                    <w:rPr>
                      <w:color w:val="FF0000"/>
                      <w:u w:val="single"/>
                    </w:rPr>
                    <w:t>集中收集后外售综合利用</w:t>
                  </w:r>
                  <w:r>
                    <w:rPr>
                      <w:rFonts w:hint="eastAsia"/>
                      <w:color w:val="FF0000"/>
                      <w:u w:val="single"/>
                      <w:lang w:eastAsia="zh-CN"/>
                    </w:rPr>
                    <w:t>，</w:t>
                  </w:r>
                  <w:r>
                    <w:rPr>
                      <w:rFonts w:hint="eastAsia"/>
                      <w:color w:val="FF0000"/>
                      <w:u w:val="single"/>
                      <w:lang w:val="en-US" w:eastAsia="zh-CN"/>
                    </w:rPr>
                    <w:t>位于各车间内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continue"/>
                  <w:tcBorders>
                    <w:tl2br w:val="nil"/>
                    <w:tr2bl w:val="nil"/>
                  </w:tcBorders>
                  <w:noWrap w:val="0"/>
                  <w:vAlign w:val="center"/>
                </w:tcPr>
                <w:p>
                  <w:pPr>
                    <w:adjustRightInd w:val="0"/>
                    <w:snapToGrid w:val="0"/>
                    <w:jc w:val="center"/>
                    <w:rPr>
                      <w:color w:val="FF0000"/>
                      <w:u w:val="single"/>
                    </w:rPr>
                  </w:pPr>
                </w:p>
              </w:tc>
              <w:tc>
                <w:tcPr>
                  <w:tcW w:w="786" w:type="pct"/>
                  <w:vMerge w:val="continue"/>
                  <w:tcBorders>
                    <w:tl2br w:val="nil"/>
                    <w:tr2bl w:val="nil"/>
                  </w:tcBorders>
                  <w:noWrap w:val="0"/>
                  <w:vAlign w:val="center"/>
                </w:tcPr>
                <w:p>
                  <w:pPr>
                    <w:adjustRightInd w:val="0"/>
                    <w:snapToGrid w:val="0"/>
                    <w:jc w:val="center"/>
                    <w:rPr>
                      <w:color w:val="FF0000"/>
                      <w:u w:val="single"/>
                    </w:rPr>
                  </w:pPr>
                </w:p>
              </w:tc>
              <w:tc>
                <w:tcPr>
                  <w:tcW w:w="878" w:type="pct"/>
                  <w:tcBorders>
                    <w:tl2br w:val="nil"/>
                    <w:tr2bl w:val="nil"/>
                  </w:tcBorders>
                  <w:noWrap w:val="0"/>
                  <w:vAlign w:val="center"/>
                </w:tcPr>
                <w:p>
                  <w:pPr>
                    <w:adjustRightInd w:val="0"/>
                    <w:snapToGrid w:val="0"/>
                    <w:jc w:val="center"/>
                    <w:rPr>
                      <w:color w:val="FF0000"/>
                      <w:u w:val="single"/>
                    </w:rPr>
                  </w:pPr>
                  <w:r>
                    <w:rPr>
                      <w:color w:val="FF0000"/>
                      <w:u w:val="single"/>
                    </w:rPr>
                    <w:t>危险废物</w:t>
                  </w:r>
                </w:p>
              </w:tc>
              <w:tc>
                <w:tcPr>
                  <w:tcW w:w="2861" w:type="pct"/>
                  <w:tcBorders>
                    <w:tl2br w:val="nil"/>
                    <w:tr2bl w:val="nil"/>
                  </w:tcBorders>
                  <w:noWrap w:val="0"/>
                  <w:vAlign w:val="center"/>
                </w:tcPr>
                <w:p>
                  <w:pPr>
                    <w:adjustRightInd w:val="0"/>
                    <w:snapToGrid w:val="0"/>
                    <w:jc w:val="center"/>
                    <w:rPr>
                      <w:color w:val="FF0000"/>
                      <w:u w:val="single"/>
                    </w:rPr>
                  </w:pPr>
                  <w:r>
                    <w:rPr>
                      <w:color w:val="FF0000"/>
                      <w:highlight w:val="none"/>
                      <w:u w:val="single"/>
                    </w:rPr>
                    <w:t>危废暂存间暂存</w:t>
                  </w:r>
                  <w:r>
                    <w:rPr>
                      <w:color w:val="FF0000"/>
                      <w:u w:val="single"/>
                    </w:rPr>
                    <w:t>，委托有资质的单位处理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vMerge w:val="continue"/>
                  <w:tcBorders>
                    <w:tl2br w:val="nil"/>
                    <w:tr2bl w:val="nil"/>
                  </w:tcBorders>
                  <w:noWrap w:val="0"/>
                  <w:vAlign w:val="center"/>
                </w:tcPr>
                <w:p>
                  <w:pPr>
                    <w:adjustRightInd w:val="0"/>
                    <w:snapToGrid w:val="0"/>
                    <w:jc w:val="center"/>
                    <w:rPr>
                      <w:color w:val="FF0000"/>
                      <w:u w:val="single"/>
                    </w:rPr>
                  </w:pPr>
                </w:p>
              </w:tc>
              <w:tc>
                <w:tcPr>
                  <w:tcW w:w="786" w:type="pct"/>
                  <w:tcBorders>
                    <w:tl2br w:val="nil"/>
                    <w:tr2bl w:val="nil"/>
                  </w:tcBorders>
                  <w:noWrap w:val="0"/>
                  <w:vAlign w:val="center"/>
                </w:tcPr>
                <w:p>
                  <w:pPr>
                    <w:adjustRightInd w:val="0"/>
                    <w:snapToGrid w:val="0"/>
                    <w:jc w:val="center"/>
                    <w:rPr>
                      <w:color w:val="FF0000"/>
                      <w:u w:val="single"/>
                    </w:rPr>
                  </w:pPr>
                  <w:r>
                    <w:rPr>
                      <w:color w:val="FF0000"/>
                      <w:u w:val="single"/>
                    </w:rPr>
                    <w:t>噪声</w:t>
                  </w:r>
                </w:p>
              </w:tc>
              <w:tc>
                <w:tcPr>
                  <w:tcW w:w="3739" w:type="pct"/>
                  <w:gridSpan w:val="2"/>
                  <w:tcBorders>
                    <w:tl2br w:val="nil"/>
                    <w:tr2bl w:val="nil"/>
                  </w:tcBorders>
                  <w:noWrap w:val="0"/>
                  <w:vAlign w:val="center"/>
                </w:tcPr>
                <w:p>
                  <w:pPr>
                    <w:adjustRightInd w:val="0"/>
                    <w:snapToGrid w:val="0"/>
                    <w:jc w:val="center"/>
                    <w:rPr>
                      <w:color w:val="FF0000"/>
                      <w:u w:val="single"/>
                    </w:rPr>
                  </w:pPr>
                  <w:r>
                    <w:rPr>
                      <w:color w:val="FF0000"/>
                      <w:u w:val="single"/>
                    </w:rPr>
                    <w:t>合理布局，设备采取基础减振、隔声等措施；加强设备维护和保养</w:t>
                  </w:r>
                </w:p>
              </w:tc>
            </w:tr>
          </w:tbl>
          <w:p>
            <w:pPr>
              <w:adjustRightInd w:val="0"/>
              <w:snapToGrid w:val="0"/>
              <w:spacing w:line="360" w:lineRule="auto"/>
              <w:ind w:firstLine="482" w:firstLineChars="200"/>
              <w:rPr>
                <w:rFonts w:hint="default"/>
                <w:b/>
                <w:bCs/>
                <w:color w:val="FF0000"/>
                <w:sz w:val="24"/>
                <w:highlight w:val="none"/>
                <w:u w:val="single"/>
                <w:lang w:val="en-US" w:eastAsia="zh-CN"/>
              </w:rPr>
            </w:pPr>
            <w:r>
              <w:rPr>
                <w:rFonts w:hint="eastAsia"/>
                <w:b/>
                <w:bCs/>
                <w:color w:val="FF0000"/>
                <w:sz w:val="24"/>
                <w:highlight w:val="none"/>
                <w:u w:val="single"/>
                <w:lang w:val="en-US" w:eastAsia="zh-CN"/>
              </w:rPr>
              <w:t>存在问题</w:t>
            </w:r>
          </w:p>
          <w:p>
            <w:pPr>
              <w:adjustRightInd w:val="0"/>
              <w:snapToGrid w:val="0"/>
              <w:spacing w:line="360" w:lineRule="auto"/>
              <w:jc w:val="center"/>
              <w:rPr>
                <w:rFonts w:hint="default"/>
                <w:b/>
                <w:bCs/>
                <w:color w:val="FF0000"/>
                <w:sz w:val="24"/>
                <w:highlight w:val="none"/>
                <w:u w:val="single"/>
                <w:lang w:val="en-US" w:eastAsia="zh-CN"/>
              </w:rPr>
            </w:pPr>
            <w:r>
              <w:rPr>
                <w:rFonts w:hint="eastAsia"/>
                <w:b/>
                <w:bCs/>
                <w:color w:val="FF0000"/>
                <w:sz w:val="24"/>
                <w:highlight w:val="none"/>
                <w:u w:val="single"/>
                <w:lang w:val="en-US" w:eastAsia="zh-CN"/>
              </w:rPr>
              <w:t>表2-11  现有项目存在问题及整改措施</w:t>
            </w:r>
          </w:p>
          <w:tbl>
            <w:tblPr>
              <w:tblStyle w:val="14"/>
              <w:tblW w:w="80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020"/>
              <w:gridCol w:w="4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0" w:type="dxa"/>
                  <w:tcBorders>
                    <w:tl2br w:val="nil"/>
                    <w:tr2bl w:val="nil"/>
                  </w:tcBorders>
                  <w:vAlign w:val="center"/>
                </w:tcPr>
                <w:p>
                  <w:pPr>
                    <w:bidi w:val="0"/>
                    <w:spacing w:line="240" w:lineRule="auto"/>
                    <w:jc w:val="center"/>
                    <w:rPr>
                      <w:rFonts w:hint="default"/>
                      <w:color w:val="FF0000"/>
                      <w:sz w:val="21"/>
                      <w:szCs w:val="21"/>
                      <w:u w:val="single"/>
                      <w:lang w:val="en-US" w:eastAsia="zh-CN"/>
                    </w:rPr>
                  </w:pPr>
                  <w:r>
                    <w:rPr>
                      <w:rFonts w:hint="eastAsia"/>
                      <w:color w:val="FF0000"/>
                      <w:sz w:val="21"/>
                      <w:szCs w:val="21"/>
                      <w:u w:val="single"/>
                      <w:lang w:val="en-US" w:eastAsia="zh-CN"/>
                    </w:rPr>
                    <w:t>存在问题</w:t>
                  </w:r>
                </w:p>
              </w:tc>
              <w:tc>
                <w:tcPr>
                  <w:tcW w:w="4020" w:type="dxa"/>
                  <w:tcBorders>
                    <w:tl2br w:val="nil"/>
                    <w:tr2bl w:val="nil"/>
                  </w:tcBorders>
                  <w:vAlign w:val="center"/>
                </w:tcPr>
                <w:p>
                  <w:pPr>
                    <w:bidi w:val="0"/>
                    <w:spacing w:line="240" w:lineRule="auto"/>
                    <w:jc w:val="center"/>
                    <w:rPr>
                      <w:rFonts w:hint="default"/>
                      <w:color w:val="FF0000"/>
                      <w:sz w:val="21"/>
                      <w:szCs w:val="21"/>
                      <w:u w:val="single"/>
                      <w:lang w:val="en-US" w:eastAsia="zh-CN"/>
                    </w:rPr>
                  </w:pPr>
                  <w:r>
                    <w:rPr>
                      <w:rFonts w:hint="eastAsia"/>
                      <w:color w:val="FF0000"/>
                      <w:sz w:val="21"/>
                      <w:szCs w:val="21"/>
                      <w:u w:val="single"/>
                      <w:lang w:val="en-US" w:eastAsia="zh-CN"/>
                    </w:rPr>
                    <w:t>整改措施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0" w:type="dxa"/>
                  <w:tcBorders>
                    <w:tl2br w:val="nil"/>
                    <w:tr2bl w:val="nil"/>
                  </w:tcBorders>
                  <w:vAlign w:val="center"/>
                </w:tcPr>
                <w:p>
                  <w:pPr>
                    <w:bidi w:val="0"/>
                    <w:spacing w:line="240" w:lineRule="auto"/>
                    <w:jc w:val="center"/>
                    <w:rPr>
                      <w:rFonts w:hint="default"/>
                      <w:color w:val="FF0000"/>
                      <w:sz w:val="21"/>
                      <w:szCs w:val="21"/>
                      <w:u w:val="single"/>
                      <w:lang w:val="en-US" w:eastAsia="zh-CN"/>
                    </w:rPr>
                  </w:pPr>
                  <w:r>
                    <w:rPr>
                      <w:rFonts w:hint="eastAsia"/>
                      <w:color w:val="FF0000"/>
                      <w:sz w:val="21"/>
                      <w:szCs w:val="21"/>
                      <w:u w:val="single"/>
                      <w:lang w:val="en-US" w:eastAsia="zh-CN"/>
                    </w:rPr>
                    <w:t>1#车间喷漆房未密闭，影响废气收集效率，喷漆废气无组织扩散严重</w:t>
                  </w:r>
                </w:p>
              </w:tc>
              <w:tc>
                <w:tcPr>
                  <w:tcW w:w="4020" w:type="dxa"/>
                  <w:tcBorders>
                    <w:tl2br w:val="nil"/>
                    <w:tr2bl w:val="nil"/>
                  </w:tcBorders>
                  <w:vAlign w:val="center"/>
                </w:tcPr>
                <w:p>
                  <w:pPr>
                    <w:bidi w:val="0"/>
                    <w:spacing w:line="240" w:lineRule="auto"/>
                    <w:jc w:val="center"/>
                    <w:rPr>
                      <w:rFonts w:hint="default"/>
                      <w:color w:val="FF0000"/>
                      <w:sz w:val="21"/>
                      <w:szCs w:val="21"/>
                      <w:u w:val="single"/>
                      <w:lang w:val="en-US" w:eastAsia="zh-CN"/>
                    </w:rPr>
                  </w:pPr>
                  <w:r>
                    <w:rPr>
                      <w:rFonts w:hint="eastAsia"/>
                      <w:color w:val="FF0000"/>
                      <w:sz w:val="21"/>
                      <w:szCs w:val="21"/>
                      <w:u w:val="single"/>
                      <w:lang w:val="en-US" w:eastAsia="zh-CN"/>
                    </w:rPr>
                    <w:t>1#车间喷漆房全密闭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0" w:type="dxa"/>
                  <w:tcBorders>
                    <w:tl2br w:val="nil"/>
                    <w:tr2bl w:val="nil"/>
                  </w:tcBorders>
                  <w:vAlign w:val="center"/>
                </w:tcPr>
                <w:p>
                  <w:pPr>
                    <w:bidi w:val="0"/>
                    <w:spacing w:line="240" w:lineRule="auto"/>
                    <w:jc w:val="center"/>
                    <w:rPr>
                      <w:rFonts w:hint="default"/>
                      <w:color w:val="FF0000"/>
                      <w:sz w:val="21"/>
                      <w:szCs w:val="21"/>
                      <w:u w:val="single"/>
                      <w:lang w:val="en-US" w:eastAsia="zh-CN"/>
                    </w:rPr>
                  </w:pPr>
                  <w:r>
                    <w:rPr>
                      <w:rFonts w:hint="eastAsia"/>
                      <w:color w:val="FF0000"/>
                      <w:sz w:val="21"/>
                      <w:szCs w:val="21"/>
                      <w:u w:val="single"/>
                      <w:lang w:val="en-US" w:eastAsia="zh-CN"/>
                    </w:rPr>
                    <w:t>喷漆废气由“</w:t>
                  </w:r>
                  <w:r>
                    <w:rPr>
                      <w:rFonts w:hint="eastAsia" w:eastAsia="宋体"/>
                      <w:color w:val="FF0000"/>
                      <w:u w:val="single"/>
                      <w:lang w:val="en-US" w:eastAsia="zh-CN"/>
                    </w:rPr>
                    <w:t>水幕喷淋+UV光氧+活性炭</w:t>
                  </w:r>
                  <w:r>
                    <w:rPr>
                      <w:rFonts w:hint="eastAsia"/>
                      <w:color w:val="FF0000"/>
                      <w:sz w:val="21"/>
                      <w:szCs w:val="21"/>
                      <w:u w:val="single"/>
                      <w:lang w:val="en-US" w:eastAsia="zh-CN"/>
                    </w:rPr>
                    <w:t>”处理后经</w:t>
                  </w:r>
                  <w:r>
                    <w:rPr>
                      <w:rFonts w:hint="eastAsia" w:eastAsia="宋体"/>
                      <w:color w:val="FF0000"/>
                      <w:u w:val="single"/>
                      <w:lang w:val="en-US" w:eastAsia="zh-CN"/>
                    </w:rPr>
                    <w:t>15m高排气筒排放。</w:t>
                  </w:r>
                  <w:r>
                    <w:rPr>
                      <w:rFonts w:hint="eastAsia"/>
                      <w:color w:val="FF0000"/>
                      <w:sz w:val="21"/>
                      <w:szCs w:val="21"/>
                      <w:u w:val="single"/>
                      <w:lang w:val="en-US" w:eastAsia="zh-CN"/>
                    </w:rPr>
                    <w:t>水幕喷淋装置未开启，未设置循环水池，喷漆废气处理效率较低。</w:t>
                  </w:r>
                </w:p>
              </w:tc>
              <w:tc>
                <w:tcPr>
                  <w:tcW w:w="4020" w:type="dxa"/>
                  <w:tcBorders>
                    <w:tl2br w:val="nil"/>
                    <w:tr2bl w:val="nil"/>
                  </w:tcBorders>
                  <w:vAlign w:val="center"/>
                </w:tcPr>
                <w:p>
                  <w:pPr>
                    <w:bidi w:val="0"/>
                    <w:spacing w:line="240" w:lineRule="auto"/>
                    <w:jc w:val="center"/>
                    <w:rPr>
                      <w:rFonts w:hint="default"/>
                      <w:color w:val="FF0000"/>
                      <w:sz w:val="21"/>
                      <w:szCs w:val="21"/>
                      <w:u w:val="single"/>
                      <w:lang w:val="en-US" w:eastAsia="zh-CN"/>
                    </w:rPr>
                  </w:pPr>
                  <w:r>
                    <w:rPr>
                      <w:rFonts w:hint="eastAsia"/>
                      <w:color w:val="FF0000"/>
                      <w:sz w:val="21"/>
                      <w:szCs w:val="21"/>
                      <w:u w:val="single"/>
                      <w:lang w:val="en-US" w:eastAsia="zh-CN"/>
                    </w:rPr>
                    <w:t>喷漆废气由“</w:t>
                  </w:r>
                  <w:r>
                    <w:rPr>
                      <w:rFonts w:hint="eastAsia" w:eastAsia="宋体"/>
                      <w:color w:val="FF0000"/>
                      <w:u w:val="single"/>
                      <w:lang w:val="en-US" w:eastAsia="zh-CN"/>
                    </w:rPr>
                    <w:t>过滤棉+活性炭光氧一体机</w:t>
                  </w:r>
                  <w:r>
                    <w:rPr>
                      <w:rFonts w:hint="eastAsia"/>
                      <w:color w:val="FF0000"/>
                      <w:sz w:val="21"/>
                      <w:szCs w:val="21"/>
                      <w:u w:val="single"/>
                      <w:lang w:val="en-US" w:eastAsia="zh-CN"/>
                    </w:rPr>
                    <w:t>”处理后经1</w:t>
                  </w:r>
                  <w:r>
                    <w:rPr>
                      <w:rFonts w:hint="eastAsia"/>
                      <w:color w:val="FF0000"/>
                      <w:u w:val="single"/>
                      <w:lang w:val="en-US" w:eastAsia="zh-CN"/>
                    </w:rPr>
                    <w:t>5m高排气筒排放。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0" w:type="dxa"/>
                  <w:tcBorders>
                    <w:tl2br w:val="nil"/>
                    <w:tr2bl w:val="nil"/>
                  </w:tcBorders>
                  <w:vAlign w:val="center"/>
                </w:tcPr>
                <w:p>
                  <w:pPr>
                    <w:bidi w:val="0"/>
                    <w:spacing w:line="240" w:lineRule="auto"/>
                    <w:jc w:val="center"/>
                    <w:rPr>
                      <w:rFonts w:hint="default"/>
                      <w:color w:val="FF0000"/>
                      <w:sz w:val="21"/>
                      <w:szCs w:val="21"/>
                      <w:u w:val="single"/>
                      <w:lang w:val="en-US" w:eastAsia="zh-CN"/>
                    </w:rPr>
                  </w:pPr>
                  <w:r>
                    <w:rPr>
                      <w:rFonts w:hint="eastAsia"/>
                      <w:color w:val="FF0000"/>
                      <w:sz w:val="21"/>
                      <w:szCs w:val="21"/>
                      <w:u w:val="single"/>
                      <w:lang w:val="en-US" w:eastAsia="zh-CN"/>
                    </w:rPr>
                    <w:t>车间一般固废随意堆放、地面有垃圾</w:t>
                  </w:r>
                </w:p>
              </w:tc>
              <w:tc>
                <w:tcPr>
                  <w:tcW w:w="4020" w:type="dxa"/>
                  <w:tcBorders>
                    <w:tl2br w:val="nil"/>
                    <w:tr2bl w:val="nil"/>
                  </w:tcBorders>
                  <w:vAlign w:val="center"/>
                </w:tcPr>
                <w:p>
                  <w:pPr>
                    <w:bidi w:val="0"/>
                    <w:spacing w:line="240" w:lineRule="auto"/>
                    <w:jc w:val="center"/>
                    <w:rPr>
                      <w:rFonts w:hint="default"/>
                      <w:color w:val="FF0000"/>
                      <w:sz w:val="21"/>
                      <w:szCs w:val="21"/>
                      <w:u w:val="single"/>
                      <w:lang w:val="en-US" w:eastAsia="zh-CN"/>
                    </w:rPr>
                  </w:pPr>
                  <w:r>
                    <w:rPr>
                      <w:rFonts w:hint="eastAsia"/>
                      <w:color w:val="FF0000"/>
                      <w:sz w:val="21"/>
                      <w:szCs w:val="21"/>
                      <w:u w:val="single"/>
                      <w:lang w:val="en-US" w:eastAsia="zh-CN"/>
                    </w:rPr>
                    <w:t>设置一般固废暂存场所，收集分类存放一般固废，统一处理</w:t>
                  </w:r>
                </w:p>
              </w:tc>
            </w:tr>
          </w:tbl>
          <w:p>
            <w:pPr>
              <w:adjustRightInd w:val="0"/>
              <w:snapToGrid w:val="0"/>
              <w:spacing w:line="360" w:lineRule="auto"/>
              <w:rPr>
                <w:rFonts w:hint="eastAsia"/>
                <w:b/>
                <w:bCs/>
                <w:color w:val="FF0000"/>
                <w:sz w:val="24"/>
                <w:highlight w:val="none"/>
                <w:u w:val="single"/>
                <w:lang w:val="en-US" w:eastAsia="zh-CN"/>
              </w:rPr>
            </w:pPr>
          </w:p>
          <w:tbl>
            <w:tblPr>
              <w:tblStyle w:val="14"/>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20"/>
              <w:gridCol w:w="4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0" w:type="dxa"/>
                  <w:tcBorders>
                    <w:tl2br w:val="nil"/>
                    <w:tr2bl w:val="nil"/>
                  </w:tcBorders>
                </w:tcPr>
                <w:p>
                  <w:pPr>
                    <w:bidi w:val="0"/>
                    <w:jc w:val="center"/>
                    <w:rPr>
                      <w:rFonts w:hint="eastAsia"/>
                      <w:b/>
                      <w:bCs/>
                      <w:color w:val="FF0000"/>
                      <w:sz w:val="24"/>
                      <w:szCs w:val="24"/>
                      <w:u w:val="single"/>
                      <w:lang w:val="en-US" w:eastAsia="zh-CN"/>
                    </w:rPr>
                  </w:pPr>
                  <w:r>
                    <w:rPr>
                      <w:rFonts w:hint="eastAsia"/>
                      <w:b/>
                      <w:bCs/>
                      <w:color w:val="FF0000"/>
                      <w:sz w:val="24"/>
                      <w:szCs w:val="24"/>
                      <w:u w:val="single"/>
                      <w:lang w:val="en-US" w:eastAsia="zh-CN"/>
                    </w:rPr>
                    <w:drawing>
                      <wp:inline distT="0" distB="0" distL="114300" distR="114300">
                        <wp:extent cx="2397760" cy="2397760"/>
                        <wp:effectExtent l="0" t="0" r="2540" b="2540"/>
                        <wp:docPr id="5" name="图片 5" descr="一号车间喷漆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一号车间喷漆房1"/>
                                <pic:cNvPicPr>
                                  <a:picLocks noChangeAspect="1"/>
                                </pic:cNvPicPr>
                              </pic:nvPicPr>
                              <pic:blipFill>
                                <a:blip r:embed="rId15"/>
                                <a:stretch>
                                  <a:fillRect/>
                                </a:stretch>
                              </pic:blipFill>
                              <pic:spPr>
                                <a:xfrm>
                                  <a:off x="0" y="0"/>
                                  <a:ext cx="2397760" cy="2397760"/>
                                </a:xfrm>
                                <a:prstGeom prst="rect">
                                  <a:avLst/>
                                </a:prstGeom>
                              </pic:spPr>
                            </pic:pic>
                          </a:graphicData>
                        </a:graphic>
                      </wp:inline>
                    </w:drawing>
                  </w:r>
                </w:p>
              </w:tc>
              <w:tc>
                <w:tcPr>
                  <w:tcW w:w="4020" w:type="dxa"/>
                  <w:tcBorders>
                    <w:tl2br w:val="nil"/>
                    <w:tr2bl w:val="nil"/>
                  </w:tcBorders>
                </w:tcPr>
                <w:p>
                  <w:pPr>
                    <w:bidi w:val="0"/>
                    <w:jc w:val="center"/>
                    <w:rPr>
                      <w:rFonts w:hint="eastAsia"/>
                      <w:b/>
                      <w:bCs/>
                      <w:color w:val="FF0000"/>
                      <w:sz w:val="24"/>
                      <w:szCs w:val="24"/>
                      <w:u w:val="single"/>
                      <w:lang w:val="en-US" w:eastAsia="zh-CN"/>
                    </w:rPr>
                  </w:pPr>
                  <w:r>
                    <w:rPr>
                      <w:rFonts w:hint="eastAsia"/>
                      <w:b/>
                      <w:bCs/>
                      <w:color w:val="FF0000"/>
                      <w:sz w:val="24"/>
                      <w:szCs w:val="24"/>
                      <w:u w:val="single"/>
                      <w:lang w:val="en-US" w:eastAsia="zh-CN"/>
                    </w:rPr>
                    <w:drawing>
                      <wp:inline distT="0" distB="0" distL="114300" distR="114300">
                        <wp:extent cx="2397760" cy="2397760"/>
                        <wp:effectExtent l="0" t="0" r="2540" b="2540"/>
                        <wp:docPr id="6" name="图片 6" descr="一号车间喷漆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一号车间喷漆房2"/>
                                <pic:cNvPicPr>
                                  <a:picLocks noChangeAspect="1"/>
                                </pic:cNvPicPr>
                              </pic:nvPicPr>
                              <pic:blipFill>
                                <a:blip r:embed="rId16"/>
                                <a:stretch>
                                  <a:fillRect/>
                                </a:stretch>
                              </pic:blipFill>
                              <pic:spPr>
                                <a:xfrm>
                                  <a:off x="0" y="0"/>
                                  <a:ext cx="2397760" cy="239776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0" w:type="dxa"/>
                  <w:tcBorders>
                    <w:tl2br w:val="nil"/>
                    <w:tr2bl w:val="nil"/>
                  </w:tcBorders>
                </w:tcPr>
                <w:p>
                  <w:pPr>
                    <w:bidi w:val="0"/>
                    <w:jc w:val="center"/>
                    <w:rPr>
                      <w:rFonts w:hint="default"/>
                      <w:b/>
                      <w:bCs/>
                      <w:color w:val="FF0000"/>
                      <w:sz w:val="24"/>
                      <w:szCs w:val="24"/>
                      <w:u w:val="single"/>
                      <w:lang w:val="en-US" w:eastAsia="zh-CN"/>
                    </w:rPr>
                  </w:pPr>
                  <w:r>
                    <w:rPr>
                      <w:rFonts w:hint="eastAsia"/>
                      <w:b/>
                      <w:bCs/>
                      <w:color w:val="FF0000"/>
                      <w:sz w:val="24"/>
                      <w:szCs w:val="24"/>
                      <w:u w:val="single"/>
                      <w:lang w:val="en-US" w:eastAsia="zh-CN"/>
                    </w:rPr>
                    <w:t>喷漆房现状1</w:t>
                  </w:r>
                </w:p>
              </w:tc>
              <w:tc>
                <w:tcPr>
                  <w:tcW w:w="4020" w:type="dxa"/>
                  <w:tcBorders>
                    <w:tl2br w:val="nil"/>
                    <w:tr2bl w:val="nil"/>
                  </w:tcBorders>
                </w:tcPr>
                <w:p>
                  <w:pPr>
                    <w:bidi w:val="0"/>
                    <w:jc w:val="center"/>
                    <w:rPr>
                      <w:rFonts w:hint="default"/>
                      <w:b/>
                      <w:bCs/>
                      <w:color w:val="FF0000"/>
                      <w:sz w:val="24"/>
                      <w:szCs w:val="24"/>
                      <w:u w:val="single"/>
                      <w:lang w:val="en-US" w:eastAsia="zh-CN"/>
                    </w:rPr>
                  </w:pPr>
                  <w:r>
                    <w:rPr>
                      <w:rFonts w:hint="eastAsia"/>
                      <w:b/>
                      <w:bCs/>
                      <w:color w:val="FF0000"/>
                      <w:sz w:val="24"/>
                      <w:szCs w:val="24"/>
                      <w:u w:val="single"/>
                      <w:lang w:val="en-US" w:eastAsia="zh-CN"/>
                    </w:rPr>
                    <w:t>喷漆房现状2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0" w:type="dxa"/>
                  <w:tcBorders>
                    <w:tl2br w:val="nil"/>
                    <w:tr2bl w:val="nil"/>
                  </w:tcBorders>
                </w:tcPr>
                <w:p>
                  <w:pPr>
                    <w:bidi w:val="0"/>
                    <w:jc w:val="center"/>
                    <w:rPr>
                      <w:rFonts w:hint="eastAsia"/>
                      <w:b/>
                      <w:bCs/>
                      <w:color w:val="FF0000"/>
                      <w:sz w:val="24"/>
                      <w:szCs w:val="24"/>
                      <w:u w:val="single"/>
                      <w:lang w:val="en-US" w:eastAsia="zh-CN"/>
                    </w:rPr>
                  </w:pPr>
                  <w:r>
                    <w:rPr>
                      <w:rFonts w:hint="eastAsia"/>
                      <w:b/>
                      <w:bCs/>
                      <w:color w:val="FF0000"/>
                      <w:sz w:val="24"/>
                      <w:szCs w:val="24"/>
                      <w:u w:val="single"/>
                      <w:lang w:val="en-US" w:eastAsia="zh-CN"/>
                    </w:rPr>
                    <w:drawing>
                      <wp:inline distT="0" distB="0" distL="114300" distR="114300">
                        <wp:extent cx="2397760" cy="2397760"/>
                        <wp:effectExtent l="0" t="0" r="2540" b="2540"/>
                        <wp:docPr id="7" name="图片 7" descr="镀锌车间危废暂存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镀锌车间危废暂存间1"/>
                                <pic:cNvPicPr>
                                  <a:picLocks noChangeAspect="1"/>
                                </pic:cNvPicPr>
                              </pic:nvPicPr>
                              <pic:blipFill>
                                <a:blip r:embed="rId17"/>
                                <a:stretch>
                                  <a:fillRect/>
                                </a:stretch>
                              </pic:blipFill>
                              <pic:spPr>
                                <a:xfrm>
                                  <a:off x="0" y="0"/>
                                  <a:ext cx="2397760" cy="2397760"/>
                                </a:xfrm>
                                <a:prstGeom prst="rect">
                                  <a:avLst/>
                                </a:prstGeom>
                              </pic:spPr>
                            </pic:pic>
                          </a:graphicData>
                        </a:graphic>
                      </wp:inline>
                    </w:drawing>
                  </w:r>
                </w:p>
              </w:tc>
              <w:tc>
                <w:tcPr>
                  <w:tcW w:w="4020" w:type="dxa"/>
                  <w:tcBorders>
                    <w:tl2br w:val="nil"/>
                    <w:tr2bl w:val="nil"/>
                  </w:tcBorders>
                </w:tcPr>
                <w:p>
                  <w:pPr>
                    <w:bidi w:val="0"/>
                    <w:jc w:val="center"/>
                    <w:rPr>
                      <w:rFonts w:hint="eastAsia"/>
                      <w:b/>
                      <w:bCs/>
                      <w:color w:val="FF0000"/>
                      <w:sz w:val="24"/>
                      <w:szCs w:val="24"/>
                      <w:u w:val="single"/>
                      <w:lang w:val="en-US" w:eastAsia="zh-CN"/>
                    </w:rPr>
                  </w:pPr>
                  <w:r>
                    <w:rPr>
                      <w:rFonts w:hint="eastAsia"/>
                      <w:b/>
                      <w:bCs/>
                      <w:color w:val="FF0000"/>
                      <w:sz w:val="24"/>
                      <w:szCs w:val="24"/>
                      <w:u w:val="single"/>
                      <w:lang w:val="en-US" w:eastAsia="zh-CN"/>
                    </w:rPr>
                    <w:drawing>
                      <wp:inline distT="0" distB="0" distL="114300" distR="114300">
                        <wp:extent cx="2397760" cy="2397760"/>
                        <wp:effectExtent l="0" t="0" r="2540" b="2540"/>
                        <wp:docPr id="8" name="图片 8" descr="镀锌车间危废暂存间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镀锌车间危废暂存间4"/>
                                <pic:cNvPicPr>
                                  <a:picLocks noChangeAspect="1"/>
                                </pic:cNvPicPr>
                              </pic:nvPicPr>
                              <pic:blipFill>
                                <a:blip r:embed="rId18"/>
                                <a:stretch>
                                  <a:fillRect/>
                                </a:stretch>
                              </pic:blipFill>
                              <pic:spPr>
                                <a:xfrm>
                                  <a:off x="0" y="0"/>
                                  <a:ext cx="2397760" cy="239776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0" w:type="dxa"/>
                  <w:tcBorders>
                    <w:tl2br w:val="nil"/>
                    <w:tr2bl w:val="nil"/>
                  </w:tcBorders>
                </w:tcPr>
                <w:p>
                  <w:pPr>
                    <w:bidi w:val="0"/>
                    <w:jc w:val="center"/>
                    <w:rPr>
                      <w:rFonts w:hint="default"/>
                      <w:b/>
                      <w:bCs/>
                      <w:color w:val="FF0000"/>
                      <w:sz w:val="24"/>
                      <w:szCs w:val="24"/>
                      <w:u w:val="single"/>
                      <w:lang w:val="en-US" w:eastAsia="zh-CN"/>
                    </w:rPr>
                  </w:pPr>
                  <w:r>
                    <w:rPr>
                      <w:rFonts w:hint="eastAsia"/>
                      <w:b/>
                      <w:bCs/>
                      <w:color w:val="FF0000"/>
                      <w:sz w:val="24"/>
                      <w:szCs w:val="24"/>
                      <w:u w:val="single"/>
                      <w:lang w:val="en-US" w:eastAsia="zh-CN"/>
                    </w:rPr>
                    <w:t>危废暂存间1</w:t>
                  </w:r>
                </w:p>
              </w:tc>
              <w:tc>
                <w:tcPr>
                  <w:tcW w:w="4020" w:type="dxa"/>
                  <w:tcBorders>
                    <w:tl2br w:val="nil"/>
                    <w:tr2bl w:val="nil"/>
                  </w:tcBorders>
                </w:tcPr>
                <w:p>
                  <w:pPr>
                    <w:bidi w:val="0"/>
                    <w:jc w:val="center"/>
                    <w:rPr>
                      <w:rFonts w:hint="default"/>
                      <w:b/>
                      <w:bCs/>
                      <w:color w:val="FF0000"/>
                      <w:sz w:val="24"/>
                      <w:szCs w:val="24"/>
                      <w:u w:val="single"/>
                      <w:lang w:val="en-US" w:eastAsia="zh-CN"/>
                    </w:rPr>
                  </w:pPr>
                  <w:r>
                    <w:rPr>
                      <w:rFonts w:hint="eastAsia"/>
                      <w:b/>
                      <w:bCs/>
                      <w:color w:val="FF0000"/>
                      <w:sz w:val="24"/>
                      <w:szCs w:val="24"/>
                      <w:u w:val="single"/>
                      <w:lang w:val="en-US" w:eastAsia="zh-CN"/>
                    </w:rPr>
                    <w:t>危废暂存间2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0" w:type="dxa"/>
                  <w:tcBorders>
                    <w:tl2br w:val="nil"/>
                    <w:tr2bl w:val="nil"/>
                  </w:tcBorders>
                </w:tcPr>
                <w:p>
                  <w:pPr>
                    <w:bidi w:val="0"/>
                    <w:jc w:val="center"/>
                    <w:rPr>
                      <w:rFonts w:hint="eastAsia"/>
                      <w:b/>
                      <w:bCs/>
                      <w:color w:val="FF0000"/>
                      <w:sz w:val="24"/>
                      <w:szCs w:val="24"/>
                      <w:u w:val="single"/>
                      <w:lang w:val="en-US" w:eastAsia="zh-CN"/>
                    </w:rPr>
                  </w:pPr>
                  <w:r>
                    <w:rPr>
                      <w:rFonts w:hint="eastAsia"/>
                      <w:b/>
                      <w:bCs/>
                      <w:color w:val="FF0000"/>
                      <w:sz w:val="24"/>
                      <w:szCs w:val="24"/>
                      <w:u w:val="single"/>
                      <w:lang w:val="en-US" w:eastAsia="zh-CN"/>
                    </w:rPr>
                    <w:drawing>
                      <wp:inline distT="0" distB="0" distL="114300" distR="114300">
                        <wp:extent cx="2397760" cy="2397760"/>
                        <wp:effectExtent l="0" t="0" r="2540" b="2540"/>
                        <wp:docPr id="12" name="图片 12" descr="（现场存在问题1）粉尘堆积、杂物乱放、有垃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现场存在问题1）粉尘堆积、杂物乱放、有垃圾"/>
                                <pic:cNvPicPr>
                                  <a:picLocks noChangeAspect="1"/>
                                </pic:cNvPicPr>
                              </pic:nvPicPr>
                              <pic:blipFill>
                                <a:blip r:embed="rId19"/>
                                <a:stretch>
                                  <a:fillRect/>
                                </a:stretch>
                              </pic:blipFill>
                              <pic:spPr>
                                <a:xfrm>
                                  <a:off x="0" y="0"/>
                                  <a:ext cx="2397760" cy="2397760"/>
                                </a:xfrm>
                                <a:prstGeom prst="rect">
                                  <a:avLst/>
                                </a:prstGeom>
                              </pic:spPr>
                            </pic:pic>
                          </a:graphicData>
                        </a:graphic>
                      </wp:inline>
                    </w:drawing>
                  </w:r>
                </w:p>
              </w:tc>
              <w:tc>
                <w:tcPr>
                  <w:tcW w:w="4020" w:type="dxa"/>
                  <w:tcBorders>
                    <w:tl2br w:val="nil"/>
                    <w:tr2bl w:val="nil"/>
                  </w:tcBorders>
                </w:tcPr>
                <w:p>
                  <w:pPr>
                    <w:bidi w:val="0"/>
                    <w:jc w:val="center"/>
                    <w:rPr>
                      <w:rFonts w:hint="eastAsia"/>
                      <w:b/>
                      <w:bCs/>
                      <w:color w:val="FF0000"/>
                      <w:sz w:val="24"/>
                      <w:szCs w:val="24"/>
                      <w:u w:val="single"/>
                      <w:lang w:val="en-US" w:eastAsia="zh-CN"/>
                    </w:rPr>
                  </w:pPr>
                  <w:r>
                    <w:rPr>
                      <w:rFonts w:hint="eastAsia"/>
                      <w:b/>
                      <w:bCs/>
                      <w:color w:val="FF0000"/>
                      <w:sz w:val="24"/>
                      <w:szCs w:val="24"/>
                      <w:u w:val="single"/>
                      <w:lang w:val="en-US" w:eastAsia="zh-CN"/>
                    </w:rPr>
                    <w:drawing>
                      <wp:inline distT="0" distB="0" distL="114300" distR="114300">
                        <wp:extent cx="2397760" cy="2397760"/>
                        <wp:effectExtent l="0" t="0" r="2540" b="2540"/>
                        <wp:docPr id="13" name="图片 13" descr="（现场存在问题2）四号车间外雨水沟有杂物和电缆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现场存在问题2）四号车间外雨水沟有杂物和电缆线"/>
                                <pic:cNvPicPr>
                                  <a:picLocks noChangeAspect="1"/>
                                </pic:cNvPicPr>
                              </pic:nvPicPr>
                              <pic:blipFill>
                                <a:blip r:embed="rId20"/>
                                <a:stretch>
                                  <a:fillRect/>
                                </a:stretch>
                              </pic:blipFill>
                              <pic:spPr>
                                <a:xfrm>
                                  <a:off x="0" y="0"/>
                                  <a:ext cx="2397760" cy="239776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0" w:type="dxa"/>
                  <w:tcBorders>
                    <w:tl2br w:val="nil"/>
                    <w:tr2bl w:val="nil"/>
                  </w:tcBorders>
                </w:tcPr>
                <w:p>
                  <w:pPr>
                    <w:bidi w:val="0"/>
                    <w:jc w:val="center"/>
                    <w:rPr>
                      <w:rFonts w:hint="default"/>
                      <w:b/>
                      <w:bCs/>
                      <w:color w:val="FF0000"/>
                      <w:sz w:val="24"/>
                      <w:szCs w:val="24"/>
                      <w:u w:val="single"/>
                      <w:lang w:val="en-US" w:eastAsia="zh-CN"/>
                    </w:rPr>
                  </w:pPr>
                  <w:r>
                    <w:rPr>
                      <w:rFonts w:hint="eastAsia"/>
                      <w:b/>
                      <w:bCs/>
                      <w:color w:val="FF0000"/>
                      <w:sz w:val="24"/>
                      <w:szCs w:val="24"/>
                      <w:u w:val="single"/>
                      <w:lang w:val="en-US" w:eastAsia="zh-CN"/>
                    </w:rPr>
                    <w:t>车间现状（需整改）</w:t>
                  </w:r>
                </w:p>
              </w:tc>
              <w:tc>
                <w:tcPr>
                  <w:tcW w:w="4020" w:type="dxa"/>
                  <w:tcBorders>
                    <w:tl2br w:val="nil"/>
                    <w:tr2bl w:val="nil"/>
                  </w:tcBorders>
                </w:tcPr>
                <w:p>
                  <w:pPr>
                    <w:bidi w:val="0"/>
                    <w:jc w:val="center"/>
                    <w:rPr>
                      <w:rFonts w:hint="eastAsia"/>
                      <w:b/>
                      <w:bCs/>
                      <w:color w:val="FF0000"/>
                      <w:sz w:val="24"/>
                      <w:szCs w:val="24"/>
                      <w:u w:val="single"/>
                      <w:lang w:val="en-US" w:eastAsia="zh-CN"/>
                    </w:rPr>
                  </w:pPr>
                  <w:r>
                    <w:rPr>
                      <w:rFonts w:hint="eastAsia"/>
                      <w:b/>
                      <w:bCs/>
                      <w:color w:val="FF0000"/>
                      <w:sz w:val="24"/>
                      <w:szCs w:val="24"/>
                      <w:u w:val="single"/>
                      <w:lang w:val="en-US" w:eastAsia="zh-CN"/>
                    </w:rPr>
                    <w:t>车间现状（需整改）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0" w:type="dxa"/>
                  <w:tcBorders>
                    <w:tl2br w:val="nil"/>
                    <w:tr2bl w:val="nil"/>
                  </w:tcBorders>
                </w:tcPr>
                <w:p>
                  <w:pPr>
                    <w:bidi w:val="0"/>
                    <w:jc w:val="center"/>
                    <w:rPr>
                      <w:rFonts w:hint="eastAsia"/>
                      <w:b/>
                      <w:bCs/>
                      <w:color w:val="FF0000"/>
                      <w:sz w:val="24"/>
                      <w:szCs w:val="24"/>
                      <w:u w:val="single"/>
                      <w:lang w:val="en-US" w:eastAsia="zh-CN"/>
                    </w:rPr>
                  </w:pPr>
                  <w:r>
                    <w:rPr>
                      <w:rFonts w:hint="eastAsia"/>
                      <w:b/>
                      <w:bCs/>
                      <w:color w:val="FF0000"/>
                      <w:sz w:val="24"/>
                      <w:szCs w:val="24"/>
                      <w:u w:val="single"/>
                      <w:lang w:val="en-US" w:eastAsia="zh-CN"/>
                    </w:rPr>
                    <w:drawing>
                      <wp:inline distT="0" distB="0" distL="114300" distR="114300">
                        <wp:extent cx="2397760" cy="2397760"/>
                        <wp:effectExtent l="0" t="0" r="2540" b="2540"/>
                        <wp:docPr id="16" name="图片 16" descr="四号车间移动式焊接净化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四号车间移动式焊接净化器"/>
                                <pic:cNvPicPr>
                                  <a:picLocks noChangeAspect="1"/>
                                </pic:cNvPicPr>
                              </pic:nvPicPr>
                              <pic:blipFill>
                                <a:blip r:embed="rId21"/>
                                <a:stretch>
                                  <a:fillRect/>
                                </a:stretch>
                              </pic:blipFill>
                              <pic:spPr>
                                <a:xfrm>
                                  <a:off x="0" y="0"/>
                                  <a:ext cx="2397760" cy="2397760"/>
                                </a:xfrm>
                                <a:prstGeom prst="rect">
                                  <a:avLst/>
                                </a:prstGeom>
                              </pic:spPr>
                            </pic:pic>
                          </a:graphicData>
                        </a:graphic>
                      </wp:inline>
                    </w:drawing>
                  </w:r>
                </w:p>
              </w:tc>
              <w:tc>
                <w:tcPr>
                  <w:tcW w:w="4020" w:type="dxa"/>
                  <w:tcBorders>
                    <w:tl2br w:val="nil"/>
                    <w:tr2bl w:val="nil"/>
                  </w:tcBorders>
                </w:tcPr>
                <w:p>
                  <w:pPr>
                    <w:bidi w:val="0"/>
                    <w:jc w:val="center"/>
                    <w:rPr>
                      <w:rFonts w:hint="eastAsia"/>
                      <w:b/>
                      <w:bCs/>
                      <w:color w:val="FF0000"/>
                      <w:sz w:val="24"/>
                      <w:szCs w:val="24"/>
                      <w:u w:val="single"/>
                      <w:lang w:val="en-US" w:eastAsia="zh-CN"/>
                    </w:rPr>
                  </w:pPr>
                  <w:r>
                    <w:rPr>
                      <w:rFonts w:hint="eastAsia"/>
                      <w:b/>
                      <w:bCs/>
                      <w:color w:val="FF0000"/>
                      <w:sz w:val="24"/>
                      <w:szCs w:val="24"/>
                      <w:u w:val="single"/>
                      <w:lang w:val="en-US" w:eastAsia="zh-CN"/>
                    </w:rPr>
                    <w:drawing>
                      <wp:inline distT="0" distB="0" distL="114300" distR="114300">
                        <wp:extent cx="2397760" cy="2397760"/>
                        <wp:effectExtent l="0" t="0" r="2540" b="2540"/>
                        <wp:docPr id="17" name="图片 17" descr="一号车间 光氧催化"/>
                        <wp:cNvGraphicFramePr/>
                        <a:graphic xmlns:a="http://schemas.openxmlformats.org/drawingml/2006/main">
                          <a:graphicData uri="http://schemas.openxmlformats.org/drawingml/2006/picture">
                            <pic:pic xmlns:pic="http://schemas.openxmlformats.org/drawingml/2006/picture">
                              <pic:nvPicPr>
                                <pic:cNvPr id="17" name="图片 17" descr="一号车间 光氧催化"/>
                                <pic:cNvPicPr/>
                              </pic:nvPicPr>
                              <pic:blipFill>
                                <a:blip r:embed="rId22"/>
                                <a:stretch>
                                  <a:fillRect/>
                                </a:stretch>
                              </pic:blipFill>
                              <pic:spPr>
                                <a:xfrm>
                                  <a:off x="0" y="0"/>
                                  <a:ext cx="2397760" cy="239776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0" w:type="dxa"/>
                  <w:tcBorders>
                    <w:tl2br w:val="nil"/>
                    <w:tr2bl w:val="nil"/>
                  </w:tcBorders>
                </w:tcPr>
                <w:p>
                  <w:pPr>
                    <w:bidi w:val="0"/>
                    <w:jc w:val="center"/>
                    <w:rPr>
                      <w:rFonts w:hint="default"/>
                      <w:b/>
                      <w:bCs/>
                      <w:color w:val="FF0000"/>
                      <w:sz w:val="24"/>
                      <w:szCs w:val="24"/>
                      <w:u w:val="single"/>
                      <w:lang w:val="en-US" w:eastAsia="zh-CN"/>
                    </w:rPr>
                  </w:pPr>
                  <w:r>
                    <w:rPr>
                      <w:rFonts w:hint="eastAsia"/>
                      <w:b/>
                      <w:bCs/>
                      <w:color w:val="FF0000"/>
                      <w:sz w:val="24"/>
                      <w:szCs w:val="24"/>
                      <w:u w:val="single"/>
                      <w:lang w:val="en-US" w:eastAsia="zh-CN"/>
                    </w:rPr>
                    <w:t>移动式烟尘净化器</w:t>
                  </w:r>
                </w:p>
              </w:tc>
              <w:tc>
                <w:tcPr>
                  <w:tcW w:w="4020" w:type="dxa"/>
                  <w:tcBorders>
                    <w:tl2br w:val="nil"/>
                    <w:tr2bl w:val="nil"/>
                  </w:tcBorders>
                </w:tcPr>
                <w:p>
                  <w:pPr>
                    <w:bidi w:val="0"/>
                    <w:jc w:val="center"/>
                    <w:rPr>
                      <w:rFonts w:hint="default"/>
                      <w:b/>
                      <w:bCs/>
                      <w:color w:val="FF0000"/>
                      <w:sz w:val="24"/>
                      <w:szCs w:val="24"/>
                      <w:u w:val="single"/>
                      <w:lang w:val="en-US" w:eastAsia="zh-CN"/>
                    </w:rPr>
                  </w:pPr>
                  <w:r>
                    <w:rPr>
                      <w:rFonts w:hint="eastAsia"/>
                      <w:b/>
                      <w:bCs/>
                      <w:color w:val="FF0000"/>
                      <w:sz w:val="24"/>
                      <w:szCs w:val="24"/>
                      <w:u w:val="single"/>
                      <w:lang w:val="en-US" w:eastAsia="zh-CN"/>
                    </w:rPr>
                    <w:t>UV光解+活性炭处理装置</w:t>
                  </w:r>
                </w:p>
              </w:tc>
            </w:tr>
          </w:tbl>
          <w:p>
            <w:pPr>
              <w:adjustRightInd w:val="0"/>
              <w:snapToGrid w:val="0"/>
              <w:spacing w:line="360" w:lineRule="auto"/>
              <w:rPr>
                <w:rFonts w:hint="default" w:ascii="宋体" w:hAnsi="宋体" w:eastAsia="宋体"/>
                <w:bCs/>
                <w:color w:val="FF0000"/>
                <w:sz w:val="24"/>
                <w:szCs w:val="24"/>
                <w:highlight w:val="none"/>
                <w:lang w:val="en-US" w:eastAsia="zh-CN"/>
              </w:rPr>
            </w:pPr>
          </w:p>
        </w:tc>
      </w:tr>
    </w:tbl>
    <w:p>
      <w:pPr>
        <w:pStyle w:val="11"/>
        <w:jc w:val="both"/>
        <w:rPr>
          <w:rFonts w:hint="eastAsia" w:ascii="黑体" w:hAnsi="黑体" w:eastAsia="黑体"/>
          <w:snapToGrid w:val="0"/>
          <w:sz w:val="36"/>
          <w:szCs w:val="36"/>
          <w:lang w:eastAsia="zh-CN"/>
        </w:rPr>
        <w:sectPr>
          <w:pgSz w:w="11906" w:h="16838"/>
          <w:pgMar w:top="1531" w:right="1531" w:bottom="1701" w:left="1474" w:header="851" w:footer="851" w:gutter="0"/>
          <w:pgBorders>
            <w:top w:val="none" w:sz="0" w:space="0"/>
            <w:left w:val="none" w:sz="0" w:space="0"/>
            <w:bottom w:val="none" w:sz="0" w:space="0"/>
            <w:right w:val="none" w:sz="0" w:space="0"/>
          </w:pgBorders>
          <w:cols w:space="720" w:num="1"/>
          <w:docGrid w:linePitch="312" w:charSpace="0"/>
        </w:sectPr>
      </w:pPr>
    </w:p>
    <w:p>
      <w:pPr>
        <w:pStyle w:val="11"/>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85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区域</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质量</w:t>
            </w:r>
          </w:p>
          <w:p>
            <w:pPr>
              <w:adjustRightInd w:val="0"/>
              <w:snapToGrid w:val="0"/>
              <w:jc w:val="center"/>
              <w:rPr>
                <w:rFonts w:ascii="宋体" w:hAnsi="宋体" w:cs="宋体"/>
                <w:kern w:val="0"/>
                <w:sz w:val="24"/>
                <w:szCs w:val="24"/>
              </w:rPr>
            </w:pPr>
            <w:r>
              <w:rPr>
                <w:rFonts w:hint="eastAsia" w:ascii="宋体" w:hAnsi="宋体" w:cs="宋体"/>
                <w:kern w:val="0"/>
                <w:sz w:val="24"/>
                <w:szCs w:val="24"/>
              </w:rPr>
              <w:t>现状</w:t>
            </w:r>
          </w:p>
        </w:tc>
        <w:tc>
          <w:tcPr>
            <w:tcW w:w="8519" w:type="dxa"/>
            <w:noWrap w:val="0"/>
            <w:vAlign w:val="top"/>
          </w:tcPr>
          <w:p>
            <w:pPr>
              <w:numPr>
                <w:ilvl w:val="0"/>
                <w:numId w:val="0"/>
              </w:numPr>
              <w:adjustRightInd w:val="0"/>
              <w:snapToGrid w:val="0"/>
              <w:spacing w:line="360" w:lineRule="auto"/>
              <w:jc w:val="both"/>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1、环境空气质量现状</w:t>
            </w:r>
          </w:p>
          <w:p>
            <w:pPr>
              <w:bidi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（1）空气质量达标区判定</w:t>
            </w:r>
          </w:p>
          <w:p>
            <w:pPr>
              <w:bidi w:val="0"/>
              <w:spacing w:line="360" w:lineRule="auto"/>
              <w:ind w:firstLine="480" w:firstLineChars="200"/>
              <w:rPr>
                <w:rFonts w:hint="eastAsia" w:ascii="宋体" w:hAnsi="宋体" w:cs="宋体"/>
                <w:kern w:val="0"/>
                <w:sz w:val="24"/>
                <w:szCs w:val="24"/>
                <w:lang w:val="en-US" w:eastAsia="zh-CN"/>
              </w:rPr>
            </w:pPr>
            <w:r>
              <w:rPr>
                <w:rFonts w:hint="default" w:ascii="Times New Roman" w:hAnsi="Times New Roman" w:eastAsia="宋体" w:cs="Times New Roman"/>
                <w:sz w:val="24"/>
                <w:szCs w:val="24"/>
                <w:lang w:val="en-US" w:eastAsia="zh-CN"/>
              </w:rPr>
              <w:t>①常规因子</w:t>
            </w:r>
          </w:p>
          <w:p>
            <w:pPr>
              <w:bidi w:val="0"/>
              <w:spacing w:line="360" w:lineRule="auto"/>
              <w:ind w:firstLine="480" w:firstLineChars="2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本项目评价基准年为2020年，本次环评引用岳阳市生态环境局湘阴分局发布的《湘阴县环境空气质量指数统计表（2020年）》中的环境质量现状数据进行分析，具体数据分析见表3-1、3-2。</w:t>
            </w:r>
          </w:p>
          <w:p>
            <w:pPr>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z w:val="24"/>
                <w:szCs w:val="24"/>
                <w:lang w:val="en-US" w:eastAsia="zh-CN"/>
              </w:rPr>
              <w:t xml:space="preserve">3-1 </w:t>
            </w:r>
            <w:r>
              <w:rPr>
                <w:rFonts w:hint="default" w:ascii="Times New Roman" w:hAnsi="Times New Roman" w:eastAsia="宋体" w:cs="Times New Roman"/>
                <w:b/>
                <w:bCs/>
                <w:sz w:val="24"/>
                <w:szCs w:val="24"/>
              </w:rPr>
              <w:t xml:space="preserve"> </w:t>
            </w:r>
            <w:r>
              <w:rPr>
                <w:rFonts w:hint="default" w:ascii="Times New Roman" w:hAnsi="Times New Roman" w:eastAsia="宋体" w:cs="Times New Roman"/>
                <w:b/>
                <w:bCs/>
                <w:sz w:val="24"/>
                <w:szCs w:val="24"/>
                <w:lang w:val="en-US" w:eastAsia="zh-CN"/>
              </w:rPr>
              <w:t>岳阳市生态环境局湘阴分局</w:t>
            </w:r>
            <w:r>
              <w:rPr>
                <w:rFonts w:hint="default" w:ascii="Times New Roman" w:hAnsi="Times New Roman" w:eastAsia="宋体" w:cs="Times New Roman"/>
                <w:b/>
                <w:bCs/>
                <w:sz w:val="24"/>
                <w:szCs w:val="24"/>
              </w:rPr>
              <w:t>监测站空气质量指数统计表（</w:t>
            </w:r>
            <w:r>
              <w:rPr>
                <w:rFonts w:hint="eastAsia" w:cs="Times New Roman"/>
                <w:b/>
                <w:bCs/>
                <w:sz w:val="24"/>
                <w:szCs w:val="24"/>
                <w:lang w:val="en-US" w:eastAsia="zh-CN"/>
              </w:rPr>
              <w:t>2020</w:t>
            </w:r>
            <w:r>
              <w:rPr>
                <w:rFonts w:hint="default" w:ascii="Times New Roman" w:hAnsi="Times New Roman" w:eastAsia="宋体" w:cs="Times New Roman"/>
                <w:b/>
                <w:bCs/>
                <w:sz w:val="24"/>
                <w:szCs w:val="24"/>
              </w:rPr>
              <w:t>年）</w:t>
            </w:r>
          </w:p>
          <w:tbl>
            <w:tblPr>
              <w:tblStyle w:val="13"/>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05"/>
              <w:gridCol w:w="1037"/>
              <w:gridCol w:w="1779"/>
              <w:gridCol w:w="1296"/>
              <w:gridCol w:w="1191"/>
              <w:gridCol w:w="1119"/>
              <w:gridCol w:w="11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3" w:hRule="atLeast"/>
                <w:jc w:val="center"/>
              </w:trPr>
              <w:tc>
                <w:tcPr>
                  <w:tcW w:w="482"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b/>
                      <w:bCs/>
                      <w:color w:val="auto"/>
                      <w:sz w:val="21"/>
                      <w:szCs w:val="21"/>
                      <w:u w:val="none" w:color="auto"/>
                      <w:lang w:eastAsia="zh-CN"/>
                    </w:rPr>
                  </w:pPr>
                  <w:r>
                    <w:rPr>
                      <w:rFonts w:hint="default" w:ascii="Times New Roman" w:hAnsi="Times New Roman" w:cs="Times New Roman"/>
                      <w:b/>
                      <w:bCs/>
                      <w:color w:val="auto"/>
                      <w:sz w:val="21"/>
                      <w:szCs w:val="21"/>
                      <w:u w:val="none" w:color="auto"/>
                      <w:lang w:eastAsia="zh-CN"/>
                    </w:rPr>
                    <w:t>所在</w:t>
                  </w:r>
                </w:p>
                <w:p>
                  <w:pPr>
                    <w:pStyle w:val="24"/>
                    <w:spacing w:line="240" w:lineRule="auto"/>
                    <w:ind w:left="0" w:leftChars="0" w:firstLine="0" w:firstLineChars="0"/>
                    <w:jc w:val="center"/>
                    <w:rPr>
                      <w:rFonts w:hint="default" w:ascii="Times New Roman" w:hAnsi="Times New Roman" w:cs="Times New Roman"/>
                      <w:b/>
                      <w:bCs/>
                      <w:color w:val="auto"/>
                      <w:sz w:val="21"/>
                      <w:szCs w:val="21"/>
                      <w:u w:val="none" w:color="auto"/>
                      <w:lang w:eastAsia="zh-CN"/>
                    </w:rPr>
                  </w:pPr>
                  <w:r>
                    <w:rPr>
                      <w:rFonts w:hint="default" w:ascii="Times New Roman" w:hAnsi="Times New Roman" w:cs="Times New Roman"/>
                      <w:b/>
                      <w:bCs/>
                      <w:color w:val="auto"/>
                      <w:sz w:val="21"/>
                      <w:szCs w:val="21"/>
                      <w:u w:val="none" w:color="auto"/>
                      <w:lang w:eastAsia="zh-CN"/>
                    </w:rPr>
                    <w:t>区域</w:t>
                  </w:r>
                </w:p>
              </w:tc>
              <w:tc>
                <w:tcPr>
                  <w:tcW w:w="621"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监测项目</w:t>
                  </w:r>
                </w:p>
              </w:tc>
              <w:tc>
                <w:tcPr>
                  <w:tcW w:w="1065"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b/>
                      <w:bCs/>
                      <w:color w:val="auto"/>
                      <w:sz w:val="21"/>
                      <w:szCs w:val="21"/>
                      <w:u w:val="none" w:color="auto"/>
                      <w:lang w:val="en-US" w:eastAsia="zh-CN"/>
                    </w:rPr>
                  </w:pPr>
                  <w:r>
                    <w:rPr>
                      <w:rFonts w:hint="default" w:ascii="Times New Roman" w:hAnsi="Times New Roman" w:cs="Times New Roman"/>
                      <w:b/>
                      <w:bCs/>
                      <w:color w:val="auto"/>
                      <w:sz w:val="21"/>
                      <w:szCs w:val="21"/>
                      <w:u w:val="none" w:color="auto"/>
                      <w:lang w:val="en-US" w:eastAsia="zh-CN"/>
                    </w:rPr>
                    <w:t>年评价指标</w:t>
                  </w:r>
                </w:p>
              </w:tc>
              <w:tc>
                <w:tcPr>
                  <w:tcW w:w="776"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b/>
                      <w:bCs/>
                      <w:color w:val="auto"/>
                      <w:sz w:val="21"/>
                      <w:szCs w:val="21"/>
                      <w:u w:val="none" w:color="auto"/>
                      <w:lang w:val="en-US" w:eastAsia="zh-CN"/>
                    </w:rPr>
                  </w:pPr>
                  <w:r>
                    <w:rPr>
                      <w:rFonts w:hint="default" w:ascii="Times New Roman" w:hAnsi="Times New Roman" w:cs="Times New Roman"/>
                      <w:b/>
                      <w:bCs/>
                      <w:color w:val="auto"/>
                      <w:sz w:val="21"/>
                      <w:szCs w:val="21"/>
                      <w:u w:val="none" w:color="auto"/>
                      <w:lang w:val="en-US" w:eastAsia="zh-CN"/>
                    </w:rPr>
                    <w:t>现状浓度（u</w:t>
                  </w:r>
                  <w:r>
                    <w:rPr>
                      <w:rFonts w:hint="default" w:ascii="Times New Roman" w:hAnsi="Times New Roman" w:cs="Times New Roman"/>
                      <w:b/>
                      <w:bCs/>
                      <w:color w:val="auto"/>
                      <w:sz w:val="21"/>
                      <w:szCs w:val="21"/>
                      <w:u w:val="none" w:color="auto"/>
                    </w:rPr>
                    <w:t>g/m</w:t>
                  </w:r>
                  <w:r>
                    <w:rPr>
                      <w:rFonts w:hint="default" w:ascii="Times New Roman" w:hAnsi="Times New Roman" w:cs="Times New Roman"/>
                      <w:b/>
                      <w:bCs/>
                      <w:color w:val="auto"/>
                      <w:sz w:val="21"/>
                      <w:szCs w:val="21"/>
                      <w:u w:val="none" w:color="auto"/>
                      <w:vertAlign w:val="superscript"/>
                    </w:rPr>
                    <w:t>3</w:t>
                  </w:r>
                  <w:r>
                    <w:rPr>
                      <w:rFonts w:hint="default" w:ascii="Times New Roman" w:hAnsi="Times New Roman" w:cs="Times New Roman"/>
                      <w:b/>
                      <w:bCs/>
                      <w:color w:val="auto"/>
                      <w:sz w:val="21"/>
                      <w:szCs w:val="21"/>
                      <w:u w:val="none" w:color="auto"/>
                      <w:lang w:val="en-US" w:eastAsia="zh-CN"/>
                    </w:rPr>
                    <w:t>）</w:t>
                  </w:r>
                </w:p>
              </w:tc>
              <w:tc>
                <w:tcPr>
                  <w:tcW w:w="713"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标准值</w:t>
                  </w:r>
                  <w:r>
                    <w:rPr>
                      <w:rFonts w:hint="default" w:ascii="Times New Roman" w:hAnsi="Times New Roman" w:cs="Times New Roman"/>
                      <w:b/>
                      <w:bCs/>
                      <w:color w:val="auto"/>
                      <w:sz w:val="21"/>
                      <w:szCs w:val="21"/>
                      <w:u w:val="none" w:color="auto"/>
                      <w:lang w:val="en-US" w:eastAsia="zh-CN"/>
                    </w:rPr>
                    <w:t>（u</w:t>
                  </w:r>
                  <w:r>
                    <w:rPr>
                      <w:rFonts w:hint="default" w:ascii="Times New Roman" w:hAnsi="Times New Roman" w:cs="Times New Roman"/>
                      <w:b/>
                      <w:bCs/>
                      <w:color w:val="auto"/>
                      <w:sz w:val="21"/>
                      <w:szCs w:val="21"/>
                      <w:u w:val="none" w:color="auto"/>
                    </w:rPr>
                    <w:t>g/m</w:t>
                  </w:r>
                  <w:r>
                    <w:rPr>
                      <w:rFonts w:hint="default" w:ascii="Times New Roman" w:hAnsi="Times New Roman" w:cs="Times New Roman"/>
                      <w:b/>
                      <w:bCs/>
                      <w:color w:val="auto"/>
                      <w:sz w:val="21"/>
                      <w:szCs w:val="21"/>
                      <w:u w:val="none" w:color="auto"/>
                      <w:vertAlign w:val="superscript"/>
                    </w:rPr>
                    <w:t>3</w:t>
                  </w:r>
                  <w:r>
                    <w:rPr>
                      <w:rFonts w:hint="default" w:ascii="Times New Roman" w:hAnsi="Times New Roman" w:cs="Times New Roman"/>
                      <w:b/>
                      <w:bCs/>
                      <w:color w:val="auto"/>
                      <w:sz w:val="21"/>
                      <w:szCs w:val="21"/>
                      <w:u w:val="none" w:color="auto"/>
                      <w:lang w:val="en-US" w:eastAsia="zh-CN"/>
                    </w:rPr>
                    <w:t>）</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b/>
                      <w:bCs/>
                      <w:color w:val="auto"/>
                      <w:sz w:val="21"/>
                      <w:szCs w:val="21"/>
                      <w:u w:val="none" w:color="auto"/>
                      <w:lang w:val="en-US" w:eastAsia="zh-CN"/>
                    </w:rPr>
                  </w:pPr>
                  <w:r>
                    <w:rPr>
                      <w:rFonts w:hint="default" w:ascii="Times New Roman" w:hAnsi="Times New Roman" w:cs="Times New Roman"/>
                      <w:b/>
                      <w:bCs/>
                      <w:color w:val="auto"/>
                      <w:sz w:val="21"/>
                      <w:szCs w:val="21"/>
                      <w:u w:val="none" w:color="auto"/>
                      <w:lang w:val="en-US" w:eastAsia="zh-CN"/>
                    </w:rPr>
                    <w:t>超标倍数%</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是否达标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3" w:hRule="atLeast"/>
                <w:jc w:val="center"/>
              </w:trPr>
              <w:tc>
                <w:tcPr>
                  <w:tcW w:w="482" w:type="pct"/>
                  <w:vMerge w:val="restar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湘阴县</w:t>
                  </w:r>
                </w:p>
              </w:tc>
              <w:tc>
                <w:tcPr>
                  <w:tcW w:w="621"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SO</w:t>
                  </w:r>
                  <w:r>
                    <w:rPr>
                      <w:rFonts w:hint="default" w:ascii="Times New Roman" w:hAnsi="Times New Roman" w:cs="Times New Roman"/>
                      <w:color w:val="auto"/>
                      <w:sz w:val="21"/>
                      <w:szCs w:val="21"/>
                      <w:u w:val="none" w:color="auto"/>
                      <w:vertAlign w:val="subscript"/>
                    </w:rPr>
                    <w:t>2</w:t>
                  </w:r>
                </w:p>
              </w:tc>
              <w:tc>
                <w:tcPr>
                  <w:tcW w:w="1065"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年平均质量浓度</w:t>
                  </w:r>
                </w:p>
              </w:tc>
              <w:tc>
                <w:tcPr>
                  <w:tcW w:w="776"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5.0</w:t>
                  </w:r>
                </w:p>
              </w:tc>
              <w:tc>
                <w:tcPr>
                  <w:tcW w:w="713"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60</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82" w:type="pct"/>
                  <w:vMerge w:val="continue"/>
                  <w:tcBorders>
                    <w:tl2br w:val="nil"/>
                    <w:tr2bl w:val="nil"/>
                  </w:tcBorders>
                  <w:noWrap w:val="0"/>
                  <w:vAlign w:val="center"/>
                </w:tcPr>
                <w:p>
                  <w:pPr>
                    <w:pStyle w:val="24"/>
                    <w:spacing w:line="240" w:lineRule="auto"/>
                    <w:jc w:val="center"/>
                    <w:rPr>
                      <w:rFonts w:hint="default" w:ascii="Times New Roman" w:hAnsi="Times New Roman" w:cs="Times New Roman"/>
                      <w:color w:val="auto"/>
                      <w:sz w:val="21"/>
                      <w:szCs w:val="21"/>
                      <w:u w:val="none" w:color="auto"/>
                    </w:rPr>
                  </w:pPr>
                </w:p>
              </w:tc>
              <w:tc>
                <w:tcPr>
                  <w:tcW w:w="621"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NO</w:t>
                  </w:r>
                  <w:r>
                    <w:rPr>
                      <w:rFonts w:hint="default" w:ascii="Times New Roman" w:hAnsi="Times New Roman" w:cs="Times New Roman"/>
                      <w:color w:val="auto"/>
                      <w:sz w:val="21"/>
                      <w:szCs w:val="21"/>
                      <w:u w:val="none" w:color="auto"/>
                      <w:vertAlign w:val="subscript"/>
                    </w:rPr>
                    <w:t>2</w:t>
                  </w:r>
                </w:p>
              </w:tc>
              <w:tc>
                <w:tcPr>
                  <w:tcW w:w="1065"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年平均质量浓度</w:t>
                  </w:r>
                </w:p>
              </w:tc>
              <w:tc>
                <w:tcPr>
                  <w:tcW w:w="776"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20.9</w:t>
                  </w:r>
                </w:p>
              </w:tc>
              <w:tc>
                <w:tcPr>
                  <w:tcW w:w="713"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40</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82" w:type="pct"/>
                  <w:vMerge w:val="continue"/>
                  <w:tcBorders>
                    <w:tl2br w:val="nil"/>
                    <w:tr2bl w:val="nil"/>
                  </w:tcBorders>
                  <w:noWrap w:val="0"/>
                  <w:vAlign w:val="center"/>
                </w:tcPr>
                <w:p>
                  <w:pPr>
                    <w:pStyle w:val="24"/>
                    <w:spacing w:line="240" w:lineRule="auto"/>
                    <w:jc w:val="center"/>
                    <w:rPr>
                      <w:rFonts w:hint="default" w:ascii="Times New Roman" w:hAnsi="Times New Roman" w:cs="Times New Roman"/>
                      <w:color w:val="auto"/>
                      <w:sz w:val="21"/>
                      <w:szCs w:val="21"/>
                      <w:u w:val="none" w:color="auto"/>
                    </w:rPr>
                  </w:pPr>
                </w:p>
              </w:tc>
              <w:tc>
                <w:tcPr>
                  <w:tcW w:w="621"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PM</w:t>
                  </w:r>
                  <w:r>
                    <w:rPr>
                      <w:rFonts w:hint="default" w:ascii="Times New Roman" w:hAnsi="Times New Roman" w:cs="Times New Roman"/>
                      <w:color w:val="auto"/>
                      <w:sz w:val="21"/>
                      <w:szCs w:val="21"/>
                      <w:u w:val="none" w:color="auto"/>
                      <w:vertAlign w:val="subscript"/>
                    </w:rPr>
                    <w:t>10</w:t>
                  </w:r>
                </w:p>
              </w:tc>
              <w:tc>
                <w:tcPr>
                  <w:tcW w:w="1065"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年平均质量浓度</w:t>
                  </w:r>
                </w:p>
              </w:tc>
              <w:tc>
                <w:tcPr>
                  <w:tcW w:w="776"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42.1</w:t>
                  </w:r>
                </w:p>
              </w:tc>
              <w:tc>
                <w:tcPr>
                  <w:tcW w:w="713"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70</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82" w:type="pct"/>
                  <w:vMerge w:val="continue"/>
                  <w:tcBorders>
                    <w:tl2br w:val="nil"/>
                    <w:tr2bl w:val="nil"/>
                  </w:tcBorders>
                  <w:noWrap w:val="0"/>
                  <w:vAlign w:val="center"/>
                </w:tcPr>
                <w:p>
                  <w:pPr>
                    <w:pStyle w:val="24"/>
                    <w:spacing w:line="240" w:lineRule="auto"/>
                    <w:jc w:val="center"/>
                    <w:rPr>
                      <w:rFonts w:hint="default" w:ascii="Times New Roman" w:hAnsi="Times New Roman" w:cs="Times New Roman"/>
                      <w:color w:val="auto"/>
                      <w:sz w:val="21"/>
                      <w:szCs w:val="21"/>
                      <w:u w:val="none" w:color="auto"/>
                    </w:rPr>
                  </w:pPr>
                </w:p>
              </w:tc>
              <w:tc>
                <w:tcPr>
                  <w:tcW w:w="621"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PM</w:t>
                  </w:r>
                  <w:r>
                    <w:rPr>
                      <w:rFonts w:hint="default" w:ascii="Times New Roman" w:hAnsi="Times New Roman" w:cs="Times New Roman"/>
                      <w:color w:val="auto"/>
                      <w:sz w:val="21"/>
                      <w:szCs w:val="21"/>
                      <w:u w:val="none" w:color="auto"/>
                      <w:vertAlign w:val="subscript"/>
                      <w:lang w:val="en-US" w:eastAsia="zh-CN"/>
                    </w:rPr>
                    <w:t>2.5</w:t>
                  </w:r>
                </w:p>
              </w:tc>
              <w:tc>
                <w:tcPr>
                  <w:tcW w:w="1065"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年平均质量浓度</w:t>
                  </w:r>
                </w:p>
              </w:tc>
              <w:tc>
                <w:tcPr>
                  <w:tcW w:w="776"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30.2</w:t>
                  </w:r>
                </w:p>
              </w:tc>
              <w:tc>
                <w:tcPr>
                  <w:tcW w:w="713"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35</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82" w:type="pct"/>
                  <w:vMerge w:val="continue"/>
                  <w:tcBorders>
                    <w:tl2br w:val="nil"/>
                    <w:tr2bl w:val="nil"/>
                  </w:tcBorders>
                  <w:noWrap w:val="0"/>
                  <w:vAlign w:val="center"/>
                </w:tcPr>
                <w:p>
                  <w:pPr>
                    <w:pStyle w:val="24"/>
                    <w:spacing w:line="240" w:lineRule="auto"/>
                    <w:jc w:val="center"/>
                    <w:rPr>
                      <w:rFonts w:hint="default" w:ascii="Times New Roman" w:hAnsi="Times New Roman" w:cs="Times New Roman"/>
                      <w:color w:val="auto"/>
                      <w:sz w:val="21"/>
                      <w:szCs w:val="21"/>
                      <w:u w:val="none" w:color="auto"/>
                    </w:rPr>
                  </w:pPr>
                </w:p>
              </w:tc>
              <w:tc>
                <w:tcPr>
                  <w:tcW w:w="621"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C</w:t>
                  </w:r>
                  <w:r>
                    <w:rPr>
                      <w:rFonts w:hint="default" w:ascii="Times New Roman" w:hAnsi="Times New Roman" w:cs="Times New Roman"/>
                      <w:color w:val="auto"/>
                      <w:sz w:val="21"/>
                      <w:szCs w:val="21"/>
                      <w:u w:val="none" w:color="auto"/>
                    </w:rPr>
                    <w:t>O</w:t>
                  </w:r>
                </w:p>
              </w:tc>
              <w:tc>
                <w:tcPr>
                  <w:tcW w:w="1065"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95百分位数日平均质量浓度</w:t>
                  </w:r>
                </w:p>
              </w:tc>
              <w:tc>
                <w:tcPr>
                  <w:tcW w:w="776"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r>
                    <w:rPr>
                      <w:rFonts w:hint="eastAsia" w:ascii="Times New Roman" w:hAnsi="Times New Roman" w:cs="Times New Roman"/>
                      <w:color w:val="auto"/>
                      <w:sz w:val="21"/>
                      <w:szCs w:val="21"/>
                      <w:u w:val="none" w:color="auto"/>
                      <w:lang w:val="en-US" w:eastAsia="zh-CN"/>
                    </w:rPr>
                    <w:t>.</w:t>
                  </w:r>
                  <w:r>
                    <w:rPr>
                      <w:rFonts w:hint="default" w:ascii="Times New Roman" w:hAnsi="Times New Roman" w:cs="Times New Roman"/>
                      <w:color w:val="auto"/>
                      <w:sz w:val="21"/>
                      <w:szCs w:val="21"/>
                      <w:u w:val="none" w:color="auto"/>
                      <w:lang w:val="en-US" w:eastAsia="zh-CN"/>
                    </w:rPr>
                    <w:t>3</w:t>
                  </w:r>
                </w:p>
              </w:tc>
              <w:tc>
                <w:tcPr>
                  <w:tcW w:w="713"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4000</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82" w:type="pct"/>
                  <w:vMerge w:val="continue"/>
                  <w:tcBorders>
                    <w:tl2br w:val="nil"/>
                    <w:tr2bl w:val="nil"/>
                  </w:tcBorders>
                  <w:noWrap w:val="0"/>
                  <w:vAlign w:val="center"/>
                </w:tcPr>
                <w:p>
                  <w:pPr>
                    <w:pStyle w:val="24"/>
                    <w:spacing w:line="240" w:lineRule="auto"/>
                    <w:jc w:val="center"/>
                    <w:rPr>
                      <w:rFonts w:hint="default" w:ascii="Times New Roman" w:hAnsi="Times New Roman" w:cs="Times New Roman"/>
                      <w:color w:val="auto"/>
                      <w:sz w:val="21"/>
                      <w:szCs w:val="21"/>
                      <w:u w:val="none" w:color="auto"/>
                    </w:rPr>
                  </w:pPr>
                </w:p>
              </w:tc>
              <w:tc>
                <w:tcPr>
                  <w:tcW w:w="621"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O</w:t>
                  </w:r>
                  <w:r>
                    <w:rPr>
                      <w:rFonts w:hint="default" w:ascii="Times New Roman" w:hAnsi="Times New Roman" w:cs="Times New Roman"/>
                      <w:color w:val="auto"/>
                      <w:sz w:val="21"/>
                      <w:szCs w:val="21"/>
                      <w:u w:val="none" w:color="auto"/>
                      <w:vertAlign w:val="subscript"/>
                      <w:lang w:val="en-US" w:eastAsia="zh-CN"/>
                    </w:rPr>
                    <w:t>3</w:t>
                  </w:r>
                </w:p>
              </w:tc>
              <w:tc>
                <w:tcPr>
                  <w:tcW w:w="1065"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90百分位数最大8小时平均质量浓度</w:t>
                  </w:r>
                </w:p>
              </w:tc>
              <w:tc>
                <w:tcPr>
                  <w:tcW w:w="776"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80.4</w:t>
                  </w:r>
                </w:p>
              </w:tc>
              <w:tc>
                <w:tcPr>
                  <w:tcW w:w="713"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160</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w:t>
                  </w:r>
                </w:p>
              </w:tc>
              <w:tc>
                <w:tcPr>
                  <w:tcW w:w="670" w:type="pct"/>
                  <w:tcBorders>
                    <w:tl2br w:val="nil"/>
                    <w:tr2bl w:val="nil"/>
                  </w:tcBorders>
                  <w:noWrap w:val="0"/>
                  <w:vAlign w:val="center"/>
                </w:tcPr>
                <w:p>
                  <w:pPr>
                    <w:pStyle w:val="24"/>
                    <w:spacing w:line="240" w:lineRule="auto"/>
                    <w:ind w:left="0" w:lef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达标</w:t>
                  </w:r>
                </w:p>
              </w:tc>
            </w:tr>
          </w:tbl>
          <w:p>
            <w:pPr>
              <w:pStyle w:val="25"/>
              <w:spacing w:line="360" w:lineRule="auto"/>
              <w:rPr>
                <w:rFonts w:eastAsia="宋体"/>
                <w:color w:val="auto"/>
                <w:u w:val="none" w:color="auto"/>
                <w:lang w:val="en-GB"/>
              </w:rPr>
            </w:pPr>
            <w:r>
              <w:rPr>
                <w:rFonts w:hint="default" w:ascii="Times New Roman" w:hAnsi="Times New Roman" w:cs="Times New Roman"/>
                <w:color w:val="auto"/>
                <w:sz w:val="24"/>
                <w:szCs w:val="24"/>
                <w:u w:val="none" w:color="auto"/>
                <w:lang w:eastAsia="zh-CN"/>
              </w:rPr>
              <w:t>由上表可知，</w:t>
            </w:r>
            <w:r>
              <w:rPr>
                <w:rFonts w:hint="default" w:ascii="Times New Roman" w:hAnsi="Times New Roman" w:cs="Times New Roman"/>
                <w:color w:val="auto"/>
                <w:sz w:val="24"/>
                <w:szCs w:val="24"/>
                <w:u w:val="none" w:color="auto"/>
                <w:lang w:val="en-US" w:eastAsia="zh-CN"/>
              </w:rPr>
              <w:t>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rPr>
              <w:t>10</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vertAlign w:val="baseline"/>
                <w:lang w:eastAsia="zh-CN"/>
              </w:rPr>
              <w:t>、</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eastAsia="zh-CN"/>
              </w:rPr>
              <w:t>年平均质量浓度和</w:t>
            </w:r>
            <w:r>
              <w:rPr>
                <w:rFonts w:hint="default"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lang w:val="en-US" w:eastAsia="zh-CN"/>
              </w:rPr>
              <w:t>95百分位数</w:t>
            </w:r>
            <w:r>
              <w:rPr>
                <w:rFonts w:hint="default" w:ascii="Times New Roman" w:hAnsi="Times New Roman" w:cs="Times New Roman"/>
                <w:color w:val="auto"/>
                <w:sz w:val="24"/>
                <w:szCs w:val="24"/>
                <w:u w:val="none" w:color="auto"/>
                <w:lang w:eastAsia="zh-CN"/>
              </w:rPr>
              <w:t>日平均质量浓度、</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lang w:val="en-US" w:eastAsia="zh-CN"/>
              </w:rPr>
              <w:t>3</w:t>
            </w:r>
            <w:r>
              <w:rPr>
                <w:rFonts w:hint="default" w:ascii="Times New Roman" w:hAnsi="Times New Roman" w:cs="Times New Roman"/>
                <w:color w:val="auto"/>
                <w:sz w:val="24"/>
                <w:szCs w:val="24"/>
                <w:u w:val="none" w:color="auto"/>
                <w:lang w:val="en-US" w:eastAsia="zh-CN"/>
              </w:rPr>
              <w:t>90百分位数</w:t>
            </w:r>
            <w:r>
              <w:rPr>
                <w:rFonts w:hint="default" w:ascii="Times New Roman" w:hAnsi="Times New Roman" w:cs="Times New Roman"/>
                <w:color w:val="auto"/>
                <w:sz w:val="24"/>
                <w:szCs w:val="24"/>
                <w:u w:val="none" w:color="auto"/>
                <w:lang w:eastAsia="zh-CN"/>
              </w:rPr>
              <w:t>最大</w:t>
            </w:r>
            <w:r>
              <w:rPr>
                <w:rFonts w:hint="default" w:ascii="Times New Roman" w:hAnsi="Times New Roman" w:cs="Times New Roman"/>
                <w:color w:val="auto"/>
                <w:sz w:val="24"/>
                <w:szCs w:val="24"/>
                <w:u w:val="none" w:color="auto"/>
                <w:lang w:val="en-US" w:eastAsia="zh-CN"/>
              </w:rPr>
              <w:t>8小时平均质量浓度</w:t>
            </w:r>
            <w:r>
              <w:rPr>
                <w:rFonts w:hint="default" w:ascii="Times New Roman" w:hAnsi="Times New Roman" w:cs="Times New Roman"/>
                <w:color w:val="auto"/>
                <w:sz w:val="24"/>
                <w:szCs w:val="24"/>
                <w:u w:val="none" w:color="auto"/>
                <w:lang w:eastAsia="zh-CN"/>
              </w:rPr>
              <w:t>可达到</w:t>
            </w:r>
            <w:r>
              <w:rPr>
                <w:rFonts w:hint="default" w:ascii="Times New Roman" w:hAnsi="Times New Roman" w:cs="Times New Roman"/>
                <w:color w:val="auto"/>
                <w:sz w:val="24"/>
                <w:szCs w:val="24"/>
                <w:u w:val="none" w:color="auto"/>
              </w:rPr>
              <w:t>《环境空气质量标准》（GB3095-2012）中二级标准</w:t>
            </w:r>
            <w:r>
              <w:rPr>
                <w:rFonts w:hint="default" w:ascii="Times New Roman" w:hAnsi="Times New Roman" w:cs="Times New Roman"/>
                <w:color w:val="auto"/>
                <w:sz w:val="24"/>
                <w:szCs w:val="24"/>
                <w:u w:val="none" w:color="auto"/>
                <w:lang w:val="en-US" w:eastAsia="zh-CN"/>
              </w:rPr>
              <w:t>，项目所在区域为环境空气质量达标区</w:t>
            </w:r>
            <w:r>
              <w:rPr>
                <w:rFonts w:eastAsia="宋体"/>
                <w:color w:val="auto"/>
                <w:u w:val="none" w:color="auto"/>
                <w:lang w:val="en-GB"/>
              </w:rPr>
              <w:t>。</w:t>
            </w:r>
          </w:p>
          <w:p>
            <w:pPr>
              <w:numPr>
                <w:ilvl w:val="0"/>
                <w:numId w:val="0"/>
              </w:numPr>
              <w:adjustRightInd w:val="0"/>
              <w:snapToGrid w:val="0"/>
              <w:spacing w:line="360" w:lineRule="auto"/>
              <w:ind w:firstLine="480" w:firstLineChars="200"/>
              <w:jc w:val="both"/>
              <w:rPr>
                <w:rFonts w:hint="eastAsia" w:ascii="宋体" w:hAnsi="宋体" w:cs="宋体"/>
                <w:kern w:val="0"/>
                <w:sz w:val="24"/>
                <w:szCs w:val="24"/>
                <w:lang w:val="en-US" w:eastAsia="zh-CN"/>
              </w:rPr>
            </w:pPr>
            <w:r>
              <w:rPr>
                <w:rFonts w:hint="default" w:ascii="Times New Roman" w:hAnsi="Times New Roman" w:eastAsia="宋体" w:cs="Times New Roman"/>
                <w:sz w:val="24"/>
                <w:szCs w:val="24"/>
                <w:lang w:val="en-US" w:eastAsia="zh-CN"/>
              </w:rPr>
              <w:t>②特征因子</w:t>
            </w:r>
          </w:p>
          <w:p>
            <w:pPr>
              <w:bidi w:val="0"/>
              <w:spacing w:line="360" w:lineRule="auto"/>
              <w:ind w:firstLine="480" w:firstLineChars="200"/>
              <w:rPr>
                <w:rFonts w:hint="default" w:ascii="Times New Roman" w:hAnsi="Times New Roman" w:eastAsia="宋体" w:cs="Times New Roman"/>
                <w:sz w:val="24"/>
                <w:szCs w:val="24"/>
                <w:highlight w:val="none"/>
              </w:rPr>
            </w:pPr>
            <w:r>
              <w:rPr>
                <w:rFonts w:hint="eastAsia" w:ascii="宋体" w:hAnsi="宋体" w:cs="宋体"/>
                <w:kern w:val="0"/>
                <w:sz w:val="24"/>
                <w:szCs w:val="24"/>
                <w:lang w:val="en-US" w:eastAsia="zh-CN"/>
              </w:rPr>
              <w:t>本项目特征因子为“TVOC”,</w:t>
            </w:r>
            <w:r>
              <w:rPr>
                <w:rFonts w:hint="default" w:ascii="Times New Roman" w:hAnsi="Times New Roman" w:eastAsia="宋体" w:cs="Times New Roman"/>
                <w:sz w:val="24"/>
                <w:szCs w:val="24"/>
                <w:highlight w:val="none"/>
                <w:lang w:eastAsia="zh-CN"/>
              </w:rPr>
              <w:t>故</w:t>
            </w:r>
            <w:r>
              <w:rPr>
                <w:rFonts w:hint="default" w:ascii="Times New Roman" w:hAnsi="Times New Roman" w:eastAsia="宋体" w:cs="Times New Roman"/>
                <w:sz w:val="24"/>
                <w:szCs w:val="24"/>
                <w:highlight w:val="none"/>
              </w:rPr>
              <w:t>本环评</w:t>
            </w:r>
            <w:r>
              <w:rPr>
                <w:rFonts w:hint="default" w:ascii="Times New Roman" w:hAnsi="Times New Roman" w:eastAsia="宋体" w:cs="Times New Roman"/>
                <w:sz w:val="24"/>
                <w:szCs w:val="24"/>
                <w:highlight w:val="none"/>
                <w:lang w:eastAsia="zh-CN"/>
              </w:rPr>
              <w:t>引用</w:t>
            </w:r>
            <w:r>
              <w:rPr>
                <w:rFonts w:hint="default" w:ascii="Times New Roman" w:hAnsi="Times New Roman" w:eastAsia="宋体" w:cs="Times New Roman"/>
                <w:sz w:val="24"/>
                <w:szCs w:val="24"/>
                <w:highlight w:val="none"/>
                <w:lang w:val="en-US" w:eastAsia="zh-CN"/>
              </w:rPr>
              <w:t>《</w:t>
            </w:r>
            <w:r>
              <w:rPr>
                <w:rFonts w:hint="eastAsia" w:eastAsia="宋体" w:cs="Times New Roman"/>
                <w:sz w:val="24"/>
                <w:szCs w:val="24"/>
                <w:highlight w:val="none"/>
                <w:lang w:val="en-US" w:eastAsia="zh-CN"/>
              </w:rPr>
              <w:t>系列免漆家具（年产模压门30000m2、模压雕刻房门8000套、木柜20000套）项目</w:t>
            </w:r>
            <w:r>
              <w:rPr>
                <w:rFonts w:hint="default" w:ascii="Times New Roman" w:hAnsi="Times New Roman" w:eastAsia="宋体" w:cs="Times New Roman"/>
                <w:sz w:val="24"/>
                <w:szCs w:val="24"/>
                <w:highlight w:val="none"/>
                <w:lang w:val="en-US" w:eastAsia="zh-CN"/>
              </w:rPr>
              <w:t>》</w:t>
            </w:r>
            <w:r>
              <w:rPr>
                <w:rFonts w:hint="eastAsia" w:eastAsia="宋体" w:cs="Times New Roman"/>
                <w:sz w:val="24"/>
                <w:szCs w:val="24"/>
                <w:highlight w:val="none"/>
                <w:lang w:val="en-US" w:eastAsia="zh-CN"/>
              </w:rPr>
              <w:t>2019</w:t>
            </w:r>
            <w:r>
              <w:rPr>
                <w:rFonts w:hint="default" w:ascii="Times New Roman" w:hAnsi="Times New Roman" w:eastAsia="宋体" w:cs="Times New Roman"/>
                <w:sz w:val="24"/>
                <w:szCs w:val="24"/>
                <w:highlight w:val="none"/>
                <w:lang w:val="en-US" w:eastAsia="zh-CN"/>
              </w:rPr>
              <w:t>年</w:t>
            </w:r>
            <w:r>
              <w:rPr>
                <w:rFonts w:hint="eastAsia" w:eastAsia="宋体" w:cs="Times New Roman"/>
                <w:sz w:val="24"/>
                <w:szCs w:val="24"/>
                <w:highlight w:val="none"/>
                <w:lang w:val="en-US" w:eastAsia="zh-CN"/>
              </w:rPr>
              <w:t>11</w:t>
            </w:r>
            <w:r>
              <w:rPr>
                <w:rFonts w:hint="default" w:ascii="Times New Roman" w:hAnsi="Times New Roman" w:eastAsia="宋体" w:cs="Times New Roman"/>
                <w:sz w:val="24"/>
                <w:szCs w:val="24"/>
                <w:highlight w:val="none"/>
                <w:lang w:val="en-US" w:eastAsia="zh-CN"/>
              </w:rPr>
              <w:t>月</w:t>
            </w:r>
            <w:r>
              <w:rPr>
                <w:rFonts w:hint="eastAsia" w:eastAsia="宋体" w:cs="Times New Roman"/>
                <w:sz w:val="24"/>
                <w:szCs w:val="24"/>
                <w:highlight w:val="none"/>
                <w:lang w:val="en-US" w:eastAsia="zh-CN"/>
              </w:rPr>
              <w:t>04</w:t>
            </w:r>
            <w:r>
              <w:rPr>
                <w:rFonts w:hint="default" w:ascii="Times New Roman" w:hAnsi="Times New Roman" w:eastAsia="宋体" w:cs="Times New Roman"/>
                <w:sz w:val="24"/>
                <w:szCs w:val="24"/>
                <w:highlight w:val="none"/>
                <w:lang w:val="en-US" w:eastAsia="zh-CN"/>
              </w:rPr>
              <w:t>~</w:t>
            </w:r>
            <w:r>
              <w:rPr>
                <w:rFonts w:hint="eastAsia" w:eastAsia="宋体" w:cs="Times New Roman"/>
                <w:sz w:val="24"/>
                <w:szCs w:val="24"/>
                <w:highlight w:val="none"/>
                <w:lang w:val="en-US" w:eastAsia="zh-CN"/>
              </w:rPr>
              <w:t>10</w:t>
            </w:r>
            <w:r>
              <w:rPr>
                <w:rFonts w:hint="default" w:ascii="Times New Roman" w:hAnsi="Times New Roman" w:eastAsia="宋体" w:cs="Times New Roman"/>
                <w:sz w:val="24"/>
                <w:szCs w:val="24"/>
                <w:highlight w:val="none"/>
                <w:lang w:val="en-US" w:eastAsia="zh-CN"/>
              </w:rPr>
              <w:t>日对周边区域现状监测的数据</w:t>
            </w:r>
            <w:r>
              <w:rPr>
                <w:rFonts w:hint="default" w:ascii="Times New Roman" w:hAnsi="Times New Roman" w:eastAsia="宋体" w:cs="Times New Roman"/>
                <w:sz w:val="24"/>
                <w:szCs w:val="24"/>
                <w:highlight w:val="none"/>
              </w:rPr>
              <w:t>，</w:t>
            </w:r>
            <w:r>
              <w:rPr>
                <w:rFonts w:hint="eastAsia" w:eastAsia="宋体" w:cs="Times New Roman"/>
                <w:sz w:val="24"/>
                <w:szCs w:val="24"/>
                <w:highlight w:val="none"/>
                <w:lang w:val="en-US" w:eastAsia="zh-CN"/>
              </w:rPr>
              <w:t>蓝天豚绿色建筑新材料（湘阴）有限公司</w:t>
            </w:r>
            <w:r>
              <w:rPr>
                <w:rFonts w:hint="default" w:ascii="Times New Roman" w:hAnsi="Times New Roman" w:eastAsia="宋体" w:cs="Times New Roman"/>
                <w:sz w:val="24"/>
                <w:szCs w:val="24"/>
                <w:highlight w:val="none"/>
                <w:lang w:eastAsia="zh-CN"/>
              </w:rPr>
              <w:t>位于</w:t>
            </w:r>
            <w:r>
              <w:rPr>
                <w:rFonts w:hint="default" w:ascii="Times New Roman" w:hAnsi="Times New Roman" w:eastAsia="宋体" w:cs="Times New Roman"/>
                <w:sz w:val="24"/>
                <w:szCs w:val="24"/>
                <w:highlight w:val="none"/>
                <w:lang w:val="en-US" w:eastAsia="zh-CN"/>
              </w:rPr>
              <w:t>本项目</w:t>
            </w:r>
            <w:r>
              <w:rPr>
                <w:rFonts w:hint="eastAsia" w:eastAsia="宋体" w:cs="Times New Roman"/>
                <w:sz w:val="24"/>
                <w:szCs w:val="24"/>
                <w:highlight w:val="none"/>
                <w:lang w:val="en-US" w:eastAsia="zh-CN"/>
              </w:rPr>
              <w:t>东北侧700</w:t>
            </w:r>
            <w:r>
              <w:rPr>
                <w:rFonts w:hint="default" w:ascii="Times New Roman" w:hAnsi="Times New Roman" w:eastAsia="宋体" w:cs="Times New Roman"/>
                <w:sz w:val="24"/>
                <w:szCs w:val="24"/>
                <w:highlight w:val="none"/>
                <w:lang w:val="en-US" w:eastAsia="zh-CN"/>
              </w:rPr>
              <w:t>米处。</w:t>
            </w:r>
            <w:r>
              <w:rPr>
                <w:rFonts w:hint="default" w:ascii="Times New Roman" w:hAnsi="Times New Roman" w:eastAsia="宋体" w:cs="Times New Roman"/>
                <w:sz w:val="24"/>
                <w:szCs w:val="24"/>
                <w:highlight w:val="none"/>
              </w:rPr>
              <w:t>根据引用数据的时间与距离，其符合《环境影响评价技术导则  大气环境》（HJ2.2-2018）中的对于引用数据的要求，本次环评引用数据可行。</w:t>
            </w:r>
          </w:p>
          <w:p>
            <w:pPr>
              <w:bidi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①</w:t>
            </w:r>
            <w:r>
              <w:rPr>
                <w:rFonts w:hint="default" w:ascii="Times New Roman" w:hAnsi="Times New Roman" w:eastAsia="宋体" w:cs="Times New Roman"/>
                <w:sz w:val="24"/>
                <w:szCs w:val="24"/>
                <w:highlight w:val="none"/>
                <w:lang w:val="en-US" w:eastAsia="zh-CN"/>
              </w:rPr>
              <w:t>监测点位：常年主导风向上风向G1、常年主导风向下风向G2</w:t>
            </w:r>
          </w:p>
          <w:p>
            <w:pPr>
              <w:bidi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②</w:t>
            </w:r>
            <w:r>
              <w:rPr>
                <w:rFonts w:hint="default" w:ascii="Times New Roman" w:hAnsi="Times New Roman" w:eastAsia="宋体" w:cs="Times New Roman"/>
                <w:sz w:val="24"/>
                <w:szCs w:val="24"/>
                <w:highlight w:val="none"/>
                <w:lang w:val="en-US" w:eastAsia="zh-CN"/>
              </w:rPr>
              <w:t>监测因子：</w:t>
            </w:r>
            <w:r>
              <w:rPr>
                <w:rFonts w:hint="default" w:ascii="Times New Roman" w:hAnsi="Times New Roman" w:eastAsia="宋体" w:cs="Times New Roman"/>
                <w:sz w:val="24"/>
                <w:szCs w:val="24"/>
                <w:highlight w:val="none"/>
                <w:lang w:eastAsia="zh-CN"/>
              </w:rPr>
              <w:t>TVOC</w:t>
            </w:r>
          </w:p>
          <w:p>
            <w:pPr>
              <w:bidi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③</w:t>
            </w:r>
            <w:r>
              <w:rPr>
                <w:rFonts w:hint="default" w:ascii="Times New Roman" w:hAnsi="Times New Roman" w:eastAsia="宋体" w:cs="Times New Roman"/>
                <w:sz w:val="24"/>
                <w:szCs w:val="24"/>
                <w:highlight w:val="none"/>
                <w:lang w:val="en-US" w:eastAsia="zh-CN"/>
              </w:rPr>
              <w:t>监测时间：20</w:t>
            </w:r>
            <w:r>
              <w:rPr>
                <w:rFonts w:hint="eastAsia" w:eastAsia="宋体" w:cs="Times New Roman"/>
                <w:sz w:val="24"/>
                <w:szCs w:val="24"/>
                <w:highlight w:val="none"/>
                <w:lang w:val="en-US" w:eastAsia="zh-CN"/>
              </w:rPr>
              <w:t>19</w:t>
            </w:r>
            <w:r>
              <w:rPr>
                <w:rFonts w:hint="default" w:ascii="Times New Roman" w:hAnsi="Times New Roman" w:eastAsia="宋体" w:cs="Times New Roman"/>
                <w:sz w:val="24"/>
                <w:szCs w:val="24"/>
                <w:highlight w:val="none"/>
                <w:lang w:val="en-US" w:eastAsia="zh-CN"/>
              </w:rPr>
              <w:t>年</w:t>
            </w:r>
            <w:r>
              <w:rPr>
                <w:rFonts w:hint="eastAsia" w:eastAsia="宋体" w:cs="Times New Roman"/>
                <w:sz w:val="24"/>
                <w:szCs w:val="24"/>
                <w:highlight w:val="none"/>
                <w:lang w:val="en-US" w:eastAsia="zh-CN"/>
              </w:rPr>
              <w:t>11</w:t>
            </w:r>
            <w:r>
              <w:rPr>
                <w:rFonts w:hint="default" w:ascii="Times New Roman" w:hAnsi="Times New Roman" w:eastAsia="宋体" w:cs="Times New Roman"/>
                <w:sz w:val="24"/>
                <w:szCs w:val="24"/>
                <w:highlight w:val="none"/>
                <w:lang w:val="en-US" w:eastAsia="zh-CN"/>
              </w:rPr>
              <w:t>月</w:t>
            </w:r>
            <w:r>
              <w:rPr>
                <w:rFonts w:hint="eastAsia" w:eastAsia="宋体" w:cs="Times New Roman"/>
                <w:sz w:val="24"/>
                <w:szCs w:val="24"/>
                <w:highlight w:val="none"/>
                <w:lang w:val="en-US" w:eastAsia="zh-CN"/>
              </w:rPr>
              <w:t>04</w:t>
            </w:r>
            <w:r>
              <w:rPr>
                <w:rFonts w:hint="default" w:ascii="Times New Roman" w:hAnsi="Times New Roman" w:eastAsia="宋体" w:cs="Times New Roman"/>
                <w:sz w:val="24"/>
                <w:szCs w:val="24"/>
                <w:highlight w:val="none"/>
                <w:lang w:val="en-US" w:eastAsia="zh-CN"/>
              </w:rPr>
              <w:t>日-</w:t>
            </w:r>
            <w:r>
              <w:rPr>
                <w:rFonts w:hint="eastAsia" w:eastAsia="宋体" w:cs="Times New Roman"/>
                <w:sz w:val="24"/>
                <w:szCs w:val="24"/>
                <w:highlight w:val="none"/>
                <w:lang w:val="en-US" w:eastAsia="zh-CN"/>
              </w:rPr>
              <w:t>10</w:t>
            </w:r>
            <w:r>
              <w:rPr>
                <w:rFonts w:hint="default" w:ascii="Times New Roman" w:hAnsi="Times New Roman" w:eastAsia="宋体" w:cs="Times New Roman"/>
                <w:sz w:val="24"/>
                <w:szCs w:val="24"/>
                <w:highlight w:val="none"/>
                <w:lang w:val="en-US" w:eastAsia="zh-CN"/>
              </w:rPr>
              <w:t>日</w:t>
            </w:r>
          </w:p>
          <w:p>
            <w:pPr>
              <w:bidi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④</w:t>
            </w:r>
            <w:r>
              <w:rPr>
                <w:rFonts w:hint="default" w:ascii="Times New Roman" w:hAnsi="Times New Roman" w:eastAsia="宋体" w:cs="Times New Roman"/>
                <w:sz w:val="24"/>
                <w:szCs w:val="24"/>
                <w:highlight w:val="none"/>
                <w:lang w:val="en-US" w:eastAsia="zh-CN"/>
              </w:rPr>
              <w:t>监测结果</w:t>
            </w:r>
          </w:p>
          <w:p>
            <w:pPr>
              <w:bidi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监测结果见表3-</w:t>
            </w:r>
            <w:r>
              <w:rPr>
                <w:rFonts w:hint="eastAsia"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w:t>
            </w:r>
          </w:p>
          <w:p>
            <w:pPr>
              <w:bidi w:val="0"/>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表3-</w:t>
            </w:r>
            <w:r>
              <w:rPr>
                <w:rFonts w:hint="eastAsia" w:cs="Times New Roman"/>
                <w:b/>
                <w:bCs/>
                <w:sz w:val="24"/>
                <w:szCs w:val="24"/>
                <w:lang w:val="en-US" w:eastAsia="zh-CN"/>
              </w:rPr>
              <w:t>2</w:t>
            </w:r>
            <w:r>
              <w:rPr>
                <w:rFonts w:hint="default" w:ascii="Times New Roman" w:hAnsi="Times New Roman" w:eastAsia="宋体" w:cs="Times New Roman"/>
                <w:b/>
                <w:bCs/>
                <w:sz w:val="24"/>
                <w:szCs w:val="24"/>
                <w:lang w:val="en-US" w:eastAsia="zh-CN"/>
              </w:rPr>
              <w:t xml:space="preserve">   项目所在区域特征因子监测结果   单位：mg/m</w:t>
            </w:r>
            <w:r>
              <w:rPr>
                <w:rFonts w:hint="default" w:ascii="Times New Roman" w:hAnsi="Times New Roman" w:eastAsia="宋体" w:cs="Times New Roman"/>
                <w:b/>
                <w:bCs/>
                <w:sz w:val="24"/>
                <w:szCs w:val="24"/>
                <w:vertAlign w:val="superscript"/>
                <w:lang w:val="en-US" w:eastAsia="zh-CN"/>
              </w:rPr>
              <w:t>3</w:t>
            </w:r>
          </w:p>
          <w:tbl>
            <w:tblPr>
              <w:tblStyle w:val="14"/>
              <w:tblW w:w="83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1200"/>
              <w:gridCol w:w="1560"/>
              <w:gridCol w:w="1005"/>
              <w:gridCol w:w="960"/>
              <w:gridCol w:w="11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9"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监测点位</w:t>
                  </w:r>
                </w:p>
              </w:tc>
              <w:tc>
                <w:tcPr>
                  <w:tcW w:w="1200"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监测项目</w:t>
                  </w:r>
                </w:p>
              </w:tc>
              <w:tc>
                <w:tcPr>
                  <w:tcW w:w="1560"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监测结果</w:t>
                  </w:r>
                </w:p>
              </w:tc>
              <w:tc>
                <w:tcPr>
                  <w:tcW w:w="1005"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标准值</w:t>
                  </w:r>
                </w:p>
              </w:tc>
              <w:tc>
                <w:tcPr>
                  <w:tcW w:w="960"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占标率</w:t>
                  </w:r>
                </w:p>
              </w:tc>
              <w:tc>
                <w:tcPr>
                  <w:tcW w:w="1179"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9"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常年主导风向上风向</w:t>
                  </w:r>
                </w:p>
              </w:tc>
              <w:tc>
                <w:tcPr>
                  <w:tcW w:w="1200"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TVOC</w:t>
                  </w:r>
                </w:p>
              </w:tc>
              <w:tc>
                <w:tcPr>
                  <w:tcW w:w="1560"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0.138-0.273</w:t>
                  </w:r>
                </w:p>
              </w:tc>
              <w:tc>
                <w:tcPr>
                  <w:tcW w:w="1005"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0.6</w:t>
                  </w:r>
                </w:p>
              </w:tc>
              <w:tc>
                <w:tcPr>
                  <w:tcW w:w="960"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w:t>
                  </w:r>
                </w:p>
              </w:tc>
              <w:tc>
                <w:tcPr>
                  <w:tcW w:w="1179" w:type="dxa"/>
                  <w:tcBorders>
                    <w:tl2br w:val="nil"/>
                    <w:tr2bl w:val="nil"/>
                  </w:tcBorders>
                  <w:noWrap w:val="0"/>
                  <w:vAlign w:val="center"/>
                </w:tcPr>
                <w:p>
                  <w:pPr>
                    <w:bidi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9" w:type="dxa"/>
                  <w:noWrap w:val="0"/>
                  <w:vAlign w:val="center"/>
                </w:tcPr>
                <w:p>
                  <w:pPr>
                    <w:bidi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常年主导风向下风向</w:t>
                  </w:r>
                </w:p>
              </w:tc>
              <w:tc>
                <w:tcPr>
                  <w:tcW w:w="1200" w:type="dxa"/>
                  <w:noWrap w:val="0"/>
                  <w:vAlign w:val="center"/>
                </w:tcPr>
                <w:p>
                  <w:pPr>
                    <w:bidi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TVOC</w:t>
                  </w:r>
                </w:p>
              </w:tc>
              <w:tc>
                <w:tcPr>
                  <w:tcW w:w="1560" w:type="dxa"/>
                  <w:noWrap w:val="0"/>
                  <w:vAlign w:val="center"/>
                </w:tcPr>
                <w:p>
                  <w:pPr>
                    <w:bidi w:val="0"/>
                    <w:spacing w:line="240" w:lineRule="auto"/>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0.333-0.417</w:t>
                  </w:r>
                </w:p>
              </w:tc>
              <w:tc>
                <w:tcPr>
                  <w:tcW w:w="1005" w:type="dxa"/>
                  <w:noWrap w:val="0"/>
                  <w:vAlign w:val="center"/>
                </w:tcPr>
                <w:p>
                  <w:pPr>
                    <w:bidi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0.6</w:t>
                  </w:r>
                </w:p>
              </w:tc>
              <w:tc>
                <w:tcPr>
                  <w:tcW w:w="960" w:type="dxa"/>
                  <w:noWrap w:val="0"/>
                  <w:vAlign w:val="center"/>
                </w:tcPr>
                <w:p>
                  <w:pPr>
                    <w:bidi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w:t>
                  </w:r>
                </w:p>
              </w:tc>
              <w:tc>
                <w:tcPr>
                  <w:tcW w:w="1179" w:type="dxa"/>
                  <w:noWrap w:val="0"/>
                  <w:vAlign w:val="center"/>
                </w:tcPr>
                <w:p>
                  <w:pPr>
                    <w:bidi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达标</w:t>
                  </w:r>
                </w:p>
              </w:tc>
            </w:tr>
          </w:tbl>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监测数据表明，该区域大气环境TVOC符合《环境影响评价技术导则-大气环境》HJ2.2-2018附录D中表D.1规定的限值要求，区域大气环境良好。</w:t>
            </w:r>
          </w:p>
          <w:p>
            <w:pPr>
              <w:numPr>
                <w:ilvl w:val="0"/>
                <w:numId w:val="0"/>
              </w:numPr>
              <w:adjustRightInd w:val="0"/>
              <w:snapToGrid w:val="0"/>
              <w:spacing w:line="360" w:lineRule="auto"/>
              <w:jc w:val="both"/>
              <w:rPr>
                <w:rFonts w:hint="default" w:ascii="宋体" w:hAnsi="宋体" w:cs="宋体"/>
                <w:b/>
                <w:bCs/>
                <w:color w:val="FF0000"/>
                <w:kern w:val="0"/>
                <w:sz w:val="24"/>
                <w:szCs w:val="24"/>
                <w:u w:val="single" w:color="auto"/>
                <w:lang w:val="en-US" w:eastAsia="zh-CN"/>
              </w:rPr>
            </w:pPr>
            <w:r>
              <w:rPr>
                <w:rFonts w:hint="eastAsia" w:ascii="宋体" w:hAnsi="宋体" w:cs="宋体"/>
                <w:b/>
                <w:bCs/>
                <w:color w:val="FF0000"/>
                <w:kern w:val="0"/>
                <w:sz w:val="24"/>
                <w:szCs w:val="24"/>
                <w:u w:val="single" w:color="auto"/>
                <w:lang w:val="en-US" w:eastAsia="zh-CN"/>
              </w:rPr>
              <w:t>2、水环境质量现状</w:t>
            </w:r>
          </w:p>
          <w:p>
            <w:pPr>
              <w:bidi w:val="0"/>
              <w:spacing w:line="360" w:lineRule="auto"/>
              <w:ind w:firstLine="480" w:firstLineChars="200"/>
              <w:rPr>
                <w:rFonts w:hint="default" w:ascii="Times New Roman" w:hAnsi="Times New Roman" w:eastAsia="宋体" w:cs="Times New Roman"/>
                <w:color w:val="FF0000"/>
                <w:sz w:val="24"/>
                <w:szCs w:val="24"/>
                <w:u w:val="single" w:color="auto"/>
                <w:lang w:val="en-US" w:eastAsia="zh-CN"/>
              </w:rPr>
            </w:pPr>
            <w:r>
              <w:rPr>
                <w:rFonts w:hint="default" w:ascii="Times New Roman" w:hAnsi="Times New Roman" w:eastAsia="宋体" w:cs="Times New Roman"/>
                <w:color w:val="FF0000"/>
                <w:sz w:val="24"/>
                <w:szCs w:val="24"/>
                <w:u w:val="single" w:color="auto"/>
                <w:lang w:val="en-US" w:eastAsia="zh-CN"/>
              </w:rPr>
              <w:t>了解项目建设区域地表水环境质量现状，本次环评引用</w:t>
            </w:r>
            <w:r>
              <w:rPr>
                <w:rFonts w:hint="eastAsia" w:cs="Times New Roman"/>
                <w:color w:val="FF0000"/>
                <w:sz w:val="24"/>
                <w:szCs w:val="24"/>
                <w:u w:val="single" w:color="auto"/>
                <w:lang w:val="en-US" w:eastAsia="zh-CN"/>
              </w:rPr>
              <w:t>2020年湘阴县环境监测中心对湘江乌龙嘴断面</w:t>
            </w:r>
            <w:r>
              <w:rPr>
                <w:rFonts w:hint="default" w:ascii="Times New Roman" w:hAnsi="Times New Roman" w:eastAsia="宋体" w:cs="Times New Roman"/>
                <w:color w:val="FF0000"/>
                <w:sz w:val="24"/>
                <w:szCs w:val="24"/>
                <w:u w:val="single" w:color="auto"/>
                <w:lang w:val="en-US" w:eastAsia="zh-CN"/>
              </w:rPr>
              <w:t>进行监测</w:t>
            </w:r>
            <w:r>
              <w:rPr>
                <w:rFonts w:hint="eastAsia" w:cs="Times New Roman"/>
                <w:color w:val="FF0000"/>
                <w:sz w:val="24"/>
                <w:szCs w:val="24"/>
                <w:u w:val="single" w:color="auto"/>
                <w:lang w:val="en-US" w:eastAsia="zh-CN"/>
              </w:rPr>
              <w:t>的监测数据。</w:t>
            </w:r>
            <w:r>
              <w:rPr>
                <w:rFonts w:hint="default" w:ascii="Times New Roman" w:hAnsi="Times New Roman" w:eastAsia="宋体" w:cs="Times New Roman"/>
                <w:color w:val="FF0000"/>
                <w:sz w:val="24"/>
                <w:szCs w:val="24"/>
                <w:u w:val="single" w:color="auto"/>
                <w:lang w:val="en-US" w:eastAsia="zh-CN"/>
              </w:rPr>
              <w:t>具体监测情况详见</w:t>
            </w:r>
            <w:r>
              <w:rPr>
                <w:rFonts w:hint="eastAsia" w:ascii="Times New Roman" w:hAnsi="Times New Roman" w:eastAsia="宋体" w:cs="Times New Roman"/>
                <w:color w:val="FF0000"/>
                <w:sz w:val="24"/>
                <w:szCs w:val="24"/>
                <w:u w:val="single" w:color="auto"/>
                <w:lang w:val="en-US" w:eastAsia="zh-CN"/>
              </w:rPr>
              <w:t>表3-</w:t>
            </w:r>
            <w:r>
              <w:rPr>
                <w:rFonts w:hint="eastAsia" w:cs="Times New Roman"/>
                <w:color w:val="FF0000"/>
                <w:sz w:val="24"/>
                <w:szCs w:val="24"/>
                <w:u w:val="single" w:color="auto"/>
                <w:lang w:val="en-US" w:eastAsia="zh-CN"/>
              </w:rPr>
              <w:t>3</w:t>
            </w:r>
            <w:r>
              <w:rPr>
                <w:rFonts w:hint="default" w:ascii="Times New Roman" w:hAnsi="Times New Roman" w:eastAsia="宋体" w:cs="Times New Roman"/>
                <w:color w:val="FF0000"/>
                <w:sz w:val="24"/>
                <w:szCs w:val="24"/>
                <w:u w:val="single" w:color="auto"/>
                <w:lang w:val="en-US" w:eastAsia="zh-CN"/>
              </w:rPr>
              <w:t>。</w:t>
            </w:r>
          </w:p>
          <w:p>
            <w:pPr>
              <w:bidi w:val="0"/>
              <w:spacing w:line="360" w:lineRule="auto"/>
              <w:jc w:val="center"/>
              <w:rPr>
                <w:rFonts w:hint="default" w:ascii="Times New Roman" w:hAnsi="Times New Roman" w:eastAsia="宋体" w:cs="Times New Roman"/>
                <w:b/>
                <w:bCs/>
                <w:color w:val="FF0000"/>
                <w:sz w:val="24"/>
                <w:szCs w:val="24"/>
                <w:u w:val="single" w:color="auto"/>
                <w:lang w:val="en-US" w:eastAsia="zh-CN"/>
              </w:rPr>
            </w:pPr>
            <w:r>
              <w:rPr>
                <w:rFonts w:hint="default" w:ascii="Times New Roman" w:hAnsi="Times New Roman" w:eastAsia="宋体" w:cs="Times New Roman"/>
                <w:b/>
                <w:bCs/>
                <w:color w:val="FF0000"/>
                <w:sz w:val="24"/>
                <w:szCs w:val="24"/>
                <w:u w:val="single" w:color="auto"/>
                <w:lang w:val="en-US" w:eastAsia="zh-CN"/>
              </w:rPr>
              <w:t>表3-</w:t>
            </w:r>
            <w:r>
              <w:rPr>
                <w:rFonts w:hint="eastAsia" w:cs="Times New Roman"/>
                <w:b/>
                <w:bCs/>
                <w:color w:val="FF0000"/>
                <w:sz w:val="24"/>
                <w:szCs w:val="24"/>
                <w:u w:val="single" w:color="auto"/>
                <w:lang w:val="en-US" w:eastAsia="zh-CN"/>
              </w:rPr>
              <w:t>3</w:t>
            </w:r>
            <w:r>
              <w:rPr>
                <w:rFonts w:hint="default" w:ascii="Times New Roman" w:hAnsi="Times New Roman" w:eastAsia="宋体" w:cs="Times New Roman"/>
                <w:b/>
                <w:bCs/>
                <w:color w:val="FF0000"/>
                <w:sz w:val="24"/>
                <w:szCs w:val="24"/>
                <w:u w:val="single" w:color="auto"/>
                <w:lang w:val="en-US" w:eastAsia="zh-CN"/>
              </w:rPr>
              <w:t xml:space="preserve">  </w:t>
            </w:r>
            <w:r>
              <w:rPr>
                <w:rFonts w:hint="eastAsia" w:cs="Times New Roman"/>
                <w:b/>
                <w:bCs/>
                <w:color w:val="FF0000"/>
                <w:sz w:val="24"/>
                <w:szCs w:val="24"/>
                <w:u w:val="single" w:color="auto"/>
                <w:lang w:val="en-US" w:eastAsia="zh-CN"/>
              </w:rPr>
              <w:t>乌龙嘴断面</w:t>
            </w:r>
            <w:r>
              <w:rPr>
                <w:rFonts w:hint="default" w:ascii="Times New Roman" w:hAnsi="Times New Roman" w:eastAsia="宋体" w:cs="Times New Roman"/>
                <w:b/>
                <w:bCs/>
                <w:color w:val="FF0000"/>
                <w:sz w:val="24"/>
                <w:szCs w:val="24"/>
                <w:u w:val="single" w:color="auto"/>
                <w:lang w:val="en-US" w:eastAsia="zh-CN"/>
              </w:rPr>
              <w:t>现状监测断面与监测因子</w:t>
            </w:r>
          </w:p>
          <w:tbl>
            <w:tblPr>
              <w:tblStyle w:val="14"/>
              <w:tblW w:w="8341"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626"/>
              <w:gridCol w:w="918"/>
              <w:gridCol w:w="1591"/>
              <w:gridCol w:w="902"/>
              <w:gridCol w:w="1170"/>
              <w:gridCol w:w="826"/>
              <w:gridCol w:w="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tcBorders>
                    <w:tl2br w:val="nil"/>
                    <w:tr2bl w:val="nil"/>
                  </w:tcBorders>
                  <w:noWrap w:val="0"/>
                  <w:vAlign w:val="center"/>
                </w:tcPr>
                <w:p>
                  <w:pPr>
                    <w:bidi w:val="0"/>
                    <w:jc w:val="center"/>
                    <w:rPr>
                      <w:rFonts w:hint="default"/>
                      <w:b/>
                      <w:bCs/>
                      <w:color w:val="FF0000"/>
                      <w:sz w:val="21"/>
                      <w:szCs w:val="21"/>
                      <w:u w:val="single" w:color="auto"/>
                      <w:lang w:val="en-US" w:eastAsia="zh-CN"/>
                    </w:rPr>
                  </w:pPr>
                  <w:r>
                    <w:rPr>
                      <w:rFonts w:hint="eastAsia"/>
                      <w:b/>
                      <w:bCs/>
                      <w:color w:val="FF0000"/>
                      <w:sz w:val="21"/>
                      <w:szCs w:val="21"/>
                      <w:u w:val="single" w:color="auto"/>
                      <w:lang w:val="en-US" w:eastAsia="zh-CN"/>
                    </w:rPr>
                    <w:t>监测断面</w:t>
                  </w:r>
                </w:p>
              </w:tc>
              <w:tc>
                <w:tcPr>
                  <w:tcW w:w="974" w:type="pct"/>
                  <w:tcBorders>
                    <w:tl2br w:val="nil"/>
                    <w:tr2bl w:val="nil"/>
                  </w:tcBorders>
                  <w:noWrap w:val="0"/>
                  <w:vAlign w:val="center"/>
                </w:tcPr>
                <w:p>
                  <w:pPr>
                    <w:bidi w:val="0"/>
                    <w:jc w:val="center"/>
                    <w:rPr>
                      <w:rFonts w:hint="default"/>
                      <w:b/>
                      <w:bCs/>
                      <w:color w:val="FF0000"/>
                      <w:sz w:val="21"/>
                      <w:szCs w:val="21"/>
                      <w:u w:val="single" w:color="auto"/>
                      <w:lang w:val="en-US" w:eastAsia="zh-CN"/>
                    </w:rPr>
                  </w:pPr>
                  <w:r>
                    <w:rPr>
                      <w:rFonts w:hint="eastAsia"/>
                      <w:b/>
                      <w:bCs/>
                      <w:color w:val="FF0000"/>
                      <w:sz w:val="21"/>
                      <w:szCs w:val="21"/>
                      <w:u w:val="single" w:color="auto"/>
                      <w:lang w:val="en-US" w:eastAsia="zh-CN"/>
                    </w:rPr>
                    <w:t>监测因子</w:t>
                  </w:r>
                </w:p>
              </w:tc>
              <w:tc>
                <w:tcPr>
                  <w:tcW w:w="550" w:type="pct"/>
                  <w:tcBorders>
                    <w:tl2br w:val="nil"/>
                    <w:tr2bl w:val="nil"/>
                  </w:tcBorders>
                  <w:noWrap w:val="0"/>
                  <w:vAlign w:val="center"/>
                </w:tcPr>
                <w:p>
                  <w:pPr>
                    <w:bidi w:val="0"/>
                    <w:jc w:val="center"/>
                    <w:rPr>
                      <w:rFonts w:hint="eastAsia"/>
                      <w:b/>
                      <w:bCs/>
                      <w:color w:val="FF0000"/>
                      <w:sz w:val="21"/>
                      <w:szCs w:val="21"/>
                      <w:u w:val="single" w:color="auto"/>
                      <w:lang w:val="en-US" w:eastAsia="zh-CN"/>
                    </w:rPr>
                  </w:pPr>
                  <w:r>
                    <w:rPr>
                      <w:rFonts w:hint="default" w:ascii="Times New Roman" w:hAnsi="Times New Roman" w:eastAsia="宋体" w:cs="Times New Roman"/>
                      <w:b/>
                      <w:bCs/>
                      <w:color w:val="FF0000"/>
                      <w:sz w:val="21"/>
                      <w:szCs w:val="21"/>
                      <w:u w:val="single" w:color="auto"/>
                      <w:vertAlign w:val="baseline"/>
                      <w:lang w:val="en-US" w:eastAsia="zh-CN"/>
                    </w:rPr>
                    <w:t>单位</w:t>
                  </w:r>
                </w:p>
              </w:tc>
              <w:tc>
                <w:tcPr>
                  <w:tcW w:w="953" w:type="pct"/>
                  <w:tcBorders>
                    <w:tl2br w:val="nil"/>
                    <w:tr2bl w:val="nil"/>
                  </w:tcBorders>
                  <w:noWrap w:val="0"/>
                  <w:vAlign w:val="center"/>
                </w:tcPr>
                <w:p>
                  <w:pPr>
                    <w:bidi w:val="0"/>
                    <w:jc w:val="center"/>
                    <w:rPr>
                      <w:rFonts w:hint="default"/>
                      <w:b/>
                      <w:bCs/>
                      <w:color w:val="FF0000"/>
                      <w:sz w:val="21"/>
                      <w:szCs w:val="21"/>
                      <w:u w:val="single" w:color="auto"/>
                      <w:lang w:val="en-US" w:eastAsia="zh-CN"/>
                    </w:rPr>
                  </w:pPr>
                  <w:r>
                    <w:rPr>
                      <w:rFonts w:hint="eastAsia"/>
                      <w:b/>
                      <w:bCs/>
                      <w:color w:val="FF0000"/>
                      <w:sz w:val="21"/>
                      <w:szCs w:val="21"/>
                      <w:u w:val="single" w:color="auto"/>
                      <w:lang w:val="en-US" w:eastAsia="zh-CN"/>
                    </w:rPr>
                    <w:t>年平均范围值</w:t>
                  </w:r>
                </w:p>
              </w:tc>
              <w:tc>
                <w:tcPr>
                  <w:tcW w:w="540" w:type="pct"/>
                  <w:tcBorders>
                    <w:tl2br w:val="nil"/>
                    <w:tr2bl w:val="nil"/>
                  </w:tcBorders>
                  <w:noWrap w:val="0"/>
                  <w:vAlign w:val="center"/>
                </w:tcPr>
                <w:p>
                  <w:pPr>
                    <w:bidi w:val="0"/>
                    <w:jc w:val="center"/>
                    <w:rPr>
                      <w:rFonts w:hint="default"/>
                      <w:b/>
                      <w:bCs/>
                      <w:color w:val="FF0000"/>
                      <w:sz w:val="21"/>
                      <w:szCs w:val="21"/>
                      <w:u w:val="single" w:color="auto"/>
                      <w:lang w:val="en-US" w:eastAsia="zh-CN"/>
                    </w:rPr>
                  </w:pPr>
                  <w:r>
                    <w:rPr>
                      <w:rFonts w:hint="eastAsia"/>
                      <w:b/>
                      <w:bCs/>
                      <w:color w:val="FF0000"/>
                      <w:sz w:val="21"/>
                      <w:szCs w:val="21"/>
                      <w:u w:val="single" w:color="auto"/>
                      <w:lang w:val="en-US" w:eastAsia="zh-CN"/>
                    </w:rPr>
                    <w:t>超标率%</w:t>
                  </w:r>
                </w:p>
              </w:tc>
              <w:tc>
                <w:tcPr>
                  <w:tcW w:w="701" w:type="pct"/>
                  <w:tcBorders>
                    <w:tl2br w:val="nil"/>
                    <w:tr2bl w:val="nil"/>
                  </w:tcBorders>
                  <w:noWrap w:val="0"/>
                  <w:vAlign w:val="center"/>
                </w:tcPr>
                <w:p>
                  <w:pPr>
                    <w:bidi w:val="0"/>
                    <w:jc w:val="center"/>
                    <w:rPr>
                      <w:rFonts w:hint="default"/>
                      <w:b/>
                      <w:bCs/>
                      <w:color w:val="FF0000"/>
                      <w:sz w:val="21"/>
                      <w:szCs w:val="21"/>
                      <w:u w:val="single" w:color="auto"/>
                      <w:lang w:val="en-US" w:eastAsia="zh-CN"/>
                    </w:rPr>
                  </w:pPr>
                  <w:r>
                    <w:rPr>
                      <w:rFonts w:hint="eastAsia"/>
                      <w:b/>
                      <w:bCs/>
                      <w:color w:val="FF0000"/>
                      <w:sz w:val="21"/>
                      <w:szCs w:val="21"/>
                      <w:u w:val="single" w:color="auto"/>
                      <w:lang w:val="en-US" w:eastAsia="zh-CN"/>
                    </w:rPr>
                    <w:t>最大超标倍数%</w:t>
                  </w:r>
                </w:p>
              </w:tc>
              <w:tc>
                <w:tcPr>
                  <w:tcW w:w="495" w:type="pct"/>
                  <w:tcBorders>
                    <w:tl2br w:val="nil"/>
                    <w:tr2bl w:val="nil"/>
                  </w:tcBorders>
                  <w:noWrap w:val="0"/>
                  <w:vAlign w:val="center"/>
                </w:tcPr>
                <w:p>
                  <w:pPr>
                    <w:bidi w:val="0"/>
                    <w:jc w:val="center"/>
                    <w:rPr>
                      <w:rFonts w:hint="eastAsia"/>
                      <w:b/>
                      <w:bCs/>
                      <w:color w:val="FF0000"/>
                      <w:sz w:val="21"/>
                      <w:szCs w:val="21"/>
                      <w:u w:val="single" w:color="auto"/>
                      <w:lang w:val="en-US" w:eastAsia="zh-CN"/>
                    </w:rPr>
                  </w:pPr>
                  <w:r>
                    <w:rPr>
                      <w:rFonts w:hint="eastAsia"/>
                      <w:b/>
                      <w:bCs/>
                      <w:color w:val="FF0000"/>
                      <w:sz w:val="21"/>
                      <w:szCs w:val="21"/>
                      <w:u w:val="single" w:color="auto"/>
                      <w:lang w:val="en-US" w:eastAsia="zh-CN"/>
                    </w:rPr>
                    <w:t>标准</w:t>
                  </w:r>
                </w:p>
                <w:p>
                  <w:pPr>
                    <w:bidi w:val="0"/>
                    <w:jc w:val="center"/>
                    <w:rPr>
                      <w:rFonts w:hint="default"/>
                      <w:b/>
                      <w:bCs/>
                      <w:color w:val="FF0000"/>
                      <w:sz w:val="21"/>
                      <w:szCs w:val="21"/>
                      <w:u w:val="single" w:color="auto"/>
                      <w:lang w:val="en-US" w:eastAsia="zh-CN"/>
                    </w:rPr>
                  </w:pPr>
                  <w:r>
                    <w:rPr>
                      <w:rFonts w:hint="eastAsia"/>
                      <w:b/>
                      <w:bCs/>
                      <w:color w:val="FF0000"/>
                      <w:sz w:val="21"/>
                      <w:szCs w:val="21"/>
                      <w:u w:val="single" w:color="auto"/>
                      <w:lang w:val="en-US" w:eastAsia="zh-CN"/>
                    </w:rPr>
                    <w:t>限值</w:t>
                  </w:r>
                </w:p>
              </w:tc>
              <w:tc>
                <w:tcPr>
                  <w:tcW w:w="414" w:type="pct"/>
                  <w:tcBorders>
                    <w:tl2br w:val="nil"/>
                    <w:tr2bl w:val="nil"/>
                  </w:tcBorders>
                  <w:noWrap w:val="0"/>
                  <w:vAlign w:val="center"/>
                </w:tcPr>
                <w:p>
                  <w:pPr>
                    <w:bidi w:val="0"/>
                    <w:jc w:val="center"/>
                    <w:rPr>
                      <w:rFonts w:hint="default"/>
                      <w:b/>
                      <w:bCs/>
                      <w:color w:val="FF0000"/>
                      <w:sz w:val="21"/>
                      <w:szCs w:val="21"/>
                      <w:u w:val="single" w:color="auto"/>
                      <w:lang w:val="en-US" w:eastAsia="zh-CN"/>
                    </w:rPr>
                  </w:pPr>
                  <w:r>
                    <w:rPr>
                      <w:rFonts w:hint="eastAsia"/>
                      <w:b/>
                      <w:bCs/>
                      <w:color w:val="FF0000"/>
                      <w:sz w:val="21"/>
                      <w:szCs w:val="21"/>
                      <w:u w:val="single" w:color="auto"/>
                      <w:lang w:val="en-US"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restar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湘江乌龙嘴断面</w:t>
                  </w:r>
                </w:p>
              </w:tc>
              <w:tc>
                <w:tcPr>
                  <w:tcW w:w="97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pH值</w:t>
                  </w:r>
                </w:p>
              </w:tc>
              <w:tc>
                <w:tcPr>
                  <w:tcW w:w="55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无量纲</w:t>
                  </w:r>
                </w:p>
              </w:tc>
              <w:tc>
                <w:tcPr>
                  <w:tcW w:w="953"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7.32-7.98</w:t>
                  </w:r>
                </w:p>
              </w:tc>
              <w:tc>
                <w:tcPr>
                  <w:tcW w:w="54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701"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495"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6-9</w:t>
                  </w:r>
                </w:p>
              </w:tc>
              <w:tc>
                <w:tcPr>
                  <w:tcW w:w="41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tcBorders>
                    <w:tl2br w:val="nil"/>
                    <w:tr2bl w:val="nil"/>
                  </w:tcBorders>
                  <w:noWrap w:val="0"/>
                  <w:vAlign w:val="center"/>
                </w:tcPr>
                <w:p>
                  <w:pPr>
                    <w:bidi w:val="0"/>
                    <w:jc w:val="center"/>
                    <w:rPr>
                      <w:rFonts w:hint="default"/>
                      <w:color w:val="FF0000"/>
                      <w:sz w:val="21"/>
                      <w:szCs w:val="21"/>
                      <w:u w:val="single" w:color="auto"/>
                      <w:lang w:val="en-US" w:eastAsia="zh-CN"/>
                    </w:rPr>
                  </w:pPr>
                </w:p>
              </w:tc>
              <w:tc>
                <w:tcPr>
                  <w:tcW w:w="97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溶解氧</w:t>
                  </w:r>
                </w:p>
              </w:tc>
              <w:tc>
                <w:tcPr>
                  <w:tcW w:w="55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mg/L</w:t>
                  </w:r>
                </w:p>
              </w:tc>
              <w:tc>
                <w:tcPr>
                  <w:tcW w:w="953"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5.8-7.8</w:t>
                  </w:r>
                </w:p>
              </w:tc>
              <w:tc>
                <w:tcPr>
                  <w:tcW w:w="54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701"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495"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default"/>
                      <w:color w:val="FF0000"/>
                      <w:sz w:val="21"/>
                      <w:szCs w:val="21"/>
                      <w:u w:val="single" w:color="auto"/>
                      <w:lang w:val="en-US" w:eastAsia="zh-CN"/>
                    </w:rPr>
                    <w:t>≥</w:t>
                  </w:r>
                  <w:r>
                    <w:rPr>
                      <w:rFonts w:hint="eastAsia"/>
                      <w:color w:val="FF0000"/>
                      <w:sz w:val="21"/>
                      <w:szCs w:val="21"/>
                      <w:u w:val="single" w:color="auto"/>
                      <w:lang w:val="en-US" w:eastAsia="zh-CN"/>
                    </w:rPr>
                    <w:t>5</w:t>
                  </w:r>
                </w:p>
              </w:tc>
              <w:tc>
                <w:tcPr>
                  <w:tcW w:w="41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tcBorders>
                    <w:tl2br w:val="nil"/>
                    <w:tr2bl w:val="nil"/>
                  </w:tcBorders>
                  <w:noWrap w:val="0"/>
                  <w:vAlign w:val="center"/>
                </w:tcPr>
                <w:p>
                  <w:pPr>
                    <w:bidi w:val="0"/>
                    <w:jc w:val="center"/>
                    <w:rPr>
                      <w:rFonts w:hint="default"/>
                      <w:color w:val="FF0000"/>
                      <w:sz w:val="21"/>
                      <w:szCs w:val="21"/>
                      <w:u w:val="single" w:color="auto"/>
                      <w:lang w:val="en-US" w:eastAsia="zh-CN"/>
                    </w:rPr>
                  </w:pPr>
                </w:p>
              </w:tc>
              <w:tc>
                <w:tcPr>
                  <w:tcW w:w="97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高锰酸盐指数</w:t>
                  </w:r>
                </w:p>
              </w:tc>
              <w:tc>
                <w:tcPr>
                  <w:tcW w:w="550"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mg/L</w:t>
                  </w:r>
                </w:p>
              </w:tc>
              <w:tc>
                <w:tcPr>
                  <w:tcW w:w="953"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1.5-2.2</w:t>
                  </w:r>
                </w:p>
              </w:tc>
              <w:tc>
                <w:tcPr>
                  <w:tcW w:w="54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701"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495"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6</w:t>
                  </w:r>
                </w:p>
              </w:tc>
              <w:tc>
                <w:tcPr>
                  <w:tcW w:w="41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tcBorders>
                    <w:tl2br w:val="nil"/>
                    <w:tr2bl w:val="nil"/>
                  </w:tcBorders>
                  <w:noWrap w:val="0"/>
                  <w:vAlign w:val="center"/>
                </w:tcPr>
                <w:p>
                  <w:pPr>
                    <w:bidi w:val="0"/>
                    <w:jc w:val="center"/>
                    <w:rPr>
                      <w:rFonts w:hint="default"/>
                      <w:color w:val="FF0000"/>
                      <w:sz w:val="21"/>
                      <w:szCs w:val="21"/>
                      <w:u w:val="single" w:color="auto"/>
                      <w:lang w:val="en-US" w:eastAsia="zh-CN"/>
                    </w:rPr>
                  </w:pPr>
                </w:p>
              </w:tc>
              <w:tc>
                <w:tcPr>
                  <w:tcW w:w="97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化学需氧量</w:t>
                  </w:r>
                </w:p>
              </w:tc>
              <w:tc>
                <w:tcPr>
                  <w:tcW w:w="550"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mg/L</w:t>
                  </w:r>
                </w:p>
              </w:tc>
              <w:tc>
                <w:tcPr>
                  <w:tcW w:w="953"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8-16</w:t>
                  </w:r>
                </w:p>
              </w:tc>
              <w:tc>
                <w:tcPr>
                  <w:tcW w:w="54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701"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495"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20</w:t>
                  </w:r>
                </w:p>
              </w:tc>
              <w:tc>
                <w:tcPr>
                  <w:tcW w:w="41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tcBorders>
                    <w:tl2br w:val="nil"/>
                    <w:tr2bl w:val="nil"/>
                  </w:tcBorders>
                  <w:noWrap w:val="0"/>
                  <w:vAlign w:val="center"/>
                </w:tcPr>
                <w:p>
                  <w:pPr>
                    <w:bidi w:val="0"/>
                    <w:jc w:val="center"/>
                    <w:rPr>
                      <w:rFonts w:hint="default"/>
                      <w:color w:val="FF0000"/>
                      <w:sz w:val="21"/>
                      <w:szCs w:val="21"/>
                      <w:u w:val="single" w:color="auto"/>
                      <w:lang w:val="en-US" w:eastAsia="zh-CN"/>
                    </w:rPr>
                  </w:pPr>
                </w:p>
              </w:tc>
              <w:tc>
                <w:tcPr>
                  <w:tcW w:w="97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生化需氧量</w:t>
                  </w:r>
                </w:p>
              </w:tc>
              <w:tc>
                <w:tcPr>
                  <w:tcW w:w="550"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mg/L</w:t>
                  </w:r>
                </w:p>
              </w:tc>
              <w:tc>
                <w:tcPr>
                  <w:tcW w:w="953"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0.9-2.7</w:t>
                  </w:r>
                </w:p>
              </w:tc>
              <w:tc>
                <w:tcPr>
                  <w:tcW w:w="54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701"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495"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4</w:t>
                  </w:r>
                </w:p>
              </w:tc>
              <w:tc>
                <w:tcPr>
                  <w:tcW w:w="41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tcBorders>
                    <w:tl2br w:val="nil"/>
                    <w:tr2bl w:val="nil"/>
                  </w:tcBorders>
                  <w:noWrap w:val="0"/>
                  <w:vAlign w:val="center"/>
                </w:tcPr>
                <w:p>
                  <w:pPr>
                    <w:bidi w:val="0"/>
                    <w:jc w:val="center"/>
                    <w:rPr>
                      <w:rFonts w:hint="default"/>
                      <w:color w:val="FF0000"/>
                      <w:sz w:val="21"/>
                      <w:szCs w:val="21"/>
                      <w:u w:val="single" w:color="auto"/>
                      <w:lang w:val="en-US" w:eastAsia="zh-CN"/>
                    </w:rPr>
                  </w:pPr>
                </w:p>
              </w:tc>
              <w:tc>
                <w:tcPr>
                  <w:tcW w:w="974"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氨氮</w:t>
                  </w:r>
                </w:p>
              </w:tc>
              <w:tc>
                <w:tcPr>
                  <w:tcW w:w="550"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mg/L</w:t>
                  </w:r>
                </w:p>
              </w:tc>
              <w:tc>
                <w:tcPr>
                  <w:tcW w:w="953"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ND-0.44</w:t>
                  </w:r>
                </w:p>
              </w:tc>
              <w:tc>
                <w:tcPr>
                  <w:tcW w:w="54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701"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495"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1.0</w:t>
                  </w:r>
                </w:p>
              </w:tc>
              <w:tc>
                <w:tcPr>
                  <w:tcW w:w="41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tcBorders>
                    <w:tl2br w:val="nil"/>
                    <w:tr2bl w:val="nil"/>
                  </w:tcBorders>
                  <w:noWrap w:val="0"/>
                  <w:vAlign w:val="center"/>
                </w:tcPr>
                <w:p>
                  <w:pPr>
                    <w:bidi w:val="0"/>
                    <w:jc w:val="center"/>
                    <w:rPr>
                      <w:rFonts w:hint="default"/>
                      <w:color w:val="FF0000"/>
                      <w:sz w:val="21"/>
                      <w:szCs w:val="21"/>
                      <w:u w:val="single" w:color="auto"/>
                      <w:lang w:val="en-US" w:eastAsia="zh-CN"/>
                    </w:rPr>
                  </w:pPr>
                </w:p>
              </w:tc>
              <w:tc>
                <w:tcPr>
                  <w:tcW w:w="974"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总磷</w:t>
                  </w:r>
                </w:p>
              </w:tc>
              <w:tc>
                <w:tcPr>
                  <w:tcW w:w="550"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mg/L</w:t>
                  </w:r>
                </w:p>
              </w:tc>
              <w:tc>
                <w:tcPr>
                  <w:tcW w:w="953"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0.01-0.03</w:t>
                  </w:r>
                </w:p>
              </w:tc>
              <w:tc>
                <w:tcPr>
                  <w:tcW w:w="54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701"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495"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0.2</w:t>
                  </w:r>
                </w:p>
              </w:tc>
              <w:tc>
                <w:tcPr>
                  <w:tcW w:w="41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tcBorders>
                    <w:tl2br w:val="nil"/>
                    <w:tr2bl w:val="nil"/>
                  </w:tcBorders>
                  <w:noWrap w:val="0"/>
                  <w:vAlign w:val="center"/>
                </w:tcPr>
                <w:p>
                  <w:pPr>
                    <w:bidi w:val="0"/>
                    <w:jc w:val="center"/>
                    <w:rPr>
                      <w:rFonts w:hint="default"/>
                      <w:color w:val="FF0000"/>
                      <w:sz w:val="21"/>
                      <w:szCs w:val="21"/>
                      <w:u w:val="single" w:color="auto"/>
                      <w:lang w:val="en-US" w:eastAsia="zh-CN"/>
                    </w:rPr>
                  </w:pPr>
                </w:p>
              </w:tc>
              <w:tc>
                <w:tcPr>
                  <w:tcW w:w="974"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挥发酚</w:t>
                  </w:r>
                </w:p>
              </w:tc>
              <w:tc>
                <w:tcPr>
                  <w:tcW w:w="550"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mg/L</w:t>
                  </w:r>
                </w:p>
              </w:tc>
              <w:tc>
                <w:tcPr>
                  <w:tcW w:w="953"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0.0003ND</w:t>
                  </w:r>
                </w:p>
              </w:tc>
              <w:tc>
                <w:tcPr>
                  <w:tcW w:w="54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701"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495"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0.005</w:t>
                  </w:r>
                </w:p>
              </w:tc>
              <w:tc>
                <w:tcPr>
                  <w:tcW w:w="41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tcBorders>
                    <w:tl2br w:val="nil"/>
                    <w:tr2bl w:val="nil"/>
                  </w:tcBorders>
                  <w:noWrap w:val="0"/>
                  <w:vAlign w:val="center"/>
                </w:tcPr>
                <w:p>
                  <w:pPr>
                    <w:bidi w:val="0"/>
                    <w:jc w:val="center"/>
                    <w:rPr>
                      <w:rFonts w:hint="default"/>
                      <w:color w:val="FF0000"/>
                      <w:sz w:val="21"/>
                      <w:szCs w:val="21"/>
                      <w:u w:val="single" w:color="auto"/>
                      <w:lang w:val="en-US" w:eastAsia="zh-CN"/>
                    </w:rPr>
                  </w:pPr>
                </w:p>
              </w:tc>
              <w:tc>
                <w:tcPr>
                  <w:tcW w:w="974"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石油类</w:t>
                  </w:r>
                </w:p>
              </w:tc>
              <w:tc>
                <w:tcPr>
                  <w:tcW w:w="550"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mg/L</w:t>
                  </w:r>
                </w:p>
              </w:tc>
              <w:tc>
                <w:tcPr>
                  <w:tcW w:w="953"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0.01-0.02</w:t>
                  </w:r>
                </w:p>
              </w:tc>
              <w:tc>
                <w:tcPr>
                  <w:tcW w:w="54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701"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495"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0.05</w:t>
                  </w:r>
                </w:p>
              </w:tc>
              <w:tc>
                <w:tcPr>
                  <w:tcW w:w="41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tcBorders>
                    <w:tl2br w:val="nil"/>
                    <w:tr2bl w:val="nil"/>
                  </w:tcBorders>
                  <w:noWrap w:val="0"/>
                  <w:vAlign w:val="center"/>
                </w:tcPr>
                <w:p>
                  <w:pPr>
                    <w:bidi w:val="0"/>
                    <w:jc w:val="center"/>
                    <w:rPr>
                      <w:rFonts w:hint="default"/>
                      <w:color w:val="FF0000"/>
                      <w:sz w:val="21"/>
                      <w:szCs w:val="21"/>
                      <w:u w:val="single" w:color="auto"/>
                      <w:lang w:val="en-US" w:eastAsia="zh-CN"/>
                    </w:rPr>
                  </w:pPr>
                </w:p>
              </w:tc>
              <w:tc>
                <w:tcPr>
                  <w:tcW w:w="97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LAS</w:t>
                  </w:r>
                </w:p>
              </w:tc>
              <w:tc>
                <w:tcPr>
                  <w:tcW w:w="550"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mg/L</w:t>
                  </w:r>
                </w:p>
              </w:tc>
              <w:tc>
                <w:tcPr>
                  <w:tcW w:w="953"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0.05ND</w:t>
                  </w:r>
                </w:p>
              </w:tc>
              <w:tc>
                <w:tcPr>
                  <w:tcW w:w="540"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701"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w:t>
                  </w:r>
                </w:p>
              </w:tc>
              <w:tc>
                <w:tcPr>
                  <w:tcW w:w="495"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0.2</w:t>
                  </w:r>
                </w:p>
              </w:tc>
              <w:tc>
                <w:tcPr>
                  <w:tcW w:w="414"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tcBorders>
                    <w:tl2br w:val="nil"/>
                    <w:tr2bl w:val="nil"/>
                  </w:tcBorders>
                  <w:noWrap w:val="0"/>
                  <w:vAlign w:val="center"/>
                </w:tcPr>
                <w:p>
                  <w:pPr>
                    <w:bidi w:val="0"/>
                    <w:jc w:val="center"/>
                    <w:rPr>
                      <w:rFonts w:hint="default"/>
                      <w:color w:val="FF0000"/>
                      <w:sz w:val="21"/>
                      <w:szCs w:val="21"/>
                      <w:u w:val="single" w:color="auto"/>
                      <w:lang w:val="en-US" w:eastAsia="zh-CN"/>
                    </w:rPr>
                  </w:pPr>
                </w:p>
              </w:tc>
              <w:tc>
                <w:tcPr>
                  <w:tcW w:w="974"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粪大肠菌群</w:t>
                  </w:r>
                </w:p>
              </w:tc>
              <w:tc>
                <w:tcPr>
                  <w:tcW w:w="550"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个/L</w:t>
                  </w:r>
                </w:p>
              </w:tc>
              <w:tc>
                <w:tcPr>
                  <w:tcW w:w="953" w:type="pct"/>
                  <w:tcBorders>
                    <w:tl2br w:val="nil"/>
                    <w:tr2bl w:val="nil"/>
                  </w:tcBorders>
                  <w:noWrap w:val="0"/>
                  <w:vAlign w:val="center"/>
                </w:tcPr>
                <w:p>
                  <w:pPr>
                    <w:bidi w:val="0"/>
                    <w:jc w:val="center"/>
                    <w:rPr>
                      <w:rFonts w:hint="default"/>
                      <w:color w:val="FF0000"/>
                      <w:sz w:val="21"/>
                      <w:szCs w:val="21"/>
                      <w:u w:val="single" w:color="auto"/>
                      <w:lang w:val="en-US" w:eastAsia="zh-CN"/>
                    </w:rPr>
                  </w:pPr>
                  <w:r>
                    <w:rPr>
                      <w:rFonts w:hint="eastAsia"/>
                      <w:color w:val="FF0000"/>
                      <w:sz w:val="21"/>
                      <w:szCs w:val="21"/>
                      <w:u w:val="single" w:color="auto"/>
                      <w:lang w:val="en-US" w:eastAsia="zh-CN"/>
                    </w:rPr>
                    <w:t>2833-9200</w:t>
                  </w:r>
                </w:p>
              </w:tc>
              <w:tc>
                <w:tcPr>
                  <w:tcW w:w="540"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0</w:t>
                  </w:r>
                </w:p>
              </w:tc>
              <w:tc>
                <w:tcPr>
                  <w:tcW w:w="701"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0</w:t>
                  </w:r>
                </w:p>
              </w:tc>
              <w:tc>
                <w:tcPr>
                  <w:tcW w:w="495"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10000</w:t>
                  </w:r>
                </w:p>
              </w:tc>
              <w:tc>
                <w:tcPr>
                  <w:tcW w:w="414" w:type="pct"/>
                  <w:tcBorders>
                    <w:tl2br w:val="nil"/>
                    <w:tr2bl w:val="nil"/>
                  </w:tcBorders>
                  <w:noWrap w:val="0"/>
                  <w:vAlign w:val="center"/>
                </w:tcPr>
                <w:p>
                  <w:pPr>
                    <w:bidi w:val="0"/>
                    <w:jc w:val="center"/>
                    <w:rPr>
                      <w:rFonts w:hint="eastAsia"/>
                      <w:color w:val="FF0000"/>
                      <w:sz w:val="21"/>
                      <w:szCs w:val="21"/>
                      <w:u w:val="single" w:color="auto"/>
                      <w:lang w:val="en-US" w:eastAsia="zh-CN"/>
                    </w:rPr>
                  </w:pPr>
                  <w:r>
                    <w:rPr>
                      <w:rFonts w:hint="eastAsia"/>
                      <w:color w:val="FF0000"/>
                      <w:sz w:val="21"/>
                      <w:szCs w:val="21"/>
                      <w:u w:val="single" w:color="auto"/>
                      <w:lang w:val="en-US" w:eastAsia="zh-CN"/>
                    </w:rPr>
                    <w:t>达标</w:t>
                  </w:r>
                </w:p>
              </w:tc>
            </w:tr>
          </w:tbl>
          <w:p>
            <w:pPr>
              <w:bidi w:val="0"/>
              <w:spacing w:line="360" w:lineRule="auto"/>
              <w:ind w:firstLine="480" w:firstLineChars="200"/>
              <w:rPr>
                <w:rFonts w:hint="default" w:ascii="Times New Roman" w:hAnsi="Times New Roman" w:eastAsia="宋体" w:cs="Times New Roman"/>
                <w:color w:val="FF0000"/>
                <w:sz w:val="24"/>
                <w:szCs w:val="24"/>
                <w:u w:val="single" w:color="auto"/>
                <w:lang w:val="en-US" w:eastAsia="zh-CN"/>
              </w:rPr>
            </w:pPr>
            <w:r>
              <w:rPr>
                <w:rFonts w:hint="default" w:ascii="Times New Roman" w:hAnsi="Times New Roman" w:eastAsia="宋体" w:cs="Times New Roman"/>
                <w:color w:val="FF0000"/>
                <w:sz w:val="24"/>
                <w:szCs w:val="24"/>
                <w:u w:val="single" w:color="auto"/>
                <w:lang w:val="en-US" w:eastAsia="zh-CN"/>
              </w:rPr>
              <w:t>根据监测统计结果可知，湘江湘阴段乌龙咀断面水质各项指标均达到《地表水环境质量标准》（GB3838-2002）中Ⅲ类标准，区域水质状况良好。</w:t>
            </w:r>
          </w:p>
          <w:p>
            <w:pPr>
              <w:numPr>
                <w:ilvl w:val="0"/>
                <w:numId w:val="0"/>
              </w:numPr>
              <w:adjustRightInd w:val="0"/>
              <w:snapToGrid w:val="0"/>
              <w:spacing w:line="360" w:lineRule="auto"/>
              <w:jc w:val="both"/>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3、声环境质量现状</w:t>
            </w:r>
          </w:p>
          <w:p>
            <w:pPr>
              <w:pStyle w:val="20"/>
              <w:adjustRightInd w:val="0"/>
              <w:snapToGrid w:val="0"/>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根据项目噪声源和区域声环境特征相结合的原则，本次评价委托了</w:t>
            </w:r>
            <w:r>
              <w:rPr>
                <w:rFonts w:hint="eastAsia" w:ascii="Times New Roman" w:hAnsi="Times New Roman" w:cs="Times New Roman"/>
                <w:sz w:val="24"/>
                <w:szCs w:val="24"/>
                <w:highlight w:val="none"/>
                <w:lang w:val="en-US" w:eastAsia="zh-CN"/>
              </w:rPr>
              <w:t>湖南精准通检测技术有限公司</w:t>
            </w:r>
            <w:r>
              <w:rPr>
                <w:rFonts w:ascii="Times New Roman" w:hAnsi="Times New Roman" w:cs="Times New Roman"/>
                <w:sz w:val="24"/>
                <w:szCs w:val="24"/>
                <w:highlight w:val="none"/>
              </w:rPr>
              <w:t>于2021年</w:t>
            </w:r>
            <w:r>
              <w:rPr>
                <w:rFonts w:hint="eastAsia" w:ascii="Times New Roman" w:hAnsi="Times New Roman" w:cs="Times New Roman"/>
                <w:sz w:val="24"/>
                <w:szCs w:val="24"/>
                <w:highlight w:val="none"/>
                <w:lang w:val="en-US" w:eastAsia="zh-CN"/>
              </w:rPr>
              <w:t>5</w:t>
            </w:r>
            <w:r>
              <w:rPr>
                <w:rFonts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17</w:t>
            </w:r>
            <w:r>
              <w:rPr>
                <w:rFonts w:ascii="Times New Roman" w:hAnsi="Times New Roman" w:cs="Times New Roman"/>
                <w:sz w:val="24"/>
                <w:szCs w:val="24"/>
                <w:highlight w:val="none"/>
              </w:rPr>
              <w:t>日~</w:t>
            </w:r>
            <w:r>
              <w:rPr>
                <w:rFonts w:hint="eastAsia" w:ascii="Times New Roman" w:hAnsi="Times New Roman" w:cs="Times New Roman"/>
                <w:sz w:val="24"/>
                <w:szCs w:val="24"/>
                <w:highlight w:val="none"/>
                <w:lang w:val="en-US" w:eastAsia="zh-CN"/>
              </w:rPr>
              <w:t>18</w:t>
            </w:r>
            <w:r>
              <w:rPr>
                <w:rFonts w:ascii="Times New Roman" w:hAnsi="Times New Roman" w:cs="Times New Roman"/>
                <w:sz w:val="24"/>
                <w:szCs w:val="24"/>
                <w:highlight w:val="none"/>
              </w:rPr>
              <w:t>日对项目所在区域声环境进行了监测。</w:t>
            </w:r>
          </w:p>
          <w:p>
            <w:pPr>
              <w:pStyle w:val="20"/>
              <w:adjustRightInd w:val="0"/>
              <w:snapToGrid w:val="0"/>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（1）监测点位：项目厂界东、南、西、北面及厂界外1米</w:t>
            </w:r>
            <w:r>
              <w:rPr>
                <w:rFonts w:hint="eastAsia" w:ascii="Times New Roman" w:hAnsi="Times New Roman" w:cs="Times New Roman"/>
                <w:sz w:val="24"/>
                <w:szCs w:val="24"/>
                <w:highlight w:val="none"/>
                <w:lang w:val="en-US" w:eastAsia="zh-CN"/>
              </w:rPr>
              <w:t>西</w:t>
            </w:r>
            <w:r>
              <w:rPr>
                <w:rFonts w:ascii="Times New Roman" w:hAnsi="Times New Roman" w:cs="Times New Roman"/>
                <w:sz w:val="24"/>
                <w:szCs w:val="24"/>
                <w:highlight w:val="none"/>
              </w:rPr>
              <w:t>面居民点处；</w:t>
            </w:r>
          </w:p>
          <w:p>
            <w:pPr>
              <w:pStyle w:val="20"/>
              <w:adjustRightInd w:val="0"/>
              <w:snapToGrid w:val="0"/>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（2）监测因子：等效连续A声级；</w:t>
            </w:r>
          </w:p>
          <w:p>
            <w:pPr>
              <w:pStyle w:val="20"/>
              <w:adjustRightInd w:val="0"/>
              <w:snapToGrid w:val="0"/>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（3）监测方法：按照《声环境质量标准》(GB3096-2008)中的有关规定进行；</w:t>
            </w:r>
          </w:p>
          <w:p>
            <w:pPr>
              <w:pStyle w:val="20"/>
              <w:adjustRightInd w:val="0"/>
              <w:snapToGrid w:val="0"/>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（4）评价方法：《环境影响评价技术导则—声环境》(HJ2.4-2009)中的相关规范进行；</w:t>
            </w:r>
          </w:p>
          <w:p>
            <w:pPr>
              <w:pStyle w:val="20"/>
              <w:adjustRightInd w:val="0"/>
              <w:snapToGrid w:val="0"/>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（5）执行标准：根据项目所在区域的环境特征，评价区执行《声环境质量标准》（GB3096-2008）中的</w:t>
            </w:r>
            <w:r>
              <w:rPr>
                <w:rFonts w:hint="eastAsia" w:ascii="Times New Roman" w:hAnsi="Times New Roman" w:cs="Times New Roman"/>
                <w:sz w:val="24"/>
                <w:szCs w:val="24"/>
                <w:highlight w:val="none"/>
                <w:lang w:val="en-US" w:eastAsia="zh-CN"/>
              </w:rPr>
              <w:t>3</w:t>
            </w:r>
            <w:r>
              <w:rPr>
                <w:rFonts w:ascii="Times New Roman" w:hAnsi="Times New Roman" w:cs="Times New Roman"/>
                <w:sz w:val="24"/>
                <w:szCs w:val="24"/>
                <w:highlight w:val="none"/>
              </w:rPr>
              <w:t>类标准</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敏感点执行</w:t>
            </w:r>
            <w:r>
              <w:rPr>
                <w:rFonts w:ascii="Times New Roman" w:hAnsi="Times New Roman" w:cs="Times New Roman"/>
                <w:sz w:val="24"/>
                <w:szCs w:val="24"/>
                <w:highlight w:val="none"/>
              </w:rPr>
              <w:t>《声环境质量标准》（GB3096-2008）中的</w:t>
            </w:r>
            <w:r>
              <w:rPr>
                <w:rFonts w:hint="eastAsia" w:ascii="Times New Roman" w:hAnsi="Times New Roman" w:cs="Times New Roman"/>
                <w:sz w:val="24"/>
                <w:szCs w:val="24"/>
                <w:highlight w:val="none"/>
                <w:lang w:val="en-US" w:eastAsia="zh-CN"/>
              </w:rPr>
              <w:t>2</w:t>
            </w:r>
            <w:r>
              <w:rPr>
                <w:rFonts w:ascii="Times New Roman" w:hAnsi="Times New Roman" w:cs="Times New Roman"/>
                <w:sz w:val="24"/>
                <w:szCs w:val="24"/>
                <w:highlight w:val="none"/>
              </w:rPr>
              <w:t>类标准；</w:t>
            </w:r>
          </w:p>
          <w:p>
            <w:pPr>
              <w:pStyle w:val="20"/>
              <w:adjustRightInd w:val="0"/>
              <w:snapToGrid w:val="0"/>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（6）监测结果及评价：详见表3-</w:t>
            </w:r>
            <w:r>
              <w:rPr>
                <w:rFonts w:hint="eastAsia" w:ascii="Times New Roman" w:hAnsi="Times New Roman" w:cs="Times New Roman"/>
                <w:sz w:val="24"/>
                <w:szCs w:val="24"/>
                <w:highlight w:val="none"/>
                <w:lang w:val="en-US" w:eastAsia="zh-CN"/>
              </w:rPr>
              <w:t>5</w:t>
            </w:r>
            <w:r>
              <w:rPr>
                <w:rFonts w:ascii="Times New Roman" w:hAnsi="Times New Roman" w:cs="Times New Roman"/>
                <w:sz w:val="24"/>
                <w:szCs w:val="24"/>
                <w:highlight w:val="none"/>
              </w:rPr>
              <w:t>。</w:t>
            </w:r>
          </w:p>
          <w:p>
            <w:pPr>
              <w:pStyle w:val="21"/>
              <w:adjustRightInd w:val="0"/>
              <w:snapToGrid w:val="0"/>
              <w:spacing w:line="360" w:lineRule="auto"/>
              <w:rPr>
                <w:rFonts w:ascii="Times New Roman" w:hAnsi="Times New Roman"/>
                <w:bCs/>
                <w:sz w:val="24"/>
                <w:szCs w:val="24"/>
                <w:highlight w:val="none"/>
                <w:lang w:val="zh-CN"/>
              </w:rPr>
            </w:pPr>
            <w:bookmarkStart w:id="2" w:name="_Ref419661638"/>
            <w:r>
              <w:rPr>
                <w:rFonts w:ascii="Times New Roman" w:hAnsi="Times New Roman"/>
                <w:bCs/>
                <w:sz w:val="24"/>
                <w:szCs w:val="24"/>
                <w:highlight w:val="none"/>
                <w:lang w:val="zh-CN"/>
              </w:rPr>
              <w:t>表</w:t>
            </w:r>
            <w:bookmarkEnd w:id="2"/>
            <w:r>
              <w:rPr>
                <w:rFonts w:ascii="Times New Roman" w:hAnsi="Times New Roman"/>
                <w:bCs/>
                <w:sz w:val="24"/>
                <w:szCs w:val="24"/>
                <w:highlight w:val="none"/>
              </w:rPr>
              <w:t>3-</w:t>
            </w:r>
            <w:r>
              <w:rPr>
                <w:rFonts w:hint="eastAsia" w:ascii="Times New Roman" w:hAnsi="Times New Roman"/>
                <w:bCs/>
                <w:sz w:val="24"/>
                <w:szCs w:val="24"/>
                <w:highlight w:val="none"/>
                <w:lang w:val="en-US" w:eastAsia="zh-CN"/>
              </w:rPr>
              <w:t>5</w:t>
            </w:r>
            <w:r>
              <w:rPr>
                <w:rFonts w:ascii="Times New Roman" w:hAnsi="Times New Roman"/>
                <w:bCs/>
                <w:sz w:val="24"/>
                <w:szCs w:val="24"/>
                <w:highlight w:val="none"/>
              </w:rPr>
              <w:t xml:space="preserve"> </w:t>
            </w:r>
            <w:r>
              <w:rPr>
                <w:rFonts w:ascii="Times New Roman" w:hAnsi="Times New Roman" w:eastAsia="Times New Roman"/>
                <w:bCs/>
                <w:sz w:val="24"/>
                <w:szCs w:val="24"/>
                <w:highlight w:val="none"/>
                <w:lang w:val="zh-CN"/>
              </w:rPr>
              <w:t xml:space="preserve"> </w:t>
            </w:r>
            <w:r>
              <w:rPr>
                <w:rFonts w:ascii="Times New Roman" w:hAnsi="Times New Roman"/>
                <w:bCs/>
                <w:sz w:val="24"/>
                <w:szCs w:val="24"/>
                <w:highlight w:val="none"/>
                <w:lang w:val="zh-CN"/>
              </w:rPr>
              <w:t>声环境监测评价结果</w:t>
            </w:r>
            <w:r>
              <w:rPr>
                <w:rFonts w:ascii="Times New Roman" w:hAnsi="Times New Roman" w:eastAsia="Times New Roman"/>
                <w:bCs/>
                <w:sz w:val="24"/>
                <w:szCs w:val="24"/>
                <w:highlight w:val="none"/>
                <w:lang w:val="zh-CN"/>
              </w:rPr>
              <w:t xml:space="preserve">  </w:t>
            </w:r>
          </w:p>
          <w:tbl>
            <w:tblPr>
              <w:tblStyle w:val="13"/>
              <w:tblW w:w="8330"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880"/>
              <w:gridCol w:w="880"/>
              <w:gridCol w:w="880"/>
              <w:gridCol w:w="883"/>
              <w:gridCol w:w="1100"/>
              <w:gridCol w:w="1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64" w:type="pct"/>
                  <w:vMerge w:val="restar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检测点位</w:t>
                  </w:r>
                </w:p>
              </w:tc>
              <w:tc>
                <w:tcPr>
                  <w:tcW w:w="2114" w:type="pct"/>
                  <w:gridSpan w:val="4"/>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检测日期及结果（单位：dB(A)）</w:t>
                  </w:r>
                </w:p>
              </w:tc>
              <w:tc>
                <w:tcPr>
                  <w:tcW w:w="1321" w:type="pct"/>
                  <w:gridSpan w:val="2"/>
                  <w:vMerge w:val="restar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标准限值dB（A）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64"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p>
              </w:tc>
              <w:tc>
                <w:tcPr>
                  <w:tcW w:w="1056" w:type="pct"/>
                  <w:gridSpan w:val="2"/>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2021.</w:t>
                  </w:r>
                  <w:r>
                    <w:rPr>
                      <w:rFonts w:hint="eastAsia" w:ascii="Times New Roman" w:hAnsi="Times New Roman"/>
                      <w:kern w:val="0"/>
                      <w:sz w:val="21"/>
                      <w:szCs w:val="21"/>
                      <w:highlight w:val="none"/>
                      <w:lang w:val="en-US" w:eastAsia="zh-CN"/>
                    </w:rPr>
                    <w:t>5.17</w:t>
                  </w:r>
                </w:p>
              </w:tc>
              <w:tc>
                <w:tcPr>
                  <w:tcW w:w="1058" w:type="pct"/>
                  <w:gridSpan w:val="2"/>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2021.</w:t>
                  </w:r>
                  <w:r>
                    <w:rPr>
                      <w:rFonts w:hint="eastAsia" w:ascii="Times New Roman" w:hAnsi="Times New Roman"/>
                      <w:kern w:val="0"/>
                      <w:sz w:val="21"/>
                      <w:szCs w:val="21"/>
                      <w:highlight w:val="none"/>
                      <w:lang w:val="en-US" w:eastAsia="zh-CN"/>
                    </w:rPr>
                    <w:t>5.18</w:t>
                  </w:r>
                </w:p>
              </w:tc>
              <w:tc>
                <w:tcPr>
                  <w:tcW w:w="1321" w:type="pct"/>
                  <w:gridSpan w:val="2"/>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64"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p>
              </w:tc>
              <w:tc>
                <w:tcPr>
                  <w:tcW w:w="528"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昼间</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夜间</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昼间</w:t>
                  </w:r>
                </w:p>
              </w:tc>
              <w:tc>
                <w:tcPr>
                  <w:tcW w:w="530"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夜间</w:t>
                  </w:r>
                </w:p>
              </w:tc>
              <w:tc>
                <w:tcPr>
                  <w:tcW w:w="660"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昼间</w:t>
                  </w:r>
                </w:p>
              </w:tc>
              <w:tc>
                <w:tcPr>
                  <w:tcW w:w="660"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64"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N1项目厂界东侧外1米处</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56.3</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42.6</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57.3</w:t>
                  </w:r>
                </w:p>
              </w:tc>
              <w:tc>
                <w:tcPr>
                  <w:tcW w:w="530"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41.3</w:t>
                  </w:r>
                </w:p>
              </w:tc>
              <w:tc>
                <w:tcPr>
                  <w:tcW w:w="660" w:type="pct"/>
                  <w:vMerge w:val="restar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65</w:t>
                  </w:r>
                </w:p>
              </w:tc>
              <w:tc>
                <w:tcPr>
                  <w:tcW w:w="660" w:type="pct"/>
                  <w:vMerge w:val="restar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64"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N2项目厂界南侧外1米处</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57.7</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43.2</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58.1</w:t>
                  </w:r>
                </w:p>
              </w:tc>
              <w:tc>
                <w:tcPr>
                  <w:tcW w:w="530"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42.4</w:t>
                  </w:r>
                </w:p>
              </w:tc>
              <w:tc>
                <w:tcPr>
                  <w:tcW w:w="660"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p>
              </w:tc>
              <w:tc>
                <w:tcPr>
                  <w:tcW w:w="660"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64"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N3项目厂界西侧外1米处</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56.8</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44.6</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56.6</w:t>
                  </w:r>
                </w:p>
              </w:tc>
              <w:tc>
                <w:tcPr>
                  <w:tcW w:w="530"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41.0</w:t>
                  </w:r>
                </w:p>
              </w:tc>
              <w:tc>
                <w:tcPr>
                  <w:tcW w:w="660"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p>
              </w:tc>
              <w:tc>
                <w:tcPr>
                  <w:tcW w:w="660"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64"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N4项目厂界北侧外1米处</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60.4</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48.3</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61.2</w:t>
                  </w:r>
                </w:p>
              </w:tc>
              <w:tc>
                <w:tcPr>
                  <w:tcW w:w="530"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47.6</w:t>
                  </w:r>
                </w:p>
              </w:tc>
              <w:tc>
                <w:tcPr>
                  <w:tcW w:w="660"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p>
              </w:tc>
              <w:tc>
                <w:tcPr>
                  <w:tcW w:w="660"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64"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kern w:val="0"/>
                      <w:sz w:val="21"/>
                      <w:szCs w:val="21"/>
                      <w:highlight w:val="none"/>
                      <w:lang w:val="en-US" w:eastAsia="zh-CN"/>
                    </w:rPr>
                  </w:pPr>
                  <w:r>
                    <w:rPr>
                      <w:rFonts w:ascii="Times New Roman" w:hAnsi="Times New Roman"/>
                      <w:kern w:val="0"/>
                      <w:sz w:val="21"/>
                      <w:szCs w:val="21"/>
                      <w:highlight w:val="none"/>
                      <w:lang w:val="en-US" w:eastAsia="zh-CN"/>
                    </w:rPr>
                    <w:t>N5</w:t>
                  </w:r>
                  <w:r>
                    <w:rPr>
                      <w:rFonts w:hint="eastAsia" w:ascii="Times New Roman" w:hAnsi="Times New Roman"/>
                      <w:kern w:val="0"/>
                      <w:sz w:val="21"/>
                      <w:szCs w:val="21"/>
                      <w:highlight w:val="none"/>
                      <w:lang w:val="en-US" w:eastAsia="zh-CN"/>
                    </w:rPr>
                    <w:t>周边敏感点</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59.6</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46.3</w:t>
                  </w:r>
                </w:p>
              </w:tc>
              <w:tc>
                <w:tcPr>
                  <w:tcW w:w="528"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58.9</w:t>
                  </w:r>
                </w:p>
              </w:tc>
              <w:tc>
                <w:tcPr>
                  <w:tcW w:w="530"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46.3</w:t>
                  </w:r>
                </w:p>
              </w:tc>
              <w:tc>
                <w:tcPr>
                  <w:tcW w:w="660"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60</w:t>
                  </w:r>
                </w:p>
              </w:tc>
              <w:tc>
                <w:tcPr>
                  <w:tcW w:w="660"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kern w:val="0"/>
                      <w:sz w:val="21"/>
                      <w:szCs w:val="21"/>
                      <w:highlight w:val="none"/>
                      <w:lang w:val="en-US" w:eastAsia="zh-CN"/>
                    </w:rPr>
                  </w:pPr>
                  <w:r>
                    <w:rPr>
                      <w:rFonts w:hint="eastAsia" w:ascii="Times New Roman" w:hAnsi="Times New Roman"/>
                      <w:kern w:val="0"/>
                      <w:sz w:val="21"/>
                      <w:szCs w:val="21"/>
                      <w:highlight w:val="none"/>
                      <w:lang w:val="en-US" w:eastAsia="zh-CN"/>
                    </w:rPr>
                    <w:t>50</w:t>
                  </w:r>
                </w:p>
              </w:tc>
            </w:tr>
          </w:tbl>
          <w:p>
            <w:pPr>
              <w:adjustRightInd w:val="0"/>
              <w:snapToGrid w:val="0"/>
              <w:spacing w:line="360" w:lineRule="auto"/>
              <w:ind w:firstLine="480" w:firstLineChars="200"/>
              <w:rPr>
                <w:rFonts w:hint="default" w:ascii="宋体" w:hAnsi="宋体" w:eastAsia="宋体" w:cs="宋体"/>
                <w:kern w:val="0"/>
                <w:sz w:val="24"/>
                <w:szCs w:val="24"/>
                <w:lang w:val="en-US" w:eastAsia="zh-CN"/>
              </w:rPr>
            </w:pPr>
            <w:r>
              <w:rPr>
                <w:sz w:val="24"/>
                <w:szCs w:val="24"/>
                <w:highlight w:val="none"/>
              </w:rPr>
              <w:t>从现状监测数据可知，项目厂界四周声环境质量达到了《声环境质量标准》(GB3096-2008)中的</w:t>
            </w:r>
            <w:r>
              <w:rPr>
                <w:rFonts w:hint="eastAsia"/>
                <w:sz w:val="24"/>
                <w:szCs w:val="24"/>
                <w:highlight w:val="none"/>
                <w:lang w:val="en-US" w:eastAsia="zh-CN"/>
              </w:rPr>
              <w:t>3</w:t>
            </w:r>
            <w:r>
              <w:rPr>
                <w:sz w:val="24"/>
                <w:szCs w:val="24"/>
                <w:highlight w:val="none"/>
              </w:rPr>
              <w:t>类标准</w:t>
            </w:r>
            <w:r>
              <w:rPr>
                <w:rFonts w:hint="eastAsia"/>
                <w:sz w:val="24"/>
                <w:szCs w:val="24"/>
                <w:highlight w:val="none"/>
                <w:lang w:eastAsia="zh-CN"/>
              </w:rPr>
              <w:t>；</w:t>
            </w:r>
            <w:r>
              <w:rPr>
                <w:rFonts w:hint="eastAsia"/>
                <w:sz w:val="24"/>
                <w:szCs w:val="24"/>
                <w:highlight w:val="none"/>
                <w:lang w:val="en-US" w:eastAsia="zh-CN"/>
              </w:rPr>
              <w:t>周边</w:t>
            </w:r>
            <w:r>
              <w:rPr>
                <w:sz w:val="24"/>
                <w:szCs w:val="24"/>
                <w:highlight w:val="none"/>
              </w:rPr>
              <w:t>居民点的声环境质量达到了《声环境质量标准》(GB3096-2008)中的</w:t>
            </w:r>
            <w:r>
              <w:rPr>
                <w:rFonts w:hint="eastAsia"/>
                <w:sz w:val="24"/>
                <w:szCs w:val="24"/>
                <w:highlight w:val="none"/>
                <w:lang w:val="en-US" w:eastAsia="zh-CN"/>
              </w:rPr>
              <w:t>2</w:t>
            </w:r>
            <w:r>
              <w:rPr>
                <w:sz w:val="24"/>
                <w:szCs w:val="24"/>
                <w:highlight w:val="none"/>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71"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保护</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目标</w:t>
            </w:r>
          </w:p>
        </w:tc>
        <w:tc>
          <w:tcPr>
            <w:tcW w:w="8519" w:type="dxa"/>
            <w:noWrap w:val="0"/>
            <w:vAlign w:val="center"/>
          </w:tcPr>
          <w:p>
            <w:pPr>
              <w:spacing w:line="360" w:lineRule="auto"/>
              <w:ind w:firstLine="480" w:firstLineChars="200"/>
              <w:outlineLvl w:val="0"/>
              <w:rPr>
                <w:color w:val="auto"/>
                <w:sz w:val="24"/>
                <w:highlight w:val="none"/>
              </w:rPr>
            </w:pPr>
            <w:bookmarkStart w:id="3" w:name="_Toc487331137"/>
            <w:r>
              <w:rPr>
                <w:color w:val="auto"/>
                <w:sz w:val="24"/>
              </w:rPr>
              <w:t>项目</w:t>
            </w:r>
            <w:r>
              <w:rPr>
                <w:rFonts w:hint="eastAsia"/>
                <w:color w:val="auto"/>
                <w:sz w:val="24"/>
                <w:lang w:val="en-US" w:eastAsia="zh-CN"/>
              </w:rPr>
              <w:t>厂界50m范围内无声敏感点，500m范围内无地下水环境敏感点，500m范围内大气</w:t>
            </w:r>
            <w:r>
              <w:rPr>
                <w:color w:val="auto"/>
                <w:sz w:val="24"/>
              </w:rPr>
              <w:t>环境敏感</w:t>
            </w:r>
            <w:r>
              <w:rPr>
                <w:color w:val="auto"/>
                <w:sz w:val="24"/>
                <w:highlight w:val="none"/>
              </w:rPr>
              <w:t>点分布情况具体见下表</w:t>
            </w:r>
            <w:r>
              <w:rPr>
                <w:rFonts w:hint="eastAsia"/>
                <w:color w:val="auto"/>
                <w:sz w:val="24"/>
                <w:highlight w:val="none"/>
                <w:lang w:eastAsia="zh-CN"/>
              </w:rPr>
              <w:t>，</w:t>
            </w:r>
            <w:r>
              <w:rPr>
                <w:rFonts w:hint="eastAsia"/>
                <w:color w:val="auto"/>
                <w:sz w:val="24"/>
                <w:highlight w:val="none"/>
                <w:lang w:val="en-US" w:eastAsia="zh-CN"/>
              </w:rPr>
              <w:t>具体情况详见环境保护目标附图</w:t>
            </w:r>
            <w:r>
              <w:rPr>
                <w:color w:val="auto"/>
                <w:sz w:val="24"/>
                <w:highlight w:val="none"/>
              </w:rPr>
              <w:t>。</w:t>
            </w:r>
            <w:bookmarkEnd w:id="3"/>
          </w:p>
          <w:p>
            <w:pPr>
              <w:pStyle w:val="7"/>
              <w:keepNext/>
              <w:rPr>
                <w:rFonts w:ascii="Times New Roman" w:hAnsi="Times New Roman"/>
                <w:color w:val="auto"/>
                <w:highlight w:val="none"/>
              </w:rPr>
            </w:pPr>
            <w:bookmarkStart w:id="4" w:name="_Ref420507693"/>
            <w:r>
              <w:rPr>
                <w:rFonts w:ascii="Times New Roman" w:hAnsi="Times New Roman"/>
                <w:color w:val="auto"/>
                <w:highlight w:val="none"/>
              </w:rPr>
              <w:t>表</w:t>
            </w:r>
            <w:bookmarkEnd w:id="4"/>
            <w:r>
              <w:rPr>
                <w:rFonts w:hint="eastAsia" w:ascii="Times New Roman" w:hAnsi="Times New Roman"/>
                <w:color w:val="auto"/>
                <w:highlight w:val="none"/>
                <w:lang w:val="en-US" w:eastAsia="zh-CN"/>
              </w:rPr>
              <w:t>3-6</w:t>
            </w:r>
            <w:r>
              <w:rPr>
                <w:rFonts w:ascii="Times New Roman" w:hAnsi="Times New Roman"/>
                <w:color w:val="auto"/>
                <w:highlight w:val="none"/>
              </w:rPr>
              <w:t xml:space="preserve">  主要环境保护目标一览表</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6"/>
              <w:gridCol w:w="1354"/>
              <w:gridCol w:w="1293"/>
              <w:gridCol w:w="974"/>
              <w:gridCol w:w="1336"/>
              <w:gridCol w:w="26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1223" w:type="pct"/>
                  <w:gridSpan w:val="2"/>
                  <w:noWrap w:val="0"/>
                  <w:vAlign w:val="center"/>
                </w:tcPr>
                <w:p>
                  <w:pPr>
                    <w:jc w:val="center"/>
                    <w:rPr>
                      <w:b/>
                      <w:bCs/>
                      <w:color w:val="auto"/>
                      <w:szCs w:val="21"/>
                      <w:highlight w:val="none"/>
                    </w:rPr>
                  </w:pPr>
                  <w:r>
                    <w:rPr>
                      <w:b/>
                      <w:bCs/>
                      <w:color w:val="auto"/>
                      <w:szCs w:val="21"/>
                      <w:highlight w:val="none"/>
                    </w:rPr>
                    <w:t>保护目标</w:t>
                  </w:r>
                </w:p>
              </w:tc>
              <w:tc>
                <w:tcPr>
                  <w:tcW w:w="775" w:type="pct"/>
                  <w:vMerge w:val="restart"/>
                  <w:noWrap w:val="0"/>
                  <w:vAlign w:val="center"/>
                </w:tcPr>
                <w:p>
                  <w:pPr>
                    <w:jc w:val="center"/>
                    <w:rPr>
                      <w:b/>
                      <w:bCs/>
                      <w:color w:val="auto"/>
                      <w:szCs w:val="21"/>
                      <w:highlight w:val="none"/>
                    </w:rPr>
                  </w:pPr>
                  <w:r>
                    <w:rPr>
                      <w:b/>
                      <w:bCs/>
                      <w:color w:val="auto"/>
                      <w:szCs w:val="21"/>
                      <w:highlight w:val="none"/>
                    </w:rPr>
                    <w:t>性质/规模</w:t>
                  </w:r>
                </w:p>
              </w:tc>
              <w:tc>
                <w:tcPr>
                  <w:tcW w:w="584" w:type="pct"/>
                  <w:vMerge w:val="restart"/>
                  <w:noWrap w:val="0"/>
                  <w:vAlign w:val="center"/>
                </w:tcPr>
                <w:p>
                  <w:pPr>
                    <w:jc w:val="center"/>
                    <w:rPr>
                      <w:b/>
                      <w:bCs/>
                      <w:color w:val="auto"/>
                      <w:szCs w:val="21"/>
                      <w:highlight w:val="none"/>
                    </w:rPr>
                  </w:pPr>
                  <w:r>
                    <w:rPr>
                      <w:b/>
                      <w:bCs/>
                      <w:color w:val="auto"/>
                      <w:szCs w:val="21"/>
                      <w:highlight w:val="none"/>
                    </w:rPr>
                    <w:t>方位</w:t>
                  </w:r>
                </w:p>
              </w:tc>
              <w:tc>
                <w:tcPr>
                  <w:tcW w:w="801" w:type="pct"/>
                  <w:vMerge w:val="restart"/>
                  <w:noWrap w:val="0"/>
                  <w:vAlign w:val="center"/>
                </w:tcPr>
                <w:p>
                  <w:pPr>
                    <w:jc w:val="center"/>
                    <w:rPr>
                      <w:b/>
                      <w:bCs/>
                      <w:color w:val="auto"/>
                      <w:szCs w:val="21"/>
                      <w:highlight w:val="none"/>
                    </w:rPr>
                  </w:pPr>
                  <w:r>
                    <w:rPr>
                      <w:b/>
                      <w:bCs/>
                      <w:color w:val="auto"/>
                      <w:szCs w:val="21"/>
                      <w:highlight w:val="none"/>
                    </w:rPr>
                    <w:t>与项目的</w:t>
                  </w:r>
                  <w:r>
                    <w:rPr>
                      <w:rFonts w:hint="eastAsia"/>
                      <w:b/>
                      <w:bCs/>
                      <w:color w:val="auto"/>
                      <w:szCs w:val="21"/>
                      <w:highlight w:val="none"/>
                      <w:lang w:val="en-US" w:eastAsia="zh-CN"/>
                    </w:rPr>
                    <w:t>厂界</w:t>
                  </w:r>
                  <w:r>
                    <w:rPr>
                      <w:b/>
                      <w:bCs/>
                      <w:color w:val="auto"/>
                      <w:szCs w:val="21"/>
                      <w:highlight w:val="none"/>
                    </w:rPr>
                    <w:t>距离（m）</w:t>
                  </w:r>
                </w:p>
              </w:tc>
              <w:tc>
                <w:tcPr>
                  <w:tcW w:w="1616" w:type="pct"/>
                  <w:vMerge w:val="restart"/>
                  <w:noWrap w:val="0"/>
                  <w:vAlign w:val="center"/>
                </w:tcPr>
                <w:p>
                  <w:pPr>
                    <w:jc w:val="center"/>
                    <w:rPr>
                      <w:b/>
                      <w:bCs/>
                      <w:color w:val="auto"/>
                      <w:szCs w:val="21"/>
                      <w:highlight w:val="none"/>
                    </w:rPr>
                  </w:pPr>
                  <w:r>
                    <w:rPr>
                      <w:b/>
                      <w:bCs/>
                      <w:color w:val="auto"/>
                      <w:szCs w:val="21"/>
                      <w:highlight w:val="none"/>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noWrap w:val="0"/>
                  <w:vAlign w:val="center"/>
                </w:tcPr>
                <w:p>
                  <w:pPr>
                    <w:jc w:val="center"/>
                    <w:rPr>
                      <w:b/>
                      <w:bCs/>
                      <w:color w:val="auto"/>
                      <w:szCs w:val="21"/>
                      <w:highlight w:val="none"/>
                    </w:rPr>
                  </w:pPr>
                  <w:r>
                    <w:rPr>
                      <w:b/>
                      <w:bCs/>
                      <w:color w:val="auto"/>
                      <w:szCs w:val="21"/>
                      <w:highlight w:val="none"/>
                    </w:rPr>
                    <w:t>要素</w:t>
                  </w:r>
                </w:p>
              </w:tc>
              <w:tc>
                <w:tcPr>
                  <w:tcW w:w="811" w:type="pct"/>
                  <w:noWrap w:val="0"/>
                  <w:vAlign w:val="center"/>
                </w:tcPr>
                <w:p>
                  <w:pPr>
                    <w:jc w:val="center"/>
                    <w:rPr>
                      <w:b/>
                      <w:bCs/>
                      <w:color w:val="auto"/>
                      <w:szCs w:val="21"/>
                      <w:highlight w:val="none"/>
                    </w:rPr>
                  </w:pPr>
                  <w:r>
                    <w:rPr>
                      <w:b/>
                      <w:bCs/>
                      <w:color w:val="auto"/>
                      <w:szCs w:val="21"/>
                      <w:highlight w:val="none"/>
                    </w:rPr>
                    <w:t>名称</w:t>
                  </w:r>
                </w:p>
              </w:tc>
              <w:tc>
                <w:tcPr>
                  <w:tcW w:w="775" w:type="pct"/>
                  <w:vMerge w:val="continue"/>
                  <w:noWrap w:val="0"/>
                  <w:vAlign w:val="center"/>
                </w:tcPr>
                <w:p>
                  <w:pPr>
                    <w:jc w:val="center"/>
                    <w:rPr>
                      <w:color w:val="auto"/>
                      <w:szCs w:val="21"/>
                      <w:highlight w:val="none"/>
                    </w:rPr>
                  </w:pPr>
                </w:p>
              </w:tc>
              <w:tc>
                <w:tcPr>
                  <w:tcW w:w="584" w:type="pct"/>
                  <w:vMerge w:val="continue"/>
                  <w:noWrap w:val="0"/>
                  <w:vAlign w:val="center"/>
                </w:tcPr>
                <w:p>
                  <w:pPr>
                    <w:jc w:val="center"/>
                    <w:rPr>
                      <w:color w:val="auto"/>
                      <w:szCs w:val="21"/>
                      <w:highlight w:val="none"/>
                    </w:rPr>
                  </w:pPr>
                </w:p>
              </w:tc>
              <w:tc>
                <w:tcPr>
                  <w:tcW w:w="801" w:type="pct"/>
                  <w:vMerge w:val="continue"/>
                  <w:noWrap w:val="0"/>
                  <w:vAlign w:val="center"/>
                </w:tcPr>
                <w:p>
                  <w:pPr>
                    <w:jc w:val="center"/>
                    <w:rPr>
                      <w:color w:val="auto"/>
                      <w:szCs w:val="21"/>
                      <w:highlight w:val="none"/>
                    </w:rPr>
                  </w:pPr>
                </w:p>
              </w:tc>
              <w:tc>
                <w:tcPr>
                  <w:tcW w:w="1616" w:type="pct"/>
                  <w:vMerge w:val="continue"/>
                  <w:noWrap w:val="0"/>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vMerge w:val="restart"/>
                  <w:noWrap w:val="0"/>
                  <w:vAlign w:val="center"/>
                </w:tcPr>
                <w:p>
                  <w:pPr>
                    <w:jc w:val="center"/>
                    <w:rPr>
                      <w:color w:val="auto"/>
                      <w:szCs w:val="21"/>
                      <w:highlight w:val="none"/>
                    </w:rPr>
                  </w:pPr>
                  <w:r>
                    <w:rPr>
                      <w:color w:val="auto"/>
                      <w:szCs w:val="21"/>
                      <w:highlight w:val="none"/>
                    </w:rPr>
                    <w:t>环境</w:t>
                  </w:r>
                </w:p>
                <w:p>
                  <w:pPr>
                    <w:jc w:val="center"/>
                    <w:rPr>
                      <w:color w:val="auto"/>
                      <w:szCs w:val="21"/>
                      <w:highlight w:val="none"/>
                    </w:rPr>
                  </w:pPr>
                  <w:r>
                    <w:rPr>
                      <w:color w:val="auto"/>
                      <w:szCs w:val="21"/>
                      <w:highlight w:val="none"/>
                    </w:rPr>
                    <w:t>空气</w:t>
                  </w:r>
                </w:p>
              </w:tc>
              <w:tc>
                <w:tcPr>
                  <w:tcW w:w="81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M1居民点</w:t>
                  </w:r>
                </w:p>
              </w:tc>
              <w:tc>
                <w:tcPr>
                  <w:tcW w:w="775" w:type="pct"/>
                  <w:noWrap w:val="0"/>
                  <w:vAlign w:val="center"/>
                </w:tcPr>
                <w:p>
                  <w:pPr>
                    <w:pStyle w:val="12"/>
                    <w:tabs>
                      <w:tab w:val="left" w:pos="700"/>
                    </w:tabs>
                    <w:spacing w:line="240" w:lineRule="auto"/>
                    <w:ind w:firstLine="0"/>
                    <w:jc w:val="center"/>
                    <w:rPr>
                      <w:color w:val="auto"/>
                      <w:sz w:val="21"/>
                      <w:szCs w:val="21"/>
                      <w:highlight w:val="none"/>
                    </w:rPr>
                  </w:pPr>
                  <w:r>
                    <w:rPr>
                      <w:rFonts w:hint="eastAsia"/>
                      <w:color w:val="auto"/>
                      <w:sz w:val="21"/>
                      <w:szCs w:val="21"/>
                      <w:highlight w:val="none"/>
                      <w:lang w:val="en-US" w:eastAsia="zh-CN"/>
                    </w:rPr>
                    <w:t>15</w:t>
                  </w:r>
                  <w:r>
                    <w:rPr>
                      <w:rFonts w:hint="eastAsia"/>
                      <w:color w:val="auto"/>
                      <w:sz w:val="21"/>
                      <w:szCs w:val="21"/>
                      <w:highlight w:val="none"/>
                    </w:rPr>
                    <w:t>户</w:t>
                  </w:r>
                </w:p>
              </w:tc>
              <w:tc>
                <w:tcPr>
                  <w:tcW w:w="584" w:type="pct"/>
                  <w:noWrap w:val="0"/>
                  <w:vAlign w:val="center"/>
                </w:tcPr>
                <w:p>
                  <w:pPr>
                    <w:pStyle w:val="12"/>
                    <w:tabs>
                      <w:tab w:val="left" w:pos="700"/>
                    </w:tabs>
                    <w:spacing w:line="240" w:lineRule="auto"/>
                    <w:ind w:firstLine="0"/>
                    <w:jc w:val="center"/>
                    <w:rPr>
                      <w:rFonts w:hint="eastAsia" w:eastAsia="宋体"/>
                      <w:color w:val="auto"/>
                      <w:sz w:val="21"/>
                      <w:szCs w:val="21"/>
                      <w:highlight w:val="none"/>
                      <w:lang w:eastAsia="zh-CN"/>
                    </w:rPr>
                  </w:pPr>
                  <w:r>
                    <w:rPr>
                      <w:rFonts w:hint="eastAsia"/>
                      <w:color w:val="auto"/>
                      <w:sz w:val="21"/>
                      <w:szCs w:val="21"/>
                      <w:highlight w:val="none"/>
                      <w:lang w:val="en-US" w:eastAsia="zh-CN"/>
                    </w:rPr>
                    <w:t>东</w:t>
                  </w:r>
                </w:p>
              </w:tc>
              <w:tc>
                <w:tcPr>
                  <w:tcW w:w="801" w:type="pct"/>
                  <w:noWrap w:val="0"/>
                  <w:vAlign w:val="center"/>
                </w:tcPr>
                <w:p>
                  <w:pPr>
                    <w:pStyle w:val="12"/>
                    <w:tabs>
                      <w:tab w:val="left" w:pos="700"/>
                    </w:tabs>
                    <w:spacing w:line="240" w:lineRule="auto"/>
                    <w:ind w:firstLine="0"/>
                    <w:jc w:val="center"/>
                    <w:rPr>
                      <w:color w:val="auto"/>
                      <w:sz w:val="21"/>
                      <w:szCs w:val="21"/>
                      <w:highlight w:val="none"/>
                    </w:rPr>
                  </w:pPr>
                  <w:r>
                    <w:rPr>
                      <w:rFonts w:hint="eastAsia"/>
                      <w:color w:val="auto"/>
                      <w:sz w:val="21"/>
                      <w:szCs w:val="21"/>
                      <w:highlight w:val="none"/>
                      <w:lang w:val="en-US" w:eastAsia="zh-CN"/>
                    </w:rPr>
                    <w:t>292</w:t>
                  </w:r>
                  <w:r>
                    <w:rPr>
                      <w:color w:val="auto"/>
                      <w:sz w:val="21"/>
                      <w:szCs w:val="21"/>
                      <w:highlight w:val="none"/>
                    </w:rPr>
                    <w:t>m</w:t>
                  </w:r>
                </w:p>
              </w:tc>
              <w:tc>
                <w:tcPr>
                  <w:tcW w:w="1616" w:type="pct"/>
                  <w:vMerge w:val="restart"/>
                  <w:noWrap w:val="0"/>
                  <w:vAlign w:val="center"/>
                </w:tcPr>
                <w:p>
                  <w:pPr>
                    <w:jc w:val="center"/>
                    <w:rPr>
                      <w:color w:val="auto"/>
                      <w:szCs w:val="21"/>
                      <w:highlight w:val="none"/>
                    </w:rPr>
                  </w:pPr>
                  <w:r>
                    <w:rPr>
                      <w:color w:val="auto"/>
                      <w:szCs w:val="21"/>
                      <w:highlight w:val="none"/>
                    </w:rPr>
                    <w:t>《环境空气质量标准（GB3095-2012）》中二级标准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vMerge w:val="continue"/>
                  <w:noWrap w:val="0"/>
                  <w:vAlign w:val="center"/>
                </w:tcPr>
                <w:p>
                  <w:pPr>
                    <w:jc w:val="center"/>
                    <w:rPr>
                      <w:color w:val="auto"/>
                      <w:szCs w:val="21"/>
                      <w:highlight w:val="none"/>
                    </w:rPr>
                  </w:pPr>
                </w:p>
              </w:tc>
              <w:tc>
                <w:tcPr>
                  <w:tcW w:w="81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M2居民点</w:t>
                  </w:r>
                </w:p>
              </w:tc>
              <w:tc>
                <w:tcPr>
                  <w:tcW w:w="775" w:type="pct"/>
                  <w:noWrap w:val="0"/>
                  <w:vAlign w:val="center"/>
                </w:tcPr>
                <w:p>
                  <w:pPr>
                    <w:pStyle w:val="12"/>
                    <w:tabs>
                      <w:tab w:val="left" w:pos="700"/>
                    </w:tabs>
                    <w:spacing w:line="240" w:lineRule="auto"/>
                    <w:ind w:firstLine="0"/>
                    <w:jc w:val="center"/>
                    <w:rPr>
                      <w:color w:val="auto"/>
                      <w:sz w:val="21"/>
                      <w:szCs w:val="21"/>
                      <w:highlight w:val="none"/>
                    </w:rPr>
                  </w:pPr>
                  <w:r>
                    <w:rPr>
                      <w:rFonts w:hint="eastAsia"/>
                      <w:color w:val="auto"/>
                      <w:sz w:val="21"/>
                      <w:szCs w:val="21"/>
                      <w:highlight w:val="none"/>
                      <w:lang w:val="en-US" w:eastAsia="zh-CN"/>
                    </w:rPr>
                    <w:t>42</w:t>
                  </w:r>
                  <w:r>
                    <w:rPr>
                      <w:rFonts w:hint="eastAsia"/>
                      <w:color w:val="auto"/>
                      <w:sz w:val="21"/>
                      <w:szCs w:val="21"/>
                      <w:highlight w:val="none"/>
                    </w:rPr>
                    <w:t>户</w:t>
                  </w:r>
                </w:p>
              </w:tc>
              <w:tc>
                <w:tcPr>
                  <w:tcW w:w="584" w:type="pct"/>
                  <w:noWrap w:val="0"/>
                  <w:vAlign w:val="center"/>
                </w:tcPr>
                <w:p>
                  <w:pPr>
                    <w:pStyle w:val="12"/>
                    <w:tabs>
                      <w:tab w:val="left" w:pos="700"/>
                    </w:tabs>
                    <w:spacing w:line="240" w:lineRule="auto"/>
                    <w:ind w:firstLine="0"/>
                    <w:jc w:val="center"/>
                    <w:rPr>
                      <w:color w:val="auto"/>
                      <w:sz w:val="21"/>
                      <w:szCs w:val="21"/>
                      <w:highlight w:val="none"/>
                    </w:rPr>
                  </w:pPr>
                  <w:r>
                    <w:rPr>
                      <w:rFonts w:hint="eastAsia"/>
                      <w:color w:val="auto"/>
                      <w:sz w:val="21"/>
                      <w:szCs w:val="21"/>
                      <w:highlight w:val="none"/>
                    </w:rPr>
                    <w:t>东南</w:t>
                  </w:r>
                </w:p>
              </w:tc>
              <w:tc>
                <w:tcPr>
                  <w:tcW w:w="801" w:type="pct"/>
                  <w:noWrap w:val="0"/>
                  <w:vAlign w:val="center"/>
                </w:tcPr>
                <w:p>
                  <w:pPr>
                    <w:pStyle w:val="12"/>
                    <w:tabs>
                      <w:tab w:val="left" w:pos="700"/>
                    </w:tabs>
                    <w:spacing w:line="240" w:lineRule="auto"/>
                    <w:ind w:firstLine="0"/>
                    <w:jc w:val="center"/>
                    <w:rPr>
                      <w:color w:val="auto"/>
                      <w:sz w:val="21"/>
                      <w:szCs w:val="21"/>
                      <w:highlight w:val="none"/>
                    </w:rPr>
                  </w:pPr>
                  <w:r>
                    <w:rPr>
                      <w:rFonts w:hint="eastAsia"/>
                      <w:color w:val="auto"/>
                      <w:sz w:val="21"/>
                      <w:szCs w:val="21"/>
                      <w:highlight w:val="none"/>
                      <w:lang w:val="en-US" w:eastAsia="zh-CN"/>
                    </w:rPr>
                    <w:t>389</w:t>
                  </w:r>
                  <w:r>
                    <w:rPr>
                      <w:color w:val="auto"/>
                      <w:sz w:val="21"/>
                      <w:szCs w:val="21"/>
                      <w:highlight w:val="none"/>
                    </w:rPr>
                    <w:t>m</w:t>
                  </w:r>
                </w:p>
              </w:tc>
              <w:tc>
                <w:tcPr>
                  <w:tcW w:w="1616" w:type="pct"/>
                  <w:vMerge w:val="continue"/>
                  <w:noWrap w:val="0"/>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vMerge w:val="continue"/>
                  <w:noWrap w:val="0"/>
                  <w:vAlign w:val="center"/>
                </w:tcPr>
                <w:p>
                  <w:pPr>
                    <w:jc w:val="center"/>
                    <w:rPr>
                      <w:color w:val="auto"/>
                      <w:szCs w:val="21"/>
                      <w:highlight w:val="none"/>
                    </w:rPr>
                  </w:pPr>
                </w:p>
              </w:tc>
              <w:tc>
                <w:tcPr>
                  <w:tcW w:w="81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M3居民点</w:t>
                  </w:r>
                </w:p>
              </w:tc>
              <w:tc>
                <w:tcPr>
                  <w:tcW w:w="775" w:type="pct"/>
                  <w:noWrap w:val="0"/>
                  <w:vAlign w:val="center"/>
                </w:tcPr>
                <w:p>
                  <w:pPr>
                    <w:pStyle w:val="12"/>
                    <w:tabs>
                      <w:tab w:val="left" w:pos="700"/>
                    </w:tabs>
                    <w:spacing w:line="240" w:lineRule="auto"/>
                    <w:ind w:firstLine="0"/>
                    <w:jc w:val="center"/>
                    <w:rPr>
                      <w:rFonts w:hint="eastAsia"/>
                      <w:color w:val="auto"/>
                      <w:sz w:val="21"/>
                      <w:szCs w:val="21"/>
                      <w:highlight w:val="none"/>
                    </w:rPr>
                  </w:pPr>
                  <w:r>
                    <w:rPr>
                      <w:rFonts w:hint="eastAsia"/>
                      <w:color w:val="auto"/>
                      <w:sz w:val="21"/>
                      <w:szCs w:val="21"/>
                      <w:highlight w:val="none"/>
                      <w:lang w:val="en-US" w:eastAsia="zh-CN"/>
                    </w:rPr>
                    <w:t>35</w:t>
                  </w:r>
                  <w:r>
                    <w:rPr>
                      <w:rFonts w:hint="eastAsia"/>
                      <w:color w:val="auto"/>
                      <w:sz w:val="21"/>
                      <w:szCs w:val="21"/>
                      <w:highlight w:val="none"/>
                    </w:rPr>
                    <w:t>户</w:t>
                  </w:r>
                </w:p>
              </w:tc>
              <w:tc>
                <w:tcPr>
                  <w:tcW w:w="584" w:type="pct"/>
                  <w:noWrap w:val="0"/>
                  <w:vAlign w:val="center"/>
                </w:tcPr>
                <w:p>
                  <w:pPr>
                    <w:pStyle w:val="12"/>
                    <w:tabs>
                      <w:tab w:val="left" w:pos="700"/>
                    </w:tabs>
                    <w:spacing w:line="240" w:lineRule="auto"/>
                    <w:ind w:firstLine="0"/>
                    <w:jc w:val="center"/>
                    <w:rPr>
                      <w:rFonts w:hint="eastAsia" w:eastAsia="宋体"/>
                      <w:color w:val="auto"/>
                      <w:sz w:val="21"/>
                      <w:szCs w:val="21"/>
                      <w:highlight w:val="none"/>
                      <w:lang w:eastAsia="zh-CN"/>
                    </w:rPr>
                  </w:pPr>
                  <w:r>
                    <w:rPr>
                      <w:rFonts w:hint="eastAsia"/>
                      <w:color w:val="auto"/>
                      <w:sz w:val="21"/>
                      <w:szCs w:val="21"/>
                      <w:highlight w:val="none"/>
                      <w:lang w:val="en-US" w:eastAsia="zh-CN"/>
                    </w:rPr>
                    <w:t>南</w:t>
                  </w:r>
                </w:p>
              </w:tc>
              <w:tc>
                <w:tcPr>
                  <w:tcW w:w="801" w:type="pct"/>
                  <w:noWrap w:val="0"/>
                  <w:vAlign w:val="center"/>
                </w:tcPr>
                <w:p>
                  <w:pPr>
                    <w:pStyle w:val="12"/>
                    <w:tabs>
                      <w:tab w:val="left" w:pos="700"/>
                    </w:tabs>
                    <w:spacing w:line="240" w:lineRule="auto"/>
                    <w:ind w:firstLine="0"/>
                    <w:jc w:val="center"/>
                    <w:rPr>
                      <w:color w:val="auto"/>
                      <w:sz w:val="21"/>
                      <w:szCs w:val="21"/>
                      <w:highlight w:val="none"/>
                    </w:rPr>
                  </w:pPr>
                  <w:r>
                    <w:rPr>
                      <w:rFonts w:hint="eastAsia"/>
                      <w:color w:val="auto"/>
                      <w:sz w:val="21"/>
                      <w:szCs w:val="21"/>
                      <w:highlight w:val="none"/>
                      <w:lang w:val="en-US" w:eastAsia="zh-CN"/>
                    </w:rPr>
                    <w:t>243</w:t>
                  </w:r>
                  <w:r>
                    <w:rPr>
                      <w:color w:val="auto"/>
                      <w:sz w:val="21"/>
                      <w:szCs w:val="21"/>
                      <w:highlight w:val="none"/>
                    </w:rPr>
                    <w:t>m</w:t>
                  </w:r>
                </w:p>
              </w:tc>
              <w:tc>
                <w:tcPr>
                  <w:tcW w:w="1616" w:type="pct"/>
                  <w:vMerge w:val="continue"/>
                  <w:noWrap w:val="0"/>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vMerge w:val="continue"/>
                  <w:noWrap w:val="0"/>
                  <w:vAlign w:val="center"/>
                </w:tcPr>
                <w:p>
                  <w:pPr>
                    <w:jc w:val="center"/>
                    <w:rPr>
                      <w:color w:val="auto"/>
                      <w:szCs w:val="21"/>
                      <w:highlight w:val="none"/>
                    </w:rPr>
                  </w:pPr>
                </w:p>
              </w:tc>
              <w:tc>
                <w:tcPr>
                  <w:tcW w:w="81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M4居民点</w:t>
                  </w:r>
                </w:p>
              </w:tc>
              <w:tc>
                <w:tcPr>
                  <w:tcW w:w="775" w:type="pct"/>
                  <w:noWrap w:val="0"/>
                  <w:vAlign w:val="center"/>
                </w:tcPr>
                <w:p>
                  <w:pPr>
                    <w:pStyle w:val="12"/>
                    <w:tabs>
                      <w:tab w:val="left" w:pos="700"/>
                    </w:tabs>
                    <w:spacing w:line="240" w:lineRule="auto"/>
                    <w:ind w:firstLine="0"/>
                    <w:jc w:val="center"/>
                    <w:rPr>
                      <w:rFonts w:hint="eastAsia"/>
                      <w:color w:val="auto"/>
                      <w:sz w:val="21"/>
                      <w:szCs w:val="21"/>
                      <w:highlight w:val="none"/>
                    </w:rPr>
                  </w:pPr>
                  <w:r>
                    <w:rPr>
                      <w:rFonts w:hint="eastAsia"/>
                      <w:color w:val="auto"/>
                      <w:sz w:val="21"/>
                      <w:szCs w:val="21"/>
                      <w:highlight w:val="none"/>
                      <w:lang w:val="en-US" w:eastAsia="zh-CN"/>
                    </w:rPr>
                    <w:t>20</w:t>
                  </w:r>
                  <w:r>
                    <w:rPr>
                      <w:rFonts w:hint="eastAsia"/>
                      <w:color w:val="auto"/>
                      <w:sz w:val="21"/>
                      <w:szCs w:val="21"/>
                      <w:highlight w:val="none"/>
                    </w:rPr>
                    <w:t>户</w:t>
                  </w:r>
                </w:p>
              </w:tc>
              <w:tc>
                <w:tcPr>
                  <w:tcW w:w="584" w:type="pct"/>
                  <w:noWrap w:val="0"/>
                  <w:vAlign w:val="center"/>
                </w:tcPr>
                <w:p>
                  <w:pPr>
                    <w:pStyle w:val="12"/>
                    <w:tabs>
                      <w:tab w:val="left" w:pos="700"/>
                    </w:tabs>
                    <w:spacing w:line="240" w:lineRule="auto"/>
                    <w:ind w:firstLine="0"/>
                    <w:jc w:val="center"/>
                    <w:rPr>
                      <w:rFonts w:hint="eastAsia"/>
                      <w:color w:val="auto"/>
                      <w:sz w:val="21"/>
                      <w:szCs w:val="21"/>
                      <w:highlight w:val="none"/>
                    </w:rPr>
                  </w:pPr>
                  <w:r>
                    <w:rPr>
                      <w:rFonts w:hint="eastAsia"/>
                      <w:color w:val="auto"/>
                      <w:sz w:val="21"/>
                      <w:szCs w:val="21"/>
                      <w:highlight w:val="none"/>
                      <w:lang w:val="en-US" w:eastAsia="zh-CN"/>
                    </w:rPr>
                    <w:t>西</w:t>
                  </w:r>
                  <w:r>
                    <w:rPr>
                      <w:rFonts w:hint="eastAsia"/>
                      <w:color w:val="auto"/>
                      <w:sz w:val="21"/>
                      <w:szCs w:val="21"/>
                      <w:highlight w:val="none"/>
                    </w:rPr>
                    <w:t>南</w:t>
                  </w:r>
                </w:p>
              </w:tc>
              <w:tc>
                <w:tcPr>
                  <w:tcW w:w="801" w:type="pct"/>
                  <w:noWrap w:val="0"/>
                  <w:vAlign w:val="center"/>
                </w:tcPr>
                <w:p>
                  <w:pPr>
                    <w:pStyle w:val="12"/>
                    <w:tabs>
                      <w:tab w:val="left" w:pos="700"/>
                    </w:tabs>
                    <w:spacing w:line="240" w:lineRule="auto"/>
                    <w:ind w:firstLine="0"/>
                    <w:jc w:val="center"/>
                    <w:rPr>
                      <w:color w:val="auto"/>
                      <w:sz w:val="21"/>
                      <w:szCs w:val="21"/>
                      <w:highlight w:val="none"/>
                    </w:rPr>
                  </w:pPr>
                  <w:r>
                    <w:rPr>
                      <w:rFonts w:hint="eastAsia"/>
                      <w:color w:val="auto"/>
                      <w:sz w:val="21"/>
                      <w:szCs w:val="21"/>
                      <w:highlight w:val="none"/>
                      <w:lang w:val="en-US" w:eastAsia="zh-CN"/>
                    </w:rPr>
                    <w:t>390</w:t>
                  </w:r>
                  <w:r>
                    <w:rPr>
                      <w:color w:val="auto"/>
                      <w:sz w:val="21"/>
                      <w:szCs w:val="21"/>
                      <w:highlight w:val="none"/>
                    </w:rPr>
                    <w:t>m</w:t>
                  </w:r>
                </w:p>
              </w:tc>
              <w:tc>
                <w:tcPr>
                  <w:tcW w:w="1616" w:type="pct"/>
                  <w:vMerge w:val="continue"/>
                  <w:noWrap w:val="0"/>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vMerge w:val="continue"/>
                  <w:noWrap w:val="0"/>
                  <w:vAlign w:val="center"/>
                </w:tcPr>
                <w:p>
                  <w:pPr>
                    <w:jc w:val="center"/>
                    <w:rPr>
                      <w:color w:val="auto"/>
                      <w:szCs w:val="21"/>
                      <w:highlight w:val="none"/>
                    </w:rPr>
                  </w:pPr>
                </w:p>
              </w:tc>
              <w:tc>
                <w:tcPr>
                  <w:tcW w:w="81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M5居民点</w:t>
                  </w:r>
                </w:p>
              </w:tc>
              <w:tc>
                <w:tcPr>
                  <w:tcW w:w="775" w:type="pct"/>
                  <w:noWrap w:val="0"/>
                  <w:vAlign w:val="center"/>
                </w:tcPr>
                <w:p>
                  <w:pPr>
                    <w:pStyle w:val="12"/>
                    <w:tabs>
                      <w:tab w:val="left" w:pos="700"/>
                    </w:tabs>
                    <w:spacing w:line="240" w:lineRule="auto"/>
                    <w:ind w:firstLine="0"/>
                    <w:jc w:val="center"/>
                    <w:rPr>
                      <w:rFonts w:hint="eastAsia"/>
                      <w:color w:val="auto"/>
                      <w:sz w:val="21"/>
                      <w:szCs w:val="21"/>
                      <w:highlight w:val="none"/>
                    </w:rPr>
                  </w:pPr>
                  <w:r>
                    <w:rPr>
                      <w:rFonts w:hint="eastAsia"/>
                      <w:color w:val="auto"/>
                      <w:sz w:val="21"/>
                      <w:szCs w:val="21"/>
                      <w:highlight w:val="none"/>
                      <w:lang w:val="en-US" w:eastAsia="zh-CN"/>
                    </w:rPr>
                    <w:t>180</w:t>
                  </w:r>
                  <w:r>
                    <w:rPr>
                      <w:rFonts w:hint="eastAsia"/>
                      <w:color w:val="auto"/>
                      <w:sz w:val="21"/>
                      <w:szCs w:val="21"/>
                      <w:highlight w:val="none"/>
                    </w:rPr>
                    <w:t>户</w:t>
                  </w:r>
                </w:p>
              </w:tc>
              <w:tc>
                <w:tcPr>
                  <w:tcW w:w="584" w:type="pct"/>
                  <w:noWrap w:val="0"/>
                  <w:vAlign w:val="center"/>
                </w:tcPr>
                <w:p>
                  <w:pPr>
                    <w:pStyle w:val="12"/>
                    <w:tabs>
                      <w:tab w:val="left" w:pos="700"/>
                    </w:tabs>
                    <w:spacing w:line="240" w:lineRule="auto"/>
                    <w:ind w:firstLine="0"/>
                    <w:jc w:val="center"/>
                    <w:rPr>
                      <w:rFonts w:hint="eastAsia" w:eastAsia="宋体"/>
                      <w:color w:val="auto"/>
                      <w:sz w:val="21"/>
                      <w:szCs w:val="21"/>
                      <w:highlight w:val="none"/>
                      <w:lang w:eastAsia="zh-CN"/>
                    </w:rPr>
                  </w:pPr>
                  <w:r>
                    <w:rPr>
                      <w:rFonts w:hint="eastAsia"/>
                      <w:color w:val="auto"/>
                      <w:sz w:val="21"/>
                      <w:szCs w:val="21"/>
                      <w:highlight w:val="none"/>
                      <w:lang w:val="en-US" w:eastAsia="zh-CN"/>
                    </w:rPr>
                    <w:t>西</w:t>
                  </w:r>
                </w:p>
              </w:tc>
              <w:tc>
                <w:tcPr>
                  <w:tcW w:w="801" w:type="pct"/>
                  <w:noWrap w:val="0"/>
                  <w:vAlign w:val="center"/>
                </w:tcPr>
                <w:p>
                  <w:pPr>
                    <w:pStyle w:val="12"/>
                    <w:tabs>
                      <w:tab w:val="left" w:pos="700"/>
                    </w:tabs>
                    <w:spacing w:line="240" w:lineRule="auto"/>
                    <w:ind w:firstLine="0"/>
                    <w:jc w:val="center"/>
                    <w:rPr>
                      <w:color w:val="auto"/>
                      <w:sz w:val="21"/>
                      <w:szCs w:val="21"/>
                      <w:highlight w:val="none"/>
                    </w:rPr>
                  </w:pPr>
                  <w:r>
                    <w:rPr>
                      <w:rFonts w:hint="eastAsia"/>
                      <w:color w:val="auto"/>
                      <w:sz w:val="21"/>
                      <w:szCs w:val="21"/>
                      <w:highlight w:val="none"/>
                      <w:lang w:val="en-US" w:eastAsia="zh-CN"/>
                    </w:rPr>
                    <w:t>222</w:t>
                  </w:r>
                  <w:r>
                    <w:rPr>
                      <w:color w:val="auto"/>
                      <w:sz w:val="21"/>
                      <w:szCs w:val="21"/>
                      <w:highlight w:val="none"/>
                    </w:rPr>
                    <w:t>m</w:t>
                  </w:r>
                </w:p>
              </w:tc>
              <w:tc>
                <w:tcPr>
                  <w:tcW w:w="1616" w:type="pct"/>
                  <w:vMerge w:val="continue"/>
                  <w:noWrap w:val="0"/>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vMerge w:val="continue"/>
                  <w:noWrap w:val="0"/>
                  <w:vAlign w:val="center"/>
                </w:tcPr>
                <w:p>
                  <w:pPr>
                    <w:jc w:val="center"/>
                    <w:rPr>
                      <w:color w:val="auto"/>
                      <w:szCs w:val="21"/>
                      <w:highlight w:val="none"/>
                    </w:rPr>
                  </w:pPr>
                </w:p>
              </w:tc>
              <w:tc>
                <w:tcPr>
                  <w:tcW w:w="81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M6居民点</w:t>
                  </w:r>
                </w:p>
              </w:tc>
              <w:tc>
                <w:tcPr>
                  <w:tcW w:w="775" w:type="pct"/>
                  <w:noWrap w:val="0"/>
                  <w:vAlign w:val="center"/>
                </w:tcPr>
                <w:p>
                  <w:pPr>
                    <w:pStyle w:val="12"/>
                    <w:tabs>
                      <w:tab w:val="left" w:pos="700"/>
                    </w:tabs>
                    <w:spacing w:line="240" w:lineRule="auto"/>
                    <w:ind w:firstLine="0"/>
                    <w:jc w:val="center"/>
                    <w:rPr>
                      <w:rFonts w:hint="eastAsia"/>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户</w:t>
                  </w:r>
                </w:p>
              </w:tc>
              <w:tc>
                <w:tcPr>
                  <w:tcW w:w="584" w:type="pct"/>
                  <w:noWrap w:val="0"/>
                  <w:vAlign w:val="center"/>
                </w:tcPr>
                <w:p>
                  <w:pPr>
                    <w:pStyle w:val="12"/>
                    <w:tabs>
                      <w:tab w:val="left" w:pos="700"/>
                    </w:tabs>
                    <w:spacing w:line="240" w:lineRule="auto"/>
                    <w:ind w:firstLine="0"/>
                    <w:jc w:val="center"/>
                    <w:rPr>
                      <w:rFonts w:hint="eastAsia"/>
                      <w:color w:val="auto"/>
                      <w:sz w:val="21"/>
                      <w:szCs w:val="21"/>
                      <w:highlight w:val="none"/>
                    </w:rPr>
                  </w:pPr>
                  <w:r>
                    <w:rPr>
                      <w:rFonts w:hint="eastAsia"/>
                      <w:color w:val="auto"/>
                      <w:sz w:val="21"/>
                      <w:szCs w:val="21"/>
                      <w:highlight w:val="none"/>
                    </w:rPr>
                    <w:t>西</w:t>
                  </w:r>
                </w:p>
              </w:tc>
              <w:tc>
                <w:tcPr>
                  <w:tcW w:w="801" w:type="pct"/>
                  <w:noWrap w:val="0"/>
                  <w:vAlign w:val="center"/>
                </w:tcPr>
                <w:p>
                  <w:pPr>
                    <w:pStyle w:val="12"/>
                    <w:tabs>
                      <w:tab w:val="left" w:pos="700"/>
                    </w:tabs>
                    <w:spacing w:line="240" w:lineRule="auto"/>
                    <w:ind w:firstLine="0"/>
                    <w:jc w:val="center"/>
                    <w:rPr>
                      <w:color w:val="auto"/>
                      <w:sz w:val="21"/>
                      <w:szCs w:val="21"/>
                      <w:highlight w:val="none"/>
                    </w:rPr>
                  </w:pPr>
                  <w:r>
                    <w:rPr>
                      <w:rFonts w:hint="eastAsia"/>
                      <w:color w:val="auto"/>
                      <w:sz w:val="21"/>
                      <w:szCs w:val="21"/>
                      <w:highlight w:val="none"/>
                      <w:lang w:val="en-US" w:eastAsia="zh-CN"/>
                    </w:rPr>
                    <w:t>55</w:t>
                  </w:r>
                  <w:r>
                    <w:rPr>
                      <w:color w:val="auto"/>
                      <w:sz w:val="21"/>
                      <w:szCs w:val="21"/>
                      <w:highlight w:val="none"/>
                    </w:rPr>
                    <w:t>m</w:t>
                  </w:r>
                </w:p>
              </w:tc>
              <w:tc>
                <w:tcPr>
                  <w:tcW w:w="1616" w:type="pct"/>
                  <w:vMerge w:val="continue"/>
                  <w:noWrap w:val="0"/>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vMerge w:val="continue"/>
                  <w:noWrap w:val="0"/>
                  <w:vAlign w:val="center"/>
                </w:tcPr>
                <w:p>
                  <w:pPr>
                    <w:jc w:val="center"/>
                    <w:rPr>
                      <w:color w:val="auto"/>
                      <w:szCs w:val="21"/>
                      <w:highlight w:val="none"/>
                    </w:rPr>
                  </w:pPr>
                </w:p>
              </w:tc>
              <w:tc>
                <w:tcPr>
                  <w:tcW w:w="81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M7居民点</w:t>
                  </w:r>
                </w:p>
              </w:tc>
              <w:tc>
                <w:tcPr>
                  <w:tcW w:w="775"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15户</w:t>
                  </w:r>
                </w:p>
              </w:tc>
              <w:tc>
                <w:tcPr>
                  <w:tcW w:w="584" w:type="pct"/>
                  <w:noWrap w:val="0"/>
                  <w:vAlign w:val="center"/>
                </w:tcPr>
                <w:p>
                  <w:pPr>
                    <w:pStyle w:val="12"/>
                    <w:tabs>
                      <w:tab w:val="left" w:pos="700"/>
                    </w:tabs>
                    <w:spacing w:line="240" w:lineRule="auto"/>
                    <w:ind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西北</w:t>
                  </w:r>
                </w:p>
              </w:tc>
              <w:tc>
                <w:tcPr>
                  <w:tcW w:w="80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90m</w:t>
                  </w:r>
                </w:p>
              </w:tc>
              <w:tc>
                <w:tcPr>
                  <w:tcW w:w="1616" w:type="pct"/>
                  <w:vMerge w:val="continue"/>
                  <w:noWrap w:val="0"/>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vMerge w:val="continue"/>
                  <w:noWrap w:val="0"/>
                  <w:vAlign w:val="center"/>
                </w:tcPr>
                <w:p>
                  <w:pPr>
                    <w:jc w:val="center"/>
                    <w:rPr>
                      <w:color w:val="auto"/>
                      <w:szCs w:val="21"/>
                      <w:highlight w:val="none"/>
                    </w:rPr>
                  </w:pPr>
                </w:p>
              </w:tc>
              <w:tc>
                <w:tcPr>
                  <w:tcW w:w="81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M8居民点</w:t>
                  </w:r>
                </w:p>
              </w:tc>
              <w:tc>
                <w:tcPr>
                  <w:tcW w:w="775"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17户</w:t>
                  </w:r>
                </w:p>
              </w:tc>
              <w:tc>
                <w:tcPr>
                  <w:tcW w:w="584"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东北</w:t>
                  </w:r>
                </w:p>
              </w:tc>
              <w:tc>
                <w:tcPr>
                  <w:tcW w:w="80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252m</w:t>
                  </w:r>
                </w:p>
              </w:tc>
              <w:tc>
                <w:tcPr>
                  <w:tcW w:w="1616" w:type="pct"/>
                  <w:vMerge w:val="continue"/>
                  <w:noWrap w:val="0"/>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vMerge w:val="continue"/>
                  <w:noWrap w:val="0"/>
                  <w:vAlign w:val="center"/>
                </w:tcPr>
                <w:p>
                  <w:pPr>
                    <w:jc w:val="center"/>
                    <w:rPr>
                      <w:color w:val="auto"/>
                      <w:szCs w:val="21"/>
                      <w:highlight w:val="none"/>
                    </w:rPr>
                  </w:pPr>
                </w:p>
              </w:tc>
              <w:tc>
                <w:tcPr>
                  <w:tcW w:w="81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M9居民点</w:t>
                  </w:r>
                </w:p>
              </w:tc>
              <w:tc>
                <w:tcPr>
                  <w:tcW w:w="775"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11户</w:t>
                  </w:r>
                </w:p>
              </w:tc>
              <w:tc>
                <w:tcPr>
                  <w:tcW w:w="584" w:type="pct"/>
                  <w:noWrap w:val="0"/>
                  <w:vAlign w:val="center"/>
                </w:tcPr>
                <w:p>
                  <w:pPr>
                    <w:pStyle w:val="12"/>
                    <w:tabs>
                      <w:tab w:val="left" w:pos="700"/>
                    </w:tabs>
                    <w:spacing w:line="240" w:lineRule="auto"/>
                    <w:ind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东北</w:t>
                  </w:r>
                </w:p>
              </w:tc>
              <w:tc>
                <w:tcPr>
                  <w:tcW w:w="80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276m</w:t>
                  </w:r>
                </w:p>
              </w:tc>
              <w:tc>
                <w:tcPr>
                  <w:tcW w:w="1616" w:type="pct"/>
                  <w:vMerge w:val="continue"/>
                  <w:noWrap w:val="0"/>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vMerge w:val="continue"/>
                  <w:noWrap w:val="0"/>
                  <w:vAlign w:val="center"/>
                </w:tcPr>
                <w:p>
                  <w:pPr>
                    <w:jc w:val="center"/>
                    <w:rPr>
                      <w:color w:val="auto"/>
                      <w:szCs w:val="21"/>
                      <w:highlight w:val="none"/>
                    </w:rPr>
                  </w:pPr>
                </w:p>
              </w:tc>
              <w:tc>
                <w:tcPr>
                  <w:tcW w:w="81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M10居民点</w:t>
                  </w:r>
                </w:p>
              </w:tc>
              <w:tc>
                <w:tcPr>
                  <w:tcW w:w="775"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12户</w:t>
                  </w:r>
                </w:p>
              </w:tc>
              <w:tc>
                <w:tcPr>
                  <w:tcW w:w="584" w:type="pct"/>
                  <w:noWrap w:val="0"/>
                  <w:vAlign w:val="center"/>
                </w:tcPr>
                <w:p>
                  <w:pPr>
                    <w:pStyle w:val="12"/>
                    <w:tabs>
                      <w:tab w:val="left" w:pos="700"/>
                    </w:tabs>
                    <w:spacing w:line="240" w:lineRule="auto"/>
                    <w:ind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东北</w:t>
                  </w:r>
                </w:p>
              </w:tc>
              <w:tc>
                <w:tcPr>
                  <w:tcW w:w="801" w:type="pct"/>
                  <w:noWrap w:val="0"/>
                  <w:vAlign w:val="center"/>
                </w:tcPr>
                <w:p>
                  <w:pPr>
                    <w:pStyle w:val="12"/>
                    <w:tabs>
                      <w:tab w:val="left" w:pos="700"/>
                    </w:tabs>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462m</w:t>
                  </w:r>
                </w:p>
              </w:tc>
              <w:tc>
                <w:tcPr>
                  <w:tcW w:w="1616" w:type="pct"/>
                  <w:vMerge w:val="continue"/>
                  <w:noWrap w:val="0"/>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11" w:type="pct"/>
                  <w:noWrap w:val="0"/>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噪声</w:t>
                  </w:r>
                </w:p>
              </w:tc>
              <w:tc>
                <w:tcPr>
                  <w:tcW w:w="4588" w:type="pct"/>
                  <w:gridSpan w:val="5"/>
                  <w:noWrap w:val="0"/>
                  <w:vAlign w:val="center"/>
                </w:tcPr>
                <w:p>
                  <w:pPr>
                    <w:jc w:val="center"/>
                    <w:rPr>
                      <w:color w:val="auto"/>
                      <w:szCs w:val="21"/>
                      <w:highlight w:val="none"/>
                    </w:rPr>
                  </w:pPr>
                  <w:r>
                    <w:rPr>
                      <w:rFonts w:hint="eastAsia" w:ascii="Times New Roman" w:hAnsi="Times New Roman" w:eastAsia="宋体" w:cs="Times New Roman"/>
                      <w:color w:val="auto"/>
                      <w:kern w:val="0"/>
                      <w:sz w:val="21"/>
                      <w:szCs w:val="21"/>
                      <w:highlight w:val="none"/>
                      <w:lang w:val="en-US" w:eastAsia="zh-CN" w:bidi="ar-SA"/>
                    </w:rPr>
                    <w:t>厂界50m范围内无声敏感点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93" w:hRule="atLeast"/>
                <w:jc w:val="center"/>
              </w:trPr>
              <w:tc>
                <w:tcPr>
                  <w:tcW w:w="411" w:type="pct"/>
                  <w:noWrap w:val="0"/>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地表水</w:t>
                  </w:r>
                </w:p>
              </w:tc>
              <w:tc>
                <w:tcPr>
                  <w:tcW w:w="811" w:type="pct"/>
                  <w:noWrap w:val="0"/>
                  <w:vAlign w:val="center"/>
                </w:tcPr>
                <w:p>
                  <w:pPr>
                    <w:pStyle w:val="12"/>
                    <w:tabs>
                      <w:tab w:val="left" w:pos="700"/>
                    </w:tabs>
                    <w:spacing w:line="240" w:lineRule="auto"/>
                    <w:ind w:firstLine="0"/>
                    <w:jc w:val="center"/>
                    <w:rPr>
                      <w:rFonts w:hint="default"/>
                      <w:color w:val="auto"/>
                      <w:sz w:val="21"/>
                      <w:szCs w:val="21"/>
                      <w:highlight w:val="none"/>
                      <w:lang w:val="en-US" w:eastAsia="zh-CN"/>
                    </w:rPr>
                  </w:pPr>
                  <w:r>
                    <w:rPr>
                      <w:rFonts w:hint="eastAsia"/>
                      <w:color w:val="auto"/>
                      <w:sz w:val="21"/>
                      <w:szCs w:val="21"/>
                      <w:highlight w:val="none"/>
                      <w:lang w:val="en-US" w:eastAsia="zh-CN"/>
                    </w:rPr>
                    <w:t>洋沙湖</w:t>
                  </w:r>
                </w:p>
              </w:tc>
              <w:tc>
                <w:tcPr>
                  <w:tcW w:w="775" w:type="pct"/>
                  <w:noWrap w:val="0"/>
                  <w:vAlign w:val="center"/>
                </w:tcPr>
                <w:p>
                  <w:pPr>
                    <w:pStyle w:val="12"/>
                    <w:tabs>
                      <w:tab w:val="left" w:pos="700"/>
                    </w:tabs>
                    <w:spacing w:line="240" w:lineRule="auto"/>
                    <w:ind w:firstLine="0"/>
                    <w:jc w:val="center"/>
                    <w:rPr>
                      <w:rFonts w:hint="default"/>
                      <w:color w:val="auto"/>
                      <w:sz w:val="21"/>
                      <w:szCs w:val="21"/>
                      <w:highlight w:val="none"/>
                      <w:lang w:val="en-US" w:eastAsia="zh-CN"/>
                    </w:rPr>
                  </w:pPr>
                  <w:r>
                    <w:rPr>
                      <w:rFonts w:hint="eastAsia"/>
                      <w:color w:val="auto"/>
                      <w:sz w:val="21"/>
                      <w:szCs w:val="21"/>
                      <w:highlight w:val="none"/>
                      <w:lang w:val="en-US" w:eastAsia="zh-CN"/>
                    </w:rPr>
                    <w:t>湖</w:t>
                  </w:r>
                </w:p>
              </w:tc>
              <w:tc>
                <w:tcPr>
                  <w:tcW w:w="584" w:type="pct"/>
                  <w:noWrap w:val="0"/>
                  <w:vAlign w:val="center"/>
                </w:tcPr>
                <w:p>
                  <w:pPr>
                    <w:pStyle w:val="12"/>
                    <w:tabs>
                      <w:tab w:val="left" w:pos="700"/>
                    </w:tabs>
                    <w:spacing w:line="240" w:lineRule="auto"/>
                    <w:ind w:firstLine="0"/>
                    <w:jc w:val="center"/>
                    <w:rPr>
                      <w:rFonts w:hint="default"/>
                      <w:color w:val="auto"/>
                      <w:sz w:val="21"/>
                      <w:szCs w:val="21"/>
                      <w:highlight w:val="none"/>
                      <w:lang w:val="en-US" w:eastAsia="zh-CN"/>
                    </w:rPr>
                  </w:pPr>
                  <w:r>
                    <w:rPr>
                      <w:rFonts w:hint="eastAsia"/>
                      <w:color w:val="auto"/>
                      <w:sz w:val="21"/>
                      <w:szCs w:val="21"/>
                      <w:highlight w:val="none"/>
                      <w:lang w:val="en-US" w:eastAsia="zh-CN"/>
                    </w:rPr>
                    <w:t>西</w:t>
                  </w:r>
                </w:p>
              </w:tc>
              <w:tc>
                <w:tcPr>
                  <w:tcW w:w="801" w:type="pct"/>
                  <w:noWrap w:val="0"/>
                  <w:vAlign w:val="center"/>
                </w:tcPr>
                <w:p>
                  <w:pPr>
                    <w:pStyle w:val="12"/>
                    <w:tabs>
                      <w:tab w:val="left" w:pos="700"/>
                    </w:tabs>
                    <w:spacing w:line="240" w:lineRule="auto"/>
                    <w:ind w:firstLine="0"/>
                    <w:jc w:val="center"/>
                    <w:rPr>
                      <w:rFonts w:hint="default"/>
                      <w:color w:val="auto"/>
                      <w:sz w:val="21"/>
                      <w:szCs w:val="21"/>
                      <w:highlight w:val="none"/>
                      <w:lang w:val="en-US" w:eastAsia="zh-CN"/>
                    </w:rPr>
                  </w:pPr>
                  <w:r>
                    <w:rPr>
                      <w:rFonts w:hint="eastAsia"/>
                      <w:color w:val="auto"/>
                      <w:sz w:val="21"/>
                      <w:szCs w:val="21"/>
                      <w:highlight w:val="none"/>
                      <w:lang w:val="en-US" w:eastAsia="zh-CN"/>
                    </w:rPr>
                    <w:t>3.282km</w:t>
                  </w:r>
                </w:p>
              </w:tc>
              <w:tc>
                <w:tcPr>
                  <w:tcW w:w="1616" w:type="pct"/>
                  <w:noWrap w:val="0"/>
                  <w:vAlign w:val="center"/>
                </w:tcPr>
                <w:p>
                  <w:pPr>
                    <w:jc w:val="center"/>
                    <w:rPr>
                      <w:color w:val="auto"/>
                      <w:szCs w:val="21"/>
                      <w:highlight w:val="none"/>
                    </w:rPr>
                  </w:pPr>
                  <w:r>
                    <w:rPr>
                      <w:rFonts w:hint="eastAsia"/>
                    </w:rPr>
                    <w:t>《地表水环境质量标准》（GB3838-2002）Ⅲ类标准</w:t>
                  </w:r>
                </w:p>
              </w:tc>
            </w:tr>
          </w:tbl>
          <w:p>
            <w:pPr>
              <w:adjustRightInd w:val="0"/>
              <w:snapToGrid w:val="0"/>
              <w:jc w:val="center"/>
              <w:rPr>
                <w:rFonts w:ascii="宋体" w:hAnsi="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471" w:type="dxa"/>
            <w:noWrap w:val="0"/>
            <w:tcMar>
              <w:left w:w="28" w:type="dxa"/>
              <w:right w:w="28" w:type="dxa"/>
            </w:tcMar>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污染</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物排</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放控</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制标</w:t>
            </w:r>
          </w:p>
          <w:p>
            <w:pPr>
              <w:adjustRightInd w:val="0"/>
              <w:snapToGrid w:val="0"/>
              <w:jc w:val="center"/>
              <w:rPr>
                <w:rFonts w:ascii="宋体" w:hAnsi="宋体" w:cs="宋体"/>
                <w:kern w:val="0"/>
                <w:sz w:val="24"/>
                <w:szCs w:val="24"/>
              </w:rPr>
            </w:pPr>
            <w:r>
              <w:rPr>
                <w:rFonts w:hint="eastAsia" w:ascii="宋体" w:hAnsi="宋体" w:cs="宋体"/>
                <w:kern w:val="0"/>
                <w:sz w:val="24"/>
                <w:szCs w:val="24"/>
              </w:rPr>
              <w:t>准</w:t>
            </w:r>
          </w:p>
        </w:tc>
        <w:tc>
          <w:tcPr>
            <w:tcW w:w="8519" w:type="dxa"/>
            <w:noWrap w:val="0"/>
            <w:vAlign w:val="top"/>
          </w:tcPr>
          <w:p>
            <w:pPr>
              <w:numPr>
                <w:ilvl w:val="0"/>
                <w:numId w:val="0"/>
              </w:numPr>
              <w:adjustRightInd w:val="0"/>
              <w:snapToGrid w:val="0"/>
              <w:spacing w:line="360" w:lineRule="auto"/>
              <w:jc w:val="both"/>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1、废气</w:t>
            </w:r>
          </w:p>
          <w:p>
            <w:pPr>
              <w:numPr>
                <w:ilvl w:val="0"/>
                <w:numId w:val="0"/>
              </w:numPr>
              <w:adjustRightInd w:val="0"/>
              <w:snapToGrid w:val="0"/>
              <w:spacing w:line="360" w:lineRule="auto"/>
              <w:ind w:firstLine="480" w:firstLineChars="2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1）、项目颗粒物排放执行《大气污染物综合排放标准》（GB16297-1996）中表2新污染源大气污染物排放限值。</w:t>
            </w:r>
          </w:p>
          <w:p>
            <w:pPr>
              <w:numPr>
                <w:ilvl w:val="0"/>
                <w:numId w:val="0"/>
              </w:numPr>
              <w:adjustRightInd w:val="0"/>
              <w:snapToGrid w:val="0"/>
              <w:spacing w:line="360" w:lineRule="auto"/>
              <w:jc w:val="center"/>
              <w:rPr>
                <w:rFonts w:hint="default" w:ascii="Times New Roman" w:hAnsi="Times New Roman" w:eastAsia="宋体" w:cs="Times New Roman"/>
                <w:b/>
                <w:kern w:val="2"/>
                <w:sz w:val="24"/>
                <w:szCs w:val="20"/>
                <w:lang w:val="en-US" w:eastAsia="zh-CN" w:bidi="ar-SA"/>
              </w:rPr>
            </w:pPr>
            <w:r>
              <w:rPr>
                <w:rFonts w:hint="eastAsia" w:ascii="Times New Roman" w:hAnsi="Times New Roman" w:eastAsia="宋体" w:cs="Times New Roman"/>
                <w:b/>
                <w:kern w:val="2"/>
                <w:sz w:val="24"/>
                <w:szCs w:val="20"/>
                <w:lang w:val="en-US" w:eastAsia="zh-CN" w:bidi="ar-SA"/>
              </w:rPr>
              <w:t>表3-</w:t>
            </w:r>
            <w:r>
              <w:rPr>
                <w:rFonts w:hint="eastAsia" w:cs="Times New Roman"/>
                <w:b/>
                <w:kern w:val="2"/>
                <w:sz w:val="24"/>
                <w:szCs w:val="20"/>
                <w:lang w:val="en-US" w:eastAsia="zh-CN" w:bidi="ar-SA"/>
              </w:rPr>
              <w:t>7</w:t>
            </w:r>
            <w:r>
              <w:rPr>
                <w:rFonts w:hint="eastAsia" w:ascii="Times New Roman" w:hAnsi="Times New Roman" w:eastAsia="宋体" w:cs="Times New Roman"/>
                <w:b/>
                <w:kern w:val="2"/>
                <w:sz w:val="24"/>
                <w:szCs w:val="20"/>
                <w:lang w:val="en-US" w:eastAsia="zh-CN" w:bidi="ar-SA"/>
              </w:rPr>
              <w:t xml:space="preserve"> 《大气污染物综合排放标准》（GB16297-1996）</w:t>
            </w:r>
          </w:p>
          <w:tbl>
            <w:tblPr>
              <w:tblStyle w:val="14"/>
              <w:tblW w:w="8303"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317"/>
              <w:gridCol w:w="1697"/>
              <w:gridCol w:w="1384"/>
              <w:gridCol w:w="1384"/>
              <w:gridCol w:w="1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7" w:type="dxa"/>
                  <w:vMerge w:val="restart"/>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污染物</w:t>
                  </w:r>
                </w:p>
              </w:tc>
              <w:tc>
                <w:tcPr>
                  <w:tcW w:w="1317" w:type="dxa"/>
                  <w:vMerge w:val="restart"/>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最高允许排放浓度mg/m</w:t>
                  </w:r>
                  <w:r>
                    <w:rPr>
                      <w:rFonts w:hint="eastAsia"/>
                      <w:b/>
                      <w:bCs/>
                      <w:sz w:val="21"/>
                      <w:szCs w:val="21"/>
                      <w:vertAlign w:val="superscript"/>
                      <w:lang w:val="en-US" w:eastAsia="zh-CN"/>
                    </w:rPr>
                    <w:t>3</w:t>
                  </w:r>
                </w:p>
              </w:tc>
              <w:tc>
                <w:tcPr>
                  <w:tcW w:w="3081" w:type="dxa"/>
                  <w:gridSpan w:val="2"/>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最高允许排放速率，kg/h</w:t>
                  </w:r>
                </w:p>
              </w:tc>
              <w:tc>
                <w:tcPr>
                  <w:tcW w:w="2768" w:type="dxa"/>
                  <w:gridSpan w:val="2"/>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7" w:type="dxa"/>
                  <w:vMerge w:val="continue"/>
                  <w:tcBorders>
                    <w:tl2br w:val="nil"/>
                    <w:tr2bl w:val="nil"/>
                  </w:tcBorders>
                  <w:vAlign w:val="center"/>
                </w:tcPr>
                <w:p>
                  <w:pPr>
                    <w:bidi w:val="0"/>
                    <w:spacing w:line="240" w:lineRule="auto"/>
                    <w:jc w:val="center"/>
                    <w:rPr>
                      <w:rFonts w:hint="default"/>
                      <w:sz w:val="21"/>
                      <w:szCs w:val="21"/>
                      <w:lang w:val="en-US" w:eastAsia="zh-CN"/>
                    </w:rPr>
                  </w:pPr>
                </w:p>
              </w:tc>
              <w:tc>
                <w:tcPr>
                  <w:tcW w:w="1317" w:type="dxa"/>
                  <w:vMerge w:val="continue"/>
                  <w:tcBorders>
                    <w:tl2br w:val="nil"/>
                    <w:tr2bl w:val="nil"/>
                  </w:tcBorders>
                  <w:vAlign w:val="center"/>
                </w:tcPr>
                <w:p>
                  <w:pPr>
                    <w:bidi w:val="0"/>
                    <w:spacing w:line="240" w:lineRule="auto"/>
                    <w:jc w:val="center"/>
                    <w:rPr>
                      <w:rFonts w:hint="default"/>
                      <w:sz w:val="21"/>
                      <w:szCs w:val="21"/>
                      <w:lang w:val="en-US" w:eastAsia="zh-CN"/>
                    </w:rPr>
                  </w:pPr>
                </w:p>
              </w:tc>
              <w:tc>
                <w:tcPr>
                  <w:tcW w:w="1697"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排气筒高度m</w:t>
                  </w:r>
                </w:p>
              </w:tc>
              <w:tc>
                <w:tcPr>
                  <w:tcW w:w="1384"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二级</w:t>
                  </w:r>
                </w:p>
              </w:tc>
              <w:tc>
                <w:tcPr>
                  <w:tcW w:w="1384"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监控点</w:t>
                  </w:r>
                </w:p>
              </w:tc>
              <w:tc>
                <w:tcPr>
                  <w:tcW w:w="1384"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浓度mg/m</w:t>
                  </w:r>
                  <w:r>
                    <w:rPr>
                      <w:rFonts w:hint="eastAsia"/>
                      <w:b/>
                      <w:bCs/>
                      <w:sz w:val="21"/>
                      <w:szCs w:val="21"/>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7"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颗粒物</w:t>
                  </w:r>
                </w:p>
              </w:tc>
              <w:tc>
                <w:tcPr>
                  <w:tcW w:w="1317"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120</w:t>
                  </w:r>
                </w:p>
              </w:tc>
              <w:tc>
                <w:tcPr>
                  <w:tcW w:w="1697"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15</w:t>
                  </w:r>
                </w:p>
              </w:tc>
              <w:tc>
                <w:tcPr>
                  <w:tcW w:w="1384"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3.5</w:t>
                  </w:r>
                </w:p>
              </w:tc>
              <w:tc>
                <w:tcPr>
                  <w:tcW w:w="1384"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周界外浓度最高点</w:t>
                  </w:r>
                </w:p>
              </w:tc>
              <w:tc>
                <w:tcPr>
                  <w:tcW w:w="1384"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1.0</w:t>
                  </w:r>
                </w:p>
              </w:tc>
            </w:tr>
          </w:tbl>
          <w:p>
            <w:pPr>
              <w:numPr>
                <w:ilvl w:val="0"/>
                <w:numId w:val="0"/>
              </w:numPr>
              <w:adjustRightInd w:val="0"/>
              <w:snapToGrid w:val="0"/>
              <w:spacing w:line="360" w:lineRule="auto"/>
              <w:ind w:firstLine="480" w:firstLineChars="200"/>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2）、项目有机废气（以VOCs计）、二甲苯有组织排放执行《表面涂装（汽车制造及维修）挥发性有机物、镍排放标准》（DB43/1356-2017）中表1排气筒挥发性有机物排放浓度限值，项目厂界无组织颗粒物排放执行《大气污染物综合排放标准》（GB16297-1996）中表2新污染源大气污染物排放限值，非甲烷总烃排放执行《表面涂装（汽车制造及维修）挥发性有机物、镍排放标准》（DB43/1356-2017）中表3汽车制造企业无组织监控点挥发性有机物浓度限值、二甲苯执行《大气污染物综合排放标准》（GB16297-1996）表2无组织排放限值，厂区无组织排放执行《挥发性有机物无组织排放控制标准》（GB37822-2019）中表A.1中厂区内VOCs无组织排放限值。</w:t>
            </w:r>
          </w:p>
          <w:p>
            <w:pPr>
              <w:numPr>
                <w:ilvl w:val="0"/>
                <w:numId w:val="0"/>
              </w:numPr>
              <w:adjustRightInd w:val="0"/>
              <w:snapToGrid w:val="0"/>
              <w:spacing w:line="360" w:lineRule="auto"/>
              <w:jc w:val="center"/>
              <w:rPr>
                <w:rFonts w:hint="default" w:ascii="Times New Roman" w:hAnsi="Times New Roman" w:eastAsia="宋体" w:cs="Times New Roman"/>
                <w:b/>
                <w:kern w:val="2"/>
                <w:sz w:val="24"/>
                <w:szCs w:val="20"/>
                <w:lang w:val="en-US" w:eastAsia="zh-CN" w:bidi="ar-SA"/>
              </w:rPr>
            </w:pPr>
            <w:r>
              <w:rPr>
                <w:rFonts w:hint="eastAsia" w:ascii="Times New Roman" w:hAnsi="Times New Roman" w:eastAsia="宋体" w:cs="Times New Roman"/>
                <w:b/>
                <w:kern w:val="2"/>
                <w:sz w:val="24"/>
                <w:szCs w:val="20"/>
                <w:lang w:val="en-US" w:eastAsia="zh-CN" w:bidi="ar-SA"/>
              </w:rPr>
              <w:t>表3-</w:t>
            </w:r>
            <w:r>
              <w:rPr>
                <w:rFonts w:hint="eastAsia" w:cs="Times New Roman"/>
                <w:b/>
                <w:kern w:val="2"/>
                <w:sz w:val="24"/>
                <w:szCs w:val="20"/>
                <w:lang w:val="en-US" w:eastAsia="zh-CN" w:bidi="ar-SA"/>
              </w:rPr>
              <w:t xml:space="preserve">8  </w:t>
            </w:r>
            <w:r>
              <w:rPr>
                <w:rFonts w:hint="eastAsia" w:ascii="Times New Roman" w:hAnsi="Times New Roman" w:eastAsia="宋体" w:cs="Times New Roman"/>
                <w:b/>
                <w:kern w:val="2"/>
                <w:sz w:val="24"/>
                <w:szCs w:val="20"/>
                <w:lang w:val="en-US" w:eastAsia="zh-CN" w:bidi="ar-SA"/>
              </w:rPr>
              <w:t>《表面涂装（汽车制造及维修）挥发性有机物、镍排放标准》（DB43/1356-2017）</w:t>
            </w:r>
          </w:p>
          <w:tbl>
            <w:tblPr>
              <w:tblStyle w:val="14"/>
              <w:tblW w:w="8303"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2768"/>
              <w:gridCol w:w="27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7" w:type="dxa"/>
                  <w:tcBorders>
                    <w:tl2br w:val="nil"/>
                    <w:tr2bl w:val="nil"/>
                  </w:tcBorders>
                  <w:vAlign w:val="center"/>
                </w:tcPr>
                <w:p>
                  <w:pPr>
                    <w:bidi w:val="0"/>
                    <w:spacing w:line="240" w:lineRule="auto"/>
                    <w:jc w:val="center"/>
                    <w:rPr>
                      <w:rFonts w:hint="default"/>
                      <w:b/>
                      <w:bCs/>
                      <w:lang w:val="en-US" w:eastAsia="zh-CN"/>
                    </w:rPr>
                  </w:pPr>
                  <w:r>
                    <w:rPr>
                      <w:rFonts w:hint="eastAsia"/>
                      <w:b/>
                      <w:bCs/>
                      <w:lang w:val="en-US" w:eastAsia="zh-CN"/>
                    </w:rPr>
                    <w:t>污染物项目</w:t>
                  </w:r>
                </w:p>
              </w:tc>
              <w:tc>
                <w:tcPr>
                  <w:tcW w:w="5536" w:type="dxa"/>
                  <w:gridSpan w:val="2"/>
                  <w:tcBorders>
                    <w:tl2br w:val="nil"/>
                    <w:tr2bl w:val="nil"/>
                  </w:tcBorders>
                  <w:vAlign w:val="center"/>
                </w:tcPr>
                <w:p>
                  <w:pPr>
                    <w:bidi w:val="0"/>
                    <w:spacing w:line="240" w:lineRule="auto"/>
                    <w:jc w:val="center"/>
                    <w:rPr>
                      <w:rFonts w:hint="eastAsia"/>
                      <w:b/>
                      <w:bCs/>
                      <w:lang w:val="en-US" w:eastAsia="zh-CN"/>
                    </w:rPr>
                  </w:pPr>
                  <w:r>
                    <w:rPr>
                      <w:rFonts w:hint="eastAsia"/>
                      <w:b/>
                      <w:bCs/>
                      <w:lang w:val="en-US" w:eastAsia="zh-CN"/>
                    </w:rPr>
                    <w:t>汽车制造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总挥发性有机物（TVOCs）</w:t>
                  </w:r>
                </w:p>
              </w:tc>
              <w:tc>
                <w:tcPr>
                  <w:tcW w:w="276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乘用车</w:t>
                  </w:r>
                </w:p>
              </w:tc>
              <w:tc>
                <w:tcPr>
                  <w:tcW w:w="276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50mg/m</w:t>
                  </w:r>
                  <w:r>
                    <w:rPr>
                      <w:rFonts w:hint="eastAsia"/>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二甲苯</w:t>
                  </w:r>
                </w:p>
              </w:tc>
              <w:tc>
                <w:tcPr>
                  <w:tcW w:w="276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汽车制造</w:t>
                  </w:r>
                </w:p>
              </w:tc>
              <w:tc>
                <w:tcPr>
                  <w:tcW w:w="276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17mg/m</w:t>
                  </w:r>
                  <w:r>
                    <w:rPr>
                      <w:rFonts w:hint="eastAsia"/>
                      <w:vertAlign w:val="superscript"/>
                      <w:lang w:val="en-US" w:eastAsia="zh-CN"/>
                    </w:rPr>
                    <w:t>3</w:t>
                  </w:r>
                </w:p>
              </w:tc>
            </w:tr>
          </w:tbl>
          <w:p>
            <w:pPr>
              <w:numPr>
                <w:ilvl w:val="0"/>
                <w:numId w:val="0"/>
              </w:numPr>
              <w:adjustRightInd w:val="0"/>
              <w:snapToGrid w:val="0"/>
              <w:spacing w:line="360" w:lineRule="auto"/>
              <w:jc w:val="center"/>
              <w:rPr>
                <w:rFonts w:hint="default" w:ascii="Times New Roman" w:hAnsi="Times New Roman" w:eastAsia="宋体" w:cs="Times New Roman"/>
                <w:b/>
                <w:kern w:val="2"/>
                <w:sz w:val="24"/>
                <w:szCs w:val="20"/>
                <w:vertAlign w:val="baseline"/>
                <w:lang w:val="en-US" w:eastAsia="zh-CN" w:bidi="ar-SA"/>
              </w:rPr>
            </w:pPr>
            <w:r>
              <w:rPr>
                <w:rFonts w:hint="eastAsia" w:cs="Times New Roman"/>
                <w:b/>
                <w:kern w:val="2"/>
                <w:sz w:val="24"/>
                <w:szCs w:val="20"/>
                <w:lang w:val="en-US" w:eastAsia="zh-CN" w:bidi="ar-SA"/>
              </w:rPr>
              <w:t>表3-9  无组织废气执行标准</w:t>
            </w:r>
          </w:p>
          <w:tbl>
            <w:tblPr>
              <w:tblStyle w:val="1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2781"/>
              <w:gridCol w:w="27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6"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污染物项目</w:t>
                  </w:r>
                </w:p>
              </w:tc>
              <w:tc>
                <w:tcPr>
                  <w:tcW w:w="2787"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汽车制造</w:t>
                  </w:r>
                </w:p>
              </w:tc>
              <w:tc>
                <w:tcPr>
                  <w:tcW w:w="2787"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监测点位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6"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非甲烷总烃</w:t>
                  </w:r>
                </w:p>
              </w:tc>
              <w:tc>
                <w:tcPr>
                  <w:tcW w:w="2787"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2.0</w:t>
                  </w:r>
                </w:p>
              </w:tc>
              <w:tc>
                <w:tcPr>
                  <w:tcW w:w="2787"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周界外浓度最高点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6"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二甲苯</w:t>
                  </w:r>
                </w:p>
              </w:tc>
              <w:tc>
                <w:tcPr>
                  <w:tcW w:w="2787"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1.2</w:t>
                  </w:r>
                </w:p>
              </w:tc>
              <w:tc>
                <w:tcPr>
                  <w:tcW w:w="2787" w:type="dxa"/>
                  <w:tcBorders>
                    <w:tl2br w:val="nil"/>
                    <w:tr2bl w:val="nil"/>
                  </w:tcBorders>
                  <w:vAlign w:val="center"/>
                </w:tcPr>
                <w:p>
                  <w:pPr>
                    <w:bidi w:val="0"/>
                    <w:spacing w:line="240" w:lineRule="auto"/>
                    <w:jc w:val="center"/>
                    <w:rPr>
                      <w:rFonts w:hint="eastAsia"/>
                      <w:sz w:val="21"/>
                      <w:szCs w:val="21"/>
                      <w:lang w:val="en-US" w:eastAsia="zh-CN"/>
                    </w:rPr>
                  </w:pPr>
                  <w:r>
                    <w:rPr>
                      <w:rFonts w:hint="eastAsia"/>
                      <w:sz w:val="21"/>
                      <w:szCs w:val="21"/>
                      <w:lang w:val="en-US" w:eastAsia="zh-CN"/>
                    </w:rPr>
                    <w:t>周界外浓度最高点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6"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颗粒物</w:t>
                  </w:r>
                </w:p>
              </w:tc>
              <w:tc>
                <w:tcPr>
                  <w:tcW w:w="2787"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1.0</w:t>
                  </w:r>
                </w:p>
              </w:tc>
              <w:tc>
                <w:tcPr>
                  <w:tcW w:w="2787" w:type="dxa"/>
                  <w:tcBorders>
                    <w:tl2br w:val="nil"/>
                    <w:tr2bl w:val="nil"/>
                  </w:tcBorders>
                  <w:vAlign w:val="center"/>
                </w:tcPr>
                <w:p>
                  <w:pPr>
                    <w:bidi w:val="0"/>
                    <w:spacing w:line="240" w:lineRule="auto"/>
                    <w:jc w:val="center"/>
                    <w:rPr>
                      <w:rFonts w:hint="eastAsia"/>
                      <w:sz w:val="21"/>
                      <w:szCs w:val="21"/>
                      <w:lang w:val="en-US" w:eastAsia="zh-CN"/>
                    </w:rPr>
                  </w:pPr>
                  <w:r>
                    <w:rPr>
                      <w:rFonts w:hint="eastAsia"/>
                      <w:sz w:val="21"/>
                      <w:szCs w:val="21"/>
                      <w:lang w:val="en-US" w:eastAsia="zh-CN"/>
                    </w:rPr>
                    <w:t>周界外浓度最高点</w:t>
                  </w:r>
                </w:p>
              </w:tc>
            </w:tr>
          </w:tbl>
          <w:p>
            <w:pPr>
              <w:numPr>
                <w:ilvl w:val="0"/>
                <w:numId w:val="0"/>
              </w:numPr>
              <w:adjustRightInd w:val="0"/>
              <w:snapToGrid w:val="0"/>
              <w:spacing w:line="360" w:lineRule="auto"/>
              <w:jc w:val="center"/>
              <w:rPr>
                <w:rFonts w:hint="default" w:ascii="Times New Roman" w:hAnsi="Times New Roman" w:eastAsia="宋体" w:cs="Times New Roman"/>
                <w:b/>
                <w:kern w:val="2"/>
                <w:sz w:val="24"/>
                <w:szCs w:val="20"/>
                <w:lang w:val="en-US" w:eastAsia="zh-CN" w:bidi="ar-SA"/>
              </w:rPr>
            </w:pPr>
          </w:p>
          <w:p>
            <w:pPr>
              <w:numPr>
                <w:ilvl w:val="0"/>
                <w:numId w:val="0"/>
              </w:numPr>
              <w:adjustRightInd w:val="0"/>
              <w:snapToGrid w:val="0"/>
              <w:spacing w:line="360" w:lineRule="auto"/>
              <w:jc w:val="center"/>
              <w:rPr>
                <w:rFonts w:hint="default" w:ascii="Times New Roman" w:hAnsi="Times New Roman" w:eastAsia="宋体" w:cs="Times New Roman"/>
                <w:b/>
                <w:kern w:val="2"/>
                <w:sz w:val="24"/>
                <w:szCs w:val="20"/>
                <w:lang w:val="en-US" w:eastAsia="zh-CN" w:bidi="ar-SA"/>
              </w:rPr>
            </w:pPr>
            <w:r>
              <w:rPr>
                <w:rFonts w:hint="eastAsia" w:ascii="Times New Roman" w:hAnsi="Times New Roman" w:eastAsia="宋体" w:cs="Times New Roman"/>
                <w:b/>
                <w:kern w:val="2"/>
                <w:sz w:val="24"/>
                <w:szCs w:val="20"/>
                <w:lang w:val="en-US" w:eastAsia="zh-CN" w:bidi="ar-SA"/>
              </w:rPr>
              <w:t>表3-10</w:t>
            </w:r>
            <w:r>
              <w:rPr>
                <w:rFonts w:hint="eastAsia" w:cs="Times New Roman"/>
                <w:b/>
                <w:kern w:val="2"/>
                <w:sz w:val="24"/>
                <w:szCs w:val="20"/>
                <w:lang w:val="en-US" w:eastAsia="zh-CN" w:bidi="ar-SA"/>
              </w:rPr>
              <w:t xml:space="preserve">  </w:t>
            </w:r>
            <w:r>
              <w:rPr>
                <w:rFonts w:hint="eastAsia" w:ascii="Times New Roman" w:hAnsi="Times New Roman" w:eastAsia="宋体" w:cs="Times New Roman"/>
                <w:b/>
                <w:kern w:val="2"/>
                <w:sz w:val="24"/>
                <w:szCs w:val="20"/>
                <w:lang w:val="en-US" w:eastAsia="zh-CN" w:bidi="ar-SA"/>
              </w:rPr>
              <w:t>《挥发性有机物无组织排放控制标准》（GB37822-2019）</w:t>
            </w:r>
          </w:p>
          <w:tbl>
            <w:tblPr>
              <w:tblStyle w:val="14"/>
              <w:tblW w:w="8303"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083"/>
              <w:gridCol w:w="1184"/>
              <w:gridCol w:w="2833"/>
              <w:gridCol w:w="18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7" w:type="dxa"/>
                  <w:tcBorders>
                    <w:tl2br w:val="nil"/>
                    <w:tr2bl w:val="nil"/>
                  </w:tcBorders>
                  <w:vAlign w:val="center"/>
                </w:tcPr>
                <w:p>
                  <w:pPr>
                    <w:bidi w:val="0"/>
                    <w:jc w:val="center"/>
                    <w:rPr>
                      <w:rFonts w:hint="default"/>
                      <w:b/>
                      <w:bCs/>
                      <w:lang w:val="en-US" w:eastAsia="zh-CN"/>
                    </w:rPr>
                  </w:pPr>
                  <w:r>
                    <w:rPr>
                      <w:rFonts w:hint="eastAsia"/>
                      <w:b/>
                      <w:bCs/>
                      <w:lang w:val="en-US" w:eastAsia="zh-CN"/>
                    </w:rPr>
                    <w:t>污染物项目</w:t>
                  </w:r>
                </w:p>
              </w:tc>
              <w:tc>
                <w:tcPr>
                  <w:tcW w:w="1083" w:type="dxa"/>
                  <w:tcBorders>
                    <w:tl2br w:val="nil"/>
                    <w:tr2bl w:val="nil"/>
                  </w:tcBorders>
                  <w:vAlign w:val="center"/>
                </w:tcPr>
                <w:p>
                  <w:pPr>
                    <w:bidi w:val="0"/>
                    <w:jc w:val="center"/>
                    <w:rPr>
                      <w:rFonts w:hint="default"/>
                      <w:b/>
                      <w:bCs/>
                      <w:lang w:val="en-US" w:eastAsia="zh-CN"/>
                    </w:rPr>
                  </w:pPr>
                  <w:r>
                    <w:rPr>
                      <w:rFonts w:hint="eastAsia"/>
                      <w:b/>
                      <w:bCs/>
                      <w:lang w:val="en-US" w:eastAsia="zh-CN"/>
                    </w:rPr>
                    <w:t>排放限值</w:t>
                  </w:r>
                </w:p>
              </w:tc>
              <w:tc>
                <w:tcPr>
                  <w:tcW w:w="1184" w:type="dxa"/>
                  <w:tcBorders>
                    <w:tl2br w:val="nil"/>
                    <w:tr2bl w:val="nil"/>
                  </w:tcBorders>
                  <w:vAlign w:val="center"/>
                </w:tcPr>
                <w:p>
                  <w:pPr>
                    <w:bidi w:val="0"/>
                    <w:jc w:val="center"/>
                    <w:rPr>
                      <w:rFonts w:hint="default"/>
                      <w:b/>
                      <w:bCs/>
                      <w:lang w:val="en-US" w:eastAsia="zh-CN"/>
                    </w:rPr>
                  </w:pPr>
                  <w:r>
                    <w:rPr>
                      <w:rFonts w:hint="eastAsia"/>
                      <w:b/>
                      <w:bCs/>
                      <w:lang w:val="en-US" w:eastAsia="zh-CN"/>
                    </w:rPr>
                    <w:t>特别排放限值</w:t>
                  </w:r>
                </w:p>
              </w:tc>
              <w:tc>
                <w:tcPr>
                  <w:tcW w:w="2833" w:type="dxa"/>
                  <w:tcBorders>
                    <w:tl2br w:val="nil"/>
                    <w:tr2bl w:val="nil"/>
                  </w:tcBorders>
                  <w:vAlign w:val="center"/>
                </w:tcPr>
                <w:p>
                  <w:pPr>
                    <w:bidi w:val="0"/>
                    <w:jc w:val="center"/>
                    <w:rPr>
                      <w:rFonts w:hint="default"/>
                      <w:b/>
                      <w:bCs/>
                      <w:lang w:val="en-US" w:eastAsia="zh-CN"/>
                    </w:rPr>
                  </w:pPr>
                  <w:r>
                    <w:rPr>
                      <w:rFonts w:hint="eastAsia"/>
                      <w:b/>
                      <w:bCs/>
                      <w:lang w:val="en-US" w:eastAsia="zh-CN"/>
                    </w:rPr>
                    <w:t>限制含义</w:t>
                  </w:r>
                </w:p>
              </w:tc>
              <w:tc>
                <w:tcPr>
                  <w:tcW w:w="1866" w:type="dxa"/>
                  <w:tcBorders>
                    <w:tl2br w:val="nil"/>
                    <w:tr2bl w:val="nil"/>
                  </w:tcBorders>
                  <w:vAlign w:val="center"/>
                </w:tcPr>
                <w:p>
                  <w:pPr>
                    <w:bidi w:val="0"/>
                    <w:jc w:val="center"/>
                    <w:rPr>
                      <w:rFonts w:hint="default"/>
                      <w:b/>
                      <w:bCs/>
                      <w:lang w:val="en-US" w:eastAsia="zh-CN"/>
                    </w:rPr>
                  </w:pPr>
                  <w:r>
                    <w:rPr>
                      <w:rFonts w:hint="eastAsia"/>
                      <w:b/>
                      <w:bCs/>
                      <w:lang w:val="en-US" w:eastAsia="zh-CN"/>
                    </w:rPr>
                    <w:t>无组织排放监控位置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7" w:type="dxa"/>
                  <w:vMerge w:val="restart"/>
                  <w:tcBorders>
                    <w:tl2br w:val="nil"/>
                    <w:tr2bl w:val="nil"/>
                  </w:tcBorders>
                  <w:vAlign w:val="center"/>
                </w:tcPr>
                <w:p>
                  <w:pPr>
                    <w:bidi w:val="0"/>
                    <w:jc w:val="center"/>
                    <w:rPr>
                      <w:rFonts w:hint="default"/>
                      <w:lang w:val="en-US" w:eastAsia="zh-CN"/>
                    </w:rPr>
                  </w:pPr>
                  <w:r>
                    <w:rPr>
                      <w:rFonts w:hint="eastAsia"/>
                      <w:lang w:val="en-US" w:eastAsia="zh-CN"/>
                    </w:rPr>
                    <w:t>NMHC</w:t>
                  </w:r>
                </w:p>
              </w:tc>
              <w:tc>
                <w:tcPr>
                  <w:tcW w:w="1083" w:type="dxa"/>
                  <w:tcBorders>
                    <w:tl2br w:val="nil"/>
                    <w:tr2bl w:val="nil"/>
                  </w:tcBorders>
                  <w:vAlign w:val="center"/>
                </w:tcPr>
                <w:p>
                  <w:pPr>
                    <w:bidi w:val="0"/>
                    <w:jc w:val="center"/>
                    <w:rPr>
                      <w:rFonts w:hint="default"/>
                      <w:lang w:val="en-US" w:eastAsia="zh-CN"/>
                    </w:rPr>
                  </w:pPr>
                  <w:r>
                    <w:rPr>
                      <w:rFonts w:hint="eastAsia"/>
                      <w:lang w:val="en-US" w:eastAsia="zh-CN"/>
                    </w:rPr>
                    <w:t>10</w:t>
                  </w:r>
                </w:p>
              </w:tc>
              <w:tc>
                <w:tcPr>
                  <w:tcW w:w="1184" w:type="dxa"/>
                  <w:tcBorders>
                    <w:tl2br w:val="nil"/>
                    <w:tr2bl w:val="nil"/>
                  </w:tcBorders>
                  <w:vAlign w:val="center"/>
                </w:tcPr>
                <w:p>
                  <w:pPr>
                    <w:bidi w:val="0"/>
                    <w:jc w:val="center"/>
                    <w:rPr>
                      <w:rFonts w:hint="default"/>
                      <w:lang w:val="en-US" w:eastAsia="zh-CN"/>
                    </w:rPr>
                  </w:pPr>
                  <w:r>
                    <w:rPr>
                      <w:rFonts w:hint="eastAsia"/>
                      <w:lang w:val="en-US" w:eastAsia="zh-CN"/>
                    </w:rPr>
                    <w:t>6</w:t>
                  </w:r>
                </w:p>
              </w:tc>
              <w:tc>
                <w:tcPr>
                  <w:tcW w:w="2833" w:type="dxa"/>
                  <w:tcBorders>
                    <w:tl2br w:val="nil"/>
                    <w:tr2bl w:val="nil"/>
                  </w:tcBorders>
                  <w:vAlign w:val="center"/>
                </w:tcPr>
                <w:p>
                  <w:pPr>
                    <w:bidi w:val="0"/>
                    <w:jc w:val="center"/>
                    <w:rPr>
                      <w:rFonts w:hint="default"/>
                      <w:lang w:val="en-US" w:eastAsia="zh-CN"/>
                    </w:rPr>
                  </w:pPr>
                  <w:r>
                    <w:rPr>
                      <w:rFonts w:hint="eastAsia"/>
                      <w:lang w:val="en-US" w:eastAsia="zh-CN"/>
                    </w:rPr>
                    <w:t>监控点处1h平均浓度值</w:t>
                  </w:r>
                </w:p>
              </w:tc>
              <w:tc>
                <w:tcPr>
                  <w:tcW w:w="1866" w:type="dxa"/>
                  <w:vMerge w:val="restart"/>
                  <w:tcBorders>
                    <w:tl2br w:val="nil"/>
                    <w:tr2bl w:val="nil"/>
                  </w:tcBorders>
                  <w:vAlign w:val="center"/>
                </w:tcPr>
                <w:p>
                  <w:pPr>
                    <w:bidi w:val="0"/>
                    <w:jc w:val="center"/>
                    <w:rPr>
                      <w:rFonts w:hint="default"/>
                      <w:lang w:val="en-US" w:eastAsia="zh-CN"/>
                    </w:rPr>
                  </w:pPr>
                  <w:r>
                    <w:rPr>
                      <w:rFonts w:hint="eastAsia"/>
                      <w:lang w:val="en-US" w:eastAsia="zh-CN"/>
                    </w:rPr>
                    <w:t>在厂房外设置监控点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7" w:type="dxa"/>
                  <w:vMerge w:val="continue"/>
                  <w:tcBorders>
                    <w:tl2br w:val="nil"/>
                    <w:tr2bl w:val="nil"/>
                  </w:tcBorders>
                  <w:vAlign w:val="center"/>
                </w:tcPr>
                <w:p>
                  <w:pPr>
                    <w:bidi w:val="0"/>
                    <w:jc w:val="center"/>
                    <w:rPr>
                      <w:rFonts w:hint="eastAsia"/>
                      <w:lang w:val="en-US" w:eastAsia="zh-CN"/>
                    </w:rPr>
                  </w:pPr>
                </w:p>
              </w:tc>
              <w:tc>
                <w:tcPr>
                  <w:tcW w:w="1083" w:type="dxa"/>
                  <w:tcBorders>
                    <w:tl2br w:val="nil"/>
                    <w:tr2bl w:val="nil"/>
                  </w:tcBorders>
                  <w:vAlign w:val="center"/>
                </w:tcPr>
                <w:p>
                  <w:pPr>
                    <w:bidi w:val="0"/>
                    <w:jc w:val="center"/>
                    <w:rPr>
                      <w:rFonts w:hint="default"/>
                      <w:lang w:val="en-US" w:eastAsia="zh-CN"/>
                    </w:rPr>
                  </w:pPr>
                  <w:r>
                    <w:rPr>
                      <w:rFonts w:hint="eastAsia"/>
                      <w:lang w:val="en-US" w:eastAsia="zh-CN"/>
                    </w:rPr>
                    <w:t>30</w:t>
                  </w:r>
                </w:p>
              </w:tc>
              <w:tc>
                <w:tcPr>
                  <w:tcW w:w="1184" w:type="dxa"/>
                  <w:tcBorders>
                    <w:tl2br w:val="nil"/>
                    <w:tr2bl w:val="nil"/>
                  </w:tcBorders>
                  <w:vAlign w:val="center"/>
                </w:tcPr>
                <w:p>
                  <w:pPr>
                    <w:bidi w:val="0"/>
                    <w:jc w:val="center"/>
                    <w:rPr>
                      <w:rFonts w:hint="default"/>
                      <w:lang w:val="en-US" w:eastAsia="zh-CN"/>
                    </w:rPr>
                  </w:pPr>
                  <w:r>
                    <w:rPr>
                      <w:rFonts w:hint="eastAsia"/>
                      <w:lang w:val="en-US" w:eastAsia="zh-CN"/>
                    </w:rPr>
                    <w:t>20</w:t>
                  </w:r>
                </w:p>
              </w:tc>
              <w:tc>
                <w:tcPr>
                  <w:tcW w:w="2833" w:type="dxa"/>
                  <w:tcBorders>
                    <w:tl2br w:val="nil"/>
                    <w:tr2bl w:val="nil"/>
                  </w:tcBorders>
                  <w:vAlign w:val="center"/>
                </w:tcPr>
                <w:p>
                  <w:pPr>
                    <w:bidi w:val="0"/>
                    <w:jc w:val="center"/>
                    <w:rPr>
                      <w:rFonts w:hint="eastAsia"/>
                      <w:lang w:val="en-US" w:eastAsia="zh-CN"/>
                    </w:rPr>
                  </w:pPr>
                  <w:r>
                    <w:rPr>
                      <w:rFonts w:hint="eastAsia"/>
                      <w:lang w:val="en-US" w:eastAsia="zh-CN"/>
                    </w:rPr>
                    <w:t>监控点处任意一次浓度值</w:t>
                  </w:r>
                </w:p>
              </w:tc>
              <w:tc>
                <w:tcPr>
                  <w:tcW w:w="1866" w:type="dxa"/>
                  <w:vMerge w:val="continue"/>
                  <w:tcBorders>
                    <w:tl2br w:val="nil"/>
                    <w:tr2bl w:val="nil"/>
                  </w:tcBorders>
                  <w:vAlign w:val="center"/>
                </w:tcPr>
                <w:p>
                  <w:pPr>
                    <w:bidi w:val="0"/>
                    <w:jc w:val="center"/>
                    <w:rPr>
                      <w:rFonts w:hint="eastAsia"/>
                      <w:lang w:val="en-US" w:eastAsia="zh-CN"/>
                    </w:rPr>
                  </w:pPr>
                </w:p>
              </w:tc>
            </w:tr>
          </w:tbl>
          <w:p>
            <w:pPr>
              <w:numPr>
                <w:ilvl w:val="0"/>
                <w:numId w:val="0"/>
              </w:numPr>
              <w:adjustRightInd w:val="0"/>
              <w:snapToGrid w:val="0"/>
              <w:spacing w:line="360" w:lineRule="auto"/>
              <w:jc w:val="both"/>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2、废水</w:t>
            </w:r>
          </w:p>
          <w:p>
            <w:pPr>
              <w:numPr>
                <w:ilvl w:val="0"/>
                <w:numId w:val="0"/>
              </w:numPr>
              <w:adjustRightInd w:val="0"/>
              <w:snapToGrid w:val="0"/>
              <w:spacing w:line="360" w:lineRule="auto"/>
              <w:ind w:firstLine="480" w:firstLineChars="2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生活污水氨氮排放执行《污水排入城镇下水道水质标准》（GB/T31962-2015）表1污水排入城镇下水道水质控制项目限值中的B级标准，其他因子排放执行《污水综合排放标准》（GB8978-1996）表4第二类污染物最高允许排放浓度中三级标准限值。</w:t>
            </w:r>
          </w:p>
          <w:p>
            <w:pPr>
              <w:numPr>
                <w:ilvl w:val="0"/>
                <w:numId w:val="0"/>
              </w:numPr>
              <w:adjustRightInd w:val="0"/>
              <w:snapToGrid w:val="0"/>
              <w:spacing w:line="360" w:lineRule="auto"/>
              <w:jc w:val="center"/>
              <w:rPr>
                <w:rFonts w:hint="default" w:ascii="宋体" w:hAnsi="宋体" w:cs="宋体"/>
                <w:kern w:val="0"/>
                <w:sz w:val="24"/>
                <w:szCs w:val="24"/>
                <w:lang w:val="en-US" w:eastAsia="zh-CN"/>
              </w:rPr>
            </w:pPr>
            <w:r>
              <w:rPr>
                <w:rFonts w:hint="eastAsia" w:ascii="宋体" w:hAnsi="宋体" w:cs="宋体"/>
                <w:b/>
                <w:bCs/>
                <w:kern w:val="0"/>
                <w:sz w:val="24"/>
                <w:szCs w:val="24"/>
                <w:lang w:val="en-US" w:eastAsia="zh-CN"/>
              </w:rPr>
              <w:t>表3-11  废水排放标准  单位mg/L、pH无量纲</w:t>
            </w:r>
          </w:p>
          <w:tbl>
            <w:tblPr>
              <w:tblStyle w:val="1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682"/>
              <w:gridCol w:w="962"/>
              <w:gridCol w:w="938"/>
              <w:gridCol w:w="872"/>
              <w:gridCol w:w="977"/>
              <w:gridCol w:w="1155"/>
              <w:gridCol w:w="6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Borders>
                    <w:tl2br w:val="nil"/>
                    <w:tr2bl w:val="nil"/>
                  </w:tcBorders>
                  <w:vAlign w:val="center"/>
                </w:tcPr>
                <w:p>
                  <w:pPr>
                    <w:bidi w:val="0"/>
                    <w:spacing w:line="240" w:lineRule="auto"/>
                    <w:jc w:val="center"/>
                    <w:rPr>
                      <w:rFonts w:hint="default"/>
                      <w:b/>
                      <w:bCs/>
                      <w:lang w:val="en-US" w:eastAsia="zh-CN"/>
                    </w:rPr>
                  </w:pPr>
                  <w:r>
                    <w:rPr>
                      <w:rFonts w:hint="eastAsia"/>
                      <w:b/>
                      <w:bCs/>
                      <w:lang w:val="en-US" w:eastAsia="zh-CN"/>
                    </w:rPr>
                    <w:t>污染物指标</w:t>
                  </w:r>
                </w:p>
              </w:tc>
              <w:tc>
                <w:tcPr>
                  <w:tcW w:w="684" w:type="dxa"/>
                  <w:tcBorders>
                    <w:tl2br w:val="nil"/>
                    <w:tr2bl w:val="nil"/>
                  </w:tcBorders>
                  <w:vAlign w:val="center"/>
                </w:tcPr>
                <w:p>
                  <w:pPr>
                    <w:bidi w:val="0"/>
                    <w:spacing w:line="240" w:lineRule="auto"/>
                    <w:jc w:val="center"/>
                    <w:rPr>
                      <w:rFonts w:hint="default"/>
                      <w:b/>
                      <w:bCs/>
                      <w:lang w:val="en-US" w:eastAsia="zh-CN"/>
                    </w:rPr>
                  </w:pPr>
                  <w:r>
                    <w:rPr>
                      <w:rFonts w:hint="eastAsia"/>
                      <w:b/>
                      <w:bCs/>
                      <w:lang w:val="en-US" w:eastAsia="zh-CN"/>
                    </w:rPr>
                    <w:t>pH</w:t>
                  </w:r>
                </w:p>
              </w:tc>
              <w:tc>
                <w:tcPr>
                  <w:tcW w:w="963" w:type="dxa"/>
                  <w:tcBorders>
                    <w:tl2br w:val="nil"/>
                    <w:tr2bl w:val="nil"/>
                  </w:tcBorders>
                  <w:vAlign w:val="center"/>
                </w:tcPr>
                <w:p>
                  <w:pPr>
                    <w:bidi w:val="0"/>
                    <w:spacing w:line="240" w:lineRule="auto"/>
                    <w:jc w:val="center"/>
                    <w:rPr>
                      <w:rFonts w:hint="default"/>
                      <w:b/>
                      <w:bCs/>
                      <w:lang w:val="en-US" w:eastAsia="zh-CN"/>
                    </w:rPr>
                  </w:pPr>
                  <w:r>
                    <w:rPr>
                      <w:rFonts w:hint="eastAsia"/>
                      <w:b/>
                      <w:bCs/>
                      <w:lang w:val="en-US" w:eastAsia="zh-CN"/>
                    </w:rPr>
                    <w:t>COD</w:t>
                  </w:r>
                  <w:r>
                    <w:rPr>
                      <w:rFonts w:hint="eastAsia"/>
                      <w:b/>
                      <w:bCs/>
                      <w:vertAlign w:val="subscript"/>
                      <w:lang w:val="en-US" w:eastAsia="zh-CN"/>
                    </w:rPr>
                    <w:t>Cr</w:t>
                  </w:r>
                </w:p>
              </w:tc>
              <w:tc>
                <w:tcPr>
                  <w:tcW w:w="940" w:type="dxa"/>
                  <w:tcBorders>
                    <w:tl2br w:val="nil"/>
                    <w:tr2bl w:val="nil"/>
                  </w:tcBorders>
                  <w:vAlign w:val="center"/>
                </w:tcPr>
                <w:p>
                  <w:pPr>
                    <w:bidi w:val="0"/>
                    <w:spacing w:line="240" w:lineRule="auto"/>
                    <w:jc w:val="center"/>
                    <w:rPr>
                      <w:rFonts w:hint="default"/>
                      <w:b/>
                      <w:bCs/>
                      <w:lang w:val="en-US" w:eastAsia="zh-CN"/>
                    </w:rPr>
                  </w:pPr>
                  <w:r>
                    <w:rPr>
                      <w:rFonts w:hint="eastAsia"/>
                      <w:b/>
                      <w:bCs/>
                      <w:lang w:val="en-US" w:eastAsia="zh-CN"/>
                    </w:rPr>
                    <w:t>BOD</w:t>
                  </w:r>
                  <w:r>
                    <w:rPr>
                      <w:rFonts w:hint="eastAsia"/>
                      <w:b/>
                      <w:bCs/>
                      <w:vertAlign w:val="subscript"/>
                      <w:lang w:val="en-US" w:eastAsia="zh-CN"/>
                    </w:rPr>
                    <w:t>5</w:t>
                  </w:r>
                </w:p>
              </w:tc>
              <w:tc>
                <w:tcPr>
                  <w:tcW w:w="875" w:type="dxa"/>
                  <w:tcBorders>
                    <w:tl2br w:val="nil"/>
                    <w:tr2bl w:val="nil"/>
                  </w:tcBorders>
                  <w:vAlign w:val="center"/>
                </w:tcPr>
                <w:p>
                  <w:pPr>
                    <w:bidi w:val="0"/>
                    <w:spacing w:line="240" w:lineRule="auto"/>
                    <w:jc w:val="center"/>
                    <w:rPr>
                      <w:rFonts w:hint="default"/>
                      <w:b/>
                      <w:bCs/>
                      <w:lang w:val="en-US" w:eastAsia="zh-CN"/>
                    </w:rPr>
                  </w:pPr>
                  <w:r>
                    <w:rPr>
                      <w:rFonts w:hint="eastAsia"/>
                      <w:b/>
                      <w:bCs/>
                      <w:lang w:val="en-US" w:eastAsia="zh-CN"/>
                    </w:rPr>
                    <w:t>SS</w:t>
                  </w:r>
                </w:p>
              </w:tc>
              <w:tc>
                <w:tcPr>
                  <w:tcW w:w="979" w:type="dxa"/>
                  <w:tcBorders>
                    <w:tl2br w:val="nil"/>
                    <w:tr2bl w:val="nil"/>
                  </w:tcBorders>
                  <w:vAlign w:val="center"/>
                </w:tcPr>
                <w:p>
                  <w:pPr>
                    <w:bidi w:val="0"/>
                    <w:spacing w:line="240" w:lineRule="auto"/>
                    <w:jc w:val="center"/>
                    <w:rPr>
                      <w:rFonts w:hint="default"/>
                      <w:b/>
                      <w:bCs/>
                      <w:lang w:val="en-US" w:eastAsia="zh-CN"/>
                    </w:rPr>
                  </w:pPr>
                  <w:r>
                    <w:rPr>
                      <w:rFonts w:hint="eastAsia"/>
                      <w:b/>
                      <w:bCs/>
                      <w:lang w:val="en-US" w:eastAsia="zh-CN"/>
                    </w:rPr>
                    <w:t>NH</w:t>
                  </w:r>
                  <w:r>
                    <w:rPr>
                      <w:rFonts w:hint="eastAsia"/>
                      <w:b/>
                      <w:bCs/>
                      <w:vertAlign w:val="subscript"/>
                      <w:lang w:val="en-US" w:eastAsia="zh-CN"/>
                    </w:rPr>
                    <w:t>3</w:t>
                  </w:r>
                  <w:r>
                    <w:rPr>
                      <w:rFonts w:hint="eastAsia"/>
                      <w:b/>
                      <w:bCs/>
                      <w:lang w:val="en-US" w:eastAsia="zh-CN"/>
                    </w:rPr>
                    <w:t>-N</w:t>
                  </w:r>
                </w:p>
              </w:tc>
              <w:tc>
                <w:tcPr>
                  <w:tcW w:w="1161" w:type="dxa"/>
                  <w:tcBorders>
                    <w:tl2br w:val="nil"/>
                    <w:tr2bl w:val="nil"/>
                  </w:tcBorders>
                  <w:vAlign w:val="center"/>
                </w:tcPr>
                <w:p>
                  <w:pPr>
                    <w:bidi w:val="0"/>
                    <w:spacing w:line="240" w:lineRule="auto"/>
                    <w:jc w:val="center"/>
                    <w:rPr>
                      <w:rFonts w:hint="default"/>
                      <w:b/>
                      <w:bCs/>
                      <w:lang w:val="en-US" w:eastAsia="zh-CN"/>
                    </w:rPr>
                  </w:pPr>
                  <w:r>
                    <w:rPr>
                      <w:rFonts w:hint="eastAsia"/>
                      <w:b/>
                      <w:bCs/>
                      <w:lang w:val="en-US" w:eastAsia="zh-CN"/>
                    </w:rPr>
                    <w:t>动植物油</w:t>
                  </w:r>
                </w:p>
              </w:tc>
              <w:tc>
                <w:tcPr>
                  <w:tcW w:w="618" w:type="dxa"/>
                  <w:tcBorders>
                    <w:tl2br w:val="nil"/>
                    <w:tr2bl w:val="nil"/>
                  </w:tcBorders>
                  <w:vAlign w:val="center"/>
                </w:tcPr>
                <w:p>
                  <w:pPr>
                    <w:bidi w:val="0"/>
                    <w:spacing w:line="240" w:lineRule="auto"/>
                    <w:jc w:val="center"/>
                    <w:rPr>
                      <w:rFonts w:hint="default"/>
                      <w:b/>
                      <w:bCs/>
                      <w:lang w:val="en-US" w:eastAsia="zh-CN"/>
                    </w:rPr>
                  </w:pPr>
                  <w:r>
                    <w:rPr>
                      <w:rFonts w:hint="eastAsia"/>
                      <w:b/>
                      <w:bCs/>
                      <w:lang w:val="en-US" w:eastAsia="zh-CN"/>
                    </w:rPr>
                    <w:t>LAS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（GB8978-1996）</w:t>
                  </w:r>
                </w:p>
              </w:tc>
              <w:tc>
                <w:tcPr>
                  <w:tcW w:w="684"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6~9</w:t>
                  </w:r>
                </w:p>
              </w:tc>
              <w:tc>
                <w:tcPr>
                  <w:tcW w:w="963"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500</w:t>
                  </w:r>
                </w:p>
              </w:tc>
              <w:tc>
                <w:tcPr>
                  <w:tcW w:w="940"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300</w:t>
                  </w:r>
                </w:p>
              </w:tc>
              <w:tc>
                <w:tcPr>
                  <w:tcW w:w="875"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400</w:t>
                  </w:r>
                </w:p>
              </w:tc>
              <w:tc>
                <w:tcPr>
                  <w:tcW w:w="97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w:t>
                  </w:r>
                </w:p>
              </w:tc>
              <w:tc>
                <w:tcPr>
                  <w:tcW w:w="1161"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100</w:t>
                  </w:r>
                </w:p>
              </w:tc>
              <w:tc>
                <w:tcPr>
                  <w:tcW w:w="61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（GB/T31962-2015）</w:t>
                  </w:r>
                </w:p>
              </w:tc>
              <w:tc>
                <w:tcPr>
                  <w:tcW w:w="684"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w:t>
                  </w:r>
                </w:p>
              </w:tc>
              <w:tc>
                <w:tcPr>
                  <w:tcW w:w="963"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w:t>
                  </w:r>
                </w:p>
              </w:tc>
              <w:tc>
                <w:tcPr>
                  <w:tcW w:w="940"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w:t>
                  </w:r>
                </w:p>
              </w:tc>
              <w:tc>
                <w:tcPr>
                  <w:tcW w:w="875"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w:t>
                  </w:r>
                </w:p>
              </w:tc>
              <w:tc>
                <w:tcPr>
                  <w:tcW w:w="97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45</w:t>
                  </w:r>
                </w:p>
              </w:tc>
              <w:tc>
                <w:tcPr>
                  <w:tcW w:w="1161"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w:t>
                  </w:r>
                </w:p>
              </w:tc>
              <w:tc>
                <w:tcPr>
                  <w:tcW w:w="61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w:t>
                  </w:r>
                </w:p>
              </w:tc>
            </w:tr>
          </w:tbl>
          <w:p>
            <w:pPr>
              <w:numPr>
                <w:ilvl w:val="0"/>
                <w:numId w:val="0"/>
              </w:numPr>
              <w:adjustRightInd w:val="0"/>
              <w:snapToGrid w:val="0"/>
              <w:spacing w:line="360" w:lineRule="auto"/>
              <w:jc w:val="both"/>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3、噪声</w:t>
            </w:r>
          </w:p>
          <w:p>
            <w:pPr>
              <w:keepNext w:val="0"/>
              <w:keepLines w:val="0"/>
              <w:widowControl/>
              <w:suppressLineNumbers w:val="0"/>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厂界噪声执行《</w:t>
            </w:r>
            <w:r>
              <w:rPr>
                <w:rFonts w:hint="eastAsia" w:ascii="宋体" w:hAnsi="宋体" w:eastAsia="宋体" w:cs="宋体"/>
                <w:color w:val="000000"/>
                <w:kern w:val="0"/>
                <w:sz w:val="24"/>
                <w:szCs w:val="24"/>
                <w:lang w:val="en-US" w:eastAsia="zh-CN" w:bidi="ar"/>
              </w:rPr>
              <w:t>工业企业厂界环境噪声排放标准</w:t>
            </w:r>
            <w:r>
              <w:rPr>
                <w:rFonts w:hint="eastAsia" w:ascii="宋体" w:hAnsi="宋体" w:cs="宋体"/>
                <w:kern w:val="0"/>
                <w:sz w:val="24"/>
                <w:szCs w:val="24"/>
                <w:lang w:val="en-US" w:eastAsia="zh-CN"/>
              </w:rPr>
              <w:t>》（GB12348-2008）中3类标准。</w:t>
            </w:r>
          </w:p>
          <w:p>
            <w:pPr>
              <w:numPr>
                <w:ilvl w:val="0"/>
                <w:numId w:val="0"/>
              </w:numPr>
              <w:adjustRightInd w:val="0"/>
              <w:snapToGrid w:val="0"/>
              <w:spacing w:line="240" w:lineRule="auto"/>
              <w:jc w:val="center"/>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表3-12  《</w:t>
            </w:r>
            <w:r>
              <w:rPr>
                <w:rFonts w:hint="eastAsia" w:ascii="宋体" w:hAnsi="宋体" w:eastAsia="宋体" w:cs="宋体"/>
                <w:b/>
                <w:bCs/>
                <w:color w:val="000000"/>
                <w:kern w:val="0"/>
                <w:sz w:val="24"/>
                <w:szCs w:val="24"/>
                <w:lang w:val="en-US" w:eastAsia="zh-CN" w:bidi="ar"/>
              </w:rPr>
              <w:t>工业企业厂界环境噪声排放标准</w:t>
            </w:r>
            <w:r>
              <w:rPr>
                <w:rFonts w:hint="eastAsia" w:ascii="宋体" w:hAnsi="宋体" w:cs="宋体"/>
                <w:b/>
                <w:bCs/>
                <w:kern w:val="0"/>
                <w:sz w:val="24"/>
                <w:szCs w:val="24"/>
                <w:lang w:val="en-US" w:eastAsia="zh-CN"/>
              </w:rPr>
              <w:t>》 （GB12348-2008）</w:t>
            </w:r>
          </w:p>
          <w:p>
            <w:pPr>
              <w:numPr>
                <w:ilvl w:val="0"/>
                <w:numId w:val="0"/>
              </w:numPr>
              <w:adjustRightInd w:val="0"/>
              <w:snapToGrid w:val="0"/>
              <w:spacing w:line="240" w:lineRule="auto"/>
              <w:jc w:val="right"/>
              <w:rPr>
                <w:rFonts w:hint="eastAsia" w:ascii="宋体" w:hAnsi="宋体" w:cs="宋体"/>
                <w:b/>
                <w:bCs/>
                <w:kern w:val="0"/>
                <w:sz w:val="24"/>
                <w:szCs w:val="24"/>
                <w:lang w:val="en-US" w:eastAsia="zh-CN"/>
              </w:rPr>
            </w:pPr>
            <w:r>
              <w:rPr>
                <w:rFonts w:hint="eastAsia" w:ascii="Times New Roman" w:hAnsi="Times New Roman" w:eastAsia="宋体" w:cs="Times New Roman"/>
                <w:kern w:val="0"/>
                <w:sz w:val="21"/>
                <w:szCs w:val="21"/>
                <w:lang w:val="en-US" w:eastAsia="zh-CN"/>
              </w:rPr>
              <w:t>单位：dB（A）</w:t>
            </w:r>
          </w:p>
          <w:tbl>
            <w:tblPr>
              <w:tblStyle w:val="1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2781"/>
              <w:gridCol w:w="27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6" w:type="dxa"/>
                  <w:tcBorders>
                    <w:tl2br w:val="nil"/>
                    <w:tr2bl w:val="nil"/>
                  </w:tcBorders>
                  <w:vAlign w:val="center"/>
                </w:tcPr>
                <w:p>
                  <w:pPr>
                    <w:bidi w:val="0"/>
                    <w:jc w:val="center"/>
                    <w:rPr>
                      <w:rFonts w:hint="default"/>
                      <w:b/>
                      <w:bCs/>
                      <w:lang w:val="en-US" w:eastAsia="zh-CN"/>
                    </w:rPr>
                  </w:pPr>
                  <w:r>
                    <w:rPr>
                      <w:rFonts w:hint="eastAsia"/>
                      <w:b/>
                      <w:bCs/>
                      <w:lang w:val="en-US" w:eastAsia="zh-CN"/>
                    </w:rPr>
                    <w:t>执行标准</w:t>
                  </w:r>
                </w:p>
              </w:tc>
              <w:tc>
                <w:tcPr>
                  <w:tcW w:w="2787" w:type="dxa"/>
                  <w:tcBorders>
                    <w:tl2br w:val="nil"/>
                    <w:tr2bl w:val="nil"/>
                  </w:tcBorders>
                  <w:vAlign w:val="center"/>
                </w:tcPr>
                <w:p>
                  <w:pPr>
                    <w:bidi w:val="0"/>
                    <w:jc w:val="center"/>
                    <w:rPr>
                      <w:rFonts w:hint="default"/>
                      <w:b/>
                      <w:bCs/>
                      <w:lang w:val="en-US" w:eastAsia="zh-CN"/>
                    </w:rPr>
                  </w:pPr>
                  <w:r>
                    <w:rPr>
                      <w:rFonts w:hint="eastAsia"/>
                      <w:b/>
                      <w:bCs/>
                      <w:lang w:val="en-US" w:eastAsia="zh-CN"/>
                    </w:rPr>
                    <w:t>昼间</w:t>
                  </w:r>
                </w:p>
              </w:tc>
              <w:tc>
                <w:tcPr>
                  <w:tcW w:w="2787" w:type="dxa"/>
                  <w:tcBorders>
                    <w:tl2br w:val="nil"/>
                    <w:tr2bl w:val="nil"/>
                  </w:tcBorders>
                  <w:vAlign w:val="center"/>
                </w:tcPr>
                <w:p>
                  <w:pPr>
                    <w:bidi w:val="0"/>
                    <w:jc w:val="center"/>
                    <w:rPr>
                      <w:rFonts w:hint="default"/>
                      <w:b/>
                      <w:bCs/>
                      <w:lang w:val="en-US" w:eastAsia="zh-CN"/>
                    </w:rPr>
                  </w:pPr>
                  <w:r>
                    <w:rPr>
                      <w:rFonts w:hint="eastAsia"/>
                      <w:b/>
                      <w:bCs/>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6" w:type="dxa"/>
                  <w:tcBorders>
                    <w:tl2br w:val="nil"/>
                    <w:tr2bl w:val="nil"/>
                  </w:tcBorders>
                  <w:vAlign w:val="center"/>
                </w:tcPr>
                <w:p>
                  <w:pPr>
                    <w:bidi w:val="0"/>
                    <w:jc w:val="center"/>
                    <w:rPr>
                      <w:rFonts w:hint="default"/>
                      <w:lang w:val="en-US" w:eastAsia="zh-CN"/>
                    </w:rPr>
                  </w:pPr>
                  <w:r>
                    <w:rPr>
                      <w:rFonts w:hint="eastAsia"/>
                      <w:lang w:val="en-US" w:eastAsia="zh-CN"/>
                    </w:rPr>
                    <w:t>3类</w:t>
                  </w:r>
                </w:p>
              </w:tc>
              <w:tc>
                <w:tcPr>
                  <w:tcW w:w="2787" w:type="dxa"/>
                  <w:tcBorders>
                    <w:tl2br w:val="nil"/>
                    <w:tr2bl w:val="nil"/>
                  </w:tcBorders>
                  <w:vAlign w:val="center"/>
                </w:tcPr>
                <w:p>
                  <w:pPr>
                    <w:bidi w:val="0"/>
                    <w:jc w:val="center"/>
                    <w:rPr>
                      <w:rFonts w:hint="default"/>
                      <w:lang w:val="en-US" w:eastAsia="zh-CN"/>
                    </w:rPr>
                  </w:pPr>
                  <w:r>
                    <w:rPr>
                      <w:rFonts w:hint="eastAsia"/>
                      <w:lang w:val="en-US" w:eastAsia="zh-CN"/>
                    </w:rPr>
                    <w:t>65</w:t>
                  </w:r>
                </w:p>
              </w:tc>
              <w:tc>
                <w:tcPr>
                  <w:tcW w:w="2787" w:type="dxa"/>
                  <w:tcBorders>
                    <w:tl2br w:val="nil"/>
                    <w:tr2bl w:val="nil"/>
                  </w:tcBorders>
                  <w:vAlign w:val="center"/>
                </w:tcPr>
                <w:p>
                  <w:pPr>
                    <w:bidi w:val="0"/>
                    <w:jc w:val="center"/>
                    <w:rPr>
                      <w:rFonts w:hint="default"/>
                      <w:lang w:val="en-US" w:eastAsia="zh-CN"/>
                    </w:rPr>
                  </w:pPr>
                  <w:r>
                    <w:rPr>
                      <w:rFonts w:hint="eastAsia"/>
                      <w:lang w:val="en-US" w:eastAsia="zh-CN"/>
                    </w:rPr>
                    <w:t>55</w:t>
                  </w:r>
                </w:p>
              </w:tc>
            </w:tr>
          </w:tbl>
          <w:p>
            <w:pPr>
              <w:numPr>
                <w:ilvl w:val="0"/>
                <w:numId w:val="0"/>
              </w:numPr>
              <w:adjustRightInd w:val="0"/>
              <w:snapToGrid w:val="0"/>
              <w:spacing w:line="360" w:lineRule="auto"/>
              <w:jc w:val="both"/>
              <w:rPr>
                <w:rFonts w:hint="default" w:ascii="宋体" w:hAnsi="宋体" w:cs="宋体"/>
                <w:b/>
                <w:bCs/>
                <w:color w:val="FF0000"/>
                <w:kern w:val="0"/>
                <w:sz w:val="24"/>
                <w:szCs w:val="24"/>
                <w:u w:val="single"/>
                <w:lang w:val="en-US" w:eastAsia="zh-CN"/>
              </w:rPr>
            </w:pPr>
            <w:r>
              <w:rPr>
                <w:rFonts w:hint="eastAsia" w:ascii="宋体" w:hAnsi="宋体" w:cs="宋体"/>
                <w:b/>
                <w:bCs/>
                <w:color w:val="FF0000"/>
                <w:kern w:val="0"/>
                <w:sz w:val="24"/>
                <w:szCs w:val="24"/>
                <w:u w:val="single"/>
                <w:lang w:val="en-US" w:eastAsia="zh-CN"/>
              </w:rPr>
              <w:t>4、固体废物</w:t>
            </w:r>
          </w:p>
          <w:p>
            <w:pPr>
              <w:numPr>
                <w:ilvl w:val="0"/>
                <w:numId w:val="0"/>
              </w:numPr>
              <w:adjustRightInd w:val="0"/>
              <w:snapToGrid w:val="0"/>
              <w:spacing w:line="360" w:lineRule="auto"/>
              <w:ind w:firstLine="480" w:firstLineChars="200"/>
              <w:jc w:val="both"/>
              <w:rPr>
                <w:rFonts w:hint="default" w:ascii="宋体" w:hAnsi="宋体" w:cs="宋体"/>
                <w:color w:val="FF0000"/>
                <w:kern w:val="0"/>
                <w:sz w:val="24"/>
                <w:szCs w:val="24"/>
                <w:u w:val="single"/>
                <w:lang w:val="en-US" w:eastAsia="zh-CN"/>
              </w:rPr>
            </w:pPr>
            <w:r>
              <w:rPr>
                <w:rFonts w:hint="eastAsia" w:ascii="宋体" w:hAnsi="宋体" w:cs="宋体"/>
                <w:color w:val="FF0000"/>
                <w:kern w:val="0"/>
                <w:sz w:val="24"/>
                <w:szCs w:val="24"/>
                <w:u w:val="single"/>
                <w:lang w:val="en-US" w:eastAsia="zh-CN"/>
              </w:rPr>
              <w:t>一般固废执行《一般工业固体废物贮存和填埋污染控制标准》 （GB18599-2020）。</w:t>
            </w:r>
          </w:p>
          <w:p>
            <w:pPr>
              <w:numPr>
                <w:ilvl w:val="0"/>
                <w:numId w:val="0"/>
              </w:numPr>
              <w:adjustRightInd w:val="0"/>
              <w:snapToGrid w:val="0"/>
              <w:spacing w:line="360" w:lineRule="auto"/>
              <w:ind w:firstLine="480" w:firstLineChars="200"/>
              <w:jc w:val="both"/>
              <w:rPr>
                <w:rFonts w:hint="default" w:ascii="宋体" w:hAnsi="宋体" w:eastAsia="宋体" w:cs="宋体"/>
                <w:kern w:val="0"/>
                <w:sz w:val="24"/>
                <w:szCs w:val="24"/>
                <w:lang w:val="en-US" w:eastAsia="zh-CN"/>
              </w:rPr>
            </w:pPr>
            <w:r>
              <w:rPr>
                <w:rFonts w:hint="eastAsia" w:ascii="宋体" w:hAnsi="宋体" w:cs="宋体"/>
                <w:color w:val="FF0000"/>
                <w:kern w:val="0"/>
                <w:sz w:val="24"/>
                <w:szCs w:val="24"/>
                <w:u w:val="single"/>
                <w:lang w:val="en-US" w:eastAsia="zh-CN"/>
              </w:rPr>
              <w:t>危险废物执行《危险废物贮存污染控制标准》（GB18597-2001）及其2013年修改单。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71"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总量</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控制</w:t>
            </w:r>
          </w:p>
          <w:p>
            <w:pPr>
              <w:adjustRightInd w:val="0"/>
              <w:snapToGrid w:val="0"/>
              <w:jc w:val="center"/>
              <w:rPr>
                <w:rFonts w:ascii="宋体" w:hAnsi="宋体" w:cs="宋体"/>
                <w:kern w:val="0"/>
                <w:sz w:val="24"/>
                <w:szCs w:val="24"/>
              </w:rPr>
            </w:pPr>
            <w:r>
              <w:rPr>
                <w:rFonts w:hint="eastAsia" w:ascii="宋体" w:hAnsi="宋体" w:cs="宋体"/>
                <w:kern w:val="0"/>
                <w:sz w:val="24"/>
                <w:szCs w:val="24"/>
              </w:rPr>
              <w:t>指标</w:t>
            </w:r>
          </w:p>
        </w:tc>
        <w:tc>
          <w:tcPr>
            <w:tcW w:w="8519" w:type="dxa"/>
            <w:noWrap w:val="0"/>
            <w:vAlign w:val="center"/>
          </w:tcPr>
          <w:p>
            <w:pPr>
              <w:numPr>
                <w:ilvl w:val="0"/>
                <w:numId w:val="0"/>
              </w:numPr>
              <w:adjustRightInd w:val="0"/>
              <w:snapToGrid w:val="0"/>
              <w:spacing w:line="360" w:lineRule="auto"/>
              <w:jc w:val="both"/>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cs="宋体"/>
                <w:kern w:val="0"/>
                <w:sz w:val="24"/>
                <w:szCs w:val="24"/>
              </w:rPr>
              <w:t>废气</w:t>
            </w:r>
          </w:p>
          <w:p>
            <w:pPr>
              <w:numPr>
                <w:ilvl w:val="0"/>
                <w:numId w:val="0"/>
              </w:numPr>
              <w:adjustRightInd w:val="0"/>
              <w:snapToGrid w:val="0"/>
              <w:spacing w:line="360" w:lineRule="auto"/>
              <w:ind w:firstLine="480" w:firstLineChars="200"/>
              <w:jc w:val="both"/>
              <w:rPr>
                <w:rFonts w:hint="eastAsia" w:ascii="宋体" w:hAnsi="宋体" w:cs="宋体"/>
                <w:kern w:val="0"/>
                <w:sz w:val="24"/>
                <w:szCs w:val="24"/>
              </w:rPr>
            </w:pPr>
            <w:r>
              <w:rPr>
                <w:rFonts w:hint="eastAsia" w:ascii="宋体" w:hAnsi="宋体" w:cs="宋体"/>
                <w:kern w:val="0"/>
                <w:sz w:val="24"/>
                <w:szCs w:val="24"/>
              </w:rPr>
              <w:t>根据工程分析，该项目排放的污染因子中，纳入总量控制要求的主要污染物是废气中的有机废气（以</w:t>
            </w:r>
            <w:r>
              <w:rPr>
                <w:rFonts w:hint="eastAsia" w:ascii="宋体" w:hAnsi="宋体" w:cs="宋体"/>
                <w:kern w:val="0"/>
                <w:sz w:val="24"/>
                <w:szCs w:val="24"/>
                <w:lang w:val="en-US" w:eastAsia="zh-CN"/>
              </w:rPr>
              <w:t>VOCs计</w:t>
            </w:r>
            <w:r>
              <w:rPr>
                <w:rFonts w:hint="eastAsia" w:ascii="宋体" w:hAnsi="宋体" w:cs="宋体"/>
                <w:kern w:val="0"/>
                <w:sz w:val="24"/>
                <w:szCs w:val="24"/>
              </w:rPr>
              <w:t>）。建议总量控制指标为：有机废气（以</w:t>
            </w:r>
            <w:r>
              <w:rPr>
                <w:rFonts w:hint="eastAsia" w:ascii="宋体" w:hAnsi="宋体" w:cs="宋体"/>
                <w:kern w:val="0"/>
                <w:sz w:val="24"/>
                <w:szCs w:val="24"/>
                <w:lang w:val="en-US" w:eastAsia="zh-CN"/>
              </w:rPr>
              <w:t>VOCs计</w:t>
            </w:r>
            <w:r>
              <w:rPr>
                <w:rFonts w:hint="eastAsia" w:ascii="宋体" w:hAnsi="宋体" w:cs="宋体"/>
                <w:kern w:val="0"/>
                <w:sz w:val="24"/>
                <w:szCs w:val="24"/>
              </w:rPr>
              <w:t>）：0.</w:t>
            </w:r>
            <w:r>
              <w:rPr>
                <w:rFonts w:hint="eastAsia" w:ascii="宋体" w:hAnsi="宋体" w:cs="宋体"/>
                <w:kern w:val="0"/>
                <w:sz w:val="24"/>
                <w:szCs w:val="24"/>
                <w:lang w:val="en-US" w:eastAsia="zh-CN"/>
              </w:rPr>
              <w:t>14</w:t>
            </w:r>
            <w:r>
              <w:rPr>
                <w:rFonts w:hint="eastAsia" w:ascii="宋体" w:hAnsi="宋体" w:cs="宋体"/>
                <w:kern w:val="0"/>
                <w:sz w:val="24"/>
                <w:szCs w:val="24"/>
              </w:rPr>
              <w:t>t/a</w:t>
            </w:r>
            <w:r>
              <w:rPr>
                <w:rFonts w:hint="eastAsia" w:ascii="宋体" w:hAnsi="宋体" w:cs="宋体"/>
                <w:kern w:val="0"/>
                <w:sz w:val="24"/>
                <w:szCs w:val="24"/>
                <w:lang w:eastAsia="zh-CN"/>
              </w:rPr>
              <w:t>。</w:t>
            </w:r>
          </w:p>
          <w:p>
            <w:pPr>
              <w:numPr>
                <w:ilvl w:val="0"/>
                <w:numId w:val="0"/>
              </w:numPr>
              <w:adjustRightInd w:val="0"/>
              <w:snapToGrid w:val="0"/>
              <w:spacing w:line="360" w:lineRule="auto"/>
              <w:jc w:val="both"/>
              <w:rPr>
                <w:rFonts w:hint="eastAsia" w:ascii="宋体" w:hAnsi="宋体" w:cs="宋体"/>
                <w:color w:val="FF0000"/>
                <w:kern w:val="0"/>
                <w:sz w:val="24"/>
                <w:szCs w:val="24"/>
                <w:u w:val="single"/>
              </w:rPr>
            </w:pPr>
            <w:r>
              <w:rPr>
                <w:rFonts w:hint="eastAsia" w:ascii="宋体" w:hAnsi="宋体" w:cs="宋体"/>
                <w:color w:val="FF0000"/>
                <w:kern w:val="0"/>
                <w:sz w:val="24"/>
                <w:szCs w:val="24"/>
                <w:u w:val="single"/>
                <w:lang w:eastAsia="zh-CN"/>
              </w:rPr>
              <w:t>（</w:t>
            </w:r>
            <w:r>
              <w:rPr>
                <w:rFonts w:hint="eastAsia" w:ascii="宋体" w:hAnsi="宋体" w:cs="宋体"/>
                <w:color w:val="FF0000"/>
                <w:kern w:val="0"/>
                <w:sz w:val="24"/>
                <w:szCs w:val="24"/>
                <w:u w:val="single"/>
                <w:lang w:val="en-US" w:eastAsia="zh-CN"/>
              </w:rPr>
              <w:t>2</w:t>
            </w:r>
            <w:r>
              <w:rPr>
                <w:rFonts w:hint="eastAsia" w:ascii="宋体" w:hAnsi="宋体" w:cs="宋体"/>
                <w:color w:val="FF0000"/>
                <w:kern w:val="0"/>
                <w:sz w:val="24"/>
                <w:szCs w:val="24"/>
                <w:u w:val="single"/>
                <w:lang w:eastAsia="zh-CN"/>
              </w:rPr>
              <w:t>）</w:t>
            </w:r>
            <w:r>
              <w:rPr>
                <w:rFonts w:hint="eastAsia" w:ascii="宋体" w:hAnsi="宋体" w:cs="宋体"/>
                <w:color w:val="FF0000"/>
                <w:kern w:val="0"/>
                <w:sz w:val="24"/>
                <w:szCs w:val="24"/>
                <w:u w:val="single"/>
              </w:rPr>
              <w:t xml:space="preserve">废水 </w:t>
            </w:r>
          </w:p>
          <w:p>
            <w:pPr>
              <w:numPr>
                <w:ilvl w:val="0"/>
                <w:numId w:val="0"/>
              </w:numPr>
              <w:adjustRightInd w:val="0"/>
              <w:snapToGrid w:val="0"/>
              <w:spacing w:line="360" w:lineRule="auto"/>
              <w:ind w:firstLine="480" w:firstLineChars="200"/>
              <w:jc w:val="both"/>
              <w:rPr>
                <w:rFonts w:ascii="宋体" w:hAnsi="宋体" w:cs="宋体"/>
                <w:kern w:val="0"/>
                <w:sz w:val="24"/>
                <w:szCs w:val="24"/>
              </w:rPr>
            </w:pPr>
            <w:r>
              <w:rPr>
                <w:rFonts w:hint="eastAsia" w:ascii="宋体" w:hAnsi="宋体" w:cs="宋体"/>
                <w:color w:val="FF0000"/>
                <w:kern w:val="0"/>
                <w:sz w:val="24"/>
                <w:szCs w:val="24"/>
                <w:u w:val="single"/>
              </w:rPr>
              <w:t>项目废水无需申请总量控制指标。</w:t>
            </w:r>
          </w:p>
        </w:tc>
      </w:tr>
    </w:tbl>
    <w:p>
      <w:pPr>
        <w:pStyle w:val="11"/>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1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79" w:hRule="atLeast"/>
          <w:jc w:val="center"/>
        </w:trPr>
        <w:tc>
          <w:tcPr>
            <w:tcW w:w="746" w:type="dxa"/>
            <w:noWrap w:val="0"/>
            <w:tcMar>
              <w:left w:w="28" w:type="dxa"/>
              <w:right w:w="28" w:type="dxa"/>
            </w:tcMar>
            <w:vAlign w:val="center"/>
          </w:tcPr>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施工</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期环</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境保</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护措</w:t>
            </w:r>
          </w:p>
          <w:p>
            <w:pPr>
              <w:pStyle w:val="11"/>
              <w:adjustRightInd w:val="0"/>
              <w:snapToGrid w:val="0"/>
              <w:spacing w:before="0" w:beforeAutospacing="0" w:after="0" w:afterAutospacing="0"/>
              <w:jc w:val="center"/>
              <w:rPr>
                <w:rFonts w:hint="eastAsia" w:cs="宋体"/>
                <w:bCs/>
                <w:kern w:val="2"/>
                <w:sz w:val="24"/>
                <w:szCs w:val="24"/>
              </w:rPr>
            </w:pPr>
            <w:r>
              <w:rPr>
                <w:rFonts w:hint="eastAsia" w:cs="宋体"/>
                <w:kern w:val="2"/>
                <w:sz w:val="24"/>
                <w:szCs w:val="24"/>
              </w:rPr>
              <w:t>施</w:t>
            </w:r>
          </w:p>
        </w:tc>
        <w:tc>
          <w:tcPr>
            <w:tcW w:w="8162" w:type="dxa"/>
            <w:noWrap w:val="0"/>
            <w:vAlign w:val="center"/>
          </w:tcPr>
          <w:p>
            <w:pPr>
              <w:adjustRightInd w:val="0"/>
              <w:snapToGrid w:val="0"/>
              <w:spacing w:line="360" w:lineRule="auto"/>
              <w:jc w:val="center"/>
              <w:rPr>
                <w:rFonts w:ascii="宋体" w:hAnsi="宋体" w:cs="宋体"/>
                <w:bCs/>
                <w:spacing w:val="-10"/>
                <w:sz w:val="24"/>
                <w:szCs w:val="24"/>
              </w:rPr>
            </w:pPr>
            <w:r>
              <w:rPr>
                <w:rFonts w:hint="eastAsia" w:ascii="宋体" w:hAnsi="宋体" w:cs="宋体"/>
                <w:bCs/>
                <w:color w:val="auto"/>
                <w:spacing w:val="-10"/>
                <w:sz w:val="24"/>
                <w:szCs w:val="24"/>
                <w:lang w:val="en-US" w:eastAsia="zh-CN"/>
              </w:rPr>
              <w:t>本项目施工期已结束，本次不再进行施工期环境影响分析评价。</w:t>
            </w:r>
          </w:p>
        </w:tc>
      </w:tr>
    </w:tbl>
    <w:p>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14"/>
        <w:tblW w:w="14572" w:type="dxa"/>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pStyle w:val="11"/>
              <w:adjustRightInd w:val="0"/>
              <w:snapToGrid w:val="0"/>
              <w:spacing w:before="0" w:beforeAutospacing="0" w:after="0" w:afterAutospacing="0"/>
              <w:jc w:val="center"/>
              <w:rPr>
                <w:rFonts w:hint="eastAsia" w:cs="宋体"/>
                <w:color w:val="FF0000"/>
                <w:kern w:val="2"/>
                <w:sz w:val="24"/>
                <w:szCs w:val="24"/>
                <w:u w:val="single"/>
              </w:rPr>
            </w:pPr>
            <w:r>
              <w:rPr>
                <w:rFonts w:hint="eastAsia" w:cs="宋体"/>
                <w:color w:val="FF0000"/>
                <w:kern w:val="2"/>
                <w:sz w:val="24"/>
                <w:szCs w:val="24"/>
                <w:u w:val="single"/>
              </w:rPr>
              <w:t>运营</w:t>
            </w:r>
          </w:p>
          <w:p>
            <w:pPr>
              <w:pStyle w:val="11"/>
              <w:adjustRightInd w:val="0"/>
              <w:snapToGrid w:val="0"/>
              <w:spacing w:before="0" w:beforeAutospacing="0" w:after="0" w:afterAutospacing="0"/>
              <w:jc w:val="center"/>
              <w:rPr>
                <w:rFonts w:hint="eastAsia" w:cs="宋体"/>
                <w:color w:val="FF0000"/>
                <w:kern w:val="2"/>
                <w:sz w:val="24"/>
                <w:szCs w:val="24"/>
                <w:u w:val="single"/>
              </w:rPr>
            </w:pPr>
            <w:r>
              <w:rPr>
                <w:rFonts w:hint="eastAsia" w:cs="宋体"/>
                <w:color w:val="FF0000"/>
                <w:kern w:val="2"/>
                <w:sz w:val="24"/>
                <w:szCs w:val="24"/>
                <w:u w:val="single"/>
              </w:rPr>
              <w:t>期环</w:t>
            </w:r>
          </w:p>
          <w:p>
            <w:pPr>
              <w:pStyle w:val="11"/>
              <w:adjustRightInd w:val="0"/>
              <w:snapToGrid w:val="0"/>
              <w:spacing w:before="0" w:beforeAutospacing="0" w:after="0" w:afterAutospacing="0"/>
              <w:jc w:val="center"/>
              <w:rPr>
                <w:rFonts w:hint="eastAsia" w:cs="宋体"/>
                <w:color w:val="FF0000"/>
                <w:kern w:val="2"/>
                <w:sz w:val="24"/>
                <w:szCs w:val="24"/>
                <w:u w:val="single"/>
              </w:rPr>
            </w:pPr>
            <w:r>
              <w:rPr>
                <w:rFonts w:hint="eastAsia" w:cs="宋体"/>
                <w:color w:val="FF0000"/>
                <w:kern w:val="2"/>
                <w:sz w:val="24"/>
                <w:szCs w:val="24"/>
                <w:u w:val="single"/>
              </w:rPr>
              <w:t>境影</w:t>
            </w:r>
          </w:p>
          <w:p>
            <w:pPr>
              <w:pStyle w:val="11"/>
              <w:adjustRightInd w:val="0"/>
              <w:snapToGrid w:val="0"/>
              <w:spacing w:before="0" w:beforeAutospacing="0" w:after="0" w:afterAutospacing="0"/>
              <w:jc w:val="center"/>
              <w:rPr>
                <w:rFonts w:hint="eastAsia" w:cs="宋体"/>
                <w:color w:val="FF0000"/>
                <w:kern w:val="2"/>
                <w:sz w:val="24"/>
                <w:szCs w:val="24"/>
                <w:u w:val="single"/>
              </w:rPr>
            </w:pPr>
            <w:r>
              <w:rPr>
                <w:rFonts w:hint="eastAsia" w:cs="宋体"/>
                <w:color w:val="FF0000"/>
                <w:kern w:val="2"/>
                <w:sz w:val="24"/>
                <w:szCs w:val="24"/>
                <w:u w:val="single"/>
              </w:rPr>
              <w:t>响和</w:t>
            </w:r>
          </w:p>
          <w:p>
            <w:pPr>
              <w:pStyle w:val="11"/>
              <w:adjustRightInd w:val="0"/>
              <w:snapToGrid w:val="0"/>
              <w:spacing w:before="0" w:beforeAutospacing="0" w:after="0" w:afterAutospacing="0"/>
              <w:jc w:val="center"/>
              <w:rPr>
                <w:rFonts w:hint="eastAsia" w:cs="宋体"/>
                <w:color w:val="FF0000"/>
                <w:kern w:val="2"/>
                <w:sz w:val="24"/>
                <w:szCs w:val="24"/>
                <w:u w:val="single"/>
              </w:rPr>
            </w:pPr>
            <w:r>
              <w:rPr>
                <w:rFonts w:hint="eastAsia" w:cs="宋体"/>
                <w:color w:val="FF0000"/>
                <w:kern w:val="2"/>
                <w:sz w:val="24"/>
                <w:szCs w:val="24"/>
                <w:u w:val="single"/>
              </w:rPr>
              <w:t>保护</w:t>
            </w:r>
          </w:p>
          <w:p>
            <w:pPr>
              <w:pStyle w:val="11"/>
              <w:adjustRightInd w:val="0"/>
              <w:snapToGrid w:val="0"/>
              <w:spacing w:before="0" w:beforeAutospacing="0" w:after="0" w:afterAutospacing="0"/>
              <w:jc w:val="center"/>
              <w:rPr>
                <w:rFonts w:hint="eastAsia" w:cs="宋体"/>
                <w:color w:val="FF0000"/>
                <w:kern w:val="2"/>
                <w:sz w:val="24"/>
                <w:szCs w:val="24"/>
                <w:u w:val="single"/>
              </w:rPr>
            </w:pPr>
            <w:r>
              <w:rPr>
                <w:rFonts w:hint="eastAsia" w:cs="宋体"/>
                <w:color w:val="FF0000"/>
                <w:kern w:val="2"/>
                <w:sz w:val="24"/>
                <w:szCs w:val="24"/>
                <w:u w:val="single"/>
              </w:rPr>
              <w:t>措施</w:t>
            </w:r>
          </w:p>
        </w:tc>
        <w:tc>
          <w:tcPr>
            <w:tcW w:w="13714" w:type="dxa"/>
            <w:vAlign w:val="top"/>
          </w:tcPr>
          <w:p>
            <w:pPr>
              <w:pStyle w:val="11"/>
              <w:numPr>
                <w:ilvl w:val="0"/>
                <w:numId w:val="1"/>
              </w:numPr>
              <w:adjustRightInd w:val="0"/>
              <w:snapToGrid w:val="0"/>
              <w:spacing w:before="0" w:beforeAutospacing="0" w:after="0" w:afterAutospacing="0" w:line="360" w:lineRule="auto"/>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废气</w:t>
            </w:r>
          </w:p>
          <w:p>
            <w:pPr>
              <w:pStyle w:val="11"/>
              <w:numPr>
                <w:ilvl w:val="0"/>
                <w:numId w:val="2"/>
              </w:numPr>
              <w:adjustRightInd w:val="0"/>
              <w:snapToGrid w:val="0"/>
              <w:spacing w:before="0" w:beforeAutospacing="0" w:after="0" w:afterAutospacing="0" w:line="360" w:lineRule="auto"/>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源强核算</w:t>
            </w:r>
          </w:p>
          <w:p>
            <w:pPr>
              <w:pStyle w:val="11"/>
              <w:numPr>
                <w:ilvl w:val="0"/>
                <w:numId w:val="0"/>
              </w:numPr>
              <w:adjustRightInd w:val="0"/>
              <w:snapToGrid w:val="0"/>
              <w:spacing w:before="0" w:beforeAutospacing="0" w:after="0" w:afterAutospacing="0" w:line="360" w:lineRule="auto"/>
              <w:ind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项目建成后全厂废气排放情况详见表4-1。</w:t>
            </w:r>
          </w:p>
          <w:p>
            <w:pPr>
              <w:pStyle w:val="11"/>
              <w:numPr>
                <w:ilvl w:val="0"/>
                <w:numId w:val="0"/>
              </w:numPr>
              <w:adjustRightInd w:val="0"/>
              <w:snapToGrid w:val="0"/>
              <w:spacing w:before="0" w:beforeAutospacing="0" w:after="0" w:afterAutospacing="0" w:line="360" w:lineRule="auto"/>
              <w:jc w:val="center"/>
              <w:rPr>
                <w:rFonts w:hint="default" w:eastAsia="宋体" w:cs="宋体"/>
                <w:color w:val="FF0000"/>
                <w:kern w:val="2"/>
                <w:sz w:val="24"/>
                <w:szCs w:val="24"/>
                <w:u w:val="single"/>
                <w:vertAlign w:val="baseline"/>
                <w:lang w:val="en-US" w:eastAsia="zh-CN"/>
              </w:rPr>
            </w:pPr>
            <w:r>
              <w:rPr>
                <w:rFonts w:hint="eastAsia" w:cs="宋体"/>
                <w:color w:val="FF0000"/>
                <w:kern w:val="2"/>
                <w:sz w:val="24"/>
                <w:szCs w:val="24"/>
                <w:u w:val="single"/>
                <w:lang w:val="en-US" w:eastAsia="zh-CN"/>
              </w:rPr>
              <w:t>表4-1  全厂废气产排情况一览表</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516"/>
              <w:gridCol w:w="741"/>
              <w:gridCol w:w="666"/>
              <w:gridCol w:w="704"/>
              <w:gridCol w:w="366"/>
              <w:gridCol w:w="516"/>
              <w:gridCol w:w="366"/>
              <w:gridCol w:w="591"/>
              <w:gridCol w:w="666"/>
              <w:gridCol w:w="366"/>
              <w:gridCol w:w="741"/>
              <w:gridCol w:w="816"/>
              <w:gridCol w:w="854"/>
              <w:gridCol w:w="591"/>
              <w:gridCol w:w="591"/>
              <w:gridCol w:w="666"/>
              <w:gridCol w:w="591"/>
              <w:gridCol w:w="366"/>
              <w:gridCol w:w="966"/>
              <w:gridCol w:w="891"/>
              <w:gridCol w:w="854"/>
              <w:gridCol w:w="8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产排污环节</w:t>
                  </w:r>
                </w:p>
              </w:tc>
              <w:tc>
                <w:tcPr>
                  <w:tcW w:w="176"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污染物种类</w:t>
                  </w:r>
                </w:p>
              </w:tc>
              <w:tc>
                <w:tcPr>
                  <w:tcW w:w="722" w:type="pct"/>
                  <w:gridSpan w:val="3"/>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产生情况</w:t>
                  </w:r>
                </w:p>
              </w:tc>
              <w:tc>
                <w:tcPr>
                  <w:tcW w:w="125"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排放方式</w:t>
                  </w:r>
                </w:p>
              </w:tc>
              <w:tc>
                <w:tcPr>
                  <w:tcW w:w="857" w:type="pct"/>
                  <w:gridSpan w:val="5"/>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治理设施</w:t>
                  </w:r>
                </w:p>
              </w:tc>
              <w:tc>
                <w:tcPr>
                  <w:tcW w:w="825" w:type="pct"/>
                  <w:gridSpan w:val="3"/>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排放情况</w:t>
                  </w:r>
                </w:p>
              </w:tc>
              <w:tc>
                <w:tcPr>
                  <w:tcW w:w="1595" w:type="pct"/>
                  <w:gridSpan w:val="7"/>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排放口基本情况</w:t>
                  </w:r>
                </w:p>
              </w:tc>
              <w:tc>
                <w:tcPr>
                  <w:tcW w:w="571" w:type="pct"/>
                  <w:gridSpan w:val="2"/>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5"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176"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53"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产生量（t/a）</w:t>
                  </w:r>
                </w:p>
              </w:tc>
              <w:tc>
                <w:tcPr>
                  <w:tcW w:w="227"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产生速率(kg/h)</w:t>
                  </w:r>
                </w:p>
              </w:tc>
              <w:tc>
                <w:tcPr>
                  <w:tcW w:w="240"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产生最大浓度(mg/m</w:t>
                  </w:r>
                  <w:r>
                    <w:rPr>
                      <w:rFonts w:hint="eastAsia" w:cs="宋体"/>
                      <w:color w:val="FF0000"/>
                      <w:kern w:val="2"/>
                      <w:sz w:val="15"/>
                      <w:szCs w:val="15"/>
                      <w:u w:val="single"/>
                      <w:vertAlign w:val="superscript"/>
                      <w:lang w:val="en-US" w:eastAsia="zh-CN"/>
                    </w:rPr>
                    <w:t>3</w:t>
                  </w:r>
                  <w:r>
                    <w:rPr>
                      <w:rFonts w:hint="eastAsia" w:cs="宋体"/>
                      <w:color w:val="FF0000"/>
                      <w:kern w:val="2"/>
                      <w:sz w:val="15"/>
                      <w:szCs w:val="15"/>
                      <w:u w:val="single"/>
                      <w:vertAlign w:val="baseline"/>
                      <w:lang w:val="en-US" w:eastAsia="zh-CN"/>
                    </w:rPr>
                    <w:t>)</w:t>
                  </w:r>
                </w:p>
              </w:tc>
              <w:tc>
                <w:tcPr>
                  <w:tcW w:w="125"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176"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名称</w:t>
                  </w:r>
                </w:p>
              </w:tc>
              <w:tc>
                <w:tcPr>
                  <w:tcW w:w="125"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处理能力</w:t>
                  </w:r>
                </w:p>
              </w:tc>
              <w:tc>
                <w:tcPr>
                  <w:tcW w:w="202"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收集效率（%）</w:t>
                  </w:r>
                </w:p>
              </w:tc>
              <w:tc>
                <w:tcPr>
                  <w:tcW w:w="227"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去除率（%）</w:t>
                  </w:r>
                </w:p>
              </w:tc>
              <w:tc>
                <w:tcPr>
                  <w:tcW w:w="125"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是否为可行技术</w:t>
                  </w:r>
                </w:p>
              </w:tc>
              <w:tc>
                <w:tcPr>
                  <w:tcW w:w="253"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排放量（t/a）</w:t>
                  </w:r>
                </w:p>
              </w:tc>
              <w:tc>
                <w:tcPr>
                  <w:tcW w:w="279"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eastAsia"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排放</w:t>
                  </w:r>
                </w:p>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速率（kg/h）</w:t>
                  </w:r>
                </w:p>
              </w:tc>
              <w:tc>
                <w:tcPr>
                  <w:tcW w:w="292"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最大排放浓度（mg/m</w:t>
                  </w:r>
                  <w:r>
                    <w:rPr>
                      <w:rFonts w:hint="eastAsia" w:cs="宋体"/>
                      <w:color w:val="FF0000"/>
                      <w:kern w:val="2"/>
                      <w:sz w:val="15"/>
                      <w:szCs w:val="15"/>
                      <w:u w:val="single"/>
                      <w:vertAlign w:val="superscript"/>
                      <w:lang w:val="en-US" w:eastAsia="zh-CN"/>
                    </w:rPr>
                    <w:t>3</w:t>
                  </w:r>
                  <w:r>
                    <w:rPr>
                      <w:rFonts w:hint="eastAsia" w:cs="宋体"/>
                      <w:color w:val="FF0000"/>
                      <w:kern w:val="2"/>
                      <w:sz w:val="15"/>
                      <w:szCs w:val="15"/>
                      <w:u w:val="single"/>
                      <w:vertAlign w:val="baseline"/>
                      <w:lang w:val="en-US" w:eastAsia="zh-CN"/>
                    </w:rPr>
                    <w:t>）</w:t>
                  </w:r>
                </w:p>
              </w:tc>
              <w:tc>
                <w:tcPr>
                  <w:tcW w:w="202"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高度（m）</w:t>
                  </w:r>
                </w:p>
              </w:tc>
              <w:tc>
                <w:tcPr>
                  <w:tcW w:w="202"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内径（m）</w:t>
                  </w:r>
                </w:p>
              </w:tc>
              <w:tc>
                <w:tcPr>
                  <w:tcW w:w="227"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温度（℃）</w:t>
                  </w:r>
                </w:p>
              </w:tc>
              <w:tc>
                <w:tcPr>
                  <w:tcW w:w="202"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编号及名称</w:t>
                  </w:r>
                </w:p>
              </w:tc>
              <w:tc>
                <w:tcPr>
                  <w:tcW w:w="125"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类型</w:t>
                  </w:r>
                </w:p>
              </w:tc>
              <w:tc>
                <w:tcPr>
                  <w:tcW w:w="635" w:type="pct"/>
                  <w:gridSpan w:val="2"/>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地理坐标</w:t>
                  </w:r>
                </w:p>
              </w:tc>
              <w:tc>
                <w:tcPr>
                  <w:tcW w:w="292"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浓度（mg/m</w:t>
                  </w:r>
                  <w:r>
                    <w:rPr>
                      <w:rFonts w:hint="eastAsia" w:cs="宋体"/>
                      <w:color w:val="FF0000"/>
                      <w:kern w:val="2"/>
                      <w:sz w:val="15"/>
                      <w:szCs w:val="15"/>
                      <w:u w:val="single"/>
                      <w:vertAlign w:val="superscript"/>
                      <w:lang w:val="en-US" w:eastAsia="zh-CN"/>
                    </w:rPr>
                    <w:t>3</w:t>
                  </w:r>
                  <w:r>
                    <w:rPr>
                      <w:rFonts w:hint="eastAsia" w:cs="宋体"/>
                      <w:color w:val="FF0000"/>
                      <w:kern w:val="2"/>
                      <w:sz w:val="15"/>
                      <w:szCs w:val="15"/>
                      <w:u w:val="single"/>
                      <w:vertAlign w:val="baseline"/>
                      <w:lang w:val="en-US" w:eastAsia="zh-CN"/>
                    </w:rPr>
                    <w:t>）</w:t>
                  </w:r>
                </w:p>
              </w:tc>
              <w:tc>
                <w:tcPr>
                  <w:tcW w:w="279"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176"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53"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27"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40"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125"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176"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125"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02"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27"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125"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53"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79"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92"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02"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02"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27"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02"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125"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330"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经度/°</w:t>
                  </w:r>
                </w:p>
              </w:tc>
              <w:tc>
                <w:tcPr>
                  <w:tcW w:w="304"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纬度/°</w:t>
                  </w:r>
                </w:p>
              </w:tc>
              <w:tc>
                <w:tcPr>
                  <w:tcW w:w="292"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c>
                <w:tcPr>
                  <w:tcW w:w="279"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切割、打磨工序</w:t>
                  </w:r>
                </w:p>
              </w:tc>
              <w:tc>
                <w:tcPr>
                  <w:tcW w:w="176"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切割、打磨粉尘</w:t>
                  </w:r>
                </w:p>
              </w:tc>
              <w:tc>
                <w:tcPr>
                  <w:tcW w:w="253"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0.15</w:t>
                  </w:r>
                </w:p>
              </w:tc>
              <w:tc>
                <w:tcPr>
                  <w:tcW w:w="227"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0.0892</w:t>
                  </w:r>
                </w:p>
              </w:tc>
              <w:tc>
                <w:tcPr>
                  <w:tcW w:w="240"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无组织排放</w:t>
                  </w:r>
                </w:p>
              </w:tc>
              <w:tc>
                <w:tcPr>
                  <w:tcW w:w="176"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移动式烟尘净化器</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0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85%</w:t>
                  </w:r>
                </w:p>
              </w:tc>
              <w:tc>
                <w:tcPr>
                  <w:tcW w:w="227"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90%</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是</w:t>
                  </w:r>
                </w:p>
              </w:tc>
              <w:tc>
                <w:tcPr>
                  <w:tcW w:w="253"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0.0353</w:t>
                  </w:r>
                </w:p>
              </w:tc>
              <w:tc>
                <w:tcPr>
                  <w:tcW w:w="279"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0.0210</w:t>
                  </w:r>
                </w:p>
              </w:tc>
              <w:tc>
                <w:tcPr>
                  <w:tcW w:w="29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0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0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27"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0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330"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304"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9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1.0</w:t>
                  </w:r>
                </w:p>
              </w:tc>
              <w:tc>
                <w:tcPr>
                  <w:tcW w:w="279"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焊接工序</w:t>
                  </w:r>
                </w:p>
              </w:tc>
              <w:tc>
                <w:tcPr>
                  <w:tcW w:w="176"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焊接烟尘</w:t>
                  </w:r>
                </w:p>
              </w:tc>
              <w:tc>
                <w:tcPr>
                  <w:tcW w:w="253"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1.856</w:t>
                  </w:r>
                </w:p>
              </w:tc>
              <w:tc>
                <w:tcPr>
                  <w:tcW w:w="227"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1.105</w:t>
                  </w:r>
                </w:p>
              </w:tc>
              <w:tc>
                <w:tcPr>
                  <w:tcW w:w="240"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无组织排放</w:t>
                  </w:r>
                </w:p>
              </w:tc>
              <w:tc>
                <w:tcPr>
                  <w:tcW w:w="176" w:type="pct"/>
                  <w:tcBorders>
                    <w:tl2br w:val="nil"/>
                    <w:tr2bl w:val="nil"/>
                  </w:tcBorders>
                  <w:vAlign w:val="center"/>
                </w:tcPr>
                <w:p>
                  <w:pPr>
                    <w:pStyle w:val="11"/>
                    <w:numPr>
                      <w:ilvl w:val="0"/>
                      <w:numId w:val="0"/>
                    </w:numPr>
                    <w:adjustRightInd w:val="0"/>
                    <w:snapToGrid w:val="0"/>
                    <w:spacing w:before="0" w:beforeAutospacing="0" w:after="0" w:afterAutospacing="0" w:line="240" w:lineRule="auto"/>
                    <w:ind w:left="0" w:leftChars="0" w:firstLine="0" w:firstLineChars="0"/>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移动式烟尘净化器</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ind w:left="0" w:leftChars="0" w:firstLine="0" w:firstLineChars="0"/>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02" w:type="pct"/>
                  <w:tcBorders>
                    <w:tl2br w:val="nil"/>
                    <w:tr2bl w:val="nil"/>
                  </w:tcBorders>
                  <w:vAlign w:val="center"/>
                </w:tcPr>
                <w:p>
                  <w:pPr>
                    <w:pStyle w:val="11"/>
                    <w:numPr>
                      <w:ilvl w:val="0"/>
                      <w:numId w:val="0"/>
                    </w:numPr>
                    <w:adjustRightInd w:val="0"/>
                    <w:snapToGrid w:val="0"/>
                    <w:spacing w:before="0" w:beforeAutospacing="0" w:after="0" w:afterAutospacing="0" w:line="240" w:lineRule="auto"/>
                    <w:ind w:left="0" w:leftChars="0" w:firstLine="0" w:firstLineChars="0"/>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85%</w:t>
                  </w:r>
                </w:p>
              </w:tc>
              <w:tc>
                <w:tcPr>
                  <w:tcW w:w="227" w:type="pct"/>
                  <w:tcBorders>
                    <w:tl2br w:val="nil"/>
                    <w:tr2bl w:val="nil"/>
                  </w:tcBorders>
                  <w:vAlign w:val="center"/>
                </w:tcPr>
                <w:p>
                  <w:pPr>
                    <w:pStyle w:val="11"/>
                    <w:numPr>
                      <w:ilvl w:val="0"/>
                      <w:numId w:val="0"/>
                    </w:numPr>
                    <w:adjustRightInd w:val="0"/>
                    <w:snapToGrid w:val="0"/>
                    <w:spacing w:before="0" w:beforeAutospacing="0" w:after="0" w:afterAutospacing="0" w:line="240" w:lineRule="auto"/>
                    <w:ind w:left="0" w:leftChars="0" w:firstLine="0" w:firstLineChars="0"/>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90%</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ind w:left="0" w:leftChars="0" w:firstLine="0" w:firstLineChars="0"/>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是</w:t>
                  </w:r>
                </w:p>
              </w:tc>
              <w:tc>
                <w:tcPr>
                  <w:tcW w:w="253"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0.4361</w:t>
                  </w:r>
                </w:p>
              </w:tc>
              <w:tc>
                <w:tcPr>
                  <w:tcW w:w="279"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0.2595</w:t>
                  </w:r>
                </w:p>
              </w:tc>
              <w:tc>
                <w:tcPr>
                  <w:tcW w:w="29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0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0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27"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0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330"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304"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9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1.0</w:t>
                  </w:r>
                </w:p>
              </w:tc>
              <w:tc>
                <w:tcPr>
                  <w:tcW w:w="279"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喷漆工序</w:t>
                  </w:r>
                </w:p>
              </w:tc>
              <w:tc>
                <w:tcPr>
                  <w:tcW w:w="176"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Vocs</w:t>
                  </w:r>
                </w:p>
              </w:tc>
              <w:tc>
                <w:tcPr>
                  <w:tcW w:w="253"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0.56</w:t>
                  </w:r>
                </w:p>
              </w:tc>
              <w:tc>
                <w:tcPr>
                  <w:tcW w:w="227"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0.50</w:t>
                  </w:r>
                </w:p>
              </w:tc>
              <w:tc>
                <w:tcPr>
                  <w:tcW w:w="240"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15.25</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有组织排放</w:t>
                  </w:r>
                </w:p>
              </w:tc>
              <w:tc>
                <w:tcPr>
                  <w:tcW w:w="176"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“过滤棉+活性炭光氧一体机”</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0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27"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74.6%</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是</w:t>
                  </w:r>
                </w:p>
              </w:tc>
              <w:tc>
                <w:tcPr>
                  <w:tcW w:w="253" w:type="pct"/>
                  <w:tcBorders>
                    <w:tl2br w:val="nil"/>
                    <w:tr2bl w:val="nil"/>
                  </w:tcBorders>
                  <w:vAlign w:val="center"/>
                </w:tcPr>
                <w:p>
                  <w:pPr>
                    <w:bidi w:val="0"/>
                    <w:spacing w:line="240" w:lineRule="auto"/>
                    <w:jc w:val="center"/>
                    <w:rPr>
                      <w:rFonts w:hint="default" w:ascii="宋体" w:hAnsi="宋体" w:eastAsia="宋体" w:cs="宋体"/>
                      <w:color w:val="FF0000"/>
                      <w:kern w:val="2"/>
                      <w:sz w:val="15"/>
                      <w:szCs w:val="15"/>
                      <w:u w:val="single"/>
                      <w:vertAlign w:val="baseline"/>
                      <w:lang w:val="en-US" w:eastAsia="zh-CN" w:bidi="ar-SA"/>
                    </w:rPr>
                  </w:pPr>
                  <w:r>
                    <w:rPr>
                      <w:rFonts w:hint="eastAsia" w:ascii="宋体" w:hAnsi="宋体" w:eastAsia="宋体" w:cs="宋体"/>
                      <w:color w:val="FF0000"/>
                      <w:kern w:val="2"/>
                      <w:sz w:val="15"/>
                      <w:szCs w:val="15"/>
                      <w:u w:val="single"/>
                      <w:vertAlign w:val="baseline"/>
                      <w:lang w:val="en-US" w:eastAsia="zh-CN" w:bidi="ar-SA"/>
                    </w:rPr>
                    <w:t>0.14</w:t>
                  </w:r>
                </w:p>
              </w:tc>
              <w:tc>
                <w:tcPr>
                  <w:tcW w:w="279" w:type="pct"/>
                  <w:tcBorders>
                    <w:tl2br w:val="nil"/>
                    <w:tr2bl w:val="nil"/>
                  </w:tcBorders>
                  <w:vAlign w:val="center"/>
                </w:tcPr>
                <w:p>
                  <w:pPr>
                    <w:bidi w:val="0"/>
                    <w:spacing w:line="240" w:lineRule="auto"/>
                    <w:jc w:val="center"/>
                    <w:rPr>
                      <w:rFonts w:hint="default" w:ascii="宋体" w:hAnsi="宋体" w:eastAsia="宋体" w:cs="宋体"/>
                      <w:color w:val="FF0000"/>
                      <w:kern w:val="2"/>
                      <w:sz w:val="15"/>
                      <w:szCs w:val="15"/>
                      <w:u w:val="single"/>
                      <w:vertAlign w:val="baseline"/>
                      <w:lang w:val="en-US" w:eastAsia="zh-CN" w:bidi="ar-SA"/>
                    </w:rPr>
                  </w:pPr>
                  <w:r>
                    <w:rPr>
                      <w:rFonts w:hint="eastAsia" w:ascii="宋体" w:hAnsi="宋体" w:eastAsia="宋体" w:cs="宋体"/>
                      <w:color w:val="FF0000"/>
                      <w:kern w:val="2"/>
                      <w:sz w:val="15"/>
                      <w:szCs w:val="15"/>
                      <w:u w:val="single"/>
                      <w:vertAlign w:val="baseline"/>
                      <w:lang w:val="en-US" w:eastAsia="zh-CN" w:bidi="ar-SA"/>
                    </w:rPr>
                    <w:t>0.127</w:t>
                  </w:r>
                </w:p>
              </w:tc>
              <w:tc>
                <w:tcPr>
                  <w:tcW w:w="292" w:type="pct"/>
                  <w:tcBorders>
                    <w:tl2br w:val="nil"/>
                    <w:tr2bl w:val="nil"/>
                  </w:tcBorders>
                  <w:vAlign w:val="center"/>
                </w:tcPr>
                <w:p>
                  <w:pPr>
                    <w:bidi w:val="0"/>
                    <w:spacing w:line="240" w:lineRule="auto"/>
                    <w:jc w:val="center"/>
                    <w:rPr>
                      <w:rFonts w:hint="default" w:ascii="宋体" w:hAnsi="宋体" w:eastAsia="宋体" w:cs="宋体"/>
                      <w:color w:val="FF0000"/>
                      <w:kern w:val="2"/>
                      <w:sz w:val="15"/>
                      <w:szCs w:val="15"/>
                      <w:u w:val="single"/>
                      <w:vertAlign w:val="baseline"/>
                      <w:lang w:val="en-US" w:eastAsia="zh-CN" w:bidi="ar-SA"/>
                    </w:rPr>
                  </w:pPr>
                  <w:r>
                    <w:rPr>
                      <w:rFonts w:hint="eastAsia" w:ascii="宋体" w:hAnsi="宋体" w:eastAsia="宋体" w:cs="宋体"/>
                      <w:color w:val="FF0000"/>
                      <w:kern w:val="2"/>
                      <w:sz w:val="15"/>
                      <w:szCs w:val="15"/>
                      <w:u w:val="single"/>
                      <w:vertAlign w:val="baseline"/>
                      <w:lang w:val="en-US" w:eastAsia="zh-CN" w:bidi="ar-SA"/>
                    </w:rPr>
                    <w:t>3.91</w:t>
                  </w:r>
                </w:p>
              </w:tc>
              <w:tc>
                <w:tcPr>
                  <w:tcW w:w="202"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15</w:t>
                  </w:r>
                </w:p>
              </w:tc>
              <w:tc>
                <w:tcPr>
                  <w:tcW w:w="202"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0.7</w:t>
                  </w:r>
                </w:p>
              </w:tc>
              <w:tc>
                <w:tcPr>
                  <w:tcW w:w="227"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25</w:t>
                  </w:r>
                </w:p>
              </w:tc>
              <w:tc>
                <w:tcPr>
                  <w:tcW w:w="202"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DA001</w:t>
                  </w:r>
                </w:p>
              </w:tc>
              <w:tc>
                <w:tcPr>
                  <w:tcW w:w="125"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一般排放口</w:t>
                  </w:r>
                </w:p>
              </w:tc>
              <w:tc>
                <w:tcPr>
                  <w:tcW w:w="330"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112.907272</w:t>
                  </w:r>
                </w:p>
              </w:tc>
              <w:tc>
                <w:tcPr>
                  <w:tcW w:w="304" w:type="pct"/>
                  <w:vMerge w:val="restar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28.631801</w:t>
                  </w:r>
                </w:p>
              </w:tc>
              <w:tc>
                <w:tcPr>
                  <w:tcW w:w="29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50</w:t>
                  </w:r>
                </w:p>
              </w:tc>
              <w:tc>
                <w:tcPr>
                  <w:tcW w:w="279"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eastAsia="宋体"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eastAsia" w:cs="宋体"/>
                      <w:color w:val="FF0000"/>
                      <w:kern w:val="2"/>
                      <w:sz w:val="15"/>
                      <w:szCs w:val="15"/>
                      <w:u w:val="single"/>
                      <w:vertAlign w:val="baseline"/>
                      <w:lang w:val="en-US" w:eastAsia="zh-CN"/>
                    </w:rPr>
                  </w:pPr>
                </w:p>
              </w:tc>
              <w:tc>
                <w:tcPr>
                  <w:tcW w:w="176"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二甲苯</w:t>
                  </w:r>
                </w:p>
              </w:tc>
              <w:tc>
                <w:tcPr>
                  <w:tcW w:w="253"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1.21</w:t>
                  </w:r>
                </w:p>
              </w:tc>
              <w:tc>
                <w:tcPr>
                  <w:tcW w:w="227"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1.08</w:t>
                  </w:r>
                </w:p>
              </w:tc>
              <w:tc>
                <w:tcPr>
                  <w:tcW w:w="240"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0.035</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有组织排放</w:t>
                  </w:r>
                </w:p>
              </w:tc>
              <w:tc>
                <w:tcPr>
                  <w:tcW w:w="176"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eastAsia" w:cs="宋体"/>
                      <w:color w:val="FF0000"/>
                      <w:kern w:val="2"/>
                      <w:sz w:val="15"/>
                      <w:szCs w:val="15"/>
                      <w:u w:val="single"/>
                      <w:vertAlign w:val="baseline"/>
                      <w:lang w:val="en-US" w:eastAsia="zh-CN"/>
                    </w:rPr>
                  </w:pP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0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c>
                <w:tcPr>
                  <w:tcW w:w="227"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74.82%</w:t>
                  </w:r>
                </w:p>
              </w:tc>
              <w:tc>
                <w:tcPr>
                  <w:tcW w:w="125"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是</w:t>
                  </w:r>
                </w:p>
              </w:tc>
              <w:tc>
                <w:tcPr>
                  <w:tcW w:w="253" w:type="pct"/>
                  <w:tcBorders>
                    <w:tl2br w:val="nil"/>
                    <w:tr2bl w:val="nil"/>
                  </w:tcBorders>
                  <w:vAlign w:val="center"/>
                </w:tcPr>
                <w:p>
                  <w:pPr>
                    <w:bidi w:val="0"/>
                    <w:spacing w:line="240" w:lineRule="auto"/>
                    <w:jc w:val="center"/>
                    <w:rPr>
                      <w:rFonts w:hint="eastAsia" w:ascii="宋体" w:hAnsi="宋体" w:eastAsia="宋体" w:cs="宋体"/>
                      <w:color w:val="FF0000"/>
                      <w:kern w:val="2"/>
                      <w:sz w:val="15"/>
                      <w:szCs w:val="15"/>
                      <w:u w:val="single"/>
                      <w:vertAlign w:val="baseline"/>
                      <w:lang w:val="en-US" w:eastAsia="zh-CN" w:bidi="ar-SA"/>
                    </w:rPr>
                  </w:pPr>
                  <w:r>
                    <w:rPr>
                      <w:rFonts w:hint="eastAsia" w:ascii="宋体" w:hAnsi="宋体" w:eastAsia="宋体" w:cs="宋体"/>
                      <w:color w:val="FF0000"/>
                      <w:kern w:val="2"/>
                      <w:sz w:val="15"/>
                      <w:szCs w:val="15"/>
                      <w:u w:val="single"/>
                      <w:vertAlign w:val="baseline"/>
                      <w:lang w:val="en-US" w:eastAsia="zh-CN" w:bidi="ar-SA"/>
                    </w:rPr>
                    <w:t>0.31</w:t>
                  </w:r>
                </w:p>
              </w:tc>
              <w:tc>
                <w:tcPr>
                  <w:tcW w:w="279" w:type="pct"/>
                  <w:tcBorders>
                    <w:tl2br w:val="nil"/>
                    <w:tr2bl w:val="nil"/>
                  </w:tcBorders>
                  <w:vAlign w:val="center"/>
                </w:tcPr>
                <w:p>
                  <w:pPr>
                    <w:bidi w:val="0"/>
                    <w:spacing w:line="240" w:lineRule="auto"/>
                    <w:jc w:val="center"/>
                    <w:rPr>
                      <w:rFonts w:hint="eastAsia" w:ascii="宋体" w:hAnsi="宋体" w:eastAsia="宋体" w:cs="宋体"/>
                      <w:color w:val="FF0000"/>
                      <w:kern w:val="2"/>
                      <w:sz w:val="15"/>
                      <w:szCs w:val="15"/>
                      <w:u w:val="single"/>
                      <w:vertAlign w:val="baseline"/>
                      <w:lang w:val="en-US" w:eastAsia="zh-CN" w:bidi="ar-SA"/>
                    </w:rPr>
                  </w:pPr>
                  <w:r>
                    <w:rPr>
                      <w:rFonts w:hint="eastAsia" w:ascii="宋体" w:hAnsi="宋体" w:eastAsia="宋体" w:cs="宋体"/>
                      <w:color w:val="FF0000"/>
                      <w:kern w:val="2"/>
                      <w:sz w:val="15"/>
                      <w:szCs w:val="15"/>
                      <w:u w:val="single"/>
                      <w:vertAlign w:val="baseline"/>
                      <w:lang w:val="en-US" w:eastAsia="zh-CN" w:bidi="ar-SA"/>
                    </w:rPr>
                    <w:t>0.272</w:t>
                  </w:r>
                </w:p>
              </w:tc>
              <w:tc>
                <w:tcPr>
                  <w:tcW w:w="292" w:type="pct"/>
                  <w:tcBorders>
                    <w:tl2br w:val="nil"/>
                    <w:tr2bl w:val="nil"/>
                  </w:tcBorders>
                  <w:vAlign w:val="center"/>
                </w:tcPr>
                <w:p>
                  <w:pPr>
                    <w:bidi w:val="0"/>
                    <w:spacing w:line="240" w:lineRule="auto"/>
                    <w:jc w:val="center"/>
                    <w:rPr>
                      <w:rFonts w:hint="eastAsia" w:ascii="宋体" w:hAnsi="宋体" w:eastAsia="宋体" w:cs="宋体"/>
                      <w:color w:val="FF0000"/>
                      <w:kern w:val="2"/>
                      <w:sz w:val="15"/>
                      <w:szCs w:val="15"/>
                      <w:u w:val="single"/>
                      <w:vertAlign w:val="baseline"/>
                      <w:lang w:val="en-US" w:eastAsia="zh-CN" w:bidi="ar-SA"/>
                    </w:rPr>
                  </w:pPr>
                  <w:r>
                    <w:rPr>
                      <w:rFonts w:hint="eastAsia" w:ascii="宋体" w:hAnsi="宋体" w:eastAsia="宋体" w:cs="宋体"/>
                      <w:color w:val="FF0000"/>
                      <w:kern w:val="2"/>
                      <w:sz w:val="15"/>
                      <w:szCs w:val="15"/>
                      <w:u w:val="single"/>
                      <w:vertAlign w:val="baseline"/>
                      <w:lang w:val="en-US" w:eastAsia="zh-CN" w:bidi="ar-SA"/>
                    </w:rPr>
                    <w:t>0.0088</w:t>
                  </w:r>
                </w:p>
              </w:tc>
              <w:tc>
                <w:tcPr>
                  <w:tcW w:w="202"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eastAsia" w:cs="宋体"/>
                      <w:color w:val="FF0000"/>
                      <w:kern w:val="2"/>
                      <w:sz w:val="15"/>
                      <w:szCs w:val="15"/>
                      <w:u w:val="single"/>
                      <w:vertAlign w:val="baseline"/>
                      <w:lang w:val="en-US" w:eastAsia="zh-CN"/>
                    </w:rPr>
                  </w:pPr>
                </w:p>
              </w:tc>
              <w:tc>
                <w:tcPr>
                  <w:tcW w:w="202"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eastAsia" w:cs="宋体"/>
                      <w:color w:val="FF0000"/>
                      <w:kern w:val="2"/>
                      <w:sz w:val="15"/>
                      <w:szCs w:val="15"/>
                      <w:u w:val="single"/>
                      <w:vertAlign w:val="baseline"/>
                      <w:lang w:val="en-US" w:eastAsia="zh-CN"/>
                    </w:rPr>
                  </w:pPr>
                </w:p>
              </w:tc>
              <w:tc>
                <w:tcPr>
                  <w:tcW w:w="227"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eastAsia" w:cs="宋体"/>
                      <w:color w:val="FF0000"/>
                      <w:kern w:val="2"/>
                      <w:sz w:val="15"/>
                      <w:szCs w:val="15"/>
                      <w:u w:val="single"/>
                      <w:vertAlign w:val="baseline"/>
                      <w:lang w:val="en-US" w:eastAsia="zh-CN"/>
                    </w:rPr>
                  </w:pPr>
                </w:p>
              </w:tc>
              <w:tc>
                <w:tcPr>
                  <w:tcW w:w="202"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eastAsia" w:cs="宋体"/>
                      <w:color w:val="FF0000"/>
                      <w:kern w:val="2"/>
                      <w:sz w:val="15"/>
                      <w:szCs w:val="15"/>
                      <w:u w:val="single"/>
                      <w:vertAlign w:val="baseline"/>
                      <w:lang w:val="en-US" w:eastAsia="zh-CN"/>
                    </w:rPr>
                  </w:pPr>
                </w:p>
              </w:tc>
              <w:tc>
                <w:tcPr>
                  <w:tcW w:w="125"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eastAsia" w:cs="宋体"/>
                      <w:color w:val="FF0000"/>
                      <w:kern w:val="2"/>
                      <w:sz w:val="15"/>
                      <w:szCs w:val="15"/>
                      <w:u w:val="single"/>
                      <w:vertAlign w:val="baseline"/>
                      <w:lang w:val="en-US" w:eastAsia="zh-CN"/>
                    </w:rPr>
                  </w:pPr>
                </w:p>
              </w:tc>
              <w:tc>
                <w:tcPr>
                  <w:tcW w:w="330"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eastAsia" w:cs="宋体"/>
                      <w:color w:val="FF0000"/>
                      <w:kern w:val="2"/>
                      <w:sz w:val="15"/>
                      <w:szCs w:val="15"/>
                      <w:u w:val="single"/>
                      <w:vertAlign w:val="baseline"/>
                      <w:lang w:val="en-US" w:eastAsia="zh-CN"/>
                    </w:rPr>
                  </w:pPr>
                </w:p>
              </w:tc>
              <w:tc>
                <w:tcPr>
                  <w:tcW w:w="304" w:type="pct"/>
                  <w:vMerge w:val="continue"/>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eastAsia" w:cs="宋体"/>
                      <w:color w:val="FF0000"/>
                      <w:kern w:val="2"/>
                      <w:sz w:val="15"/>
                      <w:szCs w:val="15"/>
                      <w:u w:val="single"/>
                      <w:vertAlign w:val="baseline"/>
                      <w:lang w:val="en-US" w:eastAsia="zh-CN"/>
                    </w:rPr>
                  </w:pPr>
                </w:p>
              </w:tc>
              <w:tc>
                <w:tcPr>
                  <w:tcW w:w="292"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17</w:t>
                  </w:r>
                </w:p>
              </w:tc>
              <w:tc>
                <w:tcPr>
                  <w:tcW w:w="279" w:type="pct"/>
                  <w:tcBorders>
                    <w:tl2br w:val="nil"/>
                    <w:tr2bl w:val="nil"/>
                  </w:tcBorders>
                  <w:vAlign w:val="center"/>
                </w:tcPr>
                <w:p>
                  <w:pPr>
                    <w:pStyle w:val="11"/>
                    <w:numPr>
                      <w:ilvl w:val="0"/>
                      <w:numId w:val="0"/>
                    </w:numPr>
                    <w:adjustRightInd w:val="0"/>
                    <w:snapToGrid w:val="0"/>
                    <w:spacing w:before="0" w:beforeAutospacing="0" w:after="0" w:afterAutospacing="0" w:line="240" w:lineRule="auto"/>
                    <w:jc w:val="center"/>
                    <w:rPr>
                      <w:rFonts w:hint="default" w:cs="宋体"/>
                      <w:color w:val="FF0000"/>
                      <w:kern w:val="2"/>
                      <w:sz w:val="15"/>
                      <w:szCs w:val="15"/>
                      <w:u w:val="single"/>
                      <w:vertAlign w:val="baseline"/>
                      <w:lang w:val="en-US" w:eastAsia="zh-CN"/>
                    </w:rPr>
                  </w:pPr>
                  <w:r>
                    <w:rPr>
                      <w:rFonts w:hint="eastAsia" w:cs="宋体"/>
                      <w:color w:val="FF0000"/>
                      <w:kern w:val="2"/>
                      <w:sz w:val="15"/>
                      <w:szCs w:val="15"/>
                      <w:u w:val="single"/>
                      <w:vertAlign w:val="baseline"/>
                      <w:lang w:val="en-US" w:eastAsia="zh-CN"/>
                    </w:rPr>
                    <w:t>/</w:t>
                  </w:r>
                </w:p>
              </w:tc>
            </w:tr>
          </w:tbl>
          <w:p>
            <w:pPr>
              <w:pStyle w:val="11"/>
              <w:numPr>
                <w:ilvl w:val="0"/>
                <w:numId w:val="0"/>
              </w:numPr>
              <w:adjustRightInd w:val="0"/>
              <w:snapToGrid w:val="0"/>
              <w:spacing w:before="0" w:beforeAutospacing="0" w:after="0" w:afterAutospacing="0" w:line="360" w:lineRule="auto"/>
              <w:jc w:val="center"/>
              <w:rPr>
                <w:rFonts w:hint="eastAsia" w:cs="宋体"/>
                <w:color w:val="FF0000"/>
                <w:kern w:val="2"/>
                <w:sz w:val="24"/>
                <w:szCs w:val="24"/>
                <w:u w:val="single"/>
                <w:lang w:val="en-US" w:eastAsia="zh-CN"/>
              </w:rPr>
            </w:pPr>
          </w:p>
          <w:p>
            <w:pPr>
              <w:pStyle w:val="11"/>
              <w:numPr>
                <w:ilvl w:val="0"/>
                <w:numId w:val="0"/>
              </w:numPr>
              <w:adjustRightInd w:val="0"/>
              <w:snapToGrid w:val="0"/>
              <w:spacing w:before="0" w:beforeAutospacing="0" w:after="0" w:afterAutospacing="0" w:line="360" w:lineRule="auto"/>
              <w:jc w:val="both"/>
              <w:rPr>
                <w:rFonts w:hint="default" w:eastAsia="宋体" w:cs="宋体"/>
                <w:color w:val="FF0000"/>
                <w:kern w:val="2"/>
                <w:sz w:val="24"/>
                <w:szCs w:val="24"/>
                <w:u w:val="single"/>
                <w:lang w:val="en-US" w:eastAsia="zh-CN"/>
              </w:rPr>
            </w:pPr>
          </w:p>
        </w:tc>
      </w:tr>
    </w:tbl>
    <w:p>
      <w:pPr>
        <w:pStyle w:val="2"/>
        <w:ind w:left="0" w:leftChars="0" w:firstLine="0" w:firstLineChars="0"/>
        <w:rPr>
          <w:rFonts w:hint="eastAsia"/>
          <w:color w:val="FF0000"/>
          <w:u w:val="single"/>
        </w:rPr>
        <w:sectPr>
          <w:pgSz w:w="16840" w:h="11907"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8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38" w:hRule="atLeast"/>
        </w:trPr>
        <w:tc>
          <w:tcPr>
            <w:tcW w:w="743" w:type="dxa"/>
            <w:vAlign w:val="center"/>
          </w:tcPr>
          <w:p>
            <w:pPr>
              <w:pStyle w:val="11"/>
              <w:adjustRightInd w:val="0"/>
              <w:snapToGrid w:val="0"/>
              <w:spacing w:before="0" w:beforeAutospacing="0" w:after="0" w:afterAutospacing="0"/>
              <w:jc w:val="center"/>
              <w:rPr>
                <w:rFonts w:hint="eastAsia" w:cs="宋体"/>
                <w:color w:val="FF0000"/>
                <w:kern w:val="2"/>
                <w:sz w:val="24"/>
                <w:szCs w:val="24"/>
                <w:u w:val="single"/>
              </w:rPr>
            </w:pPr>
            <w:r>
              <w:rPr>
                <w:rFonts w:hint="eastAsia" w:cs="宋体"/>
                <w:color w:val="FF0000"/>
                <w:kern w:val="2"/>
                <w:sz w:val="24"/>
                <w:szCs w:val="24"/>
                <w:u w:val="single"/>
              </w:rPr>
              <w:t>运营</w:t>
            </w:r>
          </w:p>
          <w:p>
            <w:pPr>
              <w:pStyle w:val="11"/>
              <w:adjustRightInd w:val="0"/>
              <w:snapToGrid w:val="0"/>
              <w:spacing w:before="0" w:beforeAutospacing="0" w:after="0" w:afterAutospacing="0"/>
              <w:jc w:val="center"/>
              <w:rPr>
                <w:rFonts w:hint="eastAsia" w:cs="宋体"/>
                <w:color w:val="FF0000"/>
                <w:kern w:val="2"/>
                <w:sz w:val="24"/>
                <w:szCs w:val="24"/>
                <w:u w:val="single"/>
              </w:rPr>
            </w:pPr>
            <w:r>
              <w:rPr>
                <w:rFonts w:hint="eastAsia" w:cs="宋体"/>
                <w:color w:val="FF0000"/>
                <w:kern w:val="2"/>
                <w:sz w:val="24"/>
                <w:szCs w:val="24"/>
                <w:u w:val="single"/>
              </w:rPr>
              <w:t>期环</w:t>
            </w:r>
          </w:p>
          <w:p>
            <w:pPr>
              <w:pStyle w:val="11"/>
              <w:adjustRightInd w:val="0"/>
              <w:snapToGrid w:val="0"/>
              <w:spacing w:before="0" w:beforeAutospacing="0" w:after="0" w:afterAutospacing="0"/>
              <w:jc w:val="center"/>
              <w:rPr>
                <w:rFonts w:hint="eastAsia" w:cs="宋体"/>
                <w:color w:val="FF0000"/>
                <w:kern w:val="2"/>
                <w:sz w:val="24"/>
                <w:szCs w:val="24"/>
                <w:u w:val="single"/>
              </w:rPr>
            </w:pPr>
            <w:r>
              <w:rPr>
                <w:rFonts w:hint="eastAsia" w:cs="宋体"/>
                <w:color w:val="FF0000"/>
                <w:kern w:val="2"/>
                <w:sz w:val="24"/>
                <w:szCs w:val="24"/>
                <w:u w:val="single"/>
              </w:rPr>
              <w:t>境影</w:t>
            </w:r>
          </w:p>
          <w:p>
            <w:pPr>
              <w:pStyle w:val="11"/>
              <w:adjustRightInd w:val="0"/>
              <w:snapToGrid w:val="0"/>
              <w:spacing w:before="0" w:beforeAutospacing="0" w:after="0" w:afterAutospacing="0"/>
              <w:jc w:val="center"/>
              <w:rPr>
                <w:rFonts w:hint="eastAsia" w:cs="宋体"/>
                <w:color w:val="FF0000"/>
                <w:kern w:val="2"/>
                <w:sz w:val="24"/>
                <w:szCs w:val="24"/>
                <w:u w:val="single"/>
              </w:rPr>
            </w:pPr>
            <w:r>
              <w:rPr>
                <w:rFonts w:hint="eastAsia" w:cs="宋体"/>
                <w:color w:val="FF0000"/>
                <w:kern w:val="2"/>
                <w:sz w:val="24"/>
                <w:szCs w:val="24"/>
                <w:u w:val="single"/>
              </w:rPr>
              <w:t>响和</w:t>
            </w:r>
          </w:p>
          <w:p>
            <w:pPr>
              <w:pStyle w:val="11"/>
              <w:adjustRightInd w:val="0"/>
              <w:snapToGrid w:val="0"/>
              <w:spacing w:before="0" w:beforeAutospacing="0" w:after="0" w:afterAutospacing="0"/>
              <w:jc w:val="center"/>
              <w:rPr>
                <w:rFonts w:hint="eastAsia" w:cs="宋体"/>
                <w:color w:val="FF0000"/>
                <w:kern w:val="2"/>
                <w:sz w:val="24"/>
                <w:szCs w:val="24"/>
                <w:u w:val="single"/>
              </w:rPr>
            </w:pPr>
            <w:r>
              <w:rPr>
                <w:rFonts w:hint="eastAsia" w:cs="宋体"/>
                <w:color w:val="FF0000"/>
                <w:kern w:val="2"/>
                <w:sz w:val="24"/>
                <w:szCs w:val="24"/>
                <w:u w:val="single"/>
              </w:rPr>
              <w:t>保护</w:t>
            </w:r>
          </w:p>
          <w:p>
            <w:pPr>
              <w:pStyle w:val="11"/>
              <w:adjustRightInd w:val="0"/>
              <w:snapToGrid w:val="0"/>
              <w:spacing w:before="0" w:beforeAutospacing="0" w:after="0" w:afterAutospacing="0"/>
              <w:jc w:val="center"/>
              <w:rPr>
                <w:rFonts w:hint="eastAsia" w:cs="宋体"/>
                <w:color w:val="FF0000"/>
                <w:kern w:val="2"/>
                <w:sz w:val="24"/>
                <w:szCs w:val="24"/>
                <w:u w:val="single"/>
                <w:lang w:val="en-US" w:eastAsia="zh-CN"/>
              </w:rPr>
            </w:pPr>
            <w:r>
              <w:rPr>
                <w:rFonts w:hint="eastAsia" w:cs="宋体"/>
                <w:color w:val="FF0000"/>
                <w:kern w:val="2"/>
                <w:sz w:val="24"/>
                <w:szCs w:val="24"/>
                <w:u w:val="single"/>
              </w:rPr>
              <w:t>措施</w:t>
            </w:r>
          </w:p>
        </w:tc>
        <w:tc>
          <w:tcPr>
            <w:tcW w:w="8318" w:type="dxa"/>
            <w:vAlign w:val="top"/>
          </w:tcPr>
          <w:p>
            <w:pPr>
              <w:pStyle w:val="11"/>
              <w:adjustRightInd w:val="0"/>
              <w:snapToGrid w:val="0"/>
              <w:spacing w:before="0" w:beforeAutospacing="0" w:after="0" w:afterAutospacing="0" w:line="360" w:lineRule="auto"/>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废气源强核算过程：</w:t>
            </w:r>
          </w:p>
          <w:p>
            <w:pPr>
              <w:pStyle w:val="11"/>
              <w:adjustRightInd w:val="0"/>
              <w:snapToGrid w:val="0"/>
              <w:spacing w:before="0" w:beforeAutospacing="0" w:after="0" w:afterAutospacing="0" w:line="360" w:lineRule="auto"/>
              <w:ind w:firstLine="480" w:firstLineChars="200"/>
              <w:jc w:val="both"/>
              <w:rPr>
                <w:rFonts w:hint="default" w:cs="宋体"/>
                <w:color w:val="FF0000"/>
                <w:kern w:val="2"/>
                <w:sz w:val="24"/>
                <w:szCs w:val="24"/>
                <w:u w:val="single"/>
                <w:lang w:val="en-US" w:eastAsia="zh-CN"/>
              </w:rPr>
            </w:pPr>
            <w:r>
              <w:rPr>
                <w:rFonts w:hint="eastAsia" w:cs="宋体"/>
                <w:color w:val="FF0000"/>
                <w:kern w:val="2"/>
                <w:sz w:val="24"/>
                <w:szCs w:val="24"/>
                <w:u w:val="single"/>
                <w:lang w:val="en-US" w:eastAsia="zh-CN"/>
              </w:rPr>
              <w:t>①切割下料、打磨</w:t>
            </w:r>
          </w:p>
          <w:p>
            <w:pPr>
              <w:pStyle w:val="11"/>
              <w:adjustRightInd w:val="0"/>
              <w:snapToGrid w:val="0"/>
              <w:spacing w:before="0" w:beforeAutospacing="0" w:after="0" w:afterAutospacing="0" w:line="360" w:lineRule="auto"/>
              <w:ind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本项目在下料切割、打磨工序会产生切割烟尘，根据《全国污染源普查工业污染源产排 污系数手册》中3130钢压延加工业火焰清理、切割烟尘产污系数范围为0.1~0.6kg/t-钢，本项目需要切割、打磨的钢材用量为1500t/a，本项目烟尘产污系数以0.1kg/t-钢材计，则烟尘产生量为0.15t/a，切割、打磨烟尘在车间无组织排放。建设项目在切割、打磨时使用移动式烟尘净化器，收集率为85%，去除率为90%，则切割、打磨烟尘排放量为0.0353t/a，建设项目切割、打磨时间为6h/d。</w:t>
            </w:r>
          </w:p>
          <w:p>
            <w:pPr>
              <w:pStyle w:val="11"/>
              <w:adjustRightInd w:val="0"/>
              <w:snapToGrid w:val="0"/>
              <w:spacing w:before="0" w:beforeAutospacing="0" w:after="0" w:afterAutospacing="0" w:line="360" w:lineRule="auto"/>
              <w:jc w:val="center"/>
              <w:rPr>
                <w:rFonts w:hint="eastAsia" w:cs="宋体"/>
                <w:b/>
                <w:bCs/>
                <w:color w:val="FF0000"/>
                <w:kern w:val="2"/>
                <w:sz w:val="24"/>
                <w:szCs w:val="24"/>
                <w:u w:val="single"/>
                <w:lang w:val="en-US" w:eastAsia="zh-CN"/>
              </w:rPr>
            </w:pPr>
            <w:r>
              <w:rPr>
                <w:rFonts w:hint="eastAsia" w:cs="宋体"/>
                <w:b/>
                <w:bCs/>
                <w:color w:val="FF0000"/>
                <w:kern w:val="2"/>
                <w:sz w:val="24"/>
                <w:szCs w:val="24"/>
                <w:u w:val="single"/>
                <w:lang w:val="en-US" w:eastAsia="zh-CN"/>
              </w:rPr>
              <w:t>表4-2  切割下料、打磨粉尘产生及排放情况一览表</w:t>
            </w:r>
          </w:p>
          <w:tbl>
            <w:tblPr>
              <w:tblStyle w:val="14"/>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810"/>
              <w:gridCol w:w="967"/>
              <w:gridCol w:w="1056"/>
              <w:gridCol w:w="901"/>
              <w:gridCol w:w="967"/>
              <w:gridCol w:w="1182"/>
              <w:gridCol w:w="810"/>
              <w:gridCol w:w="9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污染物</w:t>
                  </w:r>
                </w:p>
              </w:tc>
              <w:tc>
                <w:tcPr>
                  <w:tcW w:w="1755" w:type="pct"/>
                  <w:gridSpan w:val="3"/>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产生情况</w:t>
                  </w:r>
                </w:p>
              </w:tc>
              <w:tc>
                <w:tcPr>
                  <w:tcW w:w="2991" w:type="pct"/>
                  <w:gridSpan w:val="5"/>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502"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产生量（t/a）</w:t>
                  </w:r>
                </w:p>
              </w:tc>
              <w:tc>
                <w:tcPr>
                  <w:tcW w:w="599"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产生速率（kg/h）</w:t>
                  </w:r>
                </w:p>
              </w:tc>
              <w:tc>
                <w:tcPr>
                  <w:tcW w:w="653"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产生浓度（mg/m</w:t>
                  </w:r>
                  <w:r>
                    <w:rPr>
                      <w:rFonts w:hint="eastAsia"/>
                      <w:color w:val="FF0000"/>
                      <w:sz w:val="18"/>
                      <w:szCs w:val="18"/>
                      <w:u w:val="single"/>
                      <w:vertAlign w:val="superscript"/>
                      <w:lang w:val="en-US" w:eastAsia="zh-CN"/>
                    </w:rPr>
                    <w:t>3</w:t>
                  </w:r>
                  <w:r>
                    <w:rPr>
                      <w:rFonts w:hint="eastAsia"/>
                      <w:color w:val="FF0000"/>
                      <w:sz w:val="18"/>
                      <w:szCs w:val="18"/>
                      <w:u w:val="single"/>
                      <w:lang w:val="en-US" w:eastAsia="zh-CN"/>
                    </w:rPr>
                    <w:t>）</w:t>
                  </w:r>
                </w:p>
              </w:tc>
              <w:tc>
                <w:tcPr>
                  <w:tcW w:w="1889" w:type="pct"/>
                  <w:gridSpan w:val="3"/>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有组织</w:t>
                  </w:r>
                </w:p>
              </w:tc>
              <w:tc>
                <w:tcPr>
                  <w:tcW w:w="1101" w:type="pct"/>
                  <w:gridSpan w:val="2"/>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502"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599"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653"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558"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排放量（t/a）</w:t>
                  </w:r>
                </w:p>
              </w:tc>
              <w:tc>
                <w:tcPr>
                  <w:tcW w:w="599"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排放速率（kg/h）</w:t>
                  </w:r>
                </w:p>
              </w:tc>
              <w:tc>
                <w:tcPr>
                  <w:tcW w:w="73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排放浓度（mg/m</w:t>
                  </w:r>
                  <w:r>
                    <w:rPr>
                      <w:rFonts w:hint="eastAsia"/>
                      <w:color w:val="FF0000"/>
                      <w:sz w:val="18"/>
                      <w:szCs w:val="18"/>
                      <w:u w:val="single"/>
                      <w:vertAlign w:val="superscript"/>
                      <w:lang w:val="en-US" w:eastAsia="zh-CN"/>
                    </w:rPr>
                    <w:t>3</w:t>
                  </w:r>
                  <w:r>
                    <w:rPr>
                      <w:rFonts w:hint="eastAsia"/>
                      <w:color w:val="FF0000"/>
                      <w:sz w:val="18"/>
                      <w:szCs w:val="18"/>
                      <w:u w:val="single"/>
                      <w:lang w:val="en-US" w:eastAsia="zh-CN"/>
                    </w:rPr>
                    <w:t>）</w:t>
                  </w:r>
                </w:p>
              </w:tc>
              <w:tc>
                <w:tcPr>
                  <w:tcW w:w="50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排放量（t/a）</w:t>
                  </w:r>
                </w:p>
              </w:tc>
              <w:tc>
                <w:tcPr>
                  <w:tcW w:w="599"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颗粒物</w:t>
                  </w:r>
                </w:p>
              </w:tc>
              <w:tc>
                <w:tcPr>
                  <w:tcW w:w="50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0.15</w:t>
                  </w:r>
                </w:p>
              </w:tc>
              <w:tc>
                <w:tcPr>
                  <w:tcW w:w="599"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0.0892</w:t>
                  </w:r>
                </w:p>
              </w:tc>
              <w:tc>
                <w:tcPr>
                  <w:tcW w:w="653"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w:t>
                  </w:r>
                </w:p>
              </w:tc>
              <w:tc>
                <w:tcPr>
                  <w:tcW w:w="558"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w:t>
                  </w:r>
                </w:p>
              </w:tc>
              <w:tc>
                <w:tcPr>
                  <w:tcW w:w="599"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w:t>
                  </w:r>
                </w:p>
              </w:tc>
              <w:tc>
                <w:tcPr>
                  <w:tcW w:w="73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w:t>
                  </w:r>
                </w:p>
              </w:tc>
              <w:tc>
                <w:tcPr>
                  <w:tcW w:w="50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0.0353</w:t>
                  </w:r>
                </w:p>
              </w:tc>
              <w:tc>
                <w:tcPr>
                  <w:tcW w:w="599"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0.0210</w:t>
                  </w:r>
                </w:p>
              </w:tc>
            </w:tr>
          </w:tbl>
          <w:p>
            <w:pPr>
              <w:pStyle w:val="11"/>
              <w:adjustRightInd w:val="0"/>
              <w:snapToGrid w:val="0"/>
              <w:spacing w:before="0" w:beforeAutospacing="0" w:after="0" w:afterAutospacing="0" w:line="360" w:lineRule="auto"/>
              <w:ind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②焊接废气</w:t>
            </w:r>
          </w:p>
          <w:p>
            <w:pPr>
              <w:pStyle w:val="11"/>
              <w:adjustRightInd w:val="0"/>
              <w:snapToGrid w:val="0"/>
              <w:spacing w:before="0" w:beforeAutospacing="0" w:after="0" w:afterAutospacing="0" w:line="360" w:lineRule="auto"/>
              <w:ind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本项目在焊接过程中会产生少量焊接烟尘，</w:t>
            </w:r>
            <w:r>
              <w:rPr>
                <w:rFonts w:cs="Times New Roman"/>
                <w:bCs/>
                <w:color w:val="FF0000"/>
                <w:u w:val="single"/>
              </w:rPr>
              <w:t>根据《焊接车间环境污染及控制技术进展》（孙大光）等相关</w:t>
            </w:r>
            <w:r>
              <w:rPr>
                <w:rFonts w:hint="eastAsia" w:cs="宋体"/>
                <w:color w:val="FF0000"/>
                <w:kern w:val="2"/>
                <w:sz w:val="24"/>
                <w:szCs w:val="24"/>
                <w:u w:val="single"/>
                <w:lang w:val="en-US" w:eastAsia="zh-CN"/>
              </w:rPr>
              <w:t>技术资料，焊接工序发尘系数一般为3-8g/kg，本环评取最大值进行计算。项目焊条新增加焊材用量为232t/a（1#车间50t，2#车间2t，4#车间180t），则焊接烟尘产生量为1.856t/a。项目产生的焊接烟尘使用移动式烟尘净化器收集，收集率为85%，去除率为90%，则焊接废气的排放量为0.4361t/a。本项目焊接时间为6h/d。</w:t>
            </w:r>
          </w:p>
          <w:p>
            <w:pPr>
              <w:pStyle w:val="11"/>
              <w:adjustRightInd w:val="0"/>
              <w:snapToGrid w:val="0"/>
              <w:spacing w:before="0" w:beforeAutospacing="0" w:after="0" w:afterAutospacing="0" w:line="360" w:lineRule="auto"/>
              <w:jc w:val="center"/>
              <w:rPr>
                <w:rFonts w:hint="eastAsia" w:cs="宋体"/>
                <w:b/>
                <w:bCs/>
                <w:color w:val="FF0000"/>
                <w:kern w:val="2"/>
                <w:sz w:val="24"/>
                <w:szCs w:val="24"/>
                <w:u w:val="single"/>
                <w:lang w:val="en-US" w:eastAsia="zh-CN"/>
              </w:rPr>
            </w:pPr>
            <w:r>
              <w:rPr>
                <w:rFonts w:hint="eastAsia" w:cs="宋体"/>
                <w:b/>
                <w:bCs/>
                <w:color w:val="FF0000"/>
                <w:kern w:val="2"/>
                <w:sz w:val="24"/>
                <w:szCs w:val="24"/>
                <w:u w:val="single"/>
                <w:lang w:val="en-US" w:eastAsia="zh-CN"/>
              </w:rPr>
              <w:t>表4-3  焊接废气产生及排放情况一览表</w:t>
            </w:r>
          </w:p>
          <w:tbl>
            <w:tblPr>
              <w:tblStyle w:val="14"/>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810"/>
              <w:gridCol w:w="967"/>
              <w:gridCol w:w="1056"/>
              <w:gridCol w:w="901"/>
              <w:gridCol w:w="967"/>
              <w:gridCol w:w="1182"/>
              <w:gridCol w:w="810"/>
              <w:gridCol w:w="9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污染物</w:t>
                  </w:r>
                </w:p>
              </w:tc>
              <w:tc>
                <w:tcPr>
                  <w:tcW w:w="1755" w:type="pct"/>
                  <w:gridSpan w:val="3"/>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产生情况</w:t>
                  </w:r>
                </w:p>
              </w:tc>
              <w:tc>
                <w:tcPr>
                  <w:tcW w:w="2991" w:type="pct"/>
                  <w:gridSpan w:val="5"/>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502"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产生量（t/a）</w:t>
                  </w:r>
                </w:p>
              </w:tc>
              <w:tc>
                <w:tcPr>
                  <w:tcW w:w="599"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产生速率（kg/h）</w:t>
                  </w:r>
                </w:p>
              </w:tc>
              <w:tc>
                <w:tcPr>
                  <w:tcW w:w="653"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产生浓度（mg/m</w:t>
                  </w:r>
                  <w:r>
                    <w:rPr>
                      <w:rFonts w:hint="eastAsia"/>
                      <w:color w:val="FF0000"/>
                      <w:sz w:val="18"/>
                      <w:szCs w:val="18"/>
                      <w:u w:val="single"/>
                      <w:vertAlign w:val="superscript"/>
                      <w:lang w:val="en-US" w:eastAsia="zh-CN"/>
                    </w:rPr>
                    <w:t>3</w:t>
                  </w:r>
                  <w:r>
                    <w:rPr>
                      <w:rFonts w:hint="eastAsia"/>
                      <w:color w:val="FF0000"/>
                      <w:sz w:val="18"/>
                      <w:szCs w:val="18"/>
                      <w:u w:val="single"/>
                      <w:lang w:val="en-US" w:eastAsia="zh-CN"/>
                    </w:rPr>
                    <w:t>）</w:t>
                  </w:r>
                </w:p>
              </w:tc>
              <w:tc>
                <w:tcPr>
                  <w:tcW w:w="1889" w:type="pct"/>
                  <w:gridSpan w:val="3"/>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有组织</w:t>
                  </w:r>
                </w:p>
              </w:tc>
              <w:tc>
                <w:tcPr>
                  <w:tcW w:w="1101" w:type="pct"/>
                  <w:gridSpan w:val="2"/>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252"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502"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599"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653"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558"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排放量（t/a）</w:t>
                  </w:r>
                </w:p>
              </w:tc>
              <w:tc>
                <w:tcPr>
                  <w:tcW w:w="599"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排放速率（kg/h）</w:t>
                  </w:r>
                </w:p>
              </w:tc>
              <w:tc>
                <w:tcPr>
                  <w:tcW w:w="73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排放浓度（mg/m</w:t>
                  </w:r>
                  <w:r>
                    <w:rPr>
                      <w:rFonts w:hint="eastAsia"/>
                      <w:color w:val="FF0000"/>
                      <w:sz w:val="18"/>
                      <w:szCs w:val="18"/>
                      <w:u w:val="single"/>
                      <w:vertAlign w:val="superscript"/>
                      <w:lang w:val="en-US" w:eastAsia="zh-CN"/>
                    </w:rPr>
                    <w:t>3</w:t>
                  </w:r>
                  <w:r>
                    <w:rPr>
                      <w:rFonts w:hint="eastAsia"/>
                      <w:color w:val="FF0000"/>
                      <w:sz w:val="18"/>
                      <w:szCs w:val="18"/>
                      <w:u w:val="single"/>
                      <w:lang w:val="en-US" w:eastAsia="zh-CN"/>
                    </w:rPr>
                    <w:t>）</w:t>
                  </w:r>
                </w:p>
              </w:tc>
              <w:tc>
                <w:tcPr>
                  <w:tcW w:w="50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排放量（t/a）</w:t>
                  </w:r>
                </w:p>
              </w:tc>
              <w:tc>
                <w:tcPr>
                  <w:tcW w:w="599"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颗粒物</w:t>
                  </w:r>
                </w:p>
              </w:tc>
              <w:tc>
                <w:tcPr>
                  <w:tcW w:w="50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1.856</w:t>
                  </w:r>
                </w:p>
              </w:tc>
              <w:tc>
                <w:tcPr>
                  <w:tcW w:w="599"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1.105</w:t>
                  </w:r>
                </w:p>
              </w:tc>
              <w:tc>
                <w:tcPr>
                  <w:tcW w:w="653"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w:t>
                  </w:r>
                </w:p>
              </w:tc>
              <w:tc>
                <w:tcPr>
                  <w:tcW w:w="558"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w:t>
                  </w:r>
                </w:p>
              </w:tc>
              <w:tc>
                <w:tcPr>
                  <w:tcW w:w="599"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w:t>
                  </w:r>
                </w:p>
              </w:tc>
              <w:tc>
                <w:tcPr>
                  <w:tcW w:w="73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w:t>
                  </w:r>
                </w:p>
              </w:tc>
              <w:tc>
                <w:tcPr>
                  <w:tcW w:w="502"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0.4361</w:t>
                  </w:r>
                </w:p>
              </w:tc>
              <w:tc>
                <w:tcPr>
                  <w:tcW w:w="599"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0.2595</w:t>
                  </w:r>
                </w:p>
              </w:tc>
            </w:tr>
          </w:tbl>
          <w:p>
            <w:pPr>
              <w:pStyle w:val="11"/>
              <w:adjustRightInd w:val="0"/>
              <w:snapToGrid w:val="0"/>
              <w:spacing w:before="0" w:beforeAutospacing="0" w:after="0" w:afterAutospacing="0" w:line="360" w:lineRule="auto"/>
              <w:ind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③喷漆废气</w:t>
            </w:r>
          </w:p>
          <w:p>
            <w:pPr>
              <w:pStyle w:val="11"/>
              <w:adjustRightInd w:val="0"/>
              <w:snapToGrid w:val="0"/>
              <w:spacing w:before="0" w:beforeAutospacing="0" w:after="0" w:afterAutospacing="0" w:line="360" w:lineRule="auto"/>
              <w:ind w:firstLine="480" w:firstLineChars="200"/>
              <w:jc w:val="both"/>
              <w:rPr>
                <w:rFonts w:hint="default" w:cs="宋体"/>
                <w:color w:val="FF0000"/>
                <w:kern w:val="2"/>
                <w:sz w:val="24"/>
                <w:szCs w:val="24"/>
                <w:u w:val="single"/>
                <w:lang w:val="en-US" w:eastAsia="zh-CN"/>
              </w:rPr>
            </w:pPr>
            <w:r>
              <w:rPr>
                <w:rFonts w:hint="eastAsia" w:cs="宋体"/>
                <w:color w:val="FF0000"/>
                <w:kern w:val="2"/>
                <w:sz w:val="24"/>
                <w:szCs w:val="24"/>
                <w:u w:val="single"/>
                <w:lang w:val="en-US" w:eastAsia="zh-CN"/>
              </w:rPr>
              <w:t>根据业</w:t>
            </w:r>
            <w:r>
              <w:rPr>
                <w:rFonts w:hint="default" w:ascii="Times New Roman" w:hAnsi="Times New Roman" w:eastAsia="宋体" w:cs="Times New Roman"/>
                <w:color w:val="FF0000"/>
                <w:kern w:val="2"/>
                <w:sz w:val="24"/>
                <w:szCs w:val="24"/>
                <w:u w:val="single"/>
                <w:lang w:val="en-US" w:eastAsia="zh-CN"/>
              </w:rPr>
              <w:t>主提供资料，项目1#车间设计喷漆，喷漆平均工作时长4h</w:t>
            </w:r>
            <w:r>
              <w:rPr>
                <w:rFonts w:hint="eastAsia" w:ascii="Times New Roman" w:hAnsi="Times New Roman" w:eastAsia="宋体" w:cs="Times New Roman"/>
                <w:color w:val="FF0000"/>
                <w:kern w:val="2"/>
                <w:sz w:val="24"/>
                <w:szCs w:val="24"/>
                <w:u w:val="single"/>
                <w:lang w:val="en-US" w:eastAsia="zh-CN"/>
              </w:rPr>
              <w:t>。</w:t>
            </w:r>
            <w:r>
              <w:rPr>
                <w:rFonts w:hint="default" w:ascii="Times New Roman" w:hAnsi="Times New Roman" w:eastAsia="宋体" w:cs="Times New Roman"/>
                <w:color w:val="FF0000"/>
                <w:kern w:val="2"/>
                <w:sz w:val="24"/>
                <w:szCs w:val="24"/>
                <w:u w:val="single"/>
                <w:lang w:val="en-US" w:eastAsia="zh-CN"/>
              </w:rPr>
              <w:t>项目喷漆房面积550m</w:t>
            </w:r>
            <w:r>
              <w:rPr>
                <w:rFonts w:hint="default" w:ascii="Times New Roman" w:hAnsi="Times New Roman" w:eastAsia="宋体" w:cs="Times New Roman"/>
                <w:color w:val="FF0000"/>
                <w:kern w:val="2"/>
                <w:sz w:val="24"/>
                <w:szCs w:val="24"/>
                <w:u w:val="single"/>
                <w:vertAlign w:val="superscript"/>
                <w:lang w:val="en-US" w:eastAsia="zh-CN"/>
              </w:rPr>
              <w:t>2</w:t>
            </w:r>
            <w:r>
              <w:rPr>
                <w:rFonts w:hint="default" w:ascii="Times New Roman" w:hAnsi="Times New Roman" w:eastAsia="宋体" w:cs="Times New Roman"/>
                <w:color w:val="FF0000"/>
                <w:kern w:val="2"/>
                <w:sz w:val="24"/>
                <w:szCs w:val="24"/>
                <w:u w:val="single"/>
                <w:lang w:val="en-US" w:eastAsia="zh-CN"/>
              </w:rPr>
              <w:t>，</w:t>
            </w:r>
            <w:r>
              <w:rPr>
                <w:rFonts w:hint="eastAsia" w:ascii="Times New Roman" w:hAnsi="Times New Roman" w:eastAsia="宋体" w:cs="Times New Roman"/>
                <w:color w:val="FF0000"/>
                <w:kern w:val="2"/>
                <w:sz w:val="24"/>
                <w:szCs w:val="24"/>
                <w:u w:val="single"/>
                <w:lang w:val="en-US" w:eastAsia="zh-CN"/>
              </w:rPr>
              <w:t>整改完成后，喷漆房采用全密闭建设，喷漆后采用自然晾干的方式。</w:t>
            </w:r>
            <w:r>
              <w:rPr>
                <w:rFonts w:hint="default" w:ascii="Times New Roman" w:hAnsi="Times New Roman" w:eastAsia="宋体" w:cs="Times New Roman"/>
                <w:color w:val="FF0000"/>
                <w:kern w:val="2"/>
                <w:sz w:val="24"/>
                <w:szCs w:val="24"/>
                <w:u w:val="single"/>
                <w:lang w:val="en-US" w:eastAsia="zh-CN"/>
              </w:rPr>
              <w:t>根据</w:t>
            </w:r>
            <w:r>
              <w:rPr>
                <w:rFonts w:hint="eastAsia" w:cs="宋体"/>
                <w:color w:val="FF0000"/>
                <w:kern w:val="2"/>
                <w:sz w:val="24"/>
                <w:szCs w:val="24"/>
                <w:u w:val="single"/>
                <w:lang w:val="en-US" w:eastAsia="zh-CN"/>
              </w:rPr>
              <w:t>检测报告可知项目喷漆房排气筒各污染因子进出口排放情况，则项目详见下表。</w:t>
            </w:r>
          </w:p>
          <w:p>
            <w:pPr>
              <w:pStyle w:val="11"/>
              <w:adjustRightInd w:val="0"/>
              <w:snapToGrid w:val="0"/>
              <w:spacing w:before="0" w:beforeAutospacing="0" w:after="0" w:afterAutospacing="0" w:line="360" w:lineRule="auto"/>
              <w:jc w:val="center"/>
              <w:rPr>
                <w:rFonts w:hint="eastAsia" w:cs="宋体"/>
                <w:b/>
                <w:bCs/>
                <w:color w:val="FF0000"/>
                <w:kern w:val="2"/>
                <w:sz w:val="24"/>
                <w:szCs w:val="24"/>
                <w:u w:val="single"/>
                <w:lang w:val="en-US" w:eastAsia="zh-CN"/>
              </w:rPr>
            </w:pPr>
            <w:r>
              <w:rPr>
                <w:rFonts w:hint="eastAsia" w:cs="宋体"/>
                <w:b/>
                <w:bCs/>
                <w:color w:val="FF0000"/>
                <w:kern w:val="2"/>
                <w:sz w:val="24"/>
                <w:szCs w:val="24"/>
                <w:u w:val="single"/>
                <w:lang w:val="en-US" w:eastAsia="zh-CN"/>
              </w:rPr>
              <w:t>表4-4  喷漆废气产生及排放情况一览表</w:t>
            </w:r>
          </w:p>
          <w:tbl>
            <w:tblPr>
              <w:tblStyle w:val="14"/>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002"/>
              <w:gridCol w:w="966"/>
              <w:gridCol w:w="1240"/>
              <w:gridCol w:w="1082"/>
              <w:gridCol w:w="1326"/>
              <w:gridCol w:w="14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污染物</w:t>
                  </w:r>
                </w:p>
              </w:tc>
              <w:tc>
                <w:tcPr>
                  <w:tcW w:w="1987" w:type="pct"/>
                  <w:gridSpan w:val="3"/>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产生情况</w:t>
                  </w:r>
                </w:p>
              </w:tc>
              <w:tc>
                <w:tcPr>
                  <w:tcW w:w="2376" w:type="pct"/>
                  <w:gridSpan w:val="3"/>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621"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产生量（t/a）</w:t>
                  </w:r>
                </w:p>
              </w:tc>
              <w:tc>
                <w:tcPr>
                  <w:tcW w:w="598"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产生速率（kg/h）</w:t>
                  </w:r>
                </w:p>
              </w:tc>
              <w:tc>
                <w:tcPr>
                  <w:tcW w:w="766" w:type="pct"/>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产生浓度（mg/m</w:t>
                  </w:r>
                  <w:r>
                    <w:rPr>
                      <w:rFonts w:hint="eastAsia"/>
                      <w:color w:val="FF0000"/>
                      <w:sz w:val="18"/>
                      <w:szCs w:val="18"/>
                      <w:u w:val="single"/>
                      <w:vertAlign w:val="superscript"/>
                      <w:lang w:val="en-US" w:eastAsia="zh-CN"/>
                    </w:rPr>
                    <w:t>3</w:t>
                  </w:r>
                  <w:r>
                    <w:rPr>
                      <w:rFonts w:hint="eastAsia"/>
                      <w:color w:val="FF0000"/>
                      <w:sz w:val="18"/>
                      <w:szCs w:val="18"/>
                      <w:u w:val="single"/>
                      <w:lang w:val="en-US" w:eastAsia="zh-CN"/>
                    </w:rPr>
                    <w:t>）</w:t>
                  </w:r>
                </w:p>
              </w:tc>
              <w:tc>
                <w:tcPr>
                  <w:tcW w:w="2376" w:type="pct"/>
                  <w:gridSpan w:val="3"/>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621"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598"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766" w:type="pct"/>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670"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排放量（t/a）</w:t>
                  </w:r>
                </w:p>
              </w:tc>
              <w:tc>
                <w:tcPr>
                  <w:tcW w:w="821"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排放速率（kg/h）</w:t>
                  </w:r>
                </w:p>
              </w:tc>
              <w:tc>
                <w:tcPr>
                  <w:tcW w:w="885"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排放浓度（mg/m</w:t>
                  </w:r>
                  <w:r>
                    <w:rPr>
                      <w:rFonts w:hint="eastAsia"/>
                      <w:color w:val="FF0000"/>
                      <w:sz w:val="18"/>
                      <w:szCs w:val="18"/>
                      <w:u w:val="single"/>
                      <w:vertAlign w:val="superscript"/>
                      <w:lang w:val="en-US" w:eastAsia="zh-CN"/>
                    </w:rPr>
                    <w:t>3</w:t>
                  </w:r>
                  <w:r>
                    <w:rPr>
                      <w:rFonts w:hint="eastAsia"/>
                      <w:color w:val="FF0000"/>
                      <w:sz w:val="18"/>
                      <w:szCs w:val="18"/>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有机废气（VOCs）</w:t>
                  </w:r>
                </w:p>
              </w:tc>
              <w:tc>
                <w:tcPr>
                  <w:tcW w:w="621"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0.56</w:t>
                  </w:r>
                </w:p>
              </w:tc>
              <w:tc>
                <w:tcPr>
                  <w:tcW w:w="598"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0.50</w:t>
                  </w:r>
                </w:p>
              </w:tc>
              <w:tc>
                <w:tcPr>
                  <w:tcW w:w="766"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15.25</w:t>
                  </w:r>
                </w:p>
              </w:tc>
              <w:tc>
                <w:tcPr>
                  <w:tcW w:w="670"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0.14</w:t>
                  </w:r>
                </w:p>
              </w:tc>
              <w:tc>
                <w:tcPr>
                  <w:tcW w:w="821"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0.127</w:t>
                  </w:r>
                </w:p>
              </w:tc>
              <w:tc>
                <w:tcPr>
                  <w:tcW w:w="885"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3.91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二甲苯</w:t>
                  </w:r>
                </w:p>
              </w:tc>
              <w:tc>
                <w:tcPr>
                  <w:tcW w:w="621"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1.21</w:t>
                  </w:r>
                </w:p>
              </w:tc>
              <w:tc>
                <w:tcPr>
                  <w:tcW w:w="598"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1.08</w:t>
                  </w:r>
                </w:p>
              </w:tc>
              <w:tc>
                <w:tcPr>
                  <w:tcW w:w="766"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0.035</w:t>
                  </w:r>
                </w:p>
              </w:tc>
              <w:tc>
                <w:tcPr>
                  <w:tcW w:w="670"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0.31</w:t>
                  </w:r>
                </w:p>
              </w:tc>
              <w:tc>
                <w:tcPr>
                  <w:tcW w:w="821" w:type="pc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0.272</w:t>
                  </w:r>
                </w:p>
              </w:tc>
              <w:tc>
                <w:tcPr>
                  <w:tcW w:w="885" w:type="pct"/>
                  <w:tcBorders>
                    <w:tl2br w:val="nil"/>
                    <w:tr2bl w:val="nil"/>
                  </w:tcBorders>
                  <w:vAlign w:val="center"/>
                </w:tcPr>
                <w:p>
                  <w:pPr>
                    <w:bidi w:val="0"/>
                    <w:spacing w:line="240" w:lineRule="auto"/>
                    <w:jc w:val="center"/>
                    <w:rPr>
                      <w:rFonts w:hint="eastAsia"/>
                      <w:color w:val="FF0000"/>
                      <w:sz w:val="18"/>
                      <w:szCs w:val="18"/>
                      <w:u w:val="single"/>
                      <w:lang w:val="en-US" w:eastAsia="zh-CN"/>
                    </w:rPr>
                  </w:pPr>
                  <w:r>
                    <w:rPr>
                      <w:rFonts w:hint="eastAsia"/>
                      <w:color w:val="FF0000"/>
                      <w:sz w:val="18"/>
                      <w:szCs w:val="18"/>
                      <w:u w:val="single"/>
                      <w:lang w:val="en-US" w:eastAsia="zh-CN"/>
                    </w:rPr>
                    <w:t>0.0088</w:t>
                  </w:r>
                </w:p>
              </w:tc>
            </w:tr>
          </w:tbl>
          <w:p>
            <w:pPr>
              <w:pStyle w:val="11"/>
              <w:numPr>
                <w:ilvl w:val="0"/>
                <w:numId w:val="0"/>
              </w:numPr>
              <w:adjustRightInd w:val="0"/>
              <w:snapToGrid w:val="0"/>
              <w:spacing w:before="0" w:beforeAutospacing="0" w:after="0" w:afterAutospacing="0" w:line="360" w:lineRule="auto"/>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（2）监测计划</w:t>
            </w:r>
          </w:p>
          <w:p>
            <w:pPr>
              <w:pStyle w:val="11"/>
              <w:numPr>
                <w:ilvl w:val="0"/>
                <w:numId w:val="0"/>
              </w:numPr>
              <w:adjustRightInd w:val="0"/>
              <w:snapToGrid w:val="0"/>
              <w:spacing w:before="0" w:beforeAutospacing="0" w:after="0" w:afterAutospacing="0" w:line="360" w:lineRule="auto"/>
              <w:ind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根据《排污单位自行监测技术指南 总则》（HJ819-2017），项目大气监测计划如下表所示。</w:t>
            </w:r>
          </w:p>
          <w:p>
            <w:pPr>
              <w:pStyle w:val="11"/>
              <w:numPr>
                <w:ilvl w:val="0"/>
                <w:numId w:val="0"/>
              </w:numPr>
              <w:adjustRightInd w:val="0"/>
              <w:snapToGrid w:val="0"/>
              <w:spacing w:before="0" w:beforeAutospacing="0" w:after="0" w:afterAutospacing="0" w:line="360" w:lineRule="auto"/>
              <w:jc w:val="center"/>
              <w:rPr>
                <w:rFonts w:hint="default" w:cs="宋体"/>
                <w:b/>
                <w:bCs/>
                <w:color w:val="FF0000"/>
                <w:kern w:val="2"/>
                <w:sz w:val="24"/>
                <w:szCs w:val="24"/>
                <w:u w:val="single"/>
                <w:vertAlign w:val="baseline"/>
                <w:lang w:val="en-US" w:eastAsia="zh-CN"/>
              </w:rPr>
            </w:pPr>
            <w:r>
              <w:rPr>
                <w:rFonts w:hint="eastAsia" w:cs="宋体"/>
                <w:b/>
                <w:bCs/>
                <w:color w:val="FF0000"/>
                <w:kern w:val="2"/>
                <w:sz w:val="24"/>
                <w:szCs w:val="24"/>
                <w:u w:val="single"/>
                <w:lang w:val="en-US" w:eastAsia="zh-CN"/>
              </w:rPr>
              <w:t>表4-5  项目监测大气监测计划</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91"/>
              <w:gridCol w:w="1320"/>
              <w:gridCol w:w="1663"/>
              <w:gridCol w:w="2334"/>
              <w:gridCol w:w="14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18" w:type="pct"/>
                  <w:gridSpan w:val="2"/>
                  <w:noWrap w:val="0"/>
                  <w:vAlign w:val="center"/>
                </w:tcPr>
                <w:p>
                  <w:pPr>
                    <w:jc w:val="center"/>
                    <w:rPr>
                      <w:color w:val="FF0000"/>
                      <w:szCs w:val="21"/>
                      <w:u w:val="single"/>
                    </w:rPr>
                  </w:pPr>
                  <w:r>
                    <w:rPr>
                      <w:color w:val="FF0000"/>
                      <w:szCs w:val="21"/>
                      <w:u w:val="single"/>
                    </w:rPr>
                    <w:t>类型</w:t>
                  </w:r>
                </w:p>
              </w:tc>
              <w:tc>
                <w:tcPr>
                  <w:tcW w:w="1030" w:type="pct"/>
                  <w:noWrap w:val="0"/>
                  <w:vAlign w:val="center"/>
                </w:tcPr>
                <w:p>
                  <w:pPr>
                    <w:jc w:val="center"/>
                    <w:rPr>
                      <w:color w:val="FF0000"/>
                      <w:szCs w:val="21"/>
                      <w:u w:val="single"/>
                    </w:rPr>
                  </w:pPr>
                  <w:r>
                    <w:rPr>
                      <w:color w:val="FF0000"/>
                      <w:szCs w:val="21"/>
                      <w:u w:val="single"/>
                    </w:rPr>
                    <w:t>监测点位</w:t>
                  </w:r>
                </w:p>
              </w:tc>
              <w:tc>
                <w:tcPr>
                  <w:tcW w:w="1446" w:type="pct"/>
                  <w:noWrap w:val="0"/>
                  <w:vAlign w:val="center"/>
                </w:tcPr>
                <w:p>
                  <w:pPr>
                    <w:jc w:val="center"/>
                    <w:rPr>
                      <w:color w:val="FF0000"/>
                      <w:szCs w:val="21"/>
                      <w:u w:val="single"/>
                    </w:rPr>
                  </w:pPr>
                  <w:r>
                    <w:rPr>
                      <w:color w:val="FF0000"/>
                      <w:szCs w:val="21"/>
                      <w:u w:val="single"/>
                    </w:rPr>
                    <w:t>监测项目</w:t>
                  </w:r>
                </w:p>
              </w:tc>
              <w:tc>
                <w:tcPr>
                  <w:tcW w:w="905" w:type="pct"/>
                  <w:noWrap w:val="0"/>
                  <w:vAlign w:val="center"/>
                </w:tcPr>
                <w:p>
                  <w:pPr>
                    <w:jc w:val="center"/>
                    <w:rPr>
                      <w:color w:val="FF0000"/>
                      <w:szCs w:val="21"/>
                      <w:u w:val="single"/>
                    </w:rPr>
                  </w:pPr>
                  <w:r>
                    <w:rPr>
                      <w:color w:val="FF0000"/>
                      <w:szCs w:val="21"/>
                      <w:u w:val="single"/>
                    </w:rPr>
                    <w:t>监测频次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0" w:type="pct"/>
                  <w:vMerge w:val="restart"/>
                  <w:noWrap w:val="0"/>
                  <w:vAlign w:val="center"/>
                </w:tcPr>
                <w:p>
                  <w:pPr>
                    <w:jc w:val="center"/>
                    <w:rPr>
                      <w:color w:val="FF0000"/>
                      <w:szCs w:val="21"/>
                      <w:u w:val="single"/>
                    </w:rPr>
                  </w:pPr>
                  <w:r>
                    <w:rPr>
                      <w:color w:val="FF0000"/>
                      <w:szCs w:val="21"/>
                      <w:u w:val="single"/>
                    </w:rPr>
                    <w:t>污染源监测</w:t>
                  </w:r>
                </w:p>
              </w:tc>
              <w:tc>
                <w:tcPr>
                  <w:tcW w:w="817" w:type="pct"/>
                  <w:noWrap w:val="0"/>
                  <w:vAlign w:val="center"/>
                </w:tcPr>
                <w:p>
                  <w:pPr>
                    <w:jc w:val="center"/>
                    <w:rPr>
                      <w:color w:val="FF0000"/>
                      <w:szCs w:val="21"/>
                      <w:u w:val="single"/>
                    </w:rPr>
                  </w:pPr>
                  <w:r>
                    <w:rPr>
                      <w:color w:val="FF0000"/>
                      <w:szCs w:val="21"/>
                      <w:u w:val="single"/>
                    </w:rPr>
                    <w:t>大气污染物</w:t>
                  </w:r>
                </w:p>
              </w:tc>
              <w:tc>
                <w:tcPr>
                  <w:tcW w:w="1030" w:type="pct"/>
                  <w:noWrap w:val="0"/>
                  <w:vAlign w:val="center"/>
                </w:tcPr>
                <w:p>
                  <w:pPr>
                    <w:jc w:val="center"/>
                    <w:rPr>
                      <w:rFonts w:hint="eastAsia"/>
                      <w:color w:val="FF0000"/>
                      <w:szCs w:val="21"/>
                      <w:u w:val="single"/>
                    </w:rPr>
                  </w:pPr>
                  <w:r>
                    <w:rPr>
                      <w:rFonts w:hint="eastAsia"/>
                      <w:color w:val="FF0000"/>
                      <w:szCs w:val="21"/>
                      <w:u w:val="single"/>
                      <w:lang w:val="en-US" w:eastAsia="zh-CN"/>
                    </w:rPr>
                    <w:t>1#</w:t>
                  </w:r>
                  <w:r>
                    <w:rPr>
                      <w:color w:val="FF0000"/>
                      <w:szCs w:val="21"/>
                      <w:u w:val="single"/>
                    </w:rPr>
                    <w:t>排气筒</w:t>
                  </w:r>
                </w:p>
              </w:tc>
              <w:tc>
                <w:tcPr>
                  <w:tcW w:w="1446" w:type="pct"/>
                  <w:noWrap w:val="0"/>
                  <w:vAlign w:val="center"/>
                </w:tcPr>
                <w:p>
                  <w:pPr>
                    <w:jc w:val="center"/>
                    <w:rPr>
                      <w:rFonts w:hint="default" w:eastAsia="宋体"/>
                      <w:color w:val="FF0000"/>
                      <w:szCs w:val="21"/>
                      <w:u w:val="single"/>
                      <w:lang w:val="en-US" w:eastAsia="zh-CN"/>
                    </w:rPr>
                  </w:pPr>
                  <w:r>
                    <w:rPr>
                      <w:color w:val="FF0000"/>
                      <w:szCs w:val="21"/>
                      <w:u w:val="single"/>
                    </w:rPr>
                    <w:t>VOCs</w:t>
                  </w:r>
                  <w:r>
                    <w:rPr>
                      <w:rFonts w:hint="eastAsia"/>
                      <w:color w:val="FF0000"/>
                      <w:szCs w:val="21"/>
                      <w:u w:val="single"/>
                      <w:lang w:eastAsia="zh-CN"/>
                    </w:rPr>
                    <w:t>、</w:t>
                  </w:r>
                  <w:r>
                    <w:rPr>
                      <w:rFonts w:hint="eastAsia"/>
                      <w:color w:val="FF0000"/>
                      <w:szCs w:val="21"/>
                      <w:u w:val="single"/>
                      <w:lang w:val="en-US" w:eastAsia="zh-CN"/>
                    </w:rPr>
                    <w:t>二甲苯</w:t>
                  </w:r>
                </w:p>
              </w:tc>
              <w:tc>
                <w:tcPr>
                  <w:tcW w:w="905" w:type="pct"/>
                  <w:noWrap w:val="0"/>
                  <w:vAlign w:val="center"/>
                </w:tcPr>
                <w:p>
                  <w:pPr>
                    <w:jc w:val="center"/>
                    <w:rPr>
                      <w:color w:val="FF0000"/>
                      <w:szCs w:val="21"/>
                      <w:u w:val="single"/>
                    </w:rPr>
                  </w:pPr>
                  <w:r>
                    <w:rPr>
                      <w:color w:val="FF0000"/>
                      <w:szCs w:val="21"/>
                      <w:u w:val="single"/>
                    </w:rPr>
                    <w:t>半年1次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0" w:type="pct"/>
                  <w:vMerge w:val="continue"/>
                  <w:noWrap w:val="0"/>
                  <w:vAlign w:val="center"/>
                </w:tcPr>
                <w:p>
                  <w:pPr>
                    <w:jc w:val="center"/>
                    <w:rPr>
                      <w:color w:val="FF0000"/>
                      <w:szCs w:val="21"/>
                      <w:u w:val="single"/>
                    </w:rPr>
                  </w:pPr>
                </w:p>
              </w:tc>
              <w:tc>
                <w:tcPr>
                  <w:tcW w:w="817" w:type="pct"/>
                  <w:noWrap w:val="0"/>
                  <w:vAlign w:val="center"/>
                </w:tcPr>
                <w:p>
                  <w:pPr>
                    <w:jc w:val="center"/>
                    <w:rPr>
                      <w:color w:val="FF0000"/>
                      <w:szCs w:val="21"/>
                      <w:u w:val="single"/>
                    </w:rPr>
                  </w:pPr>
                  <w:r>
                    <w:rPr>
                      <w:color w:val="FF0000"/>
                      <w:szCs w:val="21"/>
                      <w:u w:val="single"/>
                    </w:rPr>
                    <w:t>无组织废气</w:t>
                  </w:r>
                </w:p>
              </w:tc>
              <w:tc>
                <w:tcPr>
                  <w:tcW w:w="1030" w:type="pct"/>
                  <w:noWrap w:val="0"/>
                  <w:vAlign w:val="center"/>
                </w:tcPr>
                <w:p>
                  <w:pPr>
                    <w:jc w:val="center"/>
                    <w:rPr>
                      <w:color w:val="FF0000"/>
                      <w:szCs w:val="21"/>
                      <w:u w:val="single"/>
                    </w:rPr>
                  </w:pPr>
                  <w:r>
                    <w:rPr>
                      <w:color w:val="FF0000"/>
                      <w:szCs w:val="21"/>
                      <w:u w:val="single"/>
                    </w:rPr>
                    <w:t>厂界下风向</w:t>
                  </w:r>
                </w:p>
              </w:tc>
              <w:tc>
                <w:tcPr>
                  <w:tcW w:w="1446" w:type="pct"/>
                  <w:noWrap w:val="0"/>
                  <w:vAlign w:val="center"/>
                </w:tcPr>
                <w:p>
                  <w:pPr>
                    <w:jc w:val="center"/>
                    <w:rPr>
                      <w:rFonts w:hint="default" w:eastAsia="宋体"/>
                      <w:color w:val="FF0000"/>
                      <w:szCs w:val="21"/>
                      <w:u w:val="single"/>
                      <w:lang w:val="en-US" w:eastAsia="zh-CN"/>
                    </w:rPr>
                  </w:pPr>
                  <w:r>
                    <w:rPr>
                      <w:color w:val="FF0000"/>
                      <w:szCs w:val="21"/>
                      <w:u w:val="single"/>
                      <w:lang w:val="de-DE"/>
                    </w:rPr>
                    <w:t>颗粒物、</w:t>
                  </w:r>
                  <w:r>
                    <w:rPr>
                      <w:color w:val="FF0000"/>
                      <w:szCs w:val="21"/>
                      <w:u w:val="single"/>
                    </w:rPr>
                    <w:t>VOCs</w:t>
                  </w:r>
                  <w:r>
                    <w:rPr>
                      <w:rFonts w:hint="eastAsia"/>
                      <w:color w:val="FF0000"/>
                      <w:szCs w:val="21"/>
                      <w:u w:val="single"/>
                      <w:lang w:eastAsia="zh-CN"/>
                    </w:rPr>
                    <w:t>、</w:t>
                  </w:r>
                  <w:r>
                    <w:rPr>
                      <w:rFonts w:hint="eastAsia"/>
                      <w:color w:val="FF0000"/>
                      <w:szCs w:val="21"/>
                      <w:u w:val="single"/>
                      <w:lang w:val="en-US" w:eastAsia="zh-CN"/>
                    </w:rPr>
                    <w:t>二甲苯</w:t>
                  </w:r>
                </w:p>
              </w:tc>
              <w:tc>
                <w:tcPr>
                  <w:tcW w:w="905" w:type="pct"/>
                  <w:noWrap w:val="0"/>
                  <w:vAlign w:val="center"/>
                </w:tcPr>
                <w:p>
                  <w:pPr>
                    <w:jc w:val="center"/>
                    <w:rPr>
                      <w:color w:val="FF0000"/>
                      <w:szCs w:val="21"/>
                      <w:u w:val="single"/>
                    </w:rPr>
                  </w:pPr>
                  <w:r>
                    <w:rPr>
                      <w:color w:val="FF0000"/>
                      <w:szCs w:val="21"/>
                      <w:u w:val="single"/>
                    </w:rPr>
                    <w:t>半年1次</w:t>
                  </w:r>
                </w:p>
              </w:tc>
            </w:tr>
          </w:tbl>
          <w:p>
            <w:pPr>
              <w:pStyle w:val="11"/>
              <w:numPr>
                <w:ilvl w:val="0"/>
                <w:numId w:val="0"/>
              </w:numPr>
              <w:adjustRightInd w:val="0"/>
              <w:snapToGrid w:val="0"/>
              <w:spacing w:before="0" w:beforeAutospacing="0" w:after="0" w:afterAutospacing="0" w:line="360" w:lineRule="auto"/>
              <w:ind w:leftChars="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（3）废气达标情况分析</w:t>
            </w:r>
          </w:p>
          <w:p>
            <w:pPr>
              <w:pStyle w:val="11"/>
              <w:numPr>
                <w:ilvl w:val="0"/>
                <w:numId w:val="0"/>
              </w:numPr>
              <w:adjustRightInd w:val="0"/>
              <w:snapToGrid w:val="0"/>
              <w:spacing w:before="0" w:beforeAutospacing="0" w:after="0" w:afterAutospacing="0" w:line="360" w:lineRule="auto"/>
              <w:ind w:leftChars="0" w:firstLine="480" w:firstLineChars="200"/>
              <w:jc w:val="both"/>
              <w:rPr>
                <w:rFonts w:hint="default" w:cs="宋体"/>
                <w:color w:val="FF0000"/>
                <w:kern w:val="2"/>
                <w:sz w:val="24"/>
                <w:szCs w:val="24"/>
                <w:u w:val="single"/>
                <w:lang w:val="en-US" w:eastAsia="zh-CN"/>
              </w:rPr>
            </w:pPr>
            <w:r>
              <w:rPr>
                <w:rFonts w:hint="eastAsia" w:cs="宋体"/>
                <w:color w:val="FF0000"/>
                <w:kern w:val="2"/>
                <w:sz w:val="24"/>
                <w:szCs w:val="24"/>
                <w:u w:val="single"/>
                <w:lang w:val="en-US" w:eastAsia="zh-CN"/>
              </w:rPr>
              <w:t>根据现状监测数据可知，项目颗粒物排放满足《大气污染物综合排放标准》（GB16297-1996）中表2新污染源大气污染物排放限值；项目有机废气（以VOCs计）、二甲苯有组织排放满足《表面涂装（汽车制造及维修）挥发性有机物、镍排放标准》（DB43/1356-2017）中表1排气筒挥发性有机物排放浓度限值，厂界无组织非甲烷总烃排放满足《表面涂装（汽车制造及维修）挥发性有机物、镍排放标准》（DB43/1356-2017）中表3汽车制造企业无组织监控点挥发性有机物浓度限值、二甲苯满足《大气污染物综合排放标准》（GB16297-1996）表2无组织排放限值，厂区无组织排放满足《挥发性有机物无组织排放控制标准》（GB37822-2019）中表A.1中厂区内VOCs无组织排放限值。</w:t>
            </w:r>
          </w:p>
          <w:p>
            <w:pPr>
              <w:pStyle w:val="11"/>
              <w:numPr>
                <w:ilvl w:val="0"/>
                <w:numId w:val="0"/>
              </w:numPr>
              <w:adjustRightInd w:val="0"/>
              <w:snapToGrid w:val="0"/>
              <w:spacing w:before="0" w:beforeAutospacing="0" w:after="0" w:afterAutospacing="0" w:line="360" w:lineRule="auto"/>
              <w:ind w:leftChars="0"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综上，本项目废气经过处理后均可达标排放，对周围环境影响可接受。</w:t>
            </w:r>
          </w:p>
          <w:p>
            <w:pPr>
              <w:pStyle w:val="11"/>
              <w:numPr>
                <w:ilvl w:val="0"/>
                <w:numId w:val="0"/>
              </w:numPr>
              <w:adjustRightInd w:val="0"/>
              <w:snapToGrid w:val="0"/>
              <w:spacing w:before="0" w:beforeAutospacing="0" w:after="0" w:afterAutospacing="0" w:line="360" w:lineRule="auto"/>
              <w:ind w:leftChars="0"/>
              <w:jc w:val="both"/>
              <w:rPr>
                <w:rFonts w:hint="default" w:cs="宋体"/>
                <w:color w:val="FF0000"/>
                <w:kern w:val="2"/>
                <w:sz w:val="24"/>
                <w:szCs w:val="24"/>
                <w:u w:val="single"/>
                <w:lang w:val="en-US" w:eastAsia="zh-CN"/>
              </w:rPr>
            </w:pPr>
            <w:r>
              <w:rPr>
                <w:rFonts w:hint="eastAsia" w:cs="宋体"/>
                <w:color w:val="FF0000"/>
                <w:kern w:val="2"/>
                <w:sz w:val="24"/>
                <w:szCs w:val="24"/>
                <w:u w:val="single"/>
                <w:lang w:val="en-US" w:eastAsia="zh-CN"/>
              </w:rPr>
              <w:t>（4）非正常排放量核算</w:t>
            </w:r>
          </w:p>
          <w:p>
            <w:pPr>
              <w:pStyle w:val="11"/>
              <w:numPr>
                <w:ilvl w:val="0"/>
                <w:numId w:val="0"/>
              </w:numPr>
              <w:adjustRightInd w:val="0"/>
              <w:snapToGrid w:val="0"/>
              <w:spacing w:before="0" w:beforeAutospacing="0" w:after="0" w:afterAutospacing="0" w:line="360" w:lineRule="auto"/>
              <w:ind w:leftChars="0"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污染物非正常排放量核算如下：</w:t>
            </w:r>
          </w:p>
          <w:p>
            <w:pPr>
              <w:pStyle w:val="11"/>
              <w:numPr>
                <w:ilvl w:val="0"/>
                <w:numId w:val="0"/>
              </w:numPr>
              <w:adjustRightInd w:val="0"/>
              <w:snapToGrid w:val="0"/>
              <w:spacing w:before="0" w:beforeAutospacing="0" w:after="0" w:afterAutospacing="0" w:line="360" w:lineRule="auto"/>
              <w:jc w:val="center"/>
              <w:rPr>
                <w:rFonts w:hint="default" w:cs="宋体"/>
                <w:b/>
                <w:bCs/>
                <w:color w:val="FF0000"/>
                <w:kern w:val="2"/>
                <w:sz w:val="24"/>
                <w:szCs w:val="24"/>
                <w:u w:val="single"/>
                <w:vertAlign w:val="baseline"/>
                <w:lang w:val="en-US" w:eastAsia="zh-CN"/>
              </w:rPr>
            </w:pPr>
            <w:r>
              <w:rPr>
                <w:rFonts w:hint="eastAsia" w:cs="宋体"/>
                <w:b/>
                <w:bCs/>
                <w:color w:val="FF0000"/>
                <w:kern w:val="2"/>
                <w:sz w:val="24"/>
                <w:szCs w:val="24"/>
                <w:u w:val="single"/>
                <w:lang w:val="en-US" w:eastAsia="zh-CN"/>
              </w:rPr>
              <w:t>表4-6  污染物非正常排放量核算</w:t>
            </w:r>
          </w:p>
          <w:tbl>
            <w:tblPr>
              <w:tblStyle w:val="1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212"/>
              <w:gridCol w:w="989"/>
              <w:gridCol w:w="1012"/>
              <w:gridCol w:w="1195"/>
              <w:gridCol w:w="1009"/>
              <w:gridCol w:w="786"/>
              <w:gridCol w:w="11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1"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污染源</w:t>
                  </w:r>
                </w:p>
              </w:tc>
              <w:tc>
                <w:tcPr>
                  <w:tcW w:w="1212"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非正常排放原因</w:t>
                  </w:r>
                </w:p>
              </w:tc>
              <w:tc>
                <w:tcPr>
                  <w:tcW w:w="989"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污染物名称</w:t>
                  </w:r>
                </w:p>
              </w:tc>
              <w:tc>
                <w:tcPr>
                  <w:tcW w:w="1012"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非正常排放速率（kg/h）</w:t>
                  </w:r>
                </w:p>
              </w:tc>
              <w:tc>
                <w:tcPr>
                  <w:tcW w:w="1195"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非正常排放浓度（mg/m</w:t>
                  </w:r>
                  <w:r>
                    <w:rPr>
                      <w:rFonts w:hint="eastAsia"/>
                      <w:color w:val="FF0000"/>
                      <w:u w:val="single"/>
                      <w:vertAlign w:val="superscript"/>
                      <w:lang w:val="en-US" w:eastAsia="zh-CN"/>
                    </w:rPr>
                    <w:t>3</w:t>
                  </w:r>
                  <w:r>
                    <w:rPr>
                      <w:rFonts w:hint="eastAsia"/>
                      <w:color w:val="FF0000"/>
                      <w:u w:val="single"/>
                      <w:lang w:val="en-US" w:eastAsia="zh-CN"/>
                    </w:rPr>
                    <w:t>）</w:t>
                  </w:r>
                </w:p>
              </w:tc>
              <w:tc>
                <w:tcPr>
                  <w:tcW w:w="1009"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单次持续时间</w:t>
                  </w:r>
                </w:p>
              </w:tc>
              <w:tc>
                <w:tcPr>
                  <w:tcW w:w="786"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年发生频次/次</w:t>
                  </w:r>
                </w:p>
              </w:tc>
              <w:tc>
                <w:tcPr>
                  <w:tcW w:w="1158"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应对措施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1"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切割、打磨工序</w:t>
                  </w:r>
                </w:p>
              </w:tc>
              <w:tc>
                <w:tcPr>
                  <w:tcW w:w="1212"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设备故障</w:t>
                  </w:r>
                </w:p>
              </w:tc>
              <w:tc>
                <w:tcPr>
                  <w:tcW w:w="989"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颗粒物</w:t>
                  </w:r>
                </w:p>
              </w:tc>
              <w:tc>
                <w:tcPr>
                  <w:tcW w:w="1012"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0.443</w:t>
                  </w:r>
                </w:p>
              </w:tc>
              <w:tc>
                <w:tcPr>
                  <w:tcW w:w="1195"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15.83</w:t>
                  </w:r>
                </w:p>
              </w:tc>
              <w:tc>
                <w:tcPr>
                  <w:tcW w:w="1009"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0~30min</w:t>
                  </w:r>
                </w:p>
              </w:tc>
              <w:tc>
                <w:tcPr>
                  <w:tcW w:w="786"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1</w:t>
                  </w:r>
                </w:p>
              </w:tc>
              <w:tc>
                <w:tcPr>
                  <w:tcW w:w="1158" w:type="dxa"/>
                  <w:vMerge w:val="restart"/>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加强管理定期检查废气处理设施,一旦发生故障，立即停产检修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1"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打磨工序</w:t>
                  </w:r>
                </w:p>
              </w:tc>
              <w:tc>
                <w:tcPr>
                  <w:tcW w:w="1212"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设备故障</w:t>
                  </w:r>
                </w:p>
              </w:tc>
              <w:tc>
                <w:tcPr>
                  <w:tcW w:w="989"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颗粒物</w:t>
                  </w:r>
                </w:p>
              </w:tc>
              <w:tc>
                <w:tcPr>
                  <w:tcW w:w="1012"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0.30</w:t>
                  </w:r>
                </w:p>
              </w:tc>
              <w:tc>
                <w:tcPr>
                  <w:tcW w:w="1195"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15.79</w:t>
                  </w:r>
                </w:p>
              </w:tc>
              <w:tc>
                <w:tcPr>
                  <w:tcW w:w="1009"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0~30min</w:t>
                  </w:r>
                </w:p>
              </w:tc>
              <w:tc>
                <w:tcPr>
                  <w:tcW w:w="786"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1</w:t>
                  </w:r>
                </w:p>
              </w:tc>
              <w:tc>
                <w:tcPr>
                  <w:tcW w:w="1158" w:type="dxa"/>
                  <w:vMerge w:val="continue"/>
                  <w:tcBorders>
                    <w:tl2br w:val="nil"/>
                    <w:tr2bl w:val="nil"/>
                  </w:tcBorders>
                  <w:vAlign w:val="center"/>
                </w:tcPr>
                <w:p>
                  <w:pPr>
                    <w:bidi w:val="0"/>
                    <w:spacing w:line="240" w:lineRule="auto"/>
                    <w:jc w:val="center"/>
                    <w:rPr>
                      <w:rFonts w:hint="default"/>
                      <w:color w:val="FF0000"/>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1" w:type="dxa"/>
                  <w:vMerge w:val="restart"/>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喷漆工序</w:t>
                  </w:r>
                </w:p>
              </w:tc>
              <w:tc>
                <w:tcPr>
                  <w:tcW w:w="1212" w:type="dxa"/>
                  <w:vMerge w:val="restart"/>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设备故障</w:t>
                  </w:r>
                </w:p>
              </w:tc>
              <w:tc>
                <w:tcPr>
                  <w:tcW w:w="989"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VOCs</w:t>
                  </w:r>
                </w:p>
              </w:tc>
              <w:tc>
                <w:tcPr>
                  <w:tcW w:w="1012" w:type="dxa"/>
                  <w:tcBorders>
                    <w:tl2br w:val="nil"/>
                    <w:tr2bl w:val="nil"/>
                  </w:tcBorders>
                  <w:vAlign w:val="center"/>
                </w:tcPr>
                <w:p>
                  <w:pPr>
                    <w:bidi w:val="0"/>
                    <w:spacing w:line="240" w:lineRule="auto"/>
                    <w:jc w:val="center"/>
                    <w:rPr>
                      <w:rFonts w:hint="default" w:ascii="Times New Roman" w:hAnsi="Times New Roman" w:eastAsia="宋体" w:cs="Times New Roman"/>
                      <w:color w:val="FF0000"/>
                      <w:u w:val="single"/>
                      <w:lang w:val="en-US" w:eastAsia="zh-CN"/>
                    </w:rPr>
                  </w:pPr>
                  <w:r>
                    <w:rPr>
                      <w:rFonts w:hint="eastAsia" w:ascii="Times New Roman" w:hAnsi="Times New Roman" w:eastAsia="宋体" w:cs="Times New Roman"/>
                      <w:color w:val="FF0000"/>
                      <w:u w:val="single"/>
                      <w:lang w:val="en-US" w:eastAsia="zh-CN"/>
                    </w:rPr>
                    <w:t>0.50</w:t>
                  </w:r>
                </w:p>
              </w:tc>
              <w:tc>
                <w:tcPr>
                  <w:tcW w:w="1195" w:type="dxa"/>
                  <w:tcBorders>
                    <w:tl2br w:val="nil"/>
                    <w:tr2bl w:val="nil"/>
                  </w:tcBorders>
                  <w:vAlign w:val="center"/>
                </w:tcPr>
                <w:p>
                  <w:pPr>
                    <w:bidi w:val="0"/>
                    <w:spacing w:line="240" w:lineRule="auto"/>
                    <w:jc w:val="center"/>
                    <w:rPr>
                      <w:rFonts w:hint="default" w:ascii="Times New Roman" w:hAnsi="Times New Roman" w:eastAsia="宋体" w:cs="Times New Roman"/>
                      <w:color w:val="FF0000"/>
                      <w:u w:val="single"/>
                      <w:lang w:val="en-US" w:eastAsia="zh-CN"/>
                    </w:rPr>
                  </w:pPr>
                  <w:r>
                    <w:rPr>
                      <w:rFonts w:hint="eastAsia" w:ascii="Times New Roman" w:hAnsi="Times New Roman" w:eastAsia="宋体" w:cs="Times New Roman"/>
                      <w:color w:val="FF0000"/>
                      <w:u w:val="single"/>
                      <w:lang w:val="en-US" w:eastAsia="zh-CN"/>
                    </w:rPr>
                    <w:t>15.25</w:t>
                  </w:r>
                </w:p>
              </w:tc>
              <w:tc>
                <w:tcPr>
                  <w:tcW w:w="1009"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0~30min</w:t>
                  </w:r>
                </w:p>
              </w:tc>
              <w:tc>
                <w:tcPr>
                  <w:tcW w:w="786"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1</w:t>
                  </w:r>
                </w:p>
              </w:tc>
              <w:tc>
                <w:tcPr>
                  <w:tcW w:w="1158" w:type="dxa"/>
                  <w:vMerge w:val="continue"/>
                  <w:tcBorders>
                    <w:tl2br w:val="nil"/>
                    <w:tr2bl w:val="nil"/>
                  </w:tcBorders>
                  <w:vAlign w:val="center"/>
                </w:tcPr>
                <w:p>
                  <w:pPr>
                    <w:bidi w:val="0"/>
                    <w:spacing w:line="240" w:lineRule="auto"/>
                    <w:jc w:val="center"/>
                    <w:rPr>
                      <w:rFonts w:hint="default"/>
                      <w:color w:val="FF0000"/>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1" w:type="dxa"/>
                  <w:vMerge w:val="continue"/>
                  <w:tcBorders>
                    <w:tl2br w:val="nil"/>
                    <w:tr2bl w:val="nil"/>
                  </w:tcBorders>
                  <w:vAlign w:val="center"/>
                </w:tcPr>
                <w:p>
                  <w:pPr>
                    <w:bidi w:val="0"/>
                    <w:spacing w:line="240" w:lineRule="auto"/>
                    <w:jc w:val="center"/>
                    <w:rPr>
                      <w:rFonts w:hint="eastAsia"/>
                      <w:color w:val="FF0000"/>
                      <w:u w:val="single"/>
                      <w:lang w:val="en-US" w:eastAsia="zh-CN"/>
                    </w:rPr>
                  </w:pPr>
                </w:p>
              </w:tc>
              <w:tc>
                <w:tcPr>
                  <w:tcW w:w="1212" w:type="dxa"/>
                  <w:vMerge w:val="continue"/>
                  <w:tcBorders>
                    <w:tl2br w:val="nil"/>
                    <w:tr2bl w:val="nil"/>
                  </w:tcBorders>
                  <w:vAlign w:val="center"/>
                </w:tcPr>
                <w:p>
                  <w:pPr>
                    <w:bidi w:val="0"/>
                    <w:spacing w:line="240" w:lineRule="auto"/>
                    <w:jc w:val="center"/>
                    <w:rPr>
                      <w:rFonts w:hint="eastAsia"/>
                      <w:color w:val="FF0000"/>
                      <w:u w:val="single"/>
                      <w:lang w:val="en-US" w:eastAsia="zh-CN"/>
                    </w:rPr>
                  </w:pPr>
                </w:p>
              </w:tc>
              <w:tc>
                <w:tcPr>
                  <w:tcW w:w="989"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二甲苯</w:t>
                  </w:r>
                </w:p>
              </w:tc>
              <w:tc>
                <w:tcPr>
                  <w:tcW w:w="1012" w:type="dxa"/>
                  <w:tcBorders>
                    <w:tl2br w:val="nil"/>
                    <w:tr2bl w:val="nil"/>
                  </w:tcBorders>
                  <w:vAlign w:val="center"/>
                </w:tcPr>
                <w:p>
                  <w:pPr>
                    <w:bidi w:val="0"/>
                    <w:spacing w:line="240" w:lineRule="auto"/>
                    <w:jc w:val="center"/>
                    <w:rPr>
                      <w:rFonts w:hint="eastAsia" w:ascii="Times New Roman" w:hAnsi="Times New Roman" w:eastAsia="宋体" w:cs="Times New Roman"/>
                      <w:color w:val="FF0000"/>
                      <w:u w:val="single"/>
                      <w:lang w:val="en-US" w:eastAsia="zh-CN"/>
                    </w:rPr>
                  </w:pPr>
                  <w:r>
                    <w:rPr>
                      <w:rFonts w:hint="eastAsia" w:ascii="Times New Roman" w:hAnsi="Times New Roman" w:eastAsia="宋体" w:cs="Times New Roman"/>
                      <w:color w:val="FF0000"/>
                      <w:u w:val="single"/>
                      <w:lang w:val="en-US" w:eastAsia="zh-CN"/>
                    </w:rPr>
                    <w:t>1.08</w:t>
                  </w:r>
                </w:p>
              </w:tc>
              <w:tc>
                <w:tcPr>
                  <w:tcW w:w="1195" w:type="dxa"/>
                  <w:tcBorders>
                    <w:tl2br w:val="nil"/>
                    <w:tr2bl w:val="nil"/>
                  </w:tcBorders>
                  <w:vAlign w:val="center"/>
                </w:tcPr>
                <w:p>
                  <w:pPr>
                    <w:bidi w:val="0"/>
                    <w:spacing w:line="240" w:lineRule="auto"/>
                    <w:jc w:val="center"/>
                    <w:rPr>
                      <w:rFonts w:hint="eastAsia" w:ascii="Times New Roman" w:hAnsi="Times New Roman" w:eastAsia="宋体" w:cs="Times New Roman"/>
                      <w:color w:val="FF0000"/>
                      <w:u w:val="single"/>
                      <w:lang w:val="en-US" w:eastAsia="zh-CN"/>
                    </w:rPr>
                  </w:pPr>
                  <w:r>
                    <w:rPr>
                      <w:rFonts w:hint="eastAsia" w:ascii="Times New Roman" w:hAnsi="Times New Roman" w:eastAsia="宋体" w:cs="Times New Roman"/>
                      <w:color w:val="FF0000"/>
                      <w:u w:val="single"/>
                      <w:lang w:val="en-US" w:eastAsia="zh-CN"/>
                    </w:rPr>
                    <w:t>0.035</w:t>
                  </w:r>
                </w:p>
              </w:tc>
              <w:tc>
                <w:tcPr>
                  <w:tcW w:w="1009" w:type="dxa"/>
                  <w:tcBorders>
                    <w:tl2br w:val="nil"/>
                    <w:tr2bl w:val="nil"/>
                  </w:tcBorders>
                  <w:vAlign w:val="center"/>
                </w:tcPr>
                <w:p>
                  <w:pPr>
                    <w:bidi w:val="0"/>
                    <w:spacing w:line="240" w:lineRule="auto"/>
                    <w:jc w:val="center"/>
                    <w:rPr>
                      <w:rFonts w:hint="eastAsia"/>
                      <w:color w:val="FF0000"/>
                      <w:u w:val="single"/>
                      <w:lang w:val="en-US" w:eastAsia="zh-CN"/>
                    </w:rPr>
                  </w:pPr>
                  <w:r>
                    <w:rPr>
                      <w:rFonts w:hint="eastAsia"/>
                      <w:color w:val="FF0000"/>
                      <w:u w:val="single"/>
                      <w:lang w:val="en-US" w:eastAsia="zh-CN"/>
                    </w:rPr>
                    <w:t>0~30min</w:t>
                  </w:r>
                </w:p>
              </w:tc>
              <w:tc>
                <w:tcPr>
                  <w:tcW w:w="786" w:type="dxa"/>
                  <w:tcBorders>
                    <w:tl2br w:val="nil"/>
                    <w:tr2bl w:val="nil"/>
                  </w:tcBorders>
                  <w:vAlign w:val="center"/>
                </w:tcPr>
                <w:p>
                  <w:pPr>
                    <w:bidi w:val="0"/>
                    <w:spacing w:line="240" w:lineRule="auto"/>
                    <w:jc w:val="center"/>
                    <w:rPr>
                      <w:rFonts w:hint="default"/>
                      <w:color w:val="FF0000"/>
                      <w:u w:val="single"/>
                      <w:lang w:val="en-US" w:eastAsia="zh-CN"/>
                    </w:rPr>
                  </w:pPr>
                  <w:r>
                    <w:rPr>
                      <w:rFonts w:hint="eastAsia"/>
                      <w:color w:val="FF0000"/>
                      <w:u w:val="single"/>
                      <w:lang w:val="en-US" w:eastAsia="zh-CN"/>
                    </w:rPr>
                    <w:t>1</w:t>
                  </w:r>
                </w:p>
              </w:tc>
              <w:tc>
                <w:tcPr>
                  <w:tcW w:w="1158" w:type="dxa"/>
                  <w:vMerge w:val="continue"/>
                  <w:tcBorders>
                    <w:tl2br w:val="nil"/>
                    <w:tr2bl w:val="nil"/>
                  </w:tcBorders>
                  <w:vAlign w:val="center"/>
                </w:tcPr>
                <w:p>
                  <w:pPr>
                    <w:bidi w:val="0"/>
                    <w:spacing w:line="240" w:lineRule="auto"/>
                    <w:jc w:val="center"/>
                    <w:rPr>
                      <w:rFonts w:hint="default"/>
                      <w:color w:val="FF0000"/>
                      <w:u w:val="single"/>
                      <w:lang w:val="en-US" w:eastAsia="zh-CN"/>
                    </w:rPr>
                  </w:pPr>
                </w:p>
              </w:tc>
            </w:tr>
          </w:tbl>
          <w:p>
            <w:pPr>
              <w:pStyle w:val="11"/>
              <w:numPr>
                <w:ilvl w:val="0"/>
                <w:numId w:val="0"/>
              </w:numPr>
              <w:adjustRightInd w:val="0"/>
              <w:snapToGrid w:val="0"/>
              <w:spacing w:before="0" w:beforeAutospacing="0" w:after="0" w:afterAutospacing="0" w:line="360" w:lineRule="auto"/>
              <w:jc w:val="both"/>
              <w:rPr>
                <w:rFonts w:hint="default" w:cs="宋体"/>
                <w:color w:val="FF0000"/>
                <w:kern w:val="2"/>
                <w:sz w:val="24"/>
                <w:szCs w:val="24"/>
                <w:u w:val="single"/>
                <w:lang w:val="en-US" w:eastAsia="zh-CN"/>
              </w:rPr>
            </w:pPr>
          </w:p>
        </w:tc>
      </w:tr>
    </w:tbl>
    <w:p>
      <w:pPr>
        <w:rPr>
          <w:rFonts w:hint="eastAsia"/>
          <w:lang w:val="en-US" w:eastAsia="zh-CN"/>
        </w:rPr>
      </w:pPr>
    </w:p>
    <w:p>
      <w:pPr>
        <w:rPr>
          <w:rFonts w:hint="eastAsia"/>
          <w:lang w:val="en-US" w:eastAsia="zh-CN"/>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运营</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期环</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境影</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响和</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保护</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措施</w:t>
            </w:r>
          </w:p>
        </w:tc>
        <w:tc>
          <w:tcPr>
            <w:tcW w:w="12695" w:type="dxa"/>
            <w:vAlign w:val="top"/>
          </w:tcPr>
          <w:p>
            <w:pPr>
              <w:pStyle w:val="11"/>
              <w:numPr>
                <w:ilvl w:val="0"/>
                <w:numId w:val="0"/>
              </w:numPr>
              <w:adjustRightInd w:val="0"/>
              <w:snapToGrid w:val="0"/>
              <w:spacing w:before="0" w:beforeAutospacing="0" w:after="0" w:afterAutospacing="0" w:line="360" w:lineRule="auto"/>
              <w:jc w:val="both"/>
              <w:rPr>
                <w:rFonts w:hint="eastAsia" w:cs="宋体"/>
                <w:b/>
                <w:bCs/>
                <w:kern w:val="2"/>
                <w:sz w:val="24"/>
                <w:szCs w:val="24"/>
                <w:lang w:val="en-US" w:eastAsia="zh-CN"/>
              </w:rPr>
            </w:pPr>
            <w:r>
              <w:rPr>
                <w:rFonts w:hint="eastAsia" w:cs="宋体"/>
                <w:b/>
                <w:bCs/>
                <w:kern w:val="2"/>
                <w:sz w:val="24"/>
                <w:szCs w:val="24"/>
                <w:lang w:val="en-US" w:eastAsia="zh-CN"/>
              </w:rPr>
              <w:t>2.废水</w:t>
            </w:r>
          </w:p>
          <w:p>
            <w:pPr>
              <w:pStyle w:val="11"/>
              <w:numPr>
                <w:ilvl w:val="0"/>
                <w:numId w:val="0"/>
              </w:numPr>
              <w:adjustRightInd w:val="0"/>
              <w:snapToGrid w:val="0"/>
              <w:spacing w:before="0" w:beforeAutospacing="0" w:after="0" w:afterAutospacing="0" w:line="360" w:lineRule="auto"/>
              <w:ind w:firstLine="480" w:firstLineChars="200"/>
              <w:jc w:val="both"/>
              <w:rPr>
                <w:rFonts w:hint="eastAsia" w:cs="宋体"/>
                <w:kern w:val="2"/>
                <w:sz w:val="24"/>
                <w:szCs w:val="24"/>
                <w:lang w:val="en-US" w:eastAsia="zh-CN"/>
              </w:rPr>
            </w:pPr>
            <w:r>
              <w:rPr>
                <w:rFonts w:hint="eastAsia" w:cs="宋体"/>
                <w:kern w:val="2"/>
                <w:sz w:val="24"/>
                <w:szCs w:val="24"/>
                <w:lang w:val="en-US" w:eastAsia="zh-CN"/>
              </w:rPr>
              <w:t>（1）源强核算</w:t>
            </w:r>
          </w:p>
          <w:p>
            <w:pPr>
              <w:pStyle w:val="11"/>
              <w:numPr>
                <w:ilvl w:val="0"/>
                <w:numId w:val="0"/>
              </w:numPr>
              <w:adjustRightInd w:val="0"/>
              <w:snapToGrid w:val="0"/>
              <w:spacing w:before="0" w:beforeAutospacing="0" w:after="0" w:afterAutospacing="0" w:line="360" w:lineRule="auto"/>
              <w:ind w:firstLine="480" w:firstLineChars="200"/>
              <w:jc w:val="both"/>
              <w:rPr>
                <w:rFonts w:hint="eastAsia" w:cs="宋体"/>
                <w:kern w:val="2"/>
                <w:sz w:val="24"/>
                <w:szCs w:val="24"/>
                <w:lang w:val="en-US" w:eastAsia="zh-CN"/>
              </w:rPr>
            </w:pPr>
            <w:r>
              <w:rPr>
                <w:rFonts w:hint="eastAsia" w:cs="宋体"/>
                <w:kern w:val="2"/>
                <w:sz w:val="24"/>
                <w:szCs w:val="24"/>
                <w:lang w:val="en-US" w:eastAsia="zh-CN"/>
              </w:rPr>
              <w:t>本项目外排废水主要为生活污水，项目建成后全厂废水排放情况详见表4-7。</w:t>
            </w:r>
          </w:p>
          <w:p>
            <w:pPr>
              <w:pStyle w:val="11"/>
              <w:numPr>
                <w:ilvl w:val="0"/>
                <w:numId w:val="0"/>
              </w:numPr>
              <w:adjustRightInd w:val="0"/>
              <w:snapToGrid w:val="0"/>
              <w:spacing w:before="0" w:beforeAutospacing="0" w:after="0" w:afterAutospacing="0" w:line="360" w:lineRule="auto"/>
              <w:jc w:val="center"/>
              <w:rPr>
                <w:rFonts w:hint="default" w:eastAsia="宋体" w:cs="宋体"/>
                <w:kern w:val="2"/>
                <w:sz w:val="24"/>
                <w:szCs w:val="24"/>
                <w:vertAlign w:val="baseline"/>
                <w:lang w:val="en-US" w:eastAsia="zh-CN"/>
              </w:rPr>
            </w:pPr>
            <w:r>
              <w:rPr>
                <w:rFonts w:hint="eastAsia" w:cs="宋体"/>
                <w:kern w:val="2"/>
                <w:sz w:val="24"/>
                <w:szCs w:val="24"/>
                <w:lang w:val="en-US" w:eastAsia="zh-CN"/>
              </w:rPr>
              <w:t>表4-7  全厂废水产排情况一览表</w:t>
            </w:r>
          </w:p>
          <w:tbl>
            <w:tblPr>
              <w:tblStyle w:val="14"/>
              <w:tblW w:w="12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364"/>
              <w:gridCol w:w="668"/>
              <w:gridCol w:w="668"/>
              <w:gridCol w:w="710"/>
              <w:gridCol w:w="612"/>
              <w:gridCol w:w="542"/>
              <w:gridCol w:w="558"/>
              <w:gridCol w:w="630"/>
              <w:gridCol w:w="594"/>
              <w:gridCol w:w="664"/>
              <w:gridCol w:w="695"/>
              <w:gridCol w:w="423"/>
              <w:gridCol w:w="594"/>
              <w:gridCol w:w="594"/>
              <w:gridCol w:w="775"/>
              <w:gridCol w:w="414"/>
              <w:gridCol w:w="595"/>
              <w:gridCol w:w="595"/>
              <w:gridCol w:w="595"/>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产排污环节</w:t>
                  </w:r>
                </w:p>
              </w:tc>
              <w:tc>
                <w:tcPr>
                  <w:tcW w:w="36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类别</w:t>
                  </w:r>
                </w:p>
              </w:tc>
              <w:tc>
                <w:tcPr>
                  <w:tcW w:w="668"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污染物种类</w:t>
                  </w:r>
                </w:p>
              </w:tc>
              <w:tc>
                <w:tcPr>
                  <w:tcW w:w="1378" w:type="dxa"/>
                  <w:gridSpan w:val="2"/>
                  <w:vAlign w:val="center"/>
                </w:tcPr>
                <w:p>
                  <w:pPr>
                    <w:bidi w:val="0"/>
                    <w:spacing w:line="240" w:lineRule="auto"/>
                    <w:jc w:val="center"/>
                    <w:rPr>
                      <w:rFonts w:hint="eastAsia"/>
                      <w:sz w:val="15"/>
                      <w:szCs w:val="15"/>
                      <w:lang w:val="en-US" w:eastAsia="zh-CN"/>
                    </w:rPr>
                  </w:pPr>
                  <w:r>
                    <w:rPr>
                      <w:rFonts w:hint="eastAsia"/>
                      <w:sz w:val="15"/>
                      <w:szCs w:val="15"/>
                      <w:lang w:val="en-US" w:eastAsia="zh-CN"/>
                    </w:rPr>
                    <w:t>产生情况</w:t>
                  </w:r>
                </w:p>
              </w:tc>
              <w:tc>
                <w:tcPr>
                  <w:tcW w:w="2342" w:type="dxa"/>
                  <w:gridSpan w:val="4"/>
                  <w:vAlign w:val="center"/>
                </w:tcPr>
                <w:p>
                  <w:pPr>
                    <w:bidi w:val="0"/>
                    <w:spacing w:line="240" w:lineRule="auto"/>
                    <w:jc w:val="center"/>
                    <w:rPr>
                      <w:rFonts w:hint="default"/>
                      <w:sz w:val="15"/>
                      <w:szCs w:val="15"/>
                      <w:lang w:val="en-US" w:eastAsia="zh-CN"/>
                    </w:rPr>
                  </w:pPr>
                  <w:r>
                    <w:rPr>
                      <w:rFonts w:hint="eastAsia"/>
                      <w:sz w:val="15"/>
                      <w:szCs w:val="15"/>
                      <w:lang w:val="en-US" w:eastAsia="zh-CN"/>
                    </w:rPr>
                    <w:t>治理设施</w:t>
                  </w:r>
                </w:p>
              </w:tc>
              <w:tc>
                <w:tcPr>
                  <w:tcW w:w="59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废水排放量（t/a）</w:t>
                  </w:r>
                </w:p>
              </w:tc>
              <w:tc>
                <w:tcPr>
                  <w:tcW w:w="1359" w:type="dxa"/>
                  <w:gridSpan w:val="2"/>
                  <w:vAlign w:val="center"/>
                </w:tcPr>
                <w:p>
                  <w:pPr>
                    <w:bidi w:val="0"/>
                    <w:spacing w:line="240" w:lineRule="auto"/>
                    <w:jc w:val="center"/>
                    <w:rPr>
                      <w:rFonts w:hint="eastAsia"/>
                      <w:sz w:val="15"/>
                      <w:szCs w:val="15"/>
                      <w:lang w:val="en-US" w:eastAsia="zh-CN"/>
                    </w:rPr>
                  </w:pPr>
                  <w:r>
                    <w:rPr>
                      <w:rFonts w:hint="eastAsia"/>
                      <w:sz w:val="15"/>
                      <w:szCs w:val="15"/>
                      <w:lang w:val="en-US" w:eastAsia="zh-CN"/>
                    </w:rPr>
                    <w:t>排放情况</w:t>
                  </w:r>
                </w:p>
              </w:tc>
              <w:tc>
                <w:tcPr>
                  <w:tcW w:w="423"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排放方式</w:t>
                  </w:r>
                </w:p>
              </w:tc>
              <w:tc>
                <w:tcPr>
                  <w:tcW w:w="59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排放去向</w:t>
                  </w:r>
                </w:p>
              </w:tc>
              <w:tc>
                <w:tcPr>
                  <w:tcW w:w="59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排放规律</w:t>
                  </w:r>
                </w:p>
              </w:tc>
              <w:tc>
                <w:tcPr>
                  <w:tcW w:w="2379" w:type="dxa"/>
                  <w:gridSpan w:val="4"/>
                  <w:vAlign w:val="center"/>
                </w:tcPr>
                <w:p>
                  <w:pPr>
                    <w:bidi w:val="0"/>
                    <w:spacing w:line="240" w:lineRule="auto"/>
                    <w:jc w:val="center"/>
                    <w:rPr>
                      <w:rFonts w:hint="default"/>
                      <w:sz w:val="15"/>
                      <w:szCs w:val="15"/>
                      <w:lang w:val="en-US" w:eastAsia="zh-CN"/>
                    </w:rPr>
                  </w:pPr>
                  <w:r>
                    <w:rPr>
                      <w:rFonts w:hint="eastAsia"/>
                      <w:sz w:val="15"/>
                      <w:szCs w:val="15"/>
                      <w:lang w:val="en-US" w:eastAsia="zh-CN"/>
                    </w:rPr>
                    <w:t>排放口基本情况</w:t>
                  </w:r>
                </w:p>
              </w:tc>
              <w:tc>
                <w:tcPr>
                  <w:tcW w:w="1190" w:type="dxa"/>
                  <w:gridSpan w:val="2"/>
                  <w:vAlign w:val="center"/>
                </w:tcPr>
                <w:p>
                  <w:pPr>
                    <w:bidi w:val="0"/>
                    <w:spacing w:line="240" w:lineRule="auto"/>
                    <w:jc w:val="center"/>
                    <w:rPr>
                      <w:rFonts w:hint="default"/>
                      <w:sz w:val="15"/>
                      <w:szCs w:val="15"/>
                      <w:lang w:val="en-US" w:eastAsia="zh-CN"/>
                    </w:rPr>
                  </w:pPr>
                  <w:r>
                    <w:rPr>
                      <w:rFonts w:hint="eastAsia"/>
                      <w:sz w:val="15"/>
                      <w:szCs w:val="15"/>
                      <w:lang w:val="en-US" w:eastAsia="zh-CN"/>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dxa"/>
                  <w:vMerge w:val="continue"/>
                  <w:vAlign w:val="center"/>
                </w:tcPr>
                <w:p>
                  <w:pPr>
                    <w:bidi w:val="0"/>
                    <w:spacing w:line="240" w:lineRule="auto"/>
                    <w:jc w:val="center"/>
                    <w:rPr>
                      <w:rFonts w:hint="eastAsia"/>
                      <w:sz w:val="15"/>
                      <w:szCs w:val="15"/>
                      <w:lang w:val="en-US" w:eastAsia="zh-CN"/>
                    </w:rPr>
                  </w:pPr>
                </w:p>
              </w:tc>
              <w:tc>
                <w:tcPr>
                  <w:tcW w:w="364" w:type="dxa"/>
                  <w:vMerge w:val="continue"/>
                  <w:vAlign w:val="center"/>
                </w:tcPr>
                <w:p>
                  <w:pPr>
                    <w:bidi w:val="0"/>
                    <w:spacing w:line="240" w:lineRule="auto"/>
                    <w:jc w:val="center"/>
                    <w:rPr>
                      <w:rFonts w:hint="eastAsia"/>
                      <w:sz w:val="15"/>
                      <w:szCs w:val="15"/>
                      <w:lang w:val="en-US" w:eastAsia="zh-CN"/>
                    </w:rPr>
                  </w:pPr>
                </w:p>
              </w:tc>
              <w:tc>
                <w:tcPr>
                  <w:tcW w:w="668" w:type="dxa"/>
                  <w:vMerge w:val="continue"/>
                  <w:vAlign w:val="center"/>
                </w:tcPr>
                <w:p>
                  <w:pPr>
                    <w:bidi w:val="0"/>
                    <w:spacing w:line="240" w:lineRule="auto"/>
                    <w:jc w:val="center"/>
                    <w:rPr>
                      <w:rFonts w:hint="eastAsia"/>
                      <w:sz w:val="15"/>
                      <w:szCs w:val="15"/>
                      <w:lang w:val="en-US" w:eastAsia="zh-CN"/>
                    </w:rPr>
                  </w:pPr>
                </w:p>
              </w:tc>
              <w:tc>
                <w:tcPr>
                  <w:tcW w:w="668"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产生浓度（mg/L）</w:t>
                  </w:r>
                </w:p>
              </w:tc>
              <w:tc>
                <w:tcPr>
                  <w:tcW w:w="710"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产生量（t/a）</w:t>
                  </w:r>
                </w:p>
              </w:tc>
              <w:tc>
                <w:tcPr>
                  <w:tcW w:w="612"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处理能力（t/d）</w:t>
                  </w:r>
                </w:p>
              </w:tc>
              <w:tc>
                <w:tcPr>
                  <w:tcW w:w="542"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治理工艺</w:t>
                  </w:r>
                </w:p>
              </w:tc>
              <w:tc>
                <w:tcPr>
                  <w:tcW w:w="558"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治理效率</w:t>
                  </w:r>
                </w:p>
              </w:tc>
              <w:tc>
                <w:tcPr>
                  <w:tcW w:w="630"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是否为可行技术</w:t>
                  </w:r>
                </w:p>
              </w:tc>
              <w:tc>
                <w:tcPr>
                  <w:tcW w:w="594" w:type="dxa"/>
                  <w:vMerge w:val="continue"/>
                  <w:vAlign w:val="center"/>
                </w:tcPr>
                <w:p>
                  <w:pPr>
                    <w:bidi w:val="0"/>
                    <w:spacing w:line="240" w:lineRule="auto"/>
                    <w:jc w:val="center"/>
                    <w:rPr>
                      <w:rFonts w:hint="eastAsia"/>
                      <w:sz w:val="15"/>
                      <w:szCs w:val="15"/>
                      <w:lang w:val="en-US" w:eastAsia="zh-CN"/>
                    </w:rPr>
                  </w:pPr>
                </w:p>
              </w:tc>
              <w:tc>
                <w:tcPr>
                  <w:tcW w:w="66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排放浓度(mg/L)</w:t>
                  </w:r>
                </w:p>
              </w:tc>
              <w:tc>
                <w:tcPr>
                  <w:tcW w:w="695"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排放量(t/a)</w:t>
                  </w:r>
                </w:p>
              </w:tc>
              <w:tc>
                <w:tcPr>
                  <w:tcW w:w="423" w:type="dxa"/>
                  <w:vMerge w:val="continue"/>
                  <w:vAlign w:val="center"/>
                </w:tcPr>
                <w:p>
                  <w:pPr>
                    <w:bidi w:val="0"/>
                    <w:spacing w:line="240" w:lineRule="auto"/>
                    <w:jc w:val="center"/>
                    <w:rPr>
                      <w:rFonts w:hint="eastAsia"/>
                      <w:sz w:val="15"/>
                      <w:szCs w:val="15"/>
                      <w:lang w:val="en-US" w:eastAsia="zh-CN"/>
                    </w:rPr>
                  </w:pPr>
                </w:p>
              </w:tc>
              <w:tc>
                <w:tcPr>
                  <w:tcW w:w="594" w:type="dxa"/>
                  <w:vMerge w:val="continue"/>
                  <w:vAlign w:val="center"/>
                </w:tcPr>
                <w:p>
                  <w:pPr>
                    <w:bidi w:val="0"/>
                    <w:spacing w:line="240" w:lineRule="auto"/>
                    <w:jc w:val="center"/>
                    <w:rPr>
                      <w:rFonts w:hint="eastAsia"/>
                      <w:sz w:val="15"/>
                      <w:szCs w:val="15"/>
                      <w:lang w:val="en-US" w:eastAsia="zh-CN"/>
                    </w:rPr>
                  </w:pPr>
                </w:p>
              </w:tc>
              <w:tc>
                <w:tcPr>
                  <w:tcW w:w="594" w:type="dxa"/>
                  <w:vMerge w:val="continue"/>
                  <w:vAlign w:val="center"/>
                </w:tcPr>
                <w:p>
                  <w:pPr>
                    <w:bidi w:val="0"/>
                    <w:spacing w:line="240" w:lineRule="auto"/>
                    <w:jc w:val="center"/>
                    <w:rPr>
                      <w:rFonts w:hint="eastAsia"/>
                      <w:sz w:val="15"/>
                      <w:szCs w:val="15"/>
                      <w:lang w:val="en-US" w:eastAsia="zh-CN"/>
                    </w:rPr>
                  </w:pPr>
                </w:p>
              </w:tc>
              <w:tc>
                <w:tcPr>
                  <w:tcW w:w="775"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编号及名称</w:t>
                  </w:r>
                </w:p>
              </w:tc>
              <w:tc>
                <w:tcPr>
                  <w:tcW w:w="41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类型</w:t>
                  </w:r>
                </w:p>
              </w:tc>
              <w:tc>
                <w:tcPr>
                  <w:tcW w:w="1190" w:type="dxa"/>
                  <w:gridSpan w:val="2"/>
                  <w:vAlign w:val="center"/>
                </w:tcPr>
                <w:p>
                  <w:pPr>
                    <w:bidi w:val="0"/>
                    <w:spacing w:line="240" w:lineRule="auto"/>
                    <w:jc w:val="center"/>
                    <w:rPr>
                      <w:rFonts w:hint="eastAsia"/>
                      <w:sz w:val="15"/>
                      <w:szCs w:val="15"/>
                      <w:lang w:val="en-US" w:eastAsia="zh-CN"/>
                    </w:rPr>
                  </w:pPr>
                  <w:r>
                    <w:rPr>
                      <w:rFonts w:hint="eastAsia"/>
                      <w:sz w:val="15"/>
                      <w:szCs w:val="15"/>
                      <w:lang w:val="en-US" w:eastAsia="zh-CN"/>
                    </w:rPr>
                    <w:t>地理坐标</w:t>
                  </w:r>
                </w:p>
              </w:tc>
              <w:tc>
                <w:tcPr>
                  <w:tcW w:w="595"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名称</w:t>
                  </w:r>
                </w:p>
              </w:tc>
              <w:tc>
                <w:tcPr>
                  <w:tcW w:w="595" w:type="dxa"/>
                  <w:vMerge w:val="restart"/>
                  <w:vAlign w:val="center"/>
                </w:tcPr>
                <w:p>
                  <w:pPr>
                    <w:bidi w:val="0"/>
                    <w:spacing w:line="240" w:lineRule="auto"/>
                    <w:jc w:val="center"/>
                    <w:rPr>
                      <w:rFonts w:hint="eastAsia"/>
                      <w:sz w:val="15"/>
                      <w:szCs w:val="15"/>
                      <w:lang w:val="en-US" w:eastAsia="zh-CN"/>
                    </w:rPr>
                  </w:pPr>
                  <w:r>
                    <w:rPr>
                      <w:rFonts w:hint="eastAsia"/>
                      <w:sz w:val="15"/>
                      <w:szCs w:val="15"/>
                      <w:lang w:val="en-US" w:eastAsia="zh-CN"/>
                    </w:rPr>
                    <w:t>浓度</w:t>
                  </w:r>
                </w:p>
                <w:p>
                  <w:pPr>
                    <w:bidi w:val="0"/>
                    <w:spacing w:line="240" w:lineRule="auto"/>
                    <w:jc w:val="center"/>
                    <w:rPr>
                      <w:rFonts w:hint="eastAsia"/>
                      <w:sz w:val="15"/>
                      <w:szCs w:val="15"/>
                      <w:lang w:val="en-US" w:eastAsia="zh-CN"/>
                    </w:rPr>
                  </w:pPr>
                  <w:r>
                    <w:rPr>
                      <w:rFonts w:hint="eastAsia"/>
                      <w:sz w:val="15"/>
                      <w:szCs w:val="15"/>
                      <w:lang w:val="en-US" w:eastAsia="zh-CN"/>
                    </w:rPr>
                    <w:t>限制</w:t>
                  </w:r>
                </w:p>
                <w:p>
                  <w:pPr>
                    <w:bidi w:val="0"/>
                    <w:spacing w:line="240" w:lineRule="auto"/>
                    <w:jc w:val="center"/>
                    <w:rPr>
                      <w:rFonts w:hint="default"/>
                      <w:sz w:val="15"/>
                      <w:szCs w:val="15"/>
                      <w:lang w:val="en-US" w:eastAsia="zh-CN"/>
                    </w:rPr>
                  </w:pPr>
                  <w:r>
                    <w:rPr>
                      <w:rFonts w:hint="eastAsia"/>
                      <w:sz w:val="15"/>
                      <w:szCs w:val="15"/>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dxa"/>
                  <w:vMerge w:val="continue"/>
                  <w:vAlign w:val="center"/>
                </w:tcPr>
                <w:p>
                  <w:pPr>
                    <w:bidi w:val="0"/>
                    <w:spacing w:line="240" w:lineRule="auto"/>
                    <w:jc w:val="center"/>
                    <w:rPr>
                      <w:rFonts w:hint="eastAsia"/>
                      <w:sz w:val="15"/>
                      <w:szCs w:val="15"/>
                      <w:lang w:val="en-US" w:eastAsia="zh-CN"/>
                    </w:rPr>
                  </w:pPr>
                </w:p>
              </w:tc>
              <w:tc>
                <w:tcPr>
                  <w:tcW w:w="364" w:type="dxa"/>
                  <w:vMerge w:val="continue"/>
                  <w:vAlign w:val="center"/>
                </w:tcPr>
                <w:p>
                  <w:pPr>
                    <w:bidi w:val="0"/>
                    <w:spacing w:line="240" w:lineRule="auto"/>
                    <w:jc w:val="center"/>
                    <w:rPr>
                      <w:rFonts w:hint="eastAsia"/>
                      <w:sz w:val="15"/>
                      <w:szCs w:val="15"/>
                      <w:lang w:val="en-US" w:eastAsia="zh-CN"/>
                    </w:rPr>
                  </w:pPr>
                </w:p>
              </w:tc>
              <w:tc>
                <w:tcPr>
                  <w:tcW w:w="668" w:type="dxa"/>
                  <w:vMerge w:val="continue"/>
                  <w:vAlign w:val="center"/>
                </w:tcPr>
                <w:p>
                  <w:pPr>
                    <w:bidi w:val="0"/>
                    <w:spacing w:line="240" w:lineRule="auto"/>
                    <w:jc w:val="center"/>
                    <w:rPr>
                      <w:rFonts w:hint="eastAsia"/>
                      <w:sz w:val="15"/>
                      <w:szCs w:val="15"/>
                      <w:lang w:val="en-US" w:eastAsia="zh-CN"/>
                    </w:rPr>
                  </w:pPr>
                </w:p>
              </w:tc>
              <w:tc>
                <w:tcPr>
                  <w:tcW w:w="668" w:type="dxa"/>
                  <w:vMerge w:val="continue"/>
                  <w:vAlign w:val="center"/>
                </w:tcPr>
                <w:p>
                  <w:pPr>
                    <w:bidi w:val="0"/>
                    <w:spacing w:line="240" w:lineRule="auto"/>
                    <w:jc w:val="center"/>
                    <w:rPr>
                      <w:rFonts w:hint="eastAsia"/>
                      <w:sz w:val="15"/>
                      <w:szCs w:val="15"/>
                      <w:lang w:val="en-US" w:eastAsia="zh-CN"/>
                    </w:rPr>
                  </w:pPr>
                </w:p>
              </w:tc>
              <w:tc>
                <w:tcPr>
                  <w:tcW w:w="710" w:type="dxa"/>
                  <w:vMerge w:val="continue"/>
                  <w:vAlign w:val="center"/>
                </w:tcPr>
                <w:p>
                  <w:pPr>
                    <w:bidi w:val="0"/>
                    <w:spacing w:line="240" w:lineRule="auto"/>
                    <w:jc w:val="center"/>
                    <w:rPr>
                      <w:rFonts w:hint="eastAsia"/>
                      <w:sz w:val="15"/>
                      <w:szCs w:val="15"/>
                      <w:lang w:val="en-US" w:eastAsia="zh-CN"/>
                    </w:rPr>
                  </w:pPr>
                </w:p>
              </w:tc>
              <w:tc>
                <w:tcPr>
                  <w:tcW w:w="612" w:type="dxa"/>
                  <w:vMerge w:val="continue"/>
                  <w:vAlign w:val="center"/>
                </w:tcPr>
                <w:p>
                  <w:pPr>
                    <w:bidi w:val="0"/>
                    <w:spacing w:line="240" w:lineRule="auto"/>
                    <w:jc w:val="center"/>
                    <w:rPr>
                      <w:rFonts w:hint="eastAsia"/>
                      <w:sz w:val="15"/>
                      <w:szCs w:val="15"/>
                      <w:lang w:val="en-US" w:eastAsia="zh-CN"/>
                    </w:rPr>
                  </w:pPr>
                </w:p>
              </w:tc>
              <w:tc>
                <w:tcPr>
                  <w:tcW w:w="542" w:type="dxa"/>
                  <w:vMerge w:val="continue"/>
                  <w:vAlign w:val="center"/>
                </w:tcPr>
                <w:p>
                  <w:pPr>
                    <w:bidi w:val="0"/>
                    <w:spacing w:line="240" w:lineRule="auto"/>
                    <w:jc w:val="center"/>
                    <w:rPr>
                      <w:rFonts w:hint="eastAsia"/>
                      <w:sz w:val="15"/>
                      <w:szCs w:val="15"/>
                      <w:lang w:val="en-US" w:eastAsia="zh-CN"/>
                    </w:rPr>
                  </w:pPr>
                </w:p>
              </w:tc>
              <w:tc>
                <w:tcPr>
                  <w:tcW w:w="558" w:type="dxa"/>
                  <w:vMerge w:val="continue"/>
                  <w:vAlign w:val="center"/>
                </w:tcPr>
                <w:p>
                  <w:pPr>
                    <w:bidi w:val="0"/>
                    <w:spacing w:line="240" w:lineRule="auto"/>
                    <w:jc w:val="center"/>
                    <w:rPr>
                      <w:rFonts w:hint="eastAsia"/>
                      <w:sz w:val="15"/>
                      <w:szCs w:val="15"/>
                      <w:lang w:val="en-US" w:eastAsia="zh-CN"/>
                    </w:rPr>
                  </w:pPr>
                </w:p>
              </w:tc>
              <w:tc>
                <w:tcPr>
                  <w:tcW w:w="630" w:type="dxa"/>
                  <w:vMerge w:val="continue"/>
                  <w:vAlign w:val="center"/>
                </w:tcPr>
                <w:p>
                  <w:pPr>
                    <w:bidi w:val="0"/>
                    <w:spacing w:line="240" w:lineRule="auto"/>
                    <w:jc w:val="center"/>
                    <w:rPr>
                      <w:rFonts w:hint="eastAsia"/>
                      <w:sz w:val="15"/>
                      <w:szCs w:val="15"/>
                      <w:lang w:val="en-US" w:eastAsia="zh-CN"/>
                    </w:rPr>
                  </w:pPr>
                </w:p>
              </w:tc>
              <w:tc>
                <w:tcPr>
                  <w:tcW w:w="594" w:type="dxa"/>
                  <w:vMerge w:val="continue"/>
                  <w:vAlign w:val="center"/>
                </w:tcPr>
                <w:p>
                  <w:pPr>
                    <w:bidi w:val="0"/>
                    <w:spacing w:line="240" w:lineRule="auto"/>
                    <w:jc w:val="center"/>
                    <w:rPr>
                      <w:rFonts w:hint="eastAsia"/>
                      <w:sz w:val="15"/>
                      <w:szCs w:val="15"/>
                      <w:lang w:val="en-US" w:eastAsia="zh-CN"/>
                    </w:rPr>
                  </w:pPr>
                </w:p>
              </w:tc>
              <w:tc>
                <w:tcPr>
                  <w:tcW w:w="664" w:type="dxa"/>
                  <w:vMerge w:val="continue"/>
                  <w:vAlign w:val="center"/>
                </w:tcPr>
                <w:p>
                  <w:pPr>
                    <w:bidi w:val="0"/>
                    <w:spacing w:line="240" w:lineRule="auto"/>
                    <w:jc w:val="center"/>
                    <w:rPr>
                      <w:rFonts w:hint="eastAsia"/>
                      <w:sz w:val="15"/>
                      <w:szCs w:val="15"/>
                      <w:lang w:val="en-US" w:eastAsia="zh-CN"/>
                    </w:rPr>
                  </w:pPr>
                </w:p>
              </w:tc>
              <w:tc>
                <w:tcPr>
                  <w:tcW w:w="695" w:type="dxa"/>
                  <w:vMerge w:val="continue"/>
                  <w:vAlign w:val="center"/>
                </w:tcPr>
                <w:p>
                  <w:pPr>
                    <w:bidi w:val="0"/>
                    <w:spacing w:line="240" w:lineRule="auto"/>
                    <w:jc w:val="center"/>
                    <w:rPr>
                      <w:rFonts w:hint="eastAsia"/>
                      <w:sz w:val="15"/>
                      <w:szCs w:val="15"/>
                      <w:lang w:val="en-US" w:eastAsia="zh-CN"/>
                    </w:rPr>
                  </w:pPr>
                </w:p>
              </w:tc>
              <w:tc>
                <w:tcPr>
                  <w:tcW w:w="423" w:type="dxa"/>
                  <w:vMerge w:val="continue"/>
                  <w:vAlign w:val="center"/>
                </w:tcPr>
                <w:p>
                  <w:pPr>
                    <w:bidi w:val="0"/>
                    <w:spacing w:line="240" w:lineRule="auto"/>
                    <w:jc w:val="center"/>
                    <w:rPr>
                      <w:rFonts w:hint="eastAsia"/>
                      <w:sz w:val="15"/>
                      <w:szCs w:val="15"/>
                      <w:lang w:val="en-US" w:eastAsia="zh-CN"/>
                    </w:rPr>
                  </w:pPr>
                </w:p>
              </w:tc>
              <w:tc>
                <w:tcPr>
                  <w:tcW w:w="594" w:type="dxa"/>
                  <w:vMerge w:val="continue"/>
                  <w:vAlign w:val="center"/>
                </w:tcPr>
                <w:p>
                  <w:pPr>
                    <w:bidi w:val="0"/>
                    <w:spacing w:line="240" w:lineRule="auto"/>
                    <w:jc w:val="center"/>
                    <w:rPr>
                      <w:rFonts w:hint="eastAsia"/>
                      <w:sz w:val="15"/>
                      <w:szCs w:val="15"/>
                      <w:lang w:val="en-US" w:eastAsia="zh-CN"/>
                    </w:rPr>
                  </w:pPr>
                </w:p>
              </w:tc>
              <w:tc>
                <w:tcPr>
                  <w:tcW w:w="594" w:type="dxa"/>
                  <w:vMerge w:val="continue"/>
                  <w:vAlign w:val="center"/>
                </w:tcPr>
                <w:p>
                  <w:pPr>
                    <w:bidi w:val="0"/>
                    <w:spacing w:line="240" w:lineRule="auto"/>
                    <w:jc w:val="center"/>
                    <w:rPr>
                      <w:rFonts w:hint="eastAsia"/>
                      <w:sz w:val="15"/>
                      <w:szCs w:val="15"/>
                      <w:lang w:val="en-US" w:eastAsia="zh-CN"/>
                    </w:rPr>
                  </w:pPr>
                </w:p>
              </w:tc>
              <w:tc>
                <w:tcPr>
                  <w:tcW w:w="775" w:type="dxa"/>
                  <w:vMerge w:val="continue"/>
                  <w:vAlign w:val="center"/>
                </w:tcPr>
                <w:p>
                  <w:pPr>
                    <w:bidi w:val="0"/>
                    <w:spacing w:line="240" w:lineRule="auto"/>
                    <w:jc w:val="center"/>
                    <w:rPr>
                      <w:rFonts w:hint="eastAsia"/>
                      <w:sz w:val="15"/>
                      <w:szCs w:val="15"/>
                      <w:lang w:val="en-US" w:eastAsia="zh-CN"/>
                    </w:rPr>
                  </w:pPr>
                </w:p>
              </w:tc>
              <w:tc>
                <w:tcPr>
                  <w:tcW w:w="414" w:type="dxa"/>
                  <w:vMerge w:val="continue"/>
                  <w:vAlign w:val="center"/>
                </w:tcPr>
                <w:p>
                  <w:pPr>
                    <w:bidi w:val="0"/>
                    <w:spacing w:line="240" w:lineRule="auto"/>
                    <w:jc w:val="center"/>
                    <w:rPr>
                      <w:rFonts w:hint="eastAsia"/>
                      <w:sz w:val="15"/>
                      <w:szCs w:val="15"/>
                      <w:lang w:val="en-US" w:eastAsia="zh-CN"/>
                    </w:rPr>
                  </w:pPr>
                </w:p>
              </w:tc>
              <w:tc>
                <w:tcPr>
                  <w:tcW w:w="595"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经度/°</w:t>
                  </w:r>
                </w:p>
              </w:tc>
              <w:tc>
                <w:tcPr>
                  <w:tcW w:w="595"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纬度/°</w:t>
                  </w:r>
                </w:p>
              </w:tc>
              <w:tc>
                <w:tcPr>
                  <w:tcW w:w="595" w:type="dxa"/>
                  <w:vMerge w:val="continue"/>
                  <w:vAlign w:val="center"/>
                </w:tcPr>
                <w:p>
                  <w:pPr>
                    <w:bidi w:val="0"/>
                    <w:spacing w:line="240" w:lineRule="auto"/>
                    <w:jc w:val="center"/>
                    <w:rPr>
                      <w:rFonts w:hint="eastAsia"/>
                      <w:sz w:val="15"/>
                      <w:szCs w:val="15"/>
                      <w:lang w:val="en-US" w:eastAsia="zh-CN"/>
                    </w:rPr>
                  </w:pPr>
                </w:p>
              </w:tc>
              <w:tc>
                <w:tcPr>
                  <w:tcW w:w="595" w:type="dxa"/>
                  <w:vMerge w:val="continue"/>
                  <w:vAlign w:val="center"/>
                </w:tcPr>
                <w:p>
                  <w:pPr>
                    <w:bidi w:val="0"/>
                    <w:spacing w:line="240" w:lineRule="auto"/>
                    <w:jc w:val="center"/>
                    <w:rPr>
                      <w:rFonts w:hint="eastAsia"/>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9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职工生活</w:t>
                  </w:r>
                </w:p>
              </w:tc>
              <w:tc>
                <w:tcPr>
                  <w:tcW w:w="36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生活污水</w:t>
                  </w:r>
                </w:p>
              </w:tc>
              <w:tc>
                <w:tcPr>
                  <w:tcW w:w="668"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COD</w:t>
                  </w:r>
                  <w:r>
                    <w:rPr>
                      <w:rFonts w:hint="eastAsia"/>
                      <w:sz w:val="15"/>
                      <w:szCs w:val="15"/>
                      <w:vertAlign w:val="subscript"/>
                      <w:lang w:val="en-US" w:eastAsia="zh-CN"/>
                    </w:rPr>
                    <w:t>cr</w:t>
                  </w:r>
                </w:p>
              </w:tc>
              <w:tc>
                <w:tcPr>
                  <w:tcW w:w="668"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300</w:t>
                  </w:r>
                </w:p>
              </w:tc>
              <w:tc>
                <w:tcPr>
                  <w:tcW w:w="710"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0.364</w:t>
                  </w:r>
                </w:p>
              </w:tc>
              <w:tc>
                <w:tcPr>
                  <w:tcW w:w="612"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大于5</w:t>
                  </w:r>
                </w:p>
              </w:tc>
              <w:tc>
                <w:tcPr>
                  <w:tcW w:w="542"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化粪池</w:t>
                  </w:r>
                </w:p>
              </w:tc>
              <w:tc>
                <w:tcPr>
                  <w:tcW w:w="558"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10</w:t>
                  </w:r>
                </w:p>
              </w:tc>
              <w:tc>
                <w:tcPr>
                  <w:tcW w:w="630"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是</w:t>
                  </w:r>
                </w:p>
              </w:tc>
              <w:tc>
                <w:tcPr>
                  <w:tcW w:w="59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1187.2</w:t>
                  </w:r>
                </w:p>
              </w:tc>
              <w:tc>
                <w:tcPr>
                  <w:tcW w:w="664"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270</w:t>
                  </w:r>
                </w:p>
              </w:tc>
              <w:tc>
                <w:tcPr>
                  <w:tcW w:w="695"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0.328</w:t>
                  </w:r>
                </w:p>
              </w:tc>
              <w:tc>
                <w:tcPr>
                  <w:tcW w:w="423"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间接排放</w:t>
                  </w:r>
                </w:p>
              </w:tc>
              <w:tc>
                <w:tcPr>
                  <w:tcW w:w="59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湘阴县第二污水处理厂</w:t>
                  </w:r>
                </w:p>
              </w:tc>
              <w:tc>
                <w:tcPr>
                  <w:tcW w:w="594" w:type="dxa"/>
                  <w:vMerge w:val="restart"/>
                  <w:vAlign w:val="center"/>
                </w:tcPr>
                <w:p>
                  <w:pPr>
                    <w:bidi w:val="0"/>
                    <w:spacing w:line="240" w:lineRule="auto"/>
                    <w:jc w:val="center"/>
                    <w:rPr>
                      <w:rFonts w:hint="eastAsia"/>
                      <w:sz w:val="15"/>
                      <w:szCs w:val="15"/>
                      <w:lang w:val="en-US" w:eastAsia="zh-CN"/>
                    </w:rPr>
                  </w:pPr>
                  <w:r>
                    <w:rPr>
                      <w:rFonts w:hint="eastAsia"/>
                      <w:sz w:val="15"/>
                      <w:szCs w:val="15"/>
                      <w:lang w:val="en-US" w:eastAsia="zh-CN"/>
                    </w:rPr>
                    <w:t>间断排 放，排 放期间 流量不 稳定且 无规 律，但 不属于 冲击型 排放</w:t>
                  </w:r>
                </w:p>
              </w:tc>
              <w:tc>
                <w:tcPr>
                  <w:tcW w:w="775"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DW001，废水总排口</w:t>
                  </w:r>
                </w:p>
              </w:tc>
              <w:tc>
                <w:tcPr>
                  <w:tcW w:w="414"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一般排放口</w:t>
                  </w:r>
                </w:p>
              </w:tc>
              <w:tc>
                <w:tcPr>
                  <w:tcW w:w="595"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112.910416</w:t>
                  </w:r>
                </w:p>
              </w:tc>
              <w:tc>
                <w:tcPr>
                  <w:tcW w:w="595" w:type="dxa"/>
                  <w:vMerge w:val="restart"/>
                  <w:vAlign w:val="center"/>
                </w:tcPr>
                <w:p>
                  <w:pPr>
                    <w:bidi w:val="0"/>
                    <w:spacing w:line="240" w:lineRule="auto"/>
                    <w:jc w:val="center"/>
                    <w:rPr>
                      <w:rFonts w:hint="default"/>
                      <w:sz w:val="15"/>
                      <w:szCs w:val="15"/>
                      <w:lang w:val="en-US" w:eastAsia="zh-CN"/>
                    </w:rPr>
                  </w:pPr>
                  <w:r>
                    <w:rPr>
                      <w:rFonts w:hint="eastAsia"/>
                      <w:sz w:val="15"/>
                      <w:szCs w:val="15"/>
                      <w:lang w:val="en-US" w:eastAsia="zh-CN"/>
                    </w:rPr>
                    <w:t>28.632116</w:t>
                  </w:r>
                </w:p>
              </w:tc>
              <w:tc>
                <w:tcPr>
                  <w:tcW w:w="595" w:type="dxa"/>
                  <w:vMerge w:val="restart"/>
                  <w:vAlign w:val="center"/>
                </w:tcPr>
                <w:p>
                  <w:pPr>
                    <w:bidi w:val="0"/>
                    <w:spacing w:line="240" w:lineRule="auto"/>
                    <w:jc w:val="center"/>
                    <w:rPr>
                      <w:rFonts w:hint="eastAsia"/>
                      <w:sz w:val="15"/>
                      <w:szCs w:val="15"/>
                      <w:lang w:val="en-US" w:eastAsia="zh-CN"/>
                    </w:rPr>
                  </w:pPr>
                  <w:r>
                    <w:rPr>
                      <w:rFonts w:hint="eastAsia"/>
                      <w:sz w:val="15"/>
                      <w:szCs w:val="15"/>
                      <w:lang w:val="en-US" w:eastAsia="zh-CN"/>
                    </w:rPr>
                    <w:t>《污水综合排放标准》</w:t>
                  </w:r>
                </w:p>
              </w:tc>
              <w:tc>
                <w:tcPr>
                  <w:tcW w:w="595"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94" w:type="dxa"/>
                  <w:vMerge w:val="continue"/>
                  <w:vAlign w:val="center"/>
                </w:tcPr>
                <w:p>
                  <w:pPr>
                    <w:bidi w:val="0"/>
                    <w:spacing w:line="240" w:lineRule="auto"/>
                    <w:jc w:val="center"/>
                    <w:rPr>
                      <w:rFonts w:hint="eastAsia"/>
                      <w:sz w:val="15"/>
                      <w:szCs w:val="15"/>
                      <w:lang w:val="en-US" w:eastAsia="zh-CN"/>
                    </w:rPr>
                  </w:pPr>
                </w:p>
              </w:tc>
              <w:tc>
                <w:tcPr>
                  <w:tcW w:w="364" w:type="dxa"/>
                  <w:vMerge w:val="continue"/>
                  <w:vAlign w:val="center"/>
                </w:tcPr>
                <w:p>
                  <w:pPr>
                    <w:bidi w:val="0"/>
                    <w:spacing w:line="240" w:lineRule="auto"/>
                    <w:jc w:val="center"/>
                    <w:rPr>
                      <w:rFonts w:hint="eastAsia"/>
                      <w:sz w:val="15"/>
                      <w:szCs w:val="15"/>
                      <w:lang w:val="en-US" w:eastAsia="zh-CN"/>
                    </w:rPr>
                  </w:pPr>
                </w:p>
              </w:tc>
              <w:tc>
                <w:tcPr>
                  <w:tcW w:w="668"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SS</w:t>
                  </w:r>
                </w:p>
              </w:tc>
              <w:tc>
                <w:tcPr>
                  <w:tcW w:w="668"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200</w:t>
                  </w:r>
                </w:p>
              </w:tc>
              <w:tc>
                <w:tcPr>
                  <w:tcW w:w="710"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0.224</w:t>
                  </w:r>
                </w:p>
              </w:tc>
              <w:tc>
                <w:tcPr>
                  <w:tcW w:w="612" w:type="dxa"/>
                  <w:vMerge w:val="continue"/>
                  <w:vAlign w:val="center"/>
                </w:tcPr>
                <w:p>
                  <w:pPr>
                    <w:bidi w:val="0"/>
                    <w:spacing w:line="240" w:lineRule="auto"/>
                    <w:jc w:val="center"/>
                    <w:rPr>
                      <w:rFonts w:hint="eastAsia"/>
                      <w:sz w:val="15"/>
                      <w:szCs w:val="15"/>
                      <w:lang w:val="en-US" w:eastAsia="zh-CN"/>
                    </w:rPr>
                  </w:pPr>
                </w:p>
              </w:tc>
              <w:tc>
                <w:tcPr>
                  <w:tcW w:w="542" w:type="dxa"/>
                  <w:vMerge w:val="continue"/>
                  <w:vAlign w:val="center"/>
                </w:tcPr>
                <w:p>
                  <w:pPr>
                    <w:bidi w:val="0"/>
                    <w:spacing w:line="240" w:lineRule="auto"/>
                    <w:jc w:val="center"/>
                    <w:rPr>
                      <w:rFonts w:hint="eastAsia"/>
                      <w:sz w:val="15"/>
                      <w:szCs w:val="15"/>
                      <w:lang w:val="en-US" w:eastAsia="zh-CN"/>
                    </w:rPr>
                  </w:pPr>
                </w:p>
              </w:tc>
              <w:tc>
                <w:tcPr>
                  <w:tcW w:w="558"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20</w:t>
                  </w:r>
                </w:p>
              </w:tc>
              <w:tc>
                <w:tcPr>
                  <w:tcW w:w="630"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是</w:t>
                  </w:r>
                </w:p>
              </w:tc>
              <w:tc>
                <w:tcPr>
                  <w:tcW w:w="594" w:type="dxa"/>
                  <w:vMerge w:val="continue"/>
                  <w:vAlign w:val="center"/>
                </w:tcPr>
                <w:p>
                  <w:pPr>
                    <w:bidi w:val="0"/>
                    <w:spacing w:line="240" w:lineRule="auto"/>
                    <w:jc w:val="center"/>
                    <w:rPr>
                      <w:rFonts w:hint="eastAsia"/>
                      <w:sz w:val="15"/>
                      <w:szCs w:val="15"/>
                      <w:lang w:val="en-US" w:eastAsia="zh-CN"/>
                    </w:rPr>
                  </w:pPr>
                </w:p>
              </w:tc>
              <w:tc>
                <w:tcPr>
                  <w:tcW w:w="664"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160</w:t>
                  </w:r>
                </w:p>
              </w:tc>
              <w:tc>
                <w:tcPr>
                  <w:tcW w:w="695"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0.179</w:t>
                  </w:r>
                </w:p>
              </w:tc>
              <w:tc>
                <w:tcPr>
                  <w:tcW w:w="423" w:type="dxa"/>
                  <w:vMerge w:val="continue"/>
                  <w:vAlign w:val="center"/>
                </w:tcPr>
                <w:p>
                  <w:pPr>
                    <w:bidi w:val="0"/>
                    <w:spacing w:line="240" w:lineRule="auto"/>
                    <w:jc w:val="center"/>
                    <w:rPr>
                      <w:rFonts w:hint="eastAsia"/>
                      <w:sz w:val="15"/>
                      <w:szCs w:val="15"/>
                      <w:lang w:val="en-US" w:eastAsia="zh-CN"/>
                    </w:rPr>
                  </w:pPr>
                </w:p>
              </w:tc>
              <w:tc>
                <w:tcPr>
                  <w:tcW w:w="594" w:type="dxa"/>
                  <w:vMerge w:val="continue"/>
                  <w:vAlign w:val="center"/>
                </w:tcPr>
                <w:p>
                  <w:pPr>
                    <w:bidi w:val="0"/>
                    <w:spacing w:line="240" w:lineRule="auto"/>
                    <w:jc w:val="center"/>
                    <w:rPr>
                      <w:rFonts w:hint="eastAsia"/>
                      <w:sz w:val="15"/>
                      <w:szCs w:val="15"/>
                      <w:lang w:val="en-US" w:eastAsia="zh-CN"/>
                    </w:rPr>
                  </w:pPr>
                </w:p>
              </w:tc>
              <w:tc>
                <w:tcPr>
                  <w:tcW w:w="594" w:type="dxa"/>
                  <w:vMerge w:val="continue"/>
                  <w:vAlign w:val="center"/>
                </w:tcPr>
                <w:p>
                  <w:pPr>
                    <w:bidi w:val="0"/>
                    <w:spacing w:line="240" w:lineRule="auto"/>
                    <w:jc w:val="center"/>
                    <w:rPr>
                      <w:rFonts w:hint="eastAsia"/>
                      <w:sz w:val="15"/>
                      <w:szCs w:val="15"/>
                      <w:lang w:val="en-US" w:eastAsia="zh-CN"/>
                    </w:rPr>
                  </w:pPr>
                </w:p>
              </w:tc>
              <w:tc>
                <w:tcPr>
                  <w:tcW w:w="775" w:type="dxa"/>
                  <w:vMerge w:val="continue"/>
                  <w:vAlign w:val="center"/>
                </w:tcPr>
                <w:p>
                  <w:pPr>
                    <w:bidi w:val="0"/>
                    <w:spacing w:line="240" w:lineRule="auto"/>
                    <w:jc w:val="center"/>
                    <w:rPr>
                      <w:rFonts w:hint="eastAsia"/>
                      <w:sz w:val="15"/>
                      <w:szCs w:val="15"/>
                      <w:lang w:val="en-US" w:eastAsia="zh-CN"/>
                    </w:rPr>
                  </w:pPr>
                </w:p>
              </w:tc>
              <w:tc>
                <w:tcPr>
                  <w:tcW w:w="414" w:type="dxa"/>
                  <w:vMerge w:val="continue"/>
                  <w:vAlign w:val="center"/>
                </w:tcPr>
                <w:p>
                  <w:pPr>
                    <w:bidi w:val="0"/>
                    <w:spacing w:line="240" w:lineRule="auto"/>
                    <w:jc w:val="center"/>
                    <w:rPr>
                      <w:rFonts w:hint="eastAsia"/>
                      <w:sz w:val="15"/>
                      <w:szCs w:val="15"/>
                      <w:lang w:val="en-US" w:eastAsia="zh-CN"/>
                    </w:rPr>
                  </w:pPr>
                </w:p>
              </w:tc>
              <w:tc>
                <w:tcPr>
                  <w:tcW w:w="595" w:type="dxa"/>
                  <w:vMerge w:val="continue"/>
                  <w:vAlign w:val="center"/>
                </w:tcPr>
                <w:p>
                  <w:pPr>
                    <w:bidi w:val="0"/>
                    <w:spacing w:line="240" w:lineRule="auto"/>
                    <w:jc w:val="center"/>
                    <w:rPr>
                      <w:rFonts w:hint="eastAsia"/>
                      <w:sz w:val="15"/>
                      <w:szCs w:val="15"/>
                      <w:lang w:val="en-US" w:eastAsia="zh-CN"/>
                    </w:rPr>
                  </w:pPr>
                </w:p>
              </w:tc>
              <w:tc>
                <w:tcPr>
                  <w:tcW w:w="595" w:type="dxa"/>
                  <w:vMerge w:val="continue"/>
                  <w:vAlign w:val="center"/>
                </w:tcPr>
                <w:p>
                  <w:pPr>
                    <w:bidi w:val="0"/>
                    <w:spacing w:line="240" w:lineRule="auto"/>
                    <w:jc w:val="center"/>
                    <w:rPr>
                      <w:rFonts w:hint="eastAsia"/>
                      <w:sz w:val="15"/>
                      <w:szCs w:val="15"/>
                      <w:lang w:val="en-US" w:eastAsia="zh-CN"/>
                    </w:rPr>
                  </w:pPr>
                </w:p>
              </w:tc>
              <w:tc>
                <w:tcPr>
                  <w:tcW w:w="595" w:type="dxa"/>
                  <w:vMerge w:val="continue"/>
                  <w:vAlign w:val="center"/>
                </w:tcPr>
                <w:p>
                  <w:pPr>
                    <w:bidi w:val="0"/>
                    <w:spacing w:line="240" w:lineRule="auto"/>
                    <w:jc w:val="center"/>
                    <w:rPr>
                      <w:rFonts w:hint="eastAsia"/>
                      <w:sz w:val="15"/>
                      <w:szCs w:val="15"/>
                      <w:lang w:val="en-US" w:eastAsia="zh-CN"/>
                    </w:rPr>
                  </w:pPr>
                </w:p>
              </w:tc>
              <w:tc>
                <w:tcPr>
                  <w:tcW w:w="595"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94" w:type="dxa"/>
                  <w:vMerge w:val="continue"/>
                  <w:vAlign w:val="center"/>
                </w:tcPr>
                <w:p>
                  <w:pPr>
                    <w:bidi w:val="0"/>
                    <w:spacing w:line="240" w:lineRule="auto"/>
                    <w:jc w:val="center"/>
                    <w:rPr>
                      <w:rFonts w:hint="eastAsia"/>
                      <w:sz w:val="15"/>
                      <w:szCs w:val="15"/>
                      <w:lang w:val="en-US" w:eastAsia="zh-CN"/>
                    </w:rPr>
                  </w:pPr>
                </w:p>
              </w:tc>
              <w:tc>
                <w:tcPr>
                  <w:tcW w:w="364" w:type="dxa"/>
                  <w:vMerge w:val="continue"/>
                  <w:vAlign w:val="center"/>
                </w:tcPr>
                <w:p>
                  <w:pPr>
                    <w:bidi w:val="0"/>
                    <w:spacing w:line="240" w:lineRule="auto"/>
                    <w:jc w:val="center"/>
                    <w:rPr>
                      <w:rFonts w:hint="eastAsia"/>
                      <w:sz w:val="15"/>
                      <w:szCs w:val="15"/>
                      <w:lang w:val="en-US" w:eastAsia="zh-CN"/>
                    </w:rPr>
                  </w:pPr>
                </w:p>
              </w:tc>
              <w:tc>
                <w:tcPr>
                  <w:tcW w:w="668"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NH</w:t>
                  </w:r>
                  <w:r>
                    <w:rPr>
                      <w:rFonts w:hint="eastAsia"/>
                      <w:sz w:val="15"/>
                      <w:szCs w:val="15"/>
                      <w:vertAlign w:val="subscript"/>
                      <w:lang w:val="en-US" w:eastAsia="zh-CN"/>
                    </w:rPr>
                    <w:t>3</w:t>
                  </w:r>
                  <w:r>
                    <w:rPr>
                      <w:rFonts w:hint="eastAsia"/>
                      <w:sz w:val="15"/>
                      <w:szCs w:val="15"/>
                      <w:lang w:val="en-US" w:eastAsia="zh-CN"/>
                    </w:rPr>
                    <w:t>-N</w:t>
                  </w:r>
                </w:p>
              </w:tc>
              <w:tc>
                <w:tcPr>
                  <w:tcW w:w="668"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30</w:t>
                  </w:r>
                </w:p>
              </w:tc>
              <w:tc>
                <w:tcPr>
                  <w:tcW w:w="710"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0.056</w:t>
                  </w:r>
                </w:p>
              </w:tc>
              <w:tc>
                <w:tcPr>
                  <w:tcW w:w="612" w:type="dxa"/>
                  <w:vMerge w:val="continue"/>
                  <w:vAlign w:val="center"/>
                </w:tcPr>
                <w:p>
                  <w:pPr>
                    <w:bidi w:val="0"/>
                    <w:spacing w:line="240" w:lineRule="auto"/>
                    <w:jc w:val="center"/>
                    <w:rPr>
                      <w:rFonts w:hint="eastAsia"/>
                      <w:sz w:val="15"/>
                      <w:szCs w:val="15"/>
                      <w:lang w:val="en-US" w:eastAsia="zh-CN"/>
                    </w:rPr>
                  </w:pPr>
                </w:p>
              </w:tc>
              <w:tc>
                <w:tcPr>
                  <w:tcW w:w="542" w:type="dxa"/>
                  <w:vMerge w:val="continue"/>
                  <w:vAlign w:val="center"/>
                </w:tcPr>
                <w:p>
                  <w:pPr>
                    <w:bidi w:val="0"/>
                    <w:spacing w:line="240" w:lineRule="auto"/>
                    <w:jc w:val="center"/>
                    <w:rPr>
                      <w:rFonts w:hint="eastAsia"/>
                      <w:sz w:val="15"/>
                      <w:szCs w:val="15"/>
                      <w:lang w:val="en-US" w:eastAsia="zh-CN"/>
                    </w:rPr>
                  </w:pPr>
                </w:p>
              </w:tc>
              <w:tc>
                <w:tcPr>
                  <w:tcW w:w="558"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10</w:t>
                  </w:r>
                </w:p>
              </w:tc>
              <w:tc>
                <w:tcPr>
                  <w:tcW w:w="630"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是</w:t>
                  </w:r>
                </w:p>
              </w:tc>
              <w:tc>
                <w:tcPr>
                  <w:tcW w:w="594" w:type="dxa"/>
                  <w:vMerge w:val="continue"/>
                  <w:vAlign w:val="center"/>
                </w:tcPr>
                <w:p>
                  <w:pPr>
                    <w:bidi w:val="0"/>
                    <w:spacing w:line="240" w:lineRule="auto"/>
                    <w:jc w:val="center"/>
                    <w:rPr>
                      <w:rFonts w:hint="eastAsia"/>
                      <w:sz w:val="15"/>
                      <w:szCs w:val="15"/>
                      <w:lang w:val="en-US" w:eastAsia="zh-CN"/>
                    </w:rPr>
                  </w:pPr>
                </w:p>
              </w:tc>
              <w:tc>
                <w:tcPr>
                  <w:tcW w:w="664"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27</w:t>
                  </w:r>
                </w:p>
              </w:tc>
              <w:tc>
                <w:tcPr>
                  <w:tcW w:w="695"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0.051</w:t>
                  </w:r>
                </w:p>
              </w:tc>
              <w:tc>
                <w:tcPr>
                  <w:tcW w:w="423" w:type="dxa"/>
                  <w:vMerge w:val="continue"/>
                  <w:vAlign w:val="center"/>
                </w:tcPr>
                <w:p>
                  <w:pPr>
                    <w:bidi w:val="0"/>
                    <w:spacing w:line="240" w:lineRule="auto"/>
                    <w:jc w:val="center"/>
                    <w:rPr>
                      <w:rFonts w:hint="eastAsia"/>
                      <w:sz w:val="15"/>
                      <w:szCs w:val="15"/>
                      <w:lang w:val="en-US" w:eastAsia="zh-CN"/>
                    </w:rPr>
                  </w:pPr>
                </w:p>
              </w:tc>
              <w:tc>
                <w:tcPr>
                  <w:tcW w:w="594" w:type="dxa"/>
                  <w:vMerge w:val="continue"/>
                  <w:vAlign w:val="center"/>
                </w:tcPr>
                <w:p>
                  <w:pPr>
                    <w:bidi w:val="0"/>
                    <w:spacing w:line="240" w:lineRule="auto"/>
                    <w:jc w:val="center"/>
                    <w:rPr>
                      <w:rFonts w:hint="eastAsia"/>
                      <w:sz w:val="15"/>
                      <w:szCs w:val="15"/>
                      <w:lang w:val="en-US" w:eastAsia="zh-CN"/>
                    </w:rPr>
                  </w:pPr>
                </w:p>
              </w:tc>
              <w:tc>
                <w:tcPr>
                  <w:tcW w:w="594" w:type="dxa"/>
                  <w:vMerge w:val="continue"/>
                  <w:vAlign w:val="center"/>
                </w:tcPr>
                <w:p>
                  <w:pPr>
                    <w:bidi w:val="0"/>
                    <w:spacing w:line="240" w:lineRule="auto"/>
                    <w:jc w:val="center"/>
                    <w:rPr>
                      <w:rFonts w:hint="eastAsia"/>
                      <w:sz w:val="15"/>
                      <w:szCs w:val="15"/>
                      <w:lang w:val="en-US" w:eastAsia="zh-CN"/>
                    </w:rPr>
                  </w:pPr>
                </w:p>
              </w:tc>
              <w:tc>
                <w:tcPr>
                  <w:tcW w:w="775" w:type="dxa"/>
                  <w:vMerge w:val="continue"/>
                  <w:vAlign w:val="center"/>
                </w:tcPr>
                <w:p>
                  <w:pPr>
                    <w:bidi w:val="0"/>
                    <w:spacing w:line="240" w:lineRule="auto"/>
                    <w:jc w:val="center"/>
                    <w:rPr>
                      <w:rFonts w:hint="eastAsia"/>
                      <w:sz w:val="15"/>
                      <w:szCs w:val="15"/>
                      <w:lang w:val="en-US" w:eastAsia="zh-CN"/>
                    </w:rPr>
                  </w:pPr>
                </w:p>
              </w:tc>
              <w:tc>
                <w:tcPr>
                  <w:tcW w:w="414" w:type="dxa"/>
                  <w:vMerge w:val="continue"/>
                  <w:vAlign w:val="center"/>
                </w:tcPr>
                <w:p>
                  <w:pPr>
                    <w:bidi w:val="0"/>
                    <w:spacing w:line="240" w:lineRule="auto"/>
                    <w:jc w:val="center"/>
                    <w:rPr>
                      <w:rFonts w:hint="eastAsia"/>
                      <w:sz w:val="15"/>
                      <w:szCs w:val="15"/>
                      <w:lang w:val="en-US" w:eastAsia="zh-CN"/>
                    </w:rPr>
                  </w:pPr>
                </w:p>
              </w:tc>
              <w:tc>
                <w:tcPr>
                  <w:tcW w:w="595" w:type="dxa"/>
                  <w:vMerge w:val="continue"/>
                  <w:vAlign w:val="center"/>
                </w:tcPr>
                <w:p>
                  <w:pPr>
                    <w:bidi w:val="0"/>
                    <w:spacing w:line="240" w:lineRule="auto"/>
                    <w:jc w:val="center"/>
                    <w:rPr>
                      <w:rFonts w:hint="eastAsia"/>
                      <w:sz w:val="15"/>
                      <w:szCs w:val="15"/>
                      <w:lang w:val="en-US" w:eastAsia="zh-CN"/>
                    </w:rPr>
                  </w:pPr>
                </w:p>
              </w:tc>
              <w:tc>
                <w:tcPr>
                  <w:tcW w:w="595" w:type="dxa"/>
                  <w:vMerge w:val="continue"/>
                  <w:vAlign w:val="center"/>
                </w:tcPr>
                <w:p>
                  <w:pPr>
                    <w:bidi w:val="0"/>
                    <w:spacing w:line="240" w:lineRule="auto"/>
                    <w:jc w:val="center"/>
                    <w:rPr>
                      <w:rFonts w:hint="eastAsia"/>
                      <w:sz w:val="15"/>
                      <w:szCs w:val="15"/>
                      <w:lang w:val="en-US" w:eastAsia="zh-CN"/>
                    </w:rPr>
                  </w:pPr>
                </w:p>
              </w:tc>
              <w:tc>
                <w:tcPr>
                  <w:tcW w:w="595" w:type="dxa"/>
                  <w:vAlign w:val="center"/>
                </w:tcPr>
                <w:p>
                  <w:pPr>
                    <w:bidi w:val="0"/>
                    <w:spacing w:line="240" w:lineRule="auto"/>
                    <w:jc w:val="center"/>
                    <w:rPr>
                      <w:rFonts w:hint="eastAsia"/>
                      <w:sz w:val="15"/>
                      <w:szCs w:val="15"/>
                      <w:lang w:val="en-US" w:eastAsia="zh-CN"/>
                    </w:rPr>
                  </w:pPr>
                  <w:r>
                    <w:rPr>
                      <w:rFonts w:hint="eastAsia"/>
                      <w:sz w:val="15"/>
                      <w:szCs w:val="15"/>
                      <w:lang w:val="en-US" w:eastAsia="zh-CN"/>
                    </w:rPr>
                    <w:t>《污水排入城镇下水道水质标准》</w:t>
                  </w:r>
                </w:p>
              </w:tc>
              <w:tc>
                <w:tcPr>
                  <w:tcW w:w="595" w:type="dxa"/>
                  <w:vAlign w:val="center"/>
                </w:tcPr>
                <w:p>
                  <w:pPr>
                    <w:bidi w:val="0"/>
                    <w:spacing w:line="240" w:lineRule="auto"/>
                    <w:jc w:val="center"/>
                    <w:rPr>
                      <w:rFonts w:hint="default"/>
                      <w:sz w:val="15"/>
                      <w:szCs w:val="15"/>
                      <w:lang w:val="en-US" w:eastAsia="zh-CN"/>
                    </w:rPr>
                  </w:pPr>
                  <w:r>
                    <w:rPr>
                      <w:rFonts w:hint="eastAsia"/>
                      <w:sz w:val="15"/>
                      <w:szCs w:val="15"/>
                      <w:lang w:val="en-US" w:eastAsia="zh-CN"/>
                    </w:rPr>
                    <w:t>45</w:t>
                  </w:r>
                </w:p>
              </w:tc>
            </w:tr>
          </w:tbl>
          <w:p>
            <w:pPr>
              <w:pStyle w:val="11"/>
              <w:numPr>
                <w:ilvl w:val="0"/>
                <w:numId w:val="0"/>
              </w:numPr>
              <w:adjustRightInd w:val="0"/>
              <w:snapToGrid w:val="0"/>
              <w:spacing w:before="0" w:beforeAutospacing="0" w:after="0" w:afterAutospacing="0" w:line="360" w:lineRule="auto"/>
              <w:ind w:leftChars="0" w:firstLine="480" w:firstLineChars="200"/>
              <w:jc w:val="both"/>
              <w:rPr>
                <w:rFonts w:hint="eastAsia" w:cs="宋体"/>
                <w:kern w:val="2"/>
                <w:sz w:val="24"/>
                <w:szCs w:val="24"/>
                <w:lang w:val="en-US" w:eastAsia="zh-CN"/>
              </w:rPr>
            </w:pPr>
            <w:r>
              <w:rPr>
                <w:rFonts w:hint="eastAsia" w:cs="宋体"/>
                <w:kern w:val="2"/>
                <w:sz w:val="24"/>
                <w:szCs w:val="24"/>
                <w:lang w:val="en-US" w:eastAsia="zh-CN"/>
              </w:rPr>
              <w:t>（2）废水处理达标可行性分析</w:t>
            </w:r>
          </w:p>
          <w:p>
            <w:pPr>
              <w:pStyle w:val="11"/>
              <w:numPr>
                <w:ilvl w:val="0"/>
                <w:numId w:val="0"/>
              </w:numPr>
              <w:adjustRightInd w:val="0"/>
              <w:snapToGrid w:val="0"/>
              <w:spacing w:before="0" w:beforeAutospacing="0" w:after="0" w:afterAutospacing="0" w:line="360" w:lineRule="auto"/>
              <w:ind w:leftChars="0" w:firstLine="480" w:firstLineChars="200"/>
              <w:jc w:val="both"/>
              <w:rPr>
                <w:rFonts w:hint="eastAsia" w:cs="宋体"/>
                <w:kern w:val="2"/>
                <w:sz w:val="24"/>
                <w:szCs w:val="24"/>
                <w:lang w:val="en-US" w:eastAsia="zh-CN"/>
              </w:rPr>
            </w:pPr>
            <w:r>
              <w:rPr>
                <w:rFonts w:hint="eastAsia" w:cs="宋体"/>
                <w:kern w:val="2"/>
                <w:sz w:val="24"/>
                <w:szCs w:val="24"/>
                <w:lang w:val="en-US" w:eastAsia="zh-CN"/>
              </w:rPr>
              <w:t>①水污染控制和水环境影响减缓措施有效性评价</w:t>
            </w:r>
          </w:p>
          <w:p>
            <w:pPr>
              <w:pStyle w:val="11"/>
              <w:numPr>
                <w:ilvl w:val="0"/>
                <w:numId w:val="0"/>
              </w:numPr>
              <w:adjustRightInd w:val="0"/>
              <w:snapToGrid w:val="0"/>
              <w:spacing w:before="0" w:beforeAutospacing="0" w:after="0" w:afterAutospacing="0" w:line="360" w:lineRule="auto"/>
              <w:ind w:leftChars="0" w:firstLine="480" w:firstLineChars="200"/>
              <w:jc w:val="both"/>
              <w:rPr>
                <w:rFonts w:hint="default" w:eastAsia="宋体" w:cs="宋体"/>
                <w:kern w:val="2"/>
                <w:sz w:val="24"/>
                <w:szCs w:val="24"/>
                <w:lang w:val="en-US" w:eastAsia="zh-CN"/>
              </w:rPr>
            </w:pPr>
            <w:r>
              <w:rPr>
                <w:rFonts w:hint="eastAsia" w:cs="宋体"/>
                <w:kern w:val="2"/>
                <w:sz w:val="24"/>
                <w:szCs w:val="24"/>
                <w:lang w:val="en-US" w:eastAsia="zh-CN"/>
              </w:rPr>
              <w:t>本项目生活污水经化粪池预处理，各污染物排放达到《污水综合排放标准》（GB8978-1996）表4中三级标准，氨氮达到《污水排入城镇下水道水质标准》（GB/T31962-2015）表1中B级限值后，排入市政污水管网，经入湘阴县第二污水处理厂处理达到《城镇污水处理厂污染物排放标准》(GB 18918-2002)一级A标准排入湘江。</w:t>
            </w:r>
          </w:p>
        </w:tc>
      </w:tr>
    </w:tbl>
    <w:p>
      <w:pPr>
        <w:rPr>
          <w:rFonts w:hint="eastAsia"/>
          <w:lang w:val="en-US" w:eastAsia="zh-CN"/>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8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运营</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期环</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境影</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响和</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保护</w:t>
            </w:r>
          </w:p>
          <w:p>
            <w:pPr>
              <w:pStyle w:val="11"/>
              <w:adjustRightInd w:val="0"/>
              <w:snapToGrid w:val="0"/>
              <w:spacing w:before="0" w:beforeAutospacing="0" w:after="0" w:afterAutospacing="0"/>
              <w:jc w:val="center"/>
              <w:rPr>
                <w:rFonts w:hint="eastAsia" w:cs="宋体"/>
                <w:kern w:val="2"/>
                <w:sz w:val="24"/>
                <w:szCs w:val="24"/>
                <w:lang w:val="en-US" w:eastAsia="zh-CN"/>
              </w:rPr>
            </w:pPr>
            <w:r>
              <w:rPr>
                <w:rFonts w:hint="eastAsia" w:cs="宋体"/>
                <w:kern w:val="2"/>
                <w:sz w:val="24"/>
                <w:szCs w:val="24"/>
              </w:rPr>
              <w:t>措施</w:t>
            </w:r>
          </w:p>
        </w:tc>
        <w:tc>
          <w:tcPr>
            <w:tcW w:w="8180" w:type="dxa"/>
          </w:tcPr>
          <w:p>
            <w:pPr>
              <w:pStyle w:val="11"/>
              <w:adjustRightInd w:val="0"/>
              <w:snapToGrid w:val="0"/>
              <w:spacing w:before="0" w:beforeAutospacing="0" w:after="0" w:afterAutospacing="0" w:line="360" w:lineRule="auto"/>
              <w:ind w:firstLine="480" w:firstLineChars="200"/>
              <w:jc w:val="both"/>
              <w:rPr>
                <w:rFonts w:hint="default" w:cs="宋体"/>
                <w:color w:val="FF0000"/>
                <w:kern w:val="2"/>
                <w:sz w:val="24"/>
                <w:szCs w:val="24"/>
                <w:u w:val="single"/>
                <w:lang w:val="en-US" w:eastAsia="zh-CN"/>
              </w:rPr>
            </w:pPr>
            <w:r>
              <w:rPr>
                <w:rFonts w:hint="eastAsia" w:cs="宋体"/>
                <w:color w:val="FF0000"/>
                <w:kern w:val="2"/>
                <w:sz w:val="24"/>
                <w:szCs w:val="24"/>
                <w:u w:val="single"/>
                <w:lang w:val="en-US" w:eastAsia="zh-CN"/>
              </w:rPr>
              <w:t>②污水接管可行性分析</w:t>
            </w:r>
          </w:p>
          <w:p>
            <w:pPr>
              <w:pStyle w:val="11"/>
              <w:adjustRightInd w:val="0"/>
              <w:snapToGrid w:val="0"/>
              <w:spacing w:before="0" w:beforeAutospacing="0" w:after="0" w:afterAutospacing="0" w:line="360" w:lineRule="auto"/>
              <w:ind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湘阴县第二污水处理厂已于2016年11月试运行，工业园所有企业外排废水都进入湘阴县第二污水处理厂处理达标后外排。湘阴县第二污水处理厂位于湘阴县工业园内，总占地面积约60亩，设计处理能力为2万m</w:t>
            </w:r>
            <w:r>
              <w:rPr>
                <w:rFonts w:hint="eastAsia" w:cs="宋体"/>
                <w:color w:val="FF0000"/>
                <w:kern w:val="2"/>
                <w:sz w:val="24"/>
                <w:szCs w:val="24"/>
                <w:u w:val="single"/>
                <w:vertAlign w:val="superscript"/>
                <w:lang w:val="en-US" w:eastAsia="zh-CN"/>
              </w:rPr>
              <w:t>3</w:t>
            </w:r>
            <w:r>
              <w:rPr>
                <w:rFonts w:hint="eastAsia" w:cs="宋体"/>
                <w:color w:val="FF0000"/>
                <w:kern w:val="2"/>
                <w:sz w:val="24"/>
                <w:szCs w:val="24"/>
                <w:u w:val="single"/>
                <w:lang w:val="en-US" w:eastAsia="zh-CN"/>
              </w:rPr>
              <w:t>/d，水处理工艺采用“水解酸化+AAO”工艺，在污水处理厂提标改造完成前处理达《城镇污水处理厂污染物排放标准》（GB18918-2002）一级B标准后排入湘江，待污水处理厂提标改造完成后达到（GB18918-2002）一级A标准排入湘江。</w:t>
            </w:r>
          </w:p>
          <w:p>
            <w:pPr>
              <w:pStyle w:val="11"/>
              <w:adjustRightInd w:val="0"/>
              <w:snapToGrid w:val="0"/>
              <w:spacing w:before="0" w:beforeAutospacing="0" w:after="0" w:afterAutospacing="0" w:line="360" w:lineRule="auto"/>
              <w:ind w:firstLine="480" w:firstLineChars="200"/>
              <w:jc w:val="both"/>
              <w:rPr>
                <w:rFonts w:hint="default" w:cs="宋体"/>
                <w:color w:val="FF0000"/>
                <w:kern w:val="2"/>
                <w:sz w:val="24"/>
                <w:szCs w:val="24"/>
                <w:u w:val="single"/>
                <w:lang w:val="en-US" w:eastAsia="zh-CN"/>
              </w:rPr>
            </w:pPr>
            <w:r>
              <w:rPr>
                <w:rFonts w:hint="eastAsia" w:cs="宋体"/>
                <w:color w:val="FF0000"/>
                <w:kern w:val="2"/>
                <w:sz w:val="24"/>
                <w:szCs w:val="24"/>
                <w:u w:val="single"/>
                <w:lang w:val="en-US" w:eastAsia="zh-CN"/>
              </w:rPr>
              <w:t>项目处于湘阴县第二污水处理厂纳污范围内，区域污水管网已与污水处理厂对接，本次扩建项目已经建成运行，项目外排废水主要为生活污水，主要污染物为COD</w:t>
            </w:r>
            <w:r>
              <w:rPr>
                <w:rFonts w:hint="eastAsia" w:cs="宋体"/>
                <w:color w:val="FF0000"/>
                <w:kern w:val="2"/>
                <w:sz w:val="24"/>
                <w:szCs w:val="24"/>
                <w:u w:val="single"/>
                <w:vertAlign w:val="subscript"/>
                <w:lang w:val="en-US" w:eastAsia="zh-CN"/>
              </w:rPr>
              <w:t>Cr</w:t>
            </w:r>
            <w:r>
              <w:rPr>
                <w:rFonts w:hint="eastAsia" w:cs="宋体"/>
                <w:color w:val="FF0000"/>
                <w:kern w:val="2"/>
                <w:sz w:val="24"/>
                <w:szCs w:val="24"/>
                <w:u w:val="single"/>
                <w:lang w:val="en-US" w:eastAsia="zh-CN"/>
              </w:rPr>
              <w:t>、BOD</w:t>
            </w:r>
            <w:r>
              <w:rPr>
                <w:rFonts w:hint="eastAsia" w:cs="宋体"/>
                <w:color w:val="FF0000"/>
                <w:kern w:val="2"/>
                <w:sz w:val="24"/>
                <w:szCs w:val="24"/>
                <w:u w:val="single"/>
                <w:vertAlign w:val="subscript"/>
                <w:lang w:val="en-US" w:eastAsia="zh-CN"/>
              </w:rPr>
              <w:t>5</w:t>
            </w:r>
            <w:r>
              <w:rPr>
                <w:rFonts w:hint="eastAsia" w:cs="宋体"/>
                <w:color w:val="FF0000"/>
                <w:kern w:val="2"/>
                <w:sz w:val="24"/>
                <w:szCs w:val="24"/>
                <w:u w:val="single"/>
                <w:lang w:val="en-US" w:eastAsia="zh-CN"/>
              </w:rPr>
              <w:t>、NH</w:t>
            </w:r>
            <w:r>
              <w:rPr>
                <w:rFonts w:hint="eastAsia" w:cs="宋体"/>
                <w:color w:val="FF0000"/>
                <w:kern w:val="2"/>
                <w:sz w:val="24"/>
                <w:szCs w:val="24"/>
                <w:u w:val="single"/>
                <w:vertAlign w:val="subscript"/>
                <w:lang w:val="en-US" w:eastAsia="zh-CN"/>
              </w:rPr>
              <w:t>3</w:t>
            </w:r>
            <w:r>
              <w:rPr>
                <w:rFonts w:hint="eastAsia" w:cs="宋体"/>
                <w:color w:val="FF0000"/>
                <w:kern w:val="2"/>
                <w:sz w:val="24"/>
                <w:szCs w:val="24"/>
                <w:u w:val="single"/>
                <w:lang w:val="en-US" w:eastAsia="zh-CN"/>
              </w:rPr>
              <w:t>-N、SS、动植物油，均为工业园污水处理厂常规处理项目，不会对该厂水质和处理工艺造成影响。项目污水排放量为4.24m</w:t>
            </w:r>
            <w:r>
              <w:rPr>
                <w:rFonts w:hint="eastAsia" w:cs="宋体"/>
                <w:color w:val="FF0000"/>
                <w:kern w:val="2"/>
                <w:sz w:val="24"/>
                <w:szCs w:val="24"/>
                <w:u w:val="single"/>
                <w:vertAlign w:val="superscript"/>
                <w:lang w:val="en-US" w:eastAsia="zh-CN"/>
              </w:rPr>
              <w:t>3</w:t>
            </w:r>
            <w:r>
              <w:rPr>
                <w:rFonts w:hint="eastAsia" w:cs="宋体"/>
                <w:color w:val="FF0000"/>
                <w:kern w:val="2"/>
                <w:sz w:val="24"/>
                <w:szCs w:val="24"/>
                <w:u w:val="single"/>
                <w:lang w:val="en-US" w:eastAsia="zh-CN"/>
              </w:rPr>
              <w:t>/d，湘阴县第二污水处理厂现剩余处理能力为1万吨/日，不会对该厂水量造成影响。</w:t>
            </w:r>
          </w:p>
          <w:p>
            <w:pPr>
              <w:pStyle w:val="11"/>
              <w:adjustRightInd w:val="0"/>
              <w:snapToGrid w:val="0"/>
              <w:spacing w:before="0" w:beforeAutospacing="0" w:after="0" w:afterAutospacing="0" w:line="360" w:lineRule="auto"/>
              <w:ind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因此，本项目污水纳入工业园污水处理厂集中处理是可行可靠的。</w:t>
            </w:r>
          </w:p>
          <w:p>
            <w:pPr>
              <w:pStyle w:val="11"/>
              <w:numPr>
                <w:ilvl w:val="0"/>
                <w:numId w:val="0"/>
              </w:numPr>
              <w:adjustRightInd w:val="0"/>
              <w:snapToGrid w:val="0"/>
              <w:spacing w:before="0" w:beforeAutospacing="0" w:after="0" w:afterAutospacing="0" w:line="360" w:lineRule="auto"/>
              <w:ind w:leftChars="0"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（3）监测计划</w:t>
            </w:r>
          </w:p>
          <w:p>
            <w:pPr>
              <w:pStyle w:val="11"/>
              <w:adjustRightInd w:val="0"/>
              <w:snapToGrid w:val="0"/>
              <w:spacing w:before="0" w:beforeAutospacing="0" w:after="0" w:afterAutospacing="0" w:line="360" w:lineRule="auto"/>
              <w:ind w:firstLine="480" w:firstLineChars="200"/>
              <w:jc w:val="both"/>
              <w:rPr>
                <w:rFonts w:hint="default" w:cs="宋体"/>
                <w:color w:val="FF0000"/>
                <w:kern w:val="2"/>
                <w:sz w:val="24"/>
                <w:szCs w:val="24"/>
                <w:u w:val="single"/>
                <w:lang w:val="en-US" w:eastAsia="zh-CN"/>
              </w:rPr>
            </w:pPr>
            <w:r>
              <w:rPr>
                <w:rFonts w:hint="eastAsia" w:cs="宋体"/>
                <w:color w:val="FF0000"/>
                <w:kern w:val="2"/>
                <w:sz w:val="24"/>
                <w:szCs w:val="24"/>
                <w:u w:val="single"/>
                <w:lang w:val="en-US" w:eastAsia="zh-CN"/>
              </w:rPr>
              <w:t>根据《排污单位自行监测技术指南 总则》（HJ819-2017），项目外排废水为生活污水，无需设置监测计划。</w:t>
            </w:r>
          </w:p>
          <w:p>
            <w:pPr>
              <w:pStyle w:val="11"/>
              <w:adjustRightInd w:val="0"/>
              <w:snapToGrid w:val="0"/>
              <w:spacing w:before="0" w:beforeAutospacing="0" w:after="0" w:afterAutospacing="0" w:line="360" w:lineRule="auto"/>
              <w:ind w:firstLine="480" w:firstLineChars="200"/>
              <w:jc w:val="both"/>
              <w:rPr>
                <w:rFonts w:hint="default" w:cs="宋体"/>
                <w:kern w:val="2"/>
                <w:sz w:val="24"/>
                <w:szCs w:val="24"/>
                <w:lang w:val="en-US" w:eastAsia="zh-CN"/>
              </w:rPr>
            </w:pPr>
            <w:r>
              <w:rPr>
                <w:rFonts w:hint="eastAsia" w:cs="宋体"/>
                <w:kern w:val="2"/>
                <w:sz w:val="24"/>
                <w:szCs w:val="24"/>
                <w:lang w:val="en-US" w:eastAsia="zh-CN"/>
              </w:rPr>
              <w:t>（4）废水达标情况分析</w:t>
            </w:r>
          </w:p>
          <w:p>
            <w:pPr>
              <w:pStyle w:val="11"/>
              <w:adjustRightInd w:val="0"/>
              <w:snapToGrid w:val="0"/>
              <w:spacing w:before="0" w:beforeAutospacing="0" w:after="0" w:afterAutospacing="0" w:line="360" w:lineRule="auto"/>
              <w:ind w:firstLine="480" w:firstLineChars="200"/>
              <w:jc w:val="both"/>
              <w:rPr>
                <w:rFonts w:hint="default" w:cs="宋体"/>
                <w:kern w:val="2"/>
                <w:sz w:val="24"/>
                <w:szCs w:val="24"/>
                <w:lang w:val="en-US" w:eastAsia="zh-CN"/>
              </w:rPr>
            </w:pPr>
            <w:r>
              <w:rPr>
                <w:rFonts w:hint="eastAsia" w:cs="宋体"/>
                <w:kern w:val="2"/>
                <w:sz w:val="24"/>
                <w:szCs w:val="24"/>
                <w:lang w:val="en-US" w:eastAsia="zh-CN"/>
              </w:rPr>
              <w:t>项目运营期生活污水排放量为1187.</w:t>
            </w:r>
            <w:bookmarkStart w:id="6" w:name="_GoBack"/>
            <w:bookmarkEnd w:id="6"/>
            <w:r>
              <w:rPr>
                <w:rFonts w:hint="eastAsia" w:cs="宋体"/>
                <w:kern w:val="2"/>
                <w:sz w:val="24"/>
                <w:szCs w:val="24"/>
                <w:lang w:val="en-US" w:eastAsia="zh-CN"/>
              </w:rPr>
              <w:t>2t/a。生活污水经化粪池预处理，各污染物排放达到《污水综合排放标准》（GB8978-1996）表4中三级标准，氨氮达到《污水排入城镇下水道水质标准》（GB/T31962-2015）表1中B级限值后，排入市政污水管网，经入湘阴县第二污水处理厂处理达到《城镇污水处理厂污染物排放标准》(GB 18918-2002)一级A标准排入湘江。项目废水对纳污水体湘江影响较小。</w:t>
            </w:r>
          </w:p>
          <w:p>
            <w:pPr>
              <w:pStyle w:val="11"/>
              <w:adjustRightInd w:val="0"/>
              <w:snapToGrid w:val="0"/>
              <w:spacing w:before="0" w:beforeAutospacing="0" w:after="0" w:afterAutospacing="0" w:line="360" w:lineRule="auto"/>
              <w:jc w:val="both"/>
              <w:rPr>
                <w:rFonts w:hint="default" w:cs="宋体"/>
                <w:b/>
                <w:bCs/>
                <w:kern w:val="2"/>
                <w:sz w:val="24"/>
                <w:szCs w:val="24"/>
                <w:lang w:val="en-US" w:eastAsia="zh-CN"/>
              </w:rPr>
            </w:pPr>
            <w:r>
              <w:rPr>
                <w:rFonts w:hint="eastAsia" w:cs="宋体"/>
                <w:b/>
                <w:bCs/>
                <w:kern w:val="2"/>
                <w:sz w:val="24"/>
                <w:szCs w:val="24"/>
                <w:lang w:val="en-US" w:eastAsia="zh-CN"/>
              </w:rPr>
              <w:t>3.噪声</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lang w:val="en-US" w:eastAsia="zh-CN"/>
              </w:rPr>
            </w:pPr>
            <w:r>
              <w:rPr>
                <w:rFonts w:hint="eastAsia" w:cs="宋体"/>
                <w:kern w:val="2"/>
                <w:sz w:val="24"/>
                <w:szCs w:val="24"/>
                <w:lang w:val="en-US" w:eastAsia="zh-CN"/>
              </w:rPr>
              <w:t>（1）源强分析</w:t>
            </w:r>
          </w:p>
          <w:p>
            <w:pPr>
              <w:pStyle w:val="11"/>
              <w:adjustRightInd w:val="0"/>
              <w:snapToGrid w:val="0"/>
              <w:spacing w:before="0" w:beforeAutospacing="0" w:after="0" w:afterAutospacing="0" w:line="360" w:lineRule="auto"/>
              <w:ind w:firstLine="480" w:firstLineChars="200"/>
              <w:jc w:val="both"/>
              <w:rPr>
                <w:rFonts w:hint="default" w:cs="宋体"/>
                <w:kern w:val="2"/>
                <w:sz w:val="24"/>
                <w:szCs w:val="24"/>
                <w:lang w:val="en-US" w:eastAsia="zh-CN"/>
              </w:rPr>
            </w:pPr>
            <w:r>
              <w:rPr>
                <w:rFonts w:hint="eastAsia" w:cs="宋体"/>
                <w:kern w:val="2"/>
                <w:sz w:val="24"/>
                <w:szCs w:val="24"/>
                <w:lang w:val="en-US" w:eastAsia="zh-CN"/>
              </w:rPr>
              <w:t>本项目运营期噪声主要来自于车床、冲床、锯床、立式铣床、镗床、摇臂钻床、钻铣床等设备运作时产生的噪声，噪声值为75~80dB(A)，设备噪声源强见下表</w:t>
            </w:r>
          </w:p>
          <w:p>
            <w:pPr>
              <w:pStyle w:val="11"/>
              <w:adjustRightInd w:val="0"/>
              <w:snapToGrid w:val="0"/>
              <w:spacing w:before="0" w:beforeAutospacing="0" w:after="0" w:afterAutospacing="0" w:line="360" w:lineRule="auto"/>
              <w:jc w:val="center"/>
              <w:rPr>
                <w:rFonts w:hint="default" w:cs="宋体"/>
                <w:kern w:val="2"/>
                <w:sz w:val="24"/>
                <w:szCs w:val="24"/>
                <w:lang w:val="en-US" w:eastAsia="zh-CN"/>
              </w:rPr>
            </w:pPr>
            <w:r>
              <w:rPr>
                <w:rFonts w:hint="eastAsia" w:cs="宋体"/>
                <w:b/>
                <w:bCs/>
                <w:kern w:val="2"/>
                <w:sz w:val="24"/>
                <w:szCs w:val="24"/>
                <w:lang w:val="en-US" w:eastAsia="zh-CN"/>
              </w:rPr>
              <w:t>表4-9  设备噪声源强表</w:t>
            </w:r>
          </w:p>
          <w:tbl>
            <w:tblPr>
              <w:tblStyle w:val="1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14"/>
              <w:gridCol w:w="1055"/>
              <w:gridCol w:w="846"/>
              <w:gridCol w:w="2436"/>
              <w:gridCol w:w="1087"/>
              <w:gridCol w:w="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声源位置</w:t>
                  </w:r>
                </w:p>
              </w:tc>
              <w:tc>
                <w:tcPr>
                  <w:tcW w:w="121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设备名称</w:t>
                  </w:r>
                </w:p>
              </w:tc>
              <w:tc>
                <w:tcPr>
                  <w:tcW w:w="105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单台噪声源强dB(A)</w:t>
                  </w:r>
                </w:p>
              </w:tc>
              <w:tc>
                <w:tcPr>
                  <w:tcW w:w="8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数量（台）</w:t>
                  </w:r>
                </w:p>
              </w:tc>
              <w:tc>
                <w:tcPr>
                  <w:tcW w:w="24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降噪措施</w:t>
                  </w:r>
                </w:p>
              </w:tc>
              <w:tc>
                <w:tcPr>
                  <w:tcW w:w="108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降噪效果dB(A)</w:t>
                  </w:r>
                </w:p>
              </w:tc>
              <w:tc>
                <w:tcPr>
                  <w:tcW w:w="661"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持续时间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1#</w:t>
                  </w:r>
                </w:p>
                <w:p>
                  <w:pPr>
                    <w:bidi w:val="0"/>
                    <w:spacing w:line="240" w:lineRule="auto"/>
                    <w:jc w:val="center"/>
                    <w:rPr>
                      <w:rFonts w:hint="default"/>
                      <w:lang w:val="en-US" w:eastAsia="zh-CN"/>
                    </w:rPr>
                  </w:pPr>
                  <w:r>
                    <w:rPr>
                      <w:rFonts w:hint="eastAsia"/>
                      <w:lang w:val="en-US" w:eastAsia="zh-CN"/>
                    </w:rPr>
                    <w:t>车间</w:t>
                  </w:r>
                </w:p>
              </w:tc>
              <w:tc>
                <w:tcPr>
                  <w:tcW w:w="121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车床</w:t>
                  </w:r>
                </w:p>
              </w:tc>
              <w:tc>
                <w:tcPr>
                  <w:tcW w:w="105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78</w:t>
                  </w:r>
                </w:p>
              </w:tc>
              <w:tc>
                <w:tcPr>
                  <w:tcW w:w="8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2</w:t>
                  </w:r>
                </w:p>
              </w:tc>
              <w:tc>
                <w:tcPr>
                  <w:tcW w:w="24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基础减震、车间隔声</w:t>
                  </w:r>
                </w:p>
              </w:tc>
              <w:tc>
                <w:tcPr>
                  <w:tcW w:w="108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15</w:t>
                  </w:r>
                </w:p>
              </w:tc>
              <w:tc>
                <w:tcPr>
                  <w:tcW w:w="661"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6h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1#</w:t>
                  </w:r>
                </w:p>
                <w:p>
                  <w:pPr>
                    <w:bidi w:val="0"/>
                    <w:spacing w:line="240" w:lineRule="auto"/>
                    <w:jc w:val="center"/>
                    <w:rPr>
                      <w:rFonts w:hint="default"/>
                      <w:lang w:val="en-US" w:eastAsia="zh-CN"/>
                    </w:rPr>
                  </w:pPr>
                  <w:r>
                    <w:rPr>
                      <w:rFonts w:hint="eastAsia"/>
                      <w:lang w:val="en-US" w:eastAsia="zh-CN"/>
                    </w:rPr>
                    <w:t>车间</w:t>
                  </w:r>
                </w:p>
              </w:tc>
              <w:tc>
                <w:tcPr>
                  <w:tcW w:w="121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冲床</w:t>
                  </w:r>
                </w:p>
              </w:tc>
              <w:tc>
                <w:tcPr>
                  <w:tcW w:w="105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78</w:t>
                  </w:r>
                </w:p>
              </w:tc>
              <w:tc>
                <w:tcPr>
                  <w:tcW w:w="8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w:t>
                  </w:r>
                </w:p>
              </w:tc>
              <w:tc>
                <w:tcPr>
                  <w:tcW w:w="2446"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基础减震、车间隔声</w:t>
                  </w:r>
                </w:p>
              </w:tc>
              <w:tc>
                <w:tcPr>
                  <w:tcW w:w="108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15</w:t>
                  </w:r>
                </w:p>
              </w:tc>
              <w:tc>
                <w:tcPr>
                  <w:tcW w:w="661"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6h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1#</w:t>
                  </w:r>
                </w:p>
                <w:p>
                  <w:pPr>
                    <w:bidi w:val="0"/>
                    <w:spacing w:line="240" w:lineRule="auto"/>
                    <w:jc w:val="center"/>
                    <w:rPr>
                      <w:rFonts w:hint="eastAsia"/>
                      <w:lang w:val="en-US" w:eastAsia="zh-CN"/>
                    </w:rPr>
                  </w:pPr>
                  <w:r>
                    <w:rPr>
                      <w:rFonts w:hint="eastAsia"/>
                      <w:lang w:val="en-US" w:eastAsia="zh-CN"/>
                    </w:rPr>
                    <w:t>车间</w:t>
                  </w:r>
                </w:p>
              </w:tc>
              <w:tc>
                <w:tcPr>
                  <w:tcW w:w="121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锯床</w:t>
                  </w:r>
                </w:p>
              </w:tc>
              <w:tc>
                <w:tcPr>
                  <w:tcW w:w="105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78</w:t>
                  </w:r>
                </w:p>
              </w:tc>
              <w:tc>
                <w:tcPr>
                  <w:tcW w:w="8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5</w:t>
                  </w:r>
                </w:p>
              </w:tc>
              <w:tc>
                <w:tcPr>
                  <w:tcW w:w="2446"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基础减震、车间隔声</w:t>
                  </w:r>
                </w:p>
              </w:tc>
              <w:tc>
                <w:tcPr>
                  <w:tcW w:w="108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15</w:t>
                  </w:r>
                </w:p>
              </w:tc>
              <w:tc>
                <w:tcPr>
                  <w:tcW w:w="661"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6h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1#</w:t>
                  </w:r>
                </w:p>
                <w:p>
                  <w:pPr>
                    <w:bidi w:val="0"/>
                    <w:spacing w:line="240" w:lineRule="auto"/>
                    <w:jc w:val="center"/>
                    <w:rPr>
                      <w:rFonts w:hint="eastAsia"/>
                      <w:lang w:val="en-US" w:eastAsia="zh-CN"/>
                    </w:rPr>
                  </w:pPr>
                  <w:r>
                    <w:rPr>
                      <w:rFonts w:hint="eastAsia"/>
                      <w:lang w:val="en-US" w:eastAsia="zh-CN"/>
                    </w:rPr>
                    <w:t>车间</w:t>
                  </w:r>
                </w:p>
              </w:tc>
              <w:tc>
                <w:tcPr>
                  <w:tcW w:w="121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立式铣床</w:t>
                  </w:r>
                </w:p>
              </w:tc>
              <w:tc>
                <w:tcPr>
                  <w:tcW w:w="105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80</w:t>
                  </w:r>
                </w:p>
              </w:tc>
              <w:tc>
                <w:tcPr>
                  <w:tcW w:w="8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2</w:t>
                  </w:r>
                </w:p>
              </w:tc>
              <w:tc>
                <w:tcPr>
                  <w:tcW w:w="2446"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基础减震、车间隔声</w:t>
                  </w:r>
                </w:p>
              </w:tc>
              <w:tc>
                <w:tcPr>
                  <w:tcW w:w="108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15</w:t>
                  </w:r>
                </w:p>
              </w:tc>
              <w:tc>
                <w:tcPr>
                  <w:tcW w:w="661"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6h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1#</w:t>
                  </w:r>
                </w:p>
                <w:p>
                  <w:pPr>
                    <w:bidi w:val="0"/>
                    <w:spacing w:line="240" w:lineRule="auto"/>
                    <w:jc w:val="center"/>
                    <w:rPr>
                      <w:rFonts w:hint="eastAsia"/>
                      <w:lang w:val="en-US" w:eastAsia="zh-CN"/>
                    </w:rPr>
                  </w:pPr>
                  <w:r>
                    <w:rPr>
                      <w:rFonts w:hint="eastAsia"/>
                      <w:lang w:val="en-US" w:eastAsia="zh-CN"/>
                    </w:rPr>
                    <w:t>车间</w:t>
                  </w:r>
                </w:p>
              </w:tc>
              <w:tc>
                <w:tcPr>
                  <w:tcW w:w="121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镗床</w:t>
                  </w:r>
                </w:p>
              </w:tc>
              <w:tc>
                <w:tcPr>
                  <w:tcW w:w="105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78</w:t>
                  </w:r>
                </w:p>
              </w:tc>
              <w:tc>
                <w:tcPr>
                  <w:tcW w:w="8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3</w:t>
                  </w:r>
                </w:p>
              </w:tc>
              <w:tc>
                <w:tcPr>
                  <w:tcW w:w="2446"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基础减震、车间隔声</w:t>
                  </w:r>
                </w:p>
              </w:tc>
              <w:tc>
                <w:tcPr>
                  <w:tcW w:w="108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15</w:t>
                  </w:r>
                </w:p>
              </w:tc>
              <w:tc>
                <w:tcPr>
                  <w:tcW w:w="661"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6h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1#</w:t>
                  </w:r>
                </w:p>
                <w:p>
                  <w:pPr>
                    <w:bidi w:val="0"/>
                    <w:spacing w:line="240" w:lineRule="auto"/>
                    <w:jc w:val="center"/>
                    <w:rPr>
                      <w:rFonts w:hint="eastAsia"/>
                      <w:lang w:val="en-US" w:eastAsia="zh-CN"/>
                    </w:rPr>
                  </w:pPr>
                  <w:r>
                    <w:rPr>
                      <w:rFonts w:hint="eastAsia"/>
                      <w:lang w:val="en-US" w:eastAsia="zh-CN"/>
                    </w:rPr>
                    <w:t>车间</w:t>
                  </w:r>
                </w:p>
              </w:tc>
              <w:tc>
                <w:tcPr>
                  <w:tcW w:w="1218" w:type="dxa"/>
                  <w:tcBorders>
                    <w:tl2br w:val="nil"/>
                    <w:tr2bl w:val="nil"/>
                  </w:tcBorders>
                  <w:vAlign w:val="center"/>
                </w:tcPr>
                <w:p>
                  <w:pPr>
                    <w:bidi w:val="0"/>
                    <w:spacing w:line="240" w:lineRule="auto"/>
                    <w:jc w:val="center"/>
                    <w:rPr>
                      <w:rFonts w:hint="eastAsia"/>
                      <w:lang w:val="en-US" w:eastAsia="zh-CN"/>
                    </w:rPr>
                  </w:pPr>
                  <w:r>
                    <w:rPr>
                      <w:rFonts w:hint="default"/>
                      <w:lang w:val="en-US" w:eastAsia="zh-CN"/>
                    </w:rPr>
                    <w:t>摇臂钻床</w:t>
                  </w:r>
                </w:p>
              </w:tc>
              <w:tc>
                <w:tcPr>
                  <w:tcW w:w="105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80</w:t>
                  </w:r>
                </w:p>
              </w:tc>
              <w:tc>
                <w:tcPr>
                  <w:tcW w:w="8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6</w:t>
                  </w:r>
                </w:p>
              </w:tc>
              <w:tc>
                <w:tcPr>
                  <w:tcW w:w="2446"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基础减震、车间隔声</w:t>
                  </w:r>
                </w:p>
              </w:tc>
              <w:tc>
                <w:tcPr>
                  <w:tcW w:w="108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15</w:t>
                  </w:r>
                </w:p>
              </w:tc>
              <w:tc>
                <w:tcPr>
                  <w:tcW w:w="661"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6h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1#</w:t>
                  </w:r>
                </w:p>
                <w:p>
                  <w:pPr>
                    <w:bidi w:val="0"/>
                    <w:spacing w:line="240" w:lineRule="auto"/>
                    <w:jc w:val="center"/>
                    <w:rPr>
                      <w:rFonts w:hint="eastAsia"/>
                      <w:lang w:val="en-US" w:eastAsia="zh-CN"/>
                    </w:rPr>
                  </w:pPr>
                  <w:r>
                    <w:rPr>
                      <w:rFonts w:hint="eastAsia"/>
                      <w:lang w:val="en-US" w:eastAsia="zh-CN"/>
                    </w:rPr>
                    <w:t>车间</w:t>
                  </w:r>
                </w:p>
              </w:tc>
              <w:tc>
                <w:tcPr>
                  <w:tcW w:w="121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钻铣床</w:t>
                  </w:r>
                </w:p>
              </w:tc>
              <w:tc>
                <w:tcPr>
                  <w:tcW w:w="105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78</w:t>
                  </w:r>
                </w:p>
              </w:tc>
              <w:tc>
                <w:tcPr>
                  <w:tcW w:w="8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3</w:t>
                  </w:r>
                </w:p>
              </w:tc>
              <w:tc>
                <w:tcPr>
                  <w:tcW w:w="2446"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基础减震、车间隔声</w:t>
                  </w:r>
                </w:p>
              </w:tc>
              <w:tc>
                <w:tcPr>
                  <w:tcW w:w="108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15</w:t>
                  </w:r>
                </w:p>
              </w:tc>
              <w:tc>
                <w:tcPr>
                  <w:tcW w:w="661"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6h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4#</w:t>
                  </w:r>
                </w:p>
                <w:p>
                  <w:pPr>
                    <w:bidi w:val="0"/>
                    <w:spacing w:line="240" w:lineRule="auto"/>
                    <w:jc w:val="center"/>
                    <w:rPr>
                      <w:rFonts w:hint="default"/>
                      <w:lang w:val="en-US" w:eastAsia="zh-CN"/>
                    </w:rPr>
                  </w:pPr>
                  <w:r>
                    <w:rPr>
                      <w:rFonts w:hint="eastAsia"/>
                      <w:lang w:val="en-US" w:eastAsia="zh-CN"/>
                    </w:rPr>
                    <w:t>车间</w:t>
                  </w:r>
                </w:p>
              </w:tc>
              <w:tc>
                <w:tcPr>
                  <w:tcW w:w="121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钻铣床</w:t>
                  </w:r>
                </w:p>
              </w:tc>
              <w:tc>
                <w:tcPr>
                  <w:tcW w:w="105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78</w:t>
                  </w:r>
                </w:p>
              </w:tc>
              <w:tc>
                <w:tcPr>
                  <w:tcW w:w="8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w:t>
                  </w:r>
                </w:p>
              </w:tc>
              <w:tc>
                <w:tcPr>
                  <w:tcW w:w="2446"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基础减震、车间隔声</w:t>
                  </w:r>
                </w:p>
              </w:tc>
              <w:tc>
                <w:tcPr>
                  <w:tcW w:w="108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15</w:t>
                  </w:r>
                </w:p>
              </w:tc>
              <w:tc>
                <w:tcPr>
                  <w:tcW w:w="661"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6h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4#</w:t>
                  </w:r>
                </w:p>
                <w:p>
                  <w:pPr>
                    <w:bidi w:val="0"/>
                    <w:spacing w:line="240" w:lineRule="auto"/>
                    <w:jc w:val="center"/>
                    <w:rPr>
                      <w:rFonts w:hint="default"/>
                      <w:lang w:val="en-US" w:eastAsia="zh-CN"/>
                    </w:rPr>
                  </w:pPr>
                  <w:r>
                    <w:rPr>
                      <w:rFonts w:hint="eastAsia"/>
                      <w:lang w:val="en-US" w:eastAsia="zh-CN"/>
                    </w:rPr>
                    <w:t>车间</w:t>
                  </w:r>
                </w:p>
              </w:tc>
              <w:tc>
                <w:tcPr>
                  <w:tcW w:w="1218"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锯床</w:t>
                  </w:r>
                </w:p>
              </w:tc>
              <w:tc>
                <w:tcPr>
                  <w:tcW w:w="1057"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78</w:t>
                  </w:r>
                </w:p>
              </w:tc>
              <w:tc>
                <w:tcPr>
                  <w:tcW w:w="846"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2</w:t>
                  </w:r>
                </w:p>
              </w:tc>
              <w:tc>
                <w:tcPr>
                  <w:tcW w:w="2446" w:type="dxa"/>
                  <w:tcBorders>
                    <w:tl2br w:val="nil"/>
                    <w:tr2bl w:val="nil"/>
                  </w:tcBorders>
                  <w:vAlign w:val="center"/>
                </w:tcPr>
                <w:p>
                  <w:pPr>
                    <w:bidi w:val="0"/>
                    <w:spacing w:line="240" w:lineRule="auto"/>
                    <w:jc w:val="center"/>
                    <w:rPr>
                      <w:rFonts w:hint="eastAsia"/>
                      <w:lang w:val="en-US" w:eastAsia="zh-CN"/>
                    </w:rPr>
                  </w:pPr>
                  <w:r>
                    <w:rPr>
                      <w:rFonts w:hint="eastAsia"/>
                      <w:lang w:val="en-US" w:eastAsia="zh-CN"/>
                    </w:rPr>
                    <w:t>基础减震、车间隔声</w:t>
                  </w:r>
                </w:p>
              </w:tc>
              <w:tc>
                <w:tcPr>
                  <w:tcW w:w="1089"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15</w:t>
                  </w:r>
                </w:p>
              </w:tc>
              <w:tc>
                <w:tcPr>
                  <w:tcW w:w="661" w:type="dxa"/>
                  <w:tcBorders>
                    <w:tl2br w:val="nil"/>
                    <w:tr2bl w:val="nil"/>
                  </w:tcBorders>
                  <w:vAlign w:val="center"/>
                </w:tcPr>
                <w:p>
                  <w:pPr>
                    <w:bidi w:val="0"/>
                    <w:spacing w:line="240" w:lineRule="auto"/>
                    <w:jc w:val="center"/>
                    <w:rPr>
                      <w:rFonts w:hint="default"/>
                      <w:lang w:val="en-US" w:eastAsia="zh-CN"/>
                    </w:rPr>
                  </w:pPr>
                  <w:r>
                    <w:rPr>
                      <w:rFonts w:hint="eastAsia"/>
                      <w:lang w:val="en-US" w:eastAsia="zh-CN"/>
                    </w:rPr>
                    <w:t>6h</w:t>
                  </w:r>
                </w:p>
              </w:tc>
            </w:tr>
          </w:tbl>
          <w:p>
            <w:pPr>
              <w:pStyle w:val="11"/>
              <w:adjustRightInd w:val="0"/>
              <w:snapToGrid w:val="0"/>
              <w:spacing w:before="0" w:beforeAutospacing="0" w:after="0" w:afterAutospacing="0" w:line="360" w:lineRule="auto"/>
              <w:ind w:firstLine="480" w:firstLineChars="200"/>
              <w:jc w:val="both"/>
              <w:rPr>
                <w:rFonts w:hint="default" w:cs="宋体"/>
                <w:color w:val="FF0000"/>
                <w:kern w:val="2"/>
                <w:sz w:val="24"/>
                <w:szCs w:val="24"/>
                <w:u w:val="single"/>
                <w:lang w:val="en-US" w:eastAsia="zh-CN"/>
              </w:rPr>
            </w:pPr>
            <w:r>
              <w:rPr>
                <w:rFonts w:hint="eastAsia" w:cs="宋体"/>
                <w:color w:val="FF0000"/>
                <w:kern w:val="2"/>
                <w:sz w:val="24"/>
                <w:szCs w:val="24"/>
                <w:u w:val="single"/>
                <w:lang w:val="en-US" w:eastAsia="zh-CN"/>
              </w:rPr>
              <w:t>（2）影响评价</w:t>
            </w:r>
          </w:p>
          <w:p>
            <w:pPr>
              <w:pStyle w:val="20"/>
              <w:adjustRightInd w:val="0"/>
              <w:snapToGrid w:val="0"/>
              <w:ind w:firstLine="420"/>
              <w:rPr>
                <w:rFonts w:ascii="Times New Roman" w:hAnsi="Times New Roman" w:cs="Times New Roman"/>
                <w:color w:val="FF0000"/>
                <w:sz w:val="24"/>
                <w:szCs w:val="24"/>
                <w:highlight w:val="none"/>
                <w:u w:val="single"/>
              </w:rPr>
            </w:pPr>
            <w:r>
              <w:rPr>
                <w:rFonts w:hint="eastAsia" w:ascii="宋体" w:hAnsi="宋体" w:cs="宋体"/>
                <w:bCs/>
                <w:color w:val="FF0000"/>
                <w:sz w:val="24"/>
                <w:szCs w:val="24"/>
                <w:u w:val="single"/>
                <w:lang w:val="en-US" w:eastAsia="zh-CN"/>
              </w:rPr>
              <w:t>项目于2019年1月开始建设，2019年6月竣工，属于未批先建项目</w:t>
            </w:r>
            <w:r>
              <w:rPr>
                <w:rFonts w:hint="eastAsia" w:cs="宋体"/>
                <w:bCs/>
                <w:color w:val="FF0000"/>
                <w:sz w:val="24"/>
                <w:szCs w:val="24"/>
                <w:u w:val="single"/>
                <w:lang w:val="en-US" w:eastAsia="zh-CN"/>
              </w:rPr>
              <w:t>。本次评价采用</w:t>
            </w:r>
            <w:r>
              <w:rPr>
                <w:rFonts w:hint="eastAsia" w:ascii="Times New Roman" w:hAnsi="Times New Roman" w:cs="Times New Roman"/>
                <w:color w:val="FF0000"/>
                <w:sz w:val="24"/>
                <w:szCs w:val="24"/>
                <w:highlight w:val="none"/>
                <w:u w:val="single"/>
                <w:lang w:val="en-US" w:eastAsia="zh-CN"/>
              </w:rPr>
              <w:t>湖南精准通检测技术有限公司</w:t>
            </w:r>
            <w:r>
              <w:rPr>
                <w:rFonts w:ascii="Times New Roman" w:hAnsi="Times New Roman" w:cs="Times New Roman"/>
                <w:color w:val="FF0000"/>
                <w:sz w:val="24"/>
                <w:szCs w:val="24"/>
                <w:highlight w:val="none"/>
                <w:u w:val="single"/>
              </w:rPr>
              <w:t>于2021年</w:t>
            </w:r>
            <w:r>
              <w:rPr>
                <w:rFonts w:hint="eastAsia" w:ascii="Times New Roman" w:hAnsi="Times New Roman" w:cs="Times New Roman"/>
                <w:color w:val="FF0000"/>
                <w:sz w:val="24"/>
                <w:szCs w:val="24"/>
                <w:highlight w:val="none"/>
                <w:u w:val="single"/>
                <w:lang w:val="en-US" w:eastAsia="zh-CN"/>
              </w:rPr>
              <w:t>5</w:t>
            </w:r>
            <w:r>
              <w:rPr>
                <w:rFonts w:ascii="Times New Roman" w:hAnsi="Times New Roman" w:cs="Times New Roman"/>
                <w:color w:val="FF0000"/>
                <w:sz w:val="24"/>
                <w:szCs w:val="24"/>
                <w:highlight w:val="none"/>
                <w:u w:val="single"/>
              </w:rPr>
              <w:t>月</w:t>
            </w:r>
            <w:r>
              <w:rPr>
                <w:rFonts w:hint="eastAsia" w:ascii="Times New Roman" w:hAnsi="Times New Roman" w:cs="Times New Roman"/>
                <w:color w:val="FF0000"/>
                <w:sz w:val="24"/>
                <w:szCs w:val="24"/>
                <w:highlight w:val="none"/>
                <w:u w:val="single"/>
                <w:lang w:val="en-US" w:eastAsia="zh-CN"/>
              </w:rPr>
              <w:t>17</w:t>
            </w:r>
            <w:r>
              <w:rPr>
                <w:rFonts w:ascii="Times New Roman" w:hAnsi="Times New Roman" w:cs="Times New Roman"/>
                <w:color w:val="FF0000"/>
                <w:sz w:val="24"/>
                <w:szCs w:val="24"/>
                <w:highlight w:val="none"/>
                <w:u w:val="single"/>
              </w:rPr>
              <w:t>日~</w:t>
            </w:r>
            <w:r>
              <w:rPr>
                <w:rFonts w:hint="eastAsia" w:ascii="Times New Roman" w:hAnsi="Times New Roman" w:cs="Times New Roman"/>
                <w:color w:val="FF0000"/>
                <w:sz w:val="24"/>
                <w:szCs w:val="24"/>
                <w:highlight w:val="none"/>
                <w:u w:val="single"/>
                <w:lang w:val="en-US" w:eastAsia="zh-CN"/>
              </w:rPr>
              <w:t>18</w:t>
            </w:r>
            <w:r>
              <w:rPr>
                <w:rFonts w:ascii="Times New Roman" w:hAnsi="Times New Roman" w:cs="Times New Roman"/>
                <w:color w:val="FF0000"/>
                <w:sz w:val="24"/>
                <w:szCs w:val="24"/>
                <w:highlight w:val="none"/>
                <w:u w:val="single"/>
              </w:rPr>
              <w:t>日对项目所在区域声环境监测</w:t>
            </w:r>
            <w:r>
              <w:rPr>
                <w:rFonts w:hint="eastAsia" w:ascii="Times New Roman" w:hAnsi="Times New Roman" w:cs="Times New Roman"/>
                <w:color w:val="FF0000"/>
                <w:sz w:val="24"/>
                <w:szCs w:val="24"/>
                <w:highlight w:val="none"/>
                <w:u w:val="single"/>
                <w:lang w:val="en-US" w:eastAsia="zh-CN"/>
              </w:rPr>
              <w:t>结果来说明项目运行后对周边噪声环境的影响</w:t>
            </w:r>
            <w:r>
              <w:rPr>
                <w:rFonts w:ascii="Times New Roman" w:hAnsi="Times New Roman" w:cs="Times New Roman"/>
                <w:color w:val="FF0000"/>
                <w:sz w:val="24"/>
                <w:szCs w:val="24"/>
                <w:highlight w:val="none"/>
                <w:u w:val="single"/>
              </w:rPr>
              <w:t>。</w:t>
            </w:r>
          </w:p>
          <w:p>
            <w:pPr>
              <w:pStyle w:val="21"/>
              <w:widowControl w:val="0"/>
              <w:adjustRightInd w:val="0"/>
              <w:snapToGrid w:val="0"/>
              <w:spacing w:line="360" w:lineRule="auto"/>
              <w:rPr>
                <w:rFonts w:ascii="Times New Roman" w:hAnsi="Times New Roman"/>
                <w:bCs/>
                <w:color w:val="FF0000"/>
                <w:sz w:val="24"/>
                <w:szCs w:val="24"/>
                <w:highlight w:val="none"/>
                <w:u w:val="single"/>
                <w:lang w:val="zh-CN"/>
              </w:rPr>
            </w:pPr>
            <w:r>
              <w:rPr>
                <w:rFonts w:ascii="Times New Roman" w:hAnsi="Times New Roman"/>
                <w:bCs/>
                <w:color w:val="FF0000"/>
                <w:sz w:val="24"/>
                <w:szCs w:val="24"/>
                <w:highlight w:val="none"/>
                <w:u w:val="single"/>
                <w:lang w:val="zh-CN"/>
              </w:rPr>
              <w:t>表</w:t>
            </w:r>
            <w:r>
              <w:rPr>
                <w:rFonts w:hint="eastAsia" w:ascii="Times New Roman" w:hAnsi="Times New Roman"/>
                <w:bCs/>
                <w:color w:val="FF0000"/>
                <w:sz w:val="24"/>
                <w:szCs w:val="24"/>
                <w:highlight w:val="none"/>
                <w:u w:val="single"/>
                <w:lang w:val="en-US" w:eastAsia="zh-CN"/>
              </w:rPr>
              <w:t>4</w:t>
            </w:r>
            <w:r>
              <w:rPr>
                <w:rFonts w:ascii="Times New Roman" w:hAnsi="Times New Roman"/>
                <w:bCs/>
                <w:color w:val="FF0000"/>
                <w:sz w:val="24"/>
                <w:szCs w:val="24"/>
                <w:highlight w:val="none"/>
                <w:u w:val="single"/>
              </w:rPr>
              <w:t>-</w:t>
            </w:r>
            <w:r>
              <w:rPr>
                <w:rFonts w:hint="eastAsia" w:ascii="Times New Roman" w:hAnsi="Times New Roman"/>
                <w:bCs/>
                <w:color w:val="FF0000"/>
                <w:sz w:val="24"/>
                <w:szCs w:val="24"/>
                <w:highlight w:val="none"/>
                <w:u w:val="single"/>
                <w:lang w:val="en-US" w:eastAsia="zh-CN"/>
              </w:rPr>
              <w:t>10</w:t>
            </w:r>
            <w:r>
              <w:rPr>
                <w:rFonts w:ascii="Times New Roman" w:hAnsi="Times New Roman"/>
                <w:bCs/>
                <w:color w:val="FF0000"/>
                <w:sz w:val="24"/>
                <w:szCs w:val="24"/>
                <w:highlight w:val="none"/>
                <w:u w:val="single"/>
              </w:rPr>
              <w:t xml:space="preserve"> </w:t>
            </w:r>
            <w:r>
              <w:rPr>
                <w:rFonts w:ascii="Times New Roman" w:hAnsi="Times New Roman" w:eastAsia="Times New Roman"/>
                <w:bCs/>
                <w:color w:val="FF0000"/>
                <w:sz w:val="24"/>
                <w:szCs w:val="24"/>
                <w:highlight w:val="none"/>
                <w:u w:val="single"/>
                <w:lang w:val="zh-CN"/>
              </w:rPr>
              <w:t xml:space="preserve"> </w:t>
            </w:r>
            <w:r>
              <w:rPr>
                <w:rFonts w:ascii="Times New Roman" w:hAnsi="Times New Roman"/>
                <w:bCs/>
                <w:color w:val="FF0000"/>
                <w:sz w:val="24"/>
                <w:szCs w:val="24"/>
                <w:highlight w:val="none"/>
                <w:u w:val="single"/>
                <w:lang w:val="zh-CN"/>
              </w:rPr>
              <w:t>声环境监测评价结果</w:t>
            </w:r>
            <w:r>
              <w:rPr>
                <w:rFonts w:ascii="Times New Roman" w:hAnsi="Times New Roman" w:eastAsia="Times New Roman"/>
                <w:bCs/>
                <w:color w:val="FF0000"/>
                <w:sz w:val="24"/>
                <w:szCs w:val="24"/>
                <w:highlight w:val="none"/>
                <w:u w:val="single"/>
                <w:lang w:val="zh-CN"/>
              </w:rPr>
              <w:t xml:space="preserve">  </w:t>
            </w:r>
          </w:p>
          <w:tbl>
            <w:tblPr>
              <w:tblStyle w:val="13"/>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938"/>
              <w:gridCol w:w="941"/>
              <w:gridCol w:w="940"/>
              <w:gridCol w:w="946"/>
              <w:gridCol w:w="1046"/>
              <w:gridCol w:w="10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05" w:type="pct"/>
                  <w:vMerge w:val="restar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检测点位</w:t>
                  </w:r>
                </w:p>
              </w:tc>
              <w:tc>
                <w:tcPr>
                  <w:tcW w:w="2372" w:type="pct"/>
                  <w:gridSpan w:val="4"/>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检测日期及结果（单位：dB(A)）</w:t>
                  </w:r>
                </w:p>
              </w:tc>
              <w:tc>
                <w:tcPr>
                  <w:tcW w:w="1321" w:type="pct"/>
                  <w:gridSpan w:val="2"/>
                  <w:vMerge w:val="restar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标准限值dB（A）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8" w:hRule="atLeast"/>
              </w:trPr>
              <w:tc>
                <w:tcPr>
                  <w:tcW w:w="1305"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p>
              </w:tc>
              <w:tc>
                <w:tcPr>
                  <w:tcW w:w="1184" w:type="pct"/>
                  <w:gridSpan w:val="2"/>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2021.</w:t>
                  </w:r>
                  <w:r>
                    <w:rPr>
                      <w:rFonts w:hint="eastAsia" w:ascii="Times New Roman" w:hAnsi="Times New Roman"/>
                      <w:color w:val="FF0000"/>
                      <w:kern w:val="0"/>
                      <w:sz w:val="21"/>
                      <w:szCs w:val="21"/>
                      <w:highlight w:val="none"/>
                      <w:u w:val="single"/>
                      <w:lang w:val="en-US" w:eastAsia="zh-CN"/>
                    </w:rPr>
                    <w:t>5.17</w:t>
                  </w:r>
                </w:p>
              </w:tc>
              <w:tc>
                <w:tcPr>
                  <w:tcW w:w="1188" w:type="pct"/>
                  <w:gridSpan w:val="2"/>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2021.</w:t>
                  </w:r>
                  <w:r>
                    <w:rPr>
                      <w:rFonts w:hint="eastAsia" w:ascii="Times New Roman" w:hAnsi="Times New Roman"/>
                      <w:color w:val="FF0000"/>
                      <w:kern w:val="0"/>
                      <w:sz w:val="21"/>
                      <w:szCs w:val="21"/>
                      <w:highlight w:val="none"/>
                      <w:u w:val="single"/>
                      <w:lang w:val="en-US" w:eastAsia="zh-CN"/>
                    </w:rPr>
                    <w:t>5.18</w:t>
                  </w:r>
                </w:p>
              </w:tc>
              <w:tc>
                <w:tcPr>
                  <w:tcW w:w="1321" w:type="pct"/>
                  <w:gridSpan w:val="2"/>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05"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p>
              </w:tc>
              <w:tc>
                <w:tcPr>
                  <w:tcW w:w="591"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昼间</w:t>
                  </w:r>
                </w:p>
              </w:tc>
              <w:tc>
                <w:tcPr>
                  <w:tcW w:w="593"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夜间</w:t>
                  </w:r>
                </w:p>
              </w:tc>
              <w:tc>
                <w:tcPr>
                  <w:tcW w:w="592"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昼间</w:t>
                  </w:r>
                </w:p>
              </w:tc>
              <w:tc>
                <w:tcPr>
                  <w:tcW w:w="596"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夜间</w:t>
                  </w:r>
                </w:p>
              </w:tc>
              <w:tc>
                <w:tcPr>
                  <w:tcW w:w="659"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昼间</w:t>
                  </w:r>
                </w:p>
              </w:tc>
              <w:tc>
                <w:tcPr>
                  <w:tcW w:w="661"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05"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N1项目厂界东侧外1米处</w:t>
                  </w:r>
                </w:p>
              </w:tc>
              <w:tc>
                <w:tcPr>
                  <w:tcW w:w="591"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56.3</w:t>
                  </w:r>
                </w:p>
              </w:tc>
              <w:tc>
                <w:tcPr>
                  <w:tcW w:w="593"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42.6</w:t>
                  </w:r>
                </w:p>
              </w:tc>
              <w:tc>
                <w:tcPr>
                  <w:tcW w:w="592"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57.3</w:t>
                  </w:r>
                </w:p>
              </w:tc>
              <w:tc>
                <w:tcPr>
                  <w:tcW w:w="596"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41.3</w:t>
                  </w:r>
                </w:p>
              </w:tc>
              <w:tc>
                <w:tcPr>
                  <w:tcW w:w="659" w:type="pct"/>
                  <w:vMerge w:val="restar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65</w:t>
                  </w:r>
                </w:p>
              </w:tc>
              <w:tc>
                <w:tcPr>
                  <w:tcW w:w="661" w:type="pct"/>
                  <w:vMerge w:val="restar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05"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N2项目厂界南侧外1米处</w:t>
                  </w:r>
                </w:p>
              </w:tc>
              <w:tc>
                <w:tcPr>
                  <w:tcW w:w="591"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57.7</w:t>
                  </w:r>
                </w:p>
              </w:tc>
              <w:tc>
                <w:tcPr>
                  <w:tcW w:w="593"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43.2</w:t>
                  </w:r>
                </w:p>
              </w:tc>
              <w:tc>
                <w:tcPr>
                  <w:tcW w:w="592"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58.1</w:t>
                  </w:r>
                </w:p>
              </w:tc>
              <w:tc>
                <w:tcPr>
                  <w:tcW w:w="596"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42.4</w:t>
                  </w:r>
                </w:p>
              </w:tc>
              <w:tc>
                <w:tcPr>
                  <w:tcW w:w="659"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p>
              </w:tc>
              <w:tc>
                <w:tcPr>
                  <w:tcW w:w="661"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05"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N3项目厂界西侧外1米处</w:t>
                  </w:r>
                </w:p>
              </w:tc>
              <w:tc>
                <w:tcPr>
                  <w:tcW w:w="591"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56.8</w:t>
                  </w:r>
                </w:p>
              </w:tc>
              <w:tc>
                <w:tcPr>
                  <w:tcW w:w="593"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44.6</w:t>
                  </w:r>
                </w:p>
              </w:tc>
              <w:tc>
                <w:tcPr>
                  <w:tcW w:w="592"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56.6</w:t>
                  </w:r>
                </w:p>
              </w:tc>
              <w:tc>
                <w:tcPr>
                  <w:tcW w:w="596"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41.0</w:t>
                  </w:r>
                </w:p>
              </w:tc>
              <w:tc>
                <w:tcPr>
                  <w:tcW w:w="659"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p>
              </w:tc>
              <w:tc>
                <w:tcPr>
                  <w:tcW w:w="661"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05"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N4项目厂界北侧外1米处</w:t>
                  </w:r>
                </w:p>
              </w:tc>
              <w:tc>
                <w:tcPr>
                  <w:tcW w:w="591"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60.4</w:t>
                  </w:r>
                </w:p>
              </w:tc>
              <w:tc>
                <w:tcPr>
                  <w:tcW w:w="593"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48.3</w:t>
                  </w:r>
                </w:p>
              </w:tc>
              <w:tc>
                <w:tcPr>
                  <w:tcW w:w="592"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61.2</w:t>
                  </w:r>
                </w:p>
              </w:tc>
              <w:tc>
                <w:tcPr>
                  <w:tcW w:w="596"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47.6</w:t>
                  </w:r>
                </w:p>
              </w:tc>
              <w:tc>
                <w:tcPr>
                  <w:tcW w:w="659"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p>
              </w:tc>
              <w:tc>
                <w:tcPr>
                  <w:tcW w:w="661" w:type="pct"/>
                  <w:vMerge w:val="continue"/>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05" w:type="pct"/>
                  <w:tcBorders>
                    <w:tl2br w:val="nil"/>
                    <w:tr2bl w:val="nil"/>
                  </w:tcBorders>
                  <w:shd w:val="clear" w:color="auto" w:fill="auto"/>
                  <w:noWrap w:val="0"/>
                  <w:vAlign w:val="center"/>
                </w:tcPr>
                <w:p>
                  <w:pPr>
                    <w:pStyle w:val="22"/>
                    <w:adjustRightInd w:val="0"/>
                    <w:spacing w:after="0"/>
                    <w:ind w:firstLine="0" w:firstLineChars="0"/>
                    <w:rPr>
                      <w:rFonts w:ascii="Times New Roman" w:hAnsi="Times New Roman"/>
                      <w:color w:val="FF0000"/>
                      <w:kern w:val="0"/>
                      <w:sz w:val="21"/>
                      <w:szCs w:val="21"/>
                      <w:highlight w:val="none"/>
                      <w:u w:val="single"/>
                      <w:lang w:val="en-US" w:eastAsia="zh-CN"/>
                    </w:rPr>
                  </w:pPr>
                  <w:r>
                    <w:rPr>
                      <w:rFonts w:ascii="Times New Roman" w:hAnsi="Times New Roman"/>
                      <w:color w:val="FF0000"/>
                      <w:kern w:val="0"/>
                      <w:sz w:val="21"/>
                      <w:szCs w:val="21"/>
                      <w:highlight w:val="none"/>
                      <w:u w:val="single"/>
                      <w:lang w:val="en-US" w:eastAsia="zh-CN"/>
                    </w:rPr>
                    <w:t>N5</w:t>
                  </w:r>
                  <w:r>
                    <w:rPr>
                      <w:rFonts w:hint="eastAsia" w:ascii="Times New Roman" w:hAnsi="Times New Roman"/>
                      <w:color w:val="FF0000"/>
                      <w:kern w:val="0"/>
                      <w:sz w:val="21"/>
                      <w:szCs w:val="21"/>
                      <w:highlight w:val="none"/>
                      <w:u w:val="single"/>
                      <w:lang w:val="en-US" w:eastAsia="zh-CN"/>
                    </w:rPr>
                    <w:t>周边敏感点</w:t>
                  </w:r>
                </w:p>
              </w:tc>
              <w:tc>
                <w:tcPr>
                  <w:tcW w:w="591"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59.6</w:t>
                  </w:r>
                </w:p>
              </w:tc>
              <w:tc>
                <w:tcPr>
                  <w:tcW w:w="593"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46.3</w:t>
                  </w:r>
                </w:p>
              </w:tc>
              <w:tc>
                <w:tcPr>
                  <w:tcW w:w="592"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58.9</w:t>
                  </w:r>
                </w:p>
              </w:tc>
              <w:tc>
                <w:tcPr>
                  <w:tcW w:w="596"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46.3</w:t>
                  </w:r>
                </w:p>
              </w:tc>
              <w:tc>
                <w:tcPr>
                  <w:tcW w:w="659"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60</w:t>
                  </w:r>
                </w:p>
              </w:tc>
              <w:tc>
                <w:tcPr>
                  <w:tcW w:w="661" w:type="pct"/>
                  <w:tcBorders>
                    <w:tl2br w:val="nil"/>
                    <w:tr2bl w:val="nil"/>
                  </w:tcBorders>
                  <w:shd w:val="clear" w:color="auto" w:fill="auto"/>
                  <w:noWrap w:val="0"/>
                  <w:vAlign w:val="center"/>
                </w:tcPr>
                <w:p>
                  <w:pPr>
                    <w:pStyle w:val="22"/>
                    <w:adjustRightInd w:val="0"/>
                    <w:spacing w:after="0"/>
                    <w:ind w:firstLine="0" w:firstLineChars="0"/>
                    <w:rPr>
                      <w:rFonts w:hint="default" w:ascii="Times New Roman" w:hAnsi="Times New Roman"/>
                      <w:color w:val="FF0000"/>
                      <w:kern w:val="0"/>
                      <w:sz w:val="21"/>
                      <w:szCs w:val="21"/>
                      <w:highlight w:val="none"/>
                      <w:u w:val="single"/>
                      <w:lang w:val="en-US" w:eastAsia="zh-CN"/>
                    </w:rPr>
                  </w:pPr>
                  <w:r>
                    <w:rPr>
                      <w:rFonts w:hint="eastAsia" w:ascii="Times New Roman" w:hAnsi="Times New Roman"/>
                      <w:color w:val="FF0000"/>
                      <w:kern w:val="0"/>
                      <w:sz w:val="21"/>
                      <w:szCs w:val="21"/>
                      <w:highlight w:val="none"/>
                      <w:u w:val="single"/>
                      <w:lang w:val="en-US" w:eastAsia="zh-CN"/>
                    </w:rPr>
                    <w:t>50</w:t>
                  </w:r>
                </w:p>
              </w:tc>
            </w:tr>
          </w:tbl>
          <w:p>
            <w:pPr>
              <w:pStyle w:val="11"/>
              <w:adjustRightInd w:val="0"/>
              <w:snapToGrid w:val="0"/>
              <w:spacing w:before="0" w:beforeAutospacing="0" w:after="0" w:afterAutospacing="0" w:line="360" w:lineRule="auto"/>
              <w:ind w:firstLine="480" w:firstLineChars="200"/>
              <w:jc w:val="both"/>
              <w:rPr>
                <w:rFonts w:hint="eastAsia"/>
                <w:color w:val="FF0000"/>
                <w:sz w:val="24"/>
                <w:szCs w:val="24"/>
                <w:highlight w:val="none"/>
                <w:u w:val="single"/>
                <w:lang w:val="en-US" w:eastAsia="zh-CN"/>
              </w:rPr>
            </w:pPr>
            <w:r>
              <w:rPr>
                <w:color w:val="FF0000"/>
                <w:sz w:val="24"/>
                <w:szCs w:val="24"/>
                <w:highlight w:val="none"/>
                <w:u w:val="single"/>
              </w:rPr>
              <w:t>从现状监测数据可知，项目厂界四周声环境质量达到了</w:t>
            </w:r>
            <w:r>
              <w:rPr>
                <w:rFonts w:hint="eastAsia"/>
                <w:color w:val="FF0000"/>
                <w:sz w:val="24"/>
                <w:szCs w:val="24"/>
                <w:highlight w:val="none"/>
                <w:u w:val="single"/>
                <w:lang w:val="en-US" w:eastAsia="zh-CN"/>
              </w:rPr>
              <w:t>《工业企业厂界环境噪声排放标准</w:t>
            </w:r>
            <w:r>
              <w:rPr>
                <w:color w:val="FF0000"/>
                <w:sz w:val="24"/>
                <w:szCs w:val="24"/>
                <w:highlight w:val="none"/>
                <w:u w:val="single"/>
              </w:rPr>
              <w:t>》</w:t>
            </w:r>
            <w:r>
              <w:rPr>
                <w:rFonts w:hint="eastAsia"/>
                <w:color w:val="FF0000"/>
                <w:sz w:val="24"/>
                <w:szCs w:val="24"/>
                <w:highlight w:val="none"/>
                <w:u w:val="single"/>
              </w:rPr>
              <w:t>（GB</w:t>
            </w:r>
            <w:r>
              <w:rPr>
                <w:rFonts w:hint="eastAsia"/>
                <w:color w:val="FF0000"/>
                <w:sz w:val="24"/>
                <w:szCs w:val="24"/>
                <w:highlight w:val="none"/>
                <w:u w:val="single"/>
                <w:lang w:val="en-US" w:eastAsia="zh-CN"/>
              </w:rPr>
              <w:t>12348-2008</w:t>
            </w:r>
            <w:r>
              <w:rPr>
                <w:rFonts w:hint="eastAsia"/>
                <w:color w:val="FF0000"/>
                <w:sz w:val="24"/>
                <w:szCs w:val="24"/>
                <w:highlight w:val="none"/>
                <w:u w:val="single"/>
              </w:rPr>
              <w:t>）</w:t>
            </w:r>
            <w:r>
              <w:rPr>
                <w:color w:val="FF0000"/>
                <w:sz w:val="24"/>
                <w:szCs w:val="24"/>
                <w:highlight w:val="none"/>
                <w:u w:val="single"/>
              </w:rPr>
              <w:t>中的</w:t>
            </w:r>
            <w:r>
              <w:rPr>
                <w:rFonts w:hint="eastAsia"/>
                <w:color w:val="FF0000"/>
                <w:sz w:val="24"/>
                <w:szCs w:val="24"/>
                <w:highlight w:val="none"/>
                <w:u w:val="single"/>
                <w:lang w:val="en-US" w:eastAsia="zh-CN"/>
              </w:rPr>
              <w:t>3</w:t>
            </w:r>
            <w:r>
              <w:rPr>
                <w:color w:val="FF0000"/>
                <w:sz w:val="24"/>
                <w:szCs w:val="24"/>
                <w:highlight w:val="none"/>
                <w:u w:val="single"/>
              </w:rPr>
              <w:t>类标准</w:t>
            </w:r>
            <w:r>
              <w:rPr>
                <w:rFonts w:hint="eastAsia"/>
                <w:color w:val="FF0000"/>
                <w:sz w:val="24"/>
                <w:szCs w:val="24"/>
                <w:highlight w:val="none"/>
                <w:u w:val="single"/>
                <w:lang w:eastAsia="zh-CN"/>
              </w:rPr>
              <w:t>；</w:t>
            </w:r>
            <w:r>
              <w:rPr>
                <w:rFonts w:hint="eastAsia"/>
                <w:color w:val="FF0000"/>
                <w:sz w:val="24"/>
                <w:szCs w:val="24"/>
                <w:highlight w:val="none"/>
                <w:u w:val="single"/>
                <w:lang w:val="en-US" w:eastAsia="zh-CN"/>
              </w:rPr>
              <w:t>周边敏感点</w:t>
            </w:r>
            <w:r>
              <w:rPr>
                <w:color w:val="FF0000"/>
                <w:sz w:val="24"/>
                <w:szCs w:val="24"/>
                <w:highlight w:val="none"/>
                <w:u w:val="single"/>
              </w:rPr>
              <w:t>的声环境质量达到了《声环境质量标准》(GB3096-2008)中的</w:t>
            </w:r>
            <w:r>
              <w:rPr>
                <w:rFonts w:hint="eastAsia"/>
                <w:color w:val="FF0000"/>
                <w:sz w:val="24"/>
                <w:szCs w:val="24"/>
                <w:highlight w:val="none"/>
                <w:u w:val="single"/>
                <w:lang w:val="en-US" w:eastAsia="zh-CN"/>
              </w:rPr>
              <w:t>2</w:t>
            </w:r>
            <w:r>
              <w:rPr>
                <w:color w:val="FF0000"/>
                <w:sz w:val="24"/>
                <w:szCs w:val="24"/>
                <w:highlight w:val="none"/>
                <w:u w:val="single"/>
              </w:rPr>
              <w:t>类标准。</w:t>
            </w:r>
            <w:r>
              <w:rPr>
                <w:rFonts w:hint="eastAsia"/>
                <w:color w:val="FF0000"/>
                <w:sz w:val="24"/>
                <w:szCs w:val="24"/>
                <w:highlight w:val="none"/>
                <w:u w:val="single"/>
                <w:lang w:val="en-US" w:eastAsia="zh-CN"/>
              </w:rPr>
              <w:t>项目运营期噪声对周围声环境影响较小。</w:t>
            </w:r>
          </w:p>
          <w:p>
            <w:pPr>
              <w:pStyle w:val="11"/>
              <w:adjustRightInd w:val="0"/>
              <w:snapToGrid w:val="0"/>
              <w:spacing w:before="0" w:beforeAutospacing="0" w:after="0" w:afterAutospacing="0" w:line="360" w:lineRule="auto"/>
              <w:ind w:firstLine="480" w:firstLineChars="200"/>
              <w:jc w:val="both"/>
              <w:rPr>
                <w:rFonts w:hint="default"/>
                <w:color w:val="FF0000"/>
                <w:sz w:val="24"/>
                <w:szCs w:val="24"/>
                <w:highlight w:val="none"/>
                <w:u w:val="single"/>
                <w:lang w:val="en-US" w:eastAsia="zh-CN"/>
              </w:rPr>
            </w:pPr>
            <w:r>
              <w:rPr>
                <w:rFonts w:hint="eastAsia"/>
                <w:color w:val="FF0000"/>
                <w:sz w:val="24"/>
                <w:szCs w:val="24"/>
                <w:highlight w:val="none"/>
                <w:u w:val="single"/>
                <w:lang w:val="en-US" w:eastAsia="zh-CN"/>
              </w:rPr>
              <w:t>（3）监测计划</w:t>
            </w:r>
          </w:p>
          <w:p>
            <w:pPr>
              <w:pStyle w:val="11"/>
              <w:numPr>
                <w:ilvl w:val="0"/>
                <w:numId w:val="0"/>
              </w:numPr>
              <w:adjustRightInd w:val="0"/>
              <w:snapToGrid w:val="0"/>
              <w:spacing w:before="0" w:beforeAutospacing="0" w:after="0" w:afterAutospacing="0" w:line="360" w:lineRule="auto"/>
              <w:ind w:leftChars="0" w:firstLine="480" w:firstLineChars="200"/>
              <w:jc w:val="both"/>
              <w:rPr>
                <w:rFonts w:hint="eastAsia" w:cs="宋体"/>
                <w:color w:val="FF0000"/>
                <w:kern w:val="2"/>
                <w:sz w:val="24"/>
                <w:szCs w:val="24"/>
                <w:u w:val="single"/>
                <w:lang w:val="en-US" w:eastAsia="zh-CN"/>
              </w:rPr>
            </w:pPr>
            <w:r>
              <w:rPr>
                <w:rFonts w:hint="eastAsia" w:cs="宋体"/>
                <w:color w:val="FF0000"/>
                <w:kern w:val="2"/>
                <w:sz w:val="24"/>
                <w:szCs w:val="24"/>
                <w:u w:val="single"/>
                <w:lang w:val="en-US" w:eastAsia="zh-CN"/>
              </w:rPr>
              <w:t>根据《排污单位自行监测技术指南 总则》（HJ819-2017），项目噪声监测计划如下表所示。</w:t>
            </w:r>
          </w:p>
          <w:p>
            <w:pPr>
              <w:pStyle w:val="11"/>
              <w:numPr>
                <w:ilvl w:val="0"/>
                <w:numId w:val="0"/>
              </w:numPr>
              <w:adjustRightInd w:val="0"/>
              <w:snapToGrid w:val="0"/>
              <w:spacing w:before="0" w:beforeAutospacing="0" w:after="0" w:afterAutospacing="0" w:line="360" w:lineRule="auto"/>
              <w:jc w:val="center"/>
              <w:rPr>
                <w:rFonts w:hint="default" w:cs="宋体"/>
                <w:b/>
                <w:bCs/>
                <w:color w:val="FF0000"/>
                <w:kern w:val="2"/>
                <w:sz w:val="24"/>
                <w:szCs w:val="24"/>
                <w:u w:val="single"/>
                <w:vertAlign w:val="baseline"/>
                <w:lang w:val="en-US" w:eastAsia="zh-CN"/>
              </w:rPr>
            </w:pPr>
            <w:r>
              <w:rPr>
                <w:rFonts w:hint="eastAsia" w:cs="宋体"/>
                <w:b/>
                <w:bCs/>
                <w:color w:val="FF0000"/>
                <w:kern w:val="2"/>
                <w:sz w:val="24"/>
                <w:szCs w:val="24"/>
                <w:u w:val="single"/>
                <w:lang w:val="en-US" w:eastAsia="zh-CN"/>
              </w:rPr>
              <w:t>表4-11  项目监测噪声监测计划</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12"/>
              <w:gridCol w:w="1071"/>
              <w:gridCol w:w="1817"/>
              <w:gridCol w:w="2295"/>
              <w:gridCol w:w="14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02" w:type="pct"/>
                  <w:gridSpan w:val="2"/>
                  <w:noWrap w:val="0"/>
                  <w:vAlign w:val="center"/>
                </w:tcPr>
                <w:p>
                  <w:pPr>
                    <w:jc w:val="center"/>
                    <w:rPr>
                      <w:color w:val="FF0000"/>
                      <w:szCs w:val="21"/>
                      <w:u w:val="single"/>
                    </w:rPr>
                  </w:pPr>
                  <w:r>
                    <w:rPr>
                      <w:color w:val="FF0000"/>
                      <w:szCs w:val="21"/>
                      <w:u w:val="single"/>
                    </w:rPr>
                    <w:t>类型</w:t>
                  </w:r>
                </w:p>
              </w:tc>
              <w:tc>
                <w:tcPr>
                  <w:tcW w:w="1145" w:type="pct"/>
                  <w:noWrap w:val="0"/>
                  <w:vAlign w:val="center"/>
                </w:tcPr>
                <w:p>
                  <w:pPr>
                    <w:jc w:val="center"/>
                    <w:rPr>
                      <w:color w:val="FF0000"/>
                      <w:szCs w:val="21"/>
                      <w:u w:val="single"/>
                    </w:rPr>
                  </w:pPr>
                  <w:r>
                    <w:rPr>
                      <w:color w:val="FF0000"/>
                      <w:szCs w:val="21"/>
                      <w:u w:val="single"/>
                    </w:rPr>
                    <w:t>监测点位</w:t>
                  </w:r>
                </w:p>
              </w:tc>
              <w:tc>
                <w:tcPr>
                  <w:tcW w:w="1446" w:type="pct"/>
                  <w:noWrap w:val="0"/>
                  <w:vAlign w:val="center"/>
                </w:tcPr>
                <w:p>
                  <w:pPr>
                    <w:jc w:val="center"/>
                    <w:rPr>
                      <w:color w:val="FF0000"/>
                      <w:szCs w:val="21"/>
                      <w:u w:val="single"/>
                    </w:rPr>
                  </w:pPr>
                  <w:r>
                    <w:rPr>
                      <w:color w:val="FF0000"/>
                      <w:szCs w:val="21"/>
                      <w:u w:val="single"/>
                    </w:rPr>
                    <w:t>监测项目</w:t>
                  </w:r>
                </w:p>
              </w:tc>
              <w:tc>
                <w:tcPr>
                  <w:tcW w:w="905" w:type="pct"/>
                  <w:noWrap w:val="0"/>
                  <w:vAlign w:val="center"/>
                </w:tcPr>
                <w:p>
                  <w:pPr>
                    <w:jc w:val="center"/>
                    <w:rPr>
                      <w:color w:val="FF0000"/>
                      <w:szCs w:val="21"/>
                      <w:u w:val="single"/>
                    </w:rPr>
                  </w:pPr>
                  <w:r>
                    <w:rPr>
                      <w:color w:val="FF0000"/>
                      <w:szCs w:val="21"/>
                      <w:u w:val="single"/>
                    </w:rPr>
                    <w:t>监测频次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827" w:type="pct"/>
                  <w:noWrap w:val="0"/>
                  <w:vAlign w:val="center"/>
                </w:tcPr>
                <w:p>
                  <w:pPr>
                    <w:jc w:val="center"/>
                    <w:rPr>
                      <w:color w:val="FF0000"/>
                      <w:szCs w:val="21"/>
                      <w:u w:val="single"/>
                    </w:rPr>
                  </w:pPr>
                  <w:r>
                    <w:rPr>
                      <w:color w:val="FF0000"/>
                      <w:szCs w:val="21"/>
                      <w:u w:val="single"/>
                    </w:rPr>
                    <w:t>污染源监测</w:t>
                  </w:r>
                </w:p>
              </w:tc>
              <w:tc>
                <w:tcPr>
                  <w:tcW w:w="674" w:type="pct"/>
                  <w:noWrap w:val="0"/>
                  <w:vAlign w:val="center"/>
                </w:tcPr>
                <w:p>
                  <w:pPr>
                    <w:jc w:val="center"/>
                    <w:rPr>
                      <w:color w:val="FF0000"/>
                      <w:szCs w:val="21"/>
                      <w:u w:val="single"/>
                    </w:rPr>
                  </w:pPr>
                  <w:r>
                    <w:rPr>
                      <w:rFonts w:hint="eastAsia"/>
                      <w:color w:val="FF0000"/>
                      <w:szCs w:val="21"/>
                      <w:u w:val="single"/>
                      <w:lang w:val="en-US" w:eastAsia="zh-CN"/>
                    </w:rPr>
                    <w:t>噪声</w:t>
                  </w:r>
                </w:p>
              </w:tc>
              <w:tc>
                <w:tcPr>
                  <w:tcW w:w="1145" w:type="pct"/>
                  <w:noWrap w:val="0"/>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厂界四周</w:t>
                  </w:r>
                </w:p>
              </w:tc>
              <w:tc>
                <w:tcPr>
                  <w:tcW w:w="1446" w:type="pct"/>
                  <w:noWrap w:val="0"/>
                  <w:vAlign w:val="center"/>
                </w:tcPr>
                <w:p>
                  <w:pPr>
                    <w:jc w:val="center"/>
                    <w:rPr>
                      <w:rFonts w:hint="default"/>
                      <w:color w:val="FF0000"/>
                      <w:szCs w:val="21"/>
                      <w:u w:val="single"/>
                      <w:lang w:val="en-US"/>
                    </w:rPr>
                  </w:pPr>
                  <w:r>
                    <w:rPr>
                      <w:rFonts w:hint="eastAsia"/>
                      <w:color w:val="FF0000"/>
                      <w:szCs w:val="21"/>
                      <w:u w:val="single"/>
                      <w:lang w:val="en-US" w:eastAsia="zh-CN"/>
                    </w:rPr>
                    <w:t>连续等效A声级</w:t>
                  </w:r>
                </w:p>
              </w:tc>
              <w:tc>
                <w:tcPr>
                  <w:tcW w:w="905" w:type="pct"/>
                  <w:noWrap w:val="0"/>
                  <w:vAlign w:val="center"/>
                </w:tcPr>
                <w:p>
                  <w:pPr>
                    <w:jc w:val="center"/>
                    <w:rPr>
                      <w:color w:val="FF0000"/>
                      <w:szCs w:val="21"/>
                      <w:u w:val="single"/>
                    </w:rPr>
                  </w:pPr>
                  <w:r>
                    <w:rPr>
                      <w:rFonts w:hint="eastAsia"/>
                      <w:color w:val="FF0000"/>
                      <w:szCs w:val="21"/>
                      <w:u w:val="single"/>
                      <w:lang w:val="en-US" w:eastAsia="zh-CN"/>
                    </w:rPr>
                    <w:t>1次/季度</w:t>
                  </w:r>
                </w:p>
              </w:tc>
            </w:tr>
          </w:tbl>
          <w:p>
            <w:pPr>
              <w:pStyle w:val="11"/>
              <w:adjustRightInd w:val="0"/>
              <w:snapToGrid w:val="0"/>
              <w:spacing w:before="0" w:beforeAutospacing="0" w:after="0" w:afterAutospacing="0" w:line="360" w:lineRule="auto"/>
              <w:jc w:val="both"/>
              <w:rPr>
                <w:rFonts w:hint="default" w:cs="宋体"/>
                <w:b/>
                <w:bCs/>
                <w:kern w:val="2"/>
                <w:sz w:val="24"/>
                <w:szCs w:val="24"/>
                <w:lang w:val="en-US" w:eastAsia="zh-CN"/>
              </w:rPr>
            </w:pPr>
            <w:r>
              <w:rPr>
                <w:rFonts w:hint="eastAsia" w:cs="宋体"/>
                <w:b/>
                <w:bCs/>
                <w:kern w:val="2"/>
                <w:sz w:val="24"/>
                <w:szCs w:val="24"/>
                <w:lang w:val="en-US" w:eastAsia="zh-CN"/>
              </w:rPr>
              <w:t>4.固体废物</w:t>
            </w:r>
          </w:p>
          <w:p>
            <w:pPr>
              <w:pStyle w:val="11"/>
              <w:adjustRightInd w:val="0"/>
              <w:snapToGrid w:val="0"/>
              <w:spacing w:before="0" w:beforeAutospacing="0" w:after="0" w:afterAutospacing="0" w:line="360" w:lineRule="auto"/>
              <w:ind w:firstLine="480" w:firstLineChars="200"/>
              <w:jc w:val="both"/>
              <w:rPr>
                <w:rFonts w:hint="default" w:cs="宋体"/>
                <w:kern w:val="2"/>
                <w:sz w:val="24"/>
                <w:szCs w:val="24"/>
                <w:lang w:val="en-US" w:eastAsia="zh-CN"/>
              </w:rPr>
            </w:pPr>
            <w:r>
              <w:rPr>
                <w:rFonts w:hint="eastAsia" w:cs="宋体"/>
                <w:kern w:val="2"/>
                <w:sz w:val="24"/>
                <w:szCs w:val="24"/>
                <w:lang w:val="en-US" w:eastAsia="zh-CN"/>
              </w:rPr>
              <w:t>（1）固废产生、处置情况</w:t>
            </w:r>
          </w:p>
          <w:p>
            <w:pPr>
              <w:pStyle w:val="11"/>
              <w:adjustRightInd w:val="0"/>
              <w:snapToGrid w:val="0"/>
              <w:spacing w:before="0" w:beforeAutospacing="0" w:after="0" w:afterAutospacing="0" w:line="360" w:lineRule="auto"/>
              <w:ind w:firstLine="480" w:firstLineChars="200"/>
              <w:jc w:val="both"/>
              <w:rPr>
                <w:rFonts w:hint="default" w:cs="宋体"/>
                <w:kern w:val="2"/>
                <w:sz w:val="24"/>
                <w:szCs w:val="24"/>
                <w:highlight w:val="none"/>
                <w:lang w:val="en-US" w:eastAsia="zh-CN"/>
              </w:rPr>
            </w:pPr>
            <w:r>
              <w:rPr>
                <w:rFonts w:hint="eastAsia" w:cs="宋体"/>
                <w:kern w:val="2"/>
                <w:sz w:val="24"/>
                <w:szCs w:val="24"/>
                <w:highlight w:val="none"/>
                <w:lang w:val="en-US" w:eastAsia="zh-CN"/>
              </w:rPr>
              <w:t>生活垃圾、金属边角料、废包装材料、废油漆桶及漆渣、废机油、废机油桶、废过滤棉、废活性炭、废UV灯管。</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①生活垃圾</w:t>
            </w:r>
          </w:p>
          <w:p>
            <w:pPr>
              <w:pStyle w:val="11"/>
              <w:adjustRightInd w:val="0"/>
              <w:snapToGrid w:val="0"/>
              <w:spacing w:before="0" w:beforeAutospacing="0" w:after="0" w:afterAutospacing="0" w:line="360" w:lineRule="auto"/>
              <w:ind w:firstLine="480" w:firstLineChars="200"/>
              <w:jc w:val="both"/>
              <w:rPr>
                <w:rFonts w:hint="default" w:cs="宋体"/>
                <w:kern w:val="2"/>
                <w:sz w:val="24"/>
                <w:szCs w:val="24"/>
                <w:highlight w:val="none"/>
                <w:lang w:val="en-US" w:eastAsia="zh-CN"/>
              </w:rPr>
            </w:pPr>
            <w:r>
              <w:rPr>
                <w:rFonts w:hint="eastAsia" w:cs="宋体"/>
                <w:kern w:val="2"/>
                <w:sz w:val="24"/>
                <w:szCs w:val="24"/>
                <w:highlight w:val="none"/>
                <w:lang w:val="en-US" w:eastAsia="zh-CN"/>
              </w:rPr>
              <w:t>本项目共有职工118人，根据《第一次全国污染源普查城镇生活源产排污系数手册》可知，员工日常垃圾产量平均1.0kg/人·d计。则本项目生活垃圾产生量为33.04t/a，生活垃圾属于一般固废，分类收集后交由环卫部门处置。</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②金属边角料</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根据建设方提供资料，年产生的金属边角料量和金属碎屑为50t/a，金属边角料和金属碎屑属于一般工业固废，收集后由外售给废品站。</w:t>
            </w:r>
          </w:p>
          <w:p>
            <w:pPr>
              <w:pStyle w:val="11"/>
              <w:adjustRightInd w:val="0"/>
              <w:snapToGrid w:val="0"/>
              <w:spacing w:before="0" w:beforeAutospacing="0" w:after="0" w:afterAutospacing="0" w:line="360" w:lineRule="auto"/>
              <w:ind w:firstLine="480" w:firstLineChars="200"/>
              <w:jc w:val="both"/>
              <w:rPr>
                <w:rFonts w:hint="eastAsia" w:cs="宋体"/>
                <w:color w:val="FF0000"/>
                <w:kern w:val="2"/>
                <w:sz w:val="24"/>
                <w:szCs w:val="24"/>
                <w:highlight w:val="none"/>
                <w:u w:val="single"/>
                <w:lang w:val="en-US" w:eastAsia="zh-CN"/>
              </w:rPr>
            </w:pPr>
            <w:r>
              <w:rPr>
                <w:rFonts w:hint="eastAsia" w:cs="宋体"/>
                <w:color w:val="FF0000"/>
                <w:kern w:val="2"/>
                <w:sz w:val="24"/>
                <w:szCs w:val="24"/>
                <w:highlight w:val="none"/>
                <w:u w:val="single"/>
                <w:lang w:val="en-US" w:eastAsia="zh-CN"/>
              </w:rPr>
              <w:t>③废包装材料</w:t>
            </w:r>
          </w:p>
          <w:p>
            <w:pPr>
              <w:pStyle w:val="11"/>
              <w:adjustRightInd w:val="0"/>
              <w:snapToGrid w:val="0"/>
              <w:spacing w:before="0" w:beforeAutospacing="0" w:after="0" w:afterAutospacing="0" w:line="360" w:lineRule="auto"/>
              <w:ind w:firstLine="480" w:firstLineChars="200"/>
              <w:jc w:val="both"/>
              <w:rPr>
                <w:rFonts w:hint="eastAsia" w:cs="宋体"/>
                <w:color w:val="FF0000"/>
                <w:kern w:val="2"/>
                <w:sz w:val="24"/>
                <w:szCs w:val="24"/>
                <w:highlight w:val="none"/>
                <w:u w:val="single"/>
                <w:lang w:val="en-US" w:eastAsia="zh-CN"/>
              </w:rPr>
            </w:pPr>
            <w:r>
              <w:rPr>
                <w:rFonts w:hint="eastAsia" w:cs="宋体"/>
                <w:color w:val="FF0000"/>
                <w:kern w:val="2"/>
                <w:sz w:val="24"/>
                <w:szCs w:val="24"/>
                <w:highlight w:val="none"/>
                <w:u w:val="single"/>
                <w:lang w:val="en-US" w:eastAsia="zh-CN"/>
              </w:rPr>
              <w:t>主要为进厂的各种原材料包装箱（包含水性漆包装桶），根据建设方提供资料，年产生量约1t/a。</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④废油漆桶及漆渣（HW12、HW49）</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根据建设方提供的数据，项目年用油漆4.5吨，废油漆桶约0.3吨，漆渣0.15吨，属于危险废物，应统一存放在危废临时储存场所，收集后委托有资质的单位安全处置。</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⑤废机油（HW08）</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项目设备维护会产生少量废机油，约为0.05t/a，属于危险废物，应统一存放在危废临时储存场所，收集后委托有资质的单位安全处置。</w:t>
            </w:r>
          </w:p>
          <w:p>
            <w:pPr>
              <w:pStyle w:val="11"/>
              <w:adjustRightInd w:val="0"/>
              <w:snapToGrid w:val="0"/>
              <w:spacing w:before="0" w:beforeAutospacing="0" w:after="0" w:afterAutospacing="0" w:line="360" w:lineRule="auto"/>
              <w:ind w:firstLine="480" w:firstLineChars="200"/>
              <w:jc w:val="both"/>
              <w:rPr>
                <w:rFonts w:hint="default" w:cs="宋体"/>
                <w:kern w:val="2"/>
                <w:sz w:val="24"/>
                <w:szCs w:val="24"/>
                <w:highlight w:val="none"/>
                <w:lang w:val="en-US" w:eastAsia="zh-CN"/>
              </w:rPr>
            </w:pPr>
            <w:r>
              <w:rPr>
                <w:rFonts w:hint="eastAsia" w:cs="宋体"/>
                <w:kern w:val="2"/>
                <w:sz w:val="24"/>
                <w:szCs w:val="24"/>
                <w:highlight w:val="none"/>
                <w:lang w:val="en-US" w:eastAsia="zh-CN"/>
              </w:rPr>
              <w:t>⑥废机油桶（HW49）</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本项目废机油桶的产生量为0.14t/a，废机油桶可用于盛装废机油，属于危险废物，应统一存放在危废临时储存场所，收集后委托有资质的单位安全处置。</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⑦废过滤棉（HW49）</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本项目采用过滤棉处理漆雾，过滤棉长时间过滤漆雾会产生堵塞，影响 废气的处理效率，需要定期更换。过滤棉每个月更换一次，每次更换量约为0.005t，则废过滤棉产生量约为0.05t/a。废过滤棉沾染漆渣，故属于危险废物，应统一存放在危废临时储存场所，收集后委托有资质的单位安全处置。</w:t>
            </w:r>
          </w:p>
          <w:p>
            <w:pPr>
              <w:pStyle w:val="11"/>
              <w:adjustRightInd w:val="0"/>
              <w:snapToGrid w:val="0"/>
              <w:spacing w:before="0" w:beforeAutospacing="0" w:after="0" w:afterAutospacing="0" w:line="360" w:lineRule="auto"/>
              <w:ind w:firstLine="480" w:firstLineChars="200"/>
              <w:jc w:val="both"/>
              <w:rPr>
                <w:rFonts w:hint="eastAsia" w:cs="宋体"/>
                <w:color w:val="FF0000"/>
                <w:kern w:val="2"/>
                <w:sz w:val="24"/>
                <w:szCs w:val="24"/>
                <w:highlight w:val="none"/>
                <w:u w:val="single" w:color="auto"/>
                <w:lang w:val="en-US" w:eastAsia="zh-CN"/>
              </w:rPr>
            </w:pPr>
            <w:r>
              <w:rPr>
                <w:rFonts w:hint="eastAsia" w:cs="宋体"/>
                <w:color w:val="FF0000"/>
                <w:kern w:val="2"/>
                <w:sz w:val="24"/>
                <w:szCs w:val="24"/>
                <w:highlight w:val="none"/>
                <w:u w:val="single" w:color="auto"/>
                <w:lang w:val="en-US" w:eastAsia="zh-CN"/>
              </w:rPr>
              <w:t>⑧废活性炭（HW49）</w:t>
            </w:r>
          </w:p>
          <w:p>
            <w:pPr>
              <w:pStyle w:val="11"/>
              <w:adjustRightInd w:val="0"/>
              <w:snapToGrid w:val="0"/>
              <w:spacing w:before="0" w:beforeAutospacing="0" w:after="0" w:afterAutospacing="0" w:line="360" w:lineRule="auto"/>
              <w:ind w:firstLine="480" w:firstLineChars="200"/>
              <w:jc w:val="both"/>
              <w:rPr>
                <w:rFonts w:hint="eastAsia" w:cs="宋体"/>
                <w:color w:val="FF0000"/>
                <w:kern w:val="2"/>
                <w:sz w:val="24"/>
                <w:szCs w:val="24"/>
                <w:highlight w:val="none"/>
                <w:u w:val="single" w:color="auto"/>
                <w:lang w:val="en-US" w:eastAsia="zh-CN"/>
              </w:rPr>
            </w:pPr>
            <w:r>
              <w:rPr>
                <w:color w:val="FF0000"/>
                <w:sz w:val="24"/>
                <w:u w:val="single" w:color="auto"/>
              </w:rPr>
              <w:t>根据废气处理设备中活性炭的实际容量</w:t>
            </w:r>
            <w:r>
              <w:rPr>
                <w:rFonts w:hint="eastAsia"/>
                <w:color w:val="FF0000"/>
                <w:sz w:val="24"/>
                <w:u w:val="single" w:color="auto"/>
              </w:rPr>
              <w:t>，</w:t>
            </w:r>
            <w:r>
              <w:rPr>
                <w:rFonts w:hint="eastAsia"/>
                <w:color w:val="FF0000"/>
                <w:sz w:val="24"/>
                <w:u w:val="single" w:color="auto"/>
                <w:lang w:val="en-US" w:eastAsia="zh-CN"/>
              </w:rPr>
              <w:t>企业</w:t>
            </w:r>
            <w:r>
              <w:rPr>
                <w:rFonts w:hint="eastAsia"/>
                <w:color w:val="FF0000"/>
                <w:sz w:val="24"/>
                <w:u w:val="single" w:color="auto"/>
              </w:rPr>
              <w:t>每</w:t>
            </w:r>
            <w:r>
              <w:rPr>
                <w:rFonts w:hint="eastAsia"/>
                <w:color w:val="FF0000"/>
                <w:sz w:val="24"/>
                <w:u w:val="single" w:color="auto"/>
                <w:lang w:val="en-US" w:eastAsia="zh-CN"/>
              </w:rPr>
              <w:t>2个月</w:t>
            </w:r>
            <w:r>
              <w:rPr>
                <w:rFonts w:hint="eastAsia"/>
                <w:color w:val="FF0000"/>
                <w:sz w:val="24"/>
                <w:u w:val="single" w:color="auto"/>
              </w:rPr>
              <w:t>更换一次，每次</w:t>
            </w:r>
            <w:r>
              <w:rPr>
                <w:color w:val="FF0000"/>
                <w:sz w:val="24"/>
                <w:u w:val="single" w:color="auto"/>
              </w:rPr>
              <w:t>0.02t</w:t>
            </w:r>
            <w:r>
              <w:rPr>
                <w:rFonts w:hint="eastAsia"/>
                <w:color w:val="FF0000"/>
                <w:sz w:val="24"/>
                <w:u w:val="single" w:color="auto"/>
                <w:lang w:eastAsia="zh-CN"/>
              </w:rPr>
              <w:t>，</w:t>
            </w:r>
            <w:r>
              <w:rPr>
                <w:rFonts w:hint="eastAsia"/>
                <w:color w:val="FF0000"/>
                <w:sz w:val="24"/>
                <w:u w:val="single" w:color="auto"/>
                <w:lang w:val="en-US" w:eastAsia="zh-CN"/>
              </w:rPr>
              <w:t>故年更换0.12t/a</w:t>
            </w:r>
            <w:r>
              <w:rPr>
                <w:color w:val="FF0000"/>
                <w:sz w:val="24"/>
                <w:u w:val="single" w:color="auto"/>
              </w:rPr>
              <w:t>。</w:t>
            </w:r>
            <w:r>
              <w:rPr>
                <w:rFonts w:hint="eastAsia" w:cs="宋体"/>
                <w:color w:val="FF0000"/>
                <w:kern w:val="2"/>
                <w:sz w:val="24"/>
                <w:szCs w:val="24"/>
                <w:highlight w:val="none"/>
                <w:u w:val="single" w:color="auto"/>
                <w:lang w:val="en-US" w:eastAsia="zh-CN"/>
              </w:rPr>
              <w:t>废活性炭属于危险废物，应统一存放在危废临时储存场所，收集后委托有资质的单位安全处置。</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⑨废UV灯管（HW29）</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color w:val="auto"/>
                <w:sz w:val="24"/>
                <w:u w:val="none" w:color="auto"/>
              </w:rPr>
              <w:t>根据废气处理设备中</w:t>
            </w:r>
            <w:r>
              <w:rPr>
                <w:rFonts w:hint="eastAsia"/>
                <w:color w:val="auto"/>
                <w:sz w:val="24"/>
                <w:u w:val="none" w:color="auto"/>
                <w:lang w:val="en-US" w:eastAsia="zh-CN"/>
              </w:rPr>
              <w:t>UV灯管</w:t>
            </w:r>
            <w:r>
              <w:rPr>
                <w:color w:val="auto"/>
                <w:sz w:val="24"/>
                <w:u w:val="none" w:color="auto"/>
              </w:rPr>
              <w:t>的实际容量</w:t>
            </w:r>
            <w:r>
              <w:rPr>
                <w:rFonts w:hint="eastAsia"/>
                <w:color w:val="auto"/>
                <w:sz w:val="24"/>
                <w:u w:val="none" w:color="auto"/>
              </w:rPr>
              <w:t>，每</w:t>
            </w:r>
            <w:r>
              <w:rPr>
                <w:rFonts w:hint="eastAsia"/>
                <w:color w:val="auto"/>
                <w:sz w:val="24"/>
                <w:u w:val="none" w:color="auto"/>
                <w:lang w:val="en-US" w:eastAsia="zh-CN"/>
              </w:rPr>
              <w:t>4个月</w:t>
            </w:r>
            <w:r>
              <w:rPr>
                <w:rFonts w:hint="eastAsia"/>
                <w:color w:val="auto"/>
                <w:sz w:val="24"/>
                <w:u w:val="none" w:color="auto"/>
              </w:rPr>
              <w:t>更换一次，每次</w:t>
            </w:r>
            <w:r>
              <w:rPr>
                <w:color w:val="auto"/>
                <w:sz w:val="24"/>
                <w:u w:val="none" w:color="auto"/>
              </w:rPr>
              <w:t>0.02t</w:t>
            </w:r>
            <w:r>
              <w:rPr>
                <w:rFonts w:hint="eastAsia"/>
                <w:color w:val="auto"/>
                <w:sz w:val="24"/>
                <w:u w:val="none" w:color="auto"/>
                <w:lang w:eastAsia="zh-CN"/>
              </w:rPr>
              <w:t>，</w:t>
            </w:r>
            <w:r>
              <w:rPr>
                <w:rFonts w:hint="eastAsia"/>
                <w:color w:val="auto"/>
                <w:sz w:val="24"/>
                <w:u w:val="none" w:color="auto"/>
                <w:lang w:val="en-US" w:eastAsia="zh-CN"/>
              </w:rPr>
              <w:t>故年更换0.06t/a</w:t>
            </w:r>
            <w:r>
              <w:rPr>
                <w:color w:val="auto"/>
                <w:sz w:val="24"/>
                <w:u w:val="none" w:color="auto"/>
              </w:rPr>
              <w:t>。</w:t>
            </w:r>
            <w:r>
              <w:rPr>
                <w:rFonts w:hint="eastAsia" w:cs="宋体"/>
                <w:kern w:val="2"/>
                <w:sz w:val="24"/>
                <w:szCs w:val="24"/>
                <w:highlight w:val="none"/>
                <w:lang w:val="en-US" w:eastAsia="zh-CN"/>
              </w:rPr>
              <w:t>属于危险废物，应统一存放在危废临时储存场所，收集后委托有资质的单位安全处置。</w:t>
            </w:r>
          </w:p>
          <w:p>
            <w:pPr>
              <w:pStyle w:val="11"/>
              <w:adjustRightInd w:val="0"/>
              <w:snapToGrid w:val="0"/>
              <w:spacing w:before="0" w:beforeAutospacing="0" w:after="0" w:afterAutospacing="0" w:line="360" w:lineRule="auto"/>
              <w:ind w:firstLine="480" w:firstLineChars="200"/>
              <w:jc w:val="both"/>
              <w:rPr>
                <w:rFonts w:hint="default" w:cs="宋体"/>
                <w:color w:val="FF0000"/>
                <w:kern w:val="2"/>
                <w:sz w:val="24"/>
                <w:szCs w:val="24"/>
                <w:highlight w:val="none"/>
                <w:u w:val="single"/>
                <w:lang w:val="en-US" w:eastAsia="zh-CN"/>
              </w:rPr>
            </w:pPr>
            <w:r>
              <w:rPr>
                <w:rFonts w:hint="eastAsia" w:cs="宋体"/>
                <w:color w:val="FF0000"/>
                <w:kern w:val="2"/>
                <w:sz w:val="24"/>
                <w:szCs w:val="24"/>
                <w:highlight w:val="none"/>
                <w:u w:val="single"/>
                <w:lang w:val="en-US" w:eastAsia="zh-CN"/>
              </w:rPr>
              <w:t>⑩废切削液（HW09）</w:t>
            </w:r>
          </w:p>
          <w:p>
            <w:pPr>
              <w:pStyle w:val="11"/>
              <w:adjustRightInd w:val="0"/>
              <w:snapToGrid w:val="0"/>
              <w:spacing w:before="0" w:beforeAutospacing="0" w:after="0" w:afterAutospacing="0" w:line="360" w:lineRule="auto"/>
              <w:ind w:firstLine="480" w:firstLineChars="200"/>
              <w:jc w:val="both"/>
              <w:rPr>
                <w:rFonts w:hint="default" w:cs="宋体"/>
                <w:kern w:val="2"/>
                <w:sz w:val="24"/>
                <w:szCs w:val="24"/>
                <w:lang w:val="en-US" w:eastAsia="zh-CN"/>
              </w:rPr>
            </w:pPr>
            <w:r>
              <w:rPr>
                <w:rFonts w:hint="eastAsia" w:cs="宋体"/>
                <w:color w:val="FF0000"/>
                <w:kern w:val="2"/>
                <w:sz w:val="24"/>
                <w:szCs w:val="24"/>
                <w:highlight w:val="none"/>
                <w:u w:val="single"/>
                <w:lang w:val="en-US" w:eastAsia="zh-CN"/>
              </w:rPr>
              <w:t>本项目在切削工序中会使用切削液，除少量损耗外需要定期更换，根据建设方提供资料，废切削液产生量约为0.02t/a。属于危险废物，应统一存放在危废临时储存场所，收集后委托有资质的单位安全处置。</w:t>
            </w:r>
          </w:p>
        </w:tc>
      </w:tr>
    </w:tbl>
    <w:p>
      <w:pPr>
        <w:rPr>
          <w:rFonts w:hint="eastAsia"/>
          <w:lang w:val="en-US" w:eastAsia="zh-CN"/>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运营</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期环</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境影</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响和</w:t>
            </w:r>
          </w:p>
          <w:p>
            <w:pPr>
              <w:pStyle w:val="11"/>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保护</w:t>
            </w:r>
          </w:p>
          <w:p>
            <w:pPr>
              <w:pStyle w:val="11"/>
              <w:adjustRightInd w:val="0"/>
              <w:snapToGrid w:val="0"/>
              <w:spacing w:before="0" w:beforeAutospacing="0" w:after="0" w:afterAutospacing="0"/>
              <w:jc w:val="center"/>
              <w:rPr>
                <w:rFonts w:hint="eastAsia"/>
                <w:vertAlign w:val="baseline"/>
                <w:lang w:val="en-US" w:eastAsia="zh-CN"/>
              </w:rPr>
            </w:pPr>
            <w:r>
              <w:rPr>
                <w:rFonts w:hint="eastAsia" w:cs="宋体"/>
                <w:kern w:val="2"/>
                <w:sz w:val="24"/>
                <w:szCs w:val="24"/>
              </w:rPr>
              <w:t>措施</w:t>
            </w:r>
          </w:p>
        </w:tc>
        <w:tc>
          <w:tcPr>
            <w:tcW w:w="12230" w:type="dxa"/>
          </w:tcPr>
          <w:p>
            <w:pPr>
              <w:spacing w:line="360" w:lineRule="auto"/>
              <w:rPr>
                <w:rFonts w:hint="eastAsia"/>
                <w:color w:val="FF0000"/>
                <w:sz w:val="24"/>
                <w:szCs w:val="24"/>
                <w:u w:val="single"/>
                <w:vertAlign w:val="baseline"/>
                <w:lang w:val="en-US" w:eastAsia="zh-CN"/>
              </w:rPr>
            </w:pPr>
            <w:r>
              <w:rPr>
                <w:rFonts w:hint="eastAsia"/>
                <w:color w:val="FF0000"/>
                <w:sz w:val="24"/>
                <w:szCs w:val="24"/>
                <w:u w:val="single"/>
                <w:vertAlign w:val="baseline"/>
                <w:lang w:val="en-US" w:eastAsia="zh-CN"/>
              </w:rPr>
              <w:t>项目固废产生情况详见表4-12。</w:t>
            </w:r>
          </w:p>
          <w:p>
            <w:pPr>
              <w:spacing w:line="360" w:lineRule="auto"/>
              <w:jc w:val="center"/>
              <w:rPr>
                <w:rFonts w:hint="default"/>
                <w:b/>
                <w:bCs/>
                <w:color w:val="FF0000"/>
                <w:sz w:val="24"/>
                <w:szCs w:val="24"/>
                <w:u w:val="single"/>
                <w:vertAlign w:val="baseline"/>
                <w:lang w:val="en-US" w:eastAsia="zh-CN"/>
              </w:rPr>
            </w:pPr>
            <w:r>
              <w:rPr>
                <w:rFonts w:hint="eastAsia"/>
                <w:b/>
                <w:bCs/>
                <w:color w:val="FF0000"/>
                <w:sz w:val="24"/>
                <w:szCs w:val="24"/>
                <w:u w:val="single"/>
                <w:vertAlign w:val="baseline"/>
                <w:lang w:val="en-US" w:eastAsia="zh-CN"/>
              </w:rPr>
              <w:t>表4-12  项目固废产生情况汇总表</w:t>
            </w:r>
          </w:p>
          <w:tbl>
            <w:tblPr>
              <w:tblStyle w:val="1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089"/>
              <w:gridCol w:w="1090"/>
              <w:gridCol w:w="1089"/>
              <w:gridCol w:w="1089"/>
              <w:gridCol w:w="1090"/>
              <w:gridCol w:w="1089"/>
              <w:gridCol w:w="1089"/>
              <w:gridCol w:w="1089"/>
              <w:gridCol w:w="1090"/>
              <w:gridCol w:w="10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tcBorders>
                    <w:tl2br w:val="nil"/>
                    <w:tr2bl w:val="nil"/>
                  </w:tcBorders>
                  <w:vAlign w:val="center"/>
                </w:tcPr>
                <w:p>
                  <w:pPr>
                    <w:bidi w:val="0"/>
                    <w:spacing w:line="240" w:lineRule="auto"/>
                    <w:jc w:val="center"/>
                    <w:rPr>
                      <w:rFonts w:hint="default"/>
                      <w:b/>
                      <w:bCs/>
                      <w:color w:val="FF0000"/>
                      <w:sz w:val="18"/>
                      <w:szCs w:val="18"/>
                      <w:u w:val="single"/>
                      <w:lang w:val="en-US" w:eastAsia="zh-CN"/>
                    </w:rPr>
                  </w:pPr>
                  <w:r>
                    <w:rPr>
                      <w:rFonts w:hint="eastAsia"/>
                      <w:b/>
                      <w:bCs/>
                      <w:color w:val="FF0000"/>
                      <w:sz w:val="18"/>
                      <w:szCs w:val="18"/>
                      <w:u w:val="single"/>
                      <w:lang w:val="en-US" w:eastAsia="zh-CN"/>
                    </w:rPr>
                    <w:t>产生环节</w:t>
                  </w:r>
                </w:p>
              </w:tc>
              <w:tc>
                <w:tcPr>
                  <w:tcW w:w="1089" w:type="dxa"/>
                  <w:tcBorders>
                    <w:tl2br w:val="nil"/>
                    <w:tr2bl w:val="nil"/>
                  </w:tcBorders>
                  <w:vAlign w:val="center"/>
                </w:tcPr>
                <w:p>
                  <w:pPr>
                    <w:bidi w:val="0"/>
                    <w:spacing w:line="240" w:lineRule="auto"/>
                    <w:jc w:val="center"/>
                    <w:rPr>
                      <w:rFonts w:hint="default"/>
                      <w:b/>
                      <w:bCs/>
                      <w:color w:val="FF0000"/>
                      <w:sz w:val="18"/>
                      <w:szCs w:val="18"/>
                      <w:u w:val="single"/>
                      <w:lang w:val="en-US" w:eastAsia="zh-CN"/>
                    </w:rPr>
                  </w:pPr>
                  <w:r>
                    <w:rPr>
                      <w:rFonts w:hint="eastAsia"/>
                      <w:b/>
                      <w:bCs/>
                      <w:color w:val="FF0000"/>
                      <w:sz w:val="18"/>
                      <w:szCs w:val="18"/>
                      <w:u w:val="single"/>
                      <w:lang w:val="en-US" w:eastAsia="zh-CN"/>
                    </w:rPr>
                    <w:t>名称</w:t>
                  </w:r>
                </w:p>
              </w:tc>
              <w:tc>
                <w:tcPr>
                  <w:tcW w:w="1090" w:type="dxa"/>
                  <w:tcBorders>
                    <w:tl2br w:val="nil"/>
                    <w:tr2bl w:val="nil"/>
                  </w:tcBorders>
                  <w:vAlign w:val="center"/>
                </w:tcPr>
                <w:p>
                  <w:pPr>
                    <w:bidi w:val="0"/>
                    <w:spacing w:line="240" w:lineRule="auto"/>
                    <w:jc w:val="center"/>
                    <w:rPr>
                      <w:rFonts w:hint="default"/>
                      <w:b/>
                      <w:bCs/>
                      <w:color w:val="FF0000"/>
                      <w:sz w:val="18"/>
                      <w:szCs w:val="18"/>
                      <w:u w:val="single"/>
                      <w:lang w:val="en-US" w:eastAsia="zh-CN"/>
                    </w:rPr>
                  </w:pPr>
                  <w:r>
                    <w:rPr>
                      <w:rFonts w:hint="eastAsia"/>
                      <w:b/>
                      <w:bCs/>
                      <w:color w:val="FF0000"/>
                      <w:sz w:val="18"/>
                      <w:szCs w:val="18"/>
                      <w:u w:val="single"/>
                      <w:lang w:val="en-US" w:eastAsia="zh-CN"/>
                    </w:rPr>
                    <w:t>属性</w:t>
                  </w:r>
                </w:p>
              </w:tc>
              <w:tc>
                <w:tcPr>
                  <w:tcW w:w="1089" w:type="dxa"/>
                  <w:tcBorders>
                    <w:tl2br w:val="nil"/>
                    <w:tr2bl w:val="nil"/>
                  </w:tcBorders>
                  <w:vAlign w:val="center"/>
                </w:tcPr>
                <w:p>
                  <w:pPr>
                    <w:bidi w:val="0"/>
                    <w:spacing w:line="240" w:lineRule="auto"/>
                    <w:jc w:val="center"/>
                    <w:rPr>
                      <w:rFonts w:hint="default"/>
                      <w:b/>
                      <w:bCs/>
                      <w:color w:val="FF0000"/>
                      <w:sz w:val="18"/>
                      <w:szCs w:val="18"/>
                      <w:u w:val="single"/>
                      <w:lang w:val="en-US" w:eastAsia="zh-CN"/>
                    </w:rPr>
                  </w:pPr>
                  <w:r>
                    <w:rPr>
                      <w:rFonts w:hint="eastAsia"/>
                      <w:b/>
                      <w:bCs/>
                      <w:color w:val="FF0000"/>
                      <w:sz w:val="18"/>
                      <w:szCs w:val="18"/>
                      <w:u w:val="single"/>
                      <w:lang w:val="en-US" w:eastAsia="zh-CN"/>
                    </w:rPr>
                    <w:t>主要有毒有害物质</w:t>
                  </w:r>
                </w:p>
              </w:tc>
              <w:tc>
                <w:tcPr>
                  <w:tcW w:w="1089" w:type="dxa"/>
                  <w:tcBorders>
                    <w:tl2br w:val="nil"/>
                    <w:tr2bl w:val="nil"/>
                  </w:tcBorders>
                  <w:vAlign w:val="center"/>
                </w:tcPr>
                <w:p>
                  <w:pPr>
                    <w:bidi w:val="0"/>
                    <w:spacing w:line="240" w:lineRule="auto"/>
                    <w:jc w:val="center"/>
                    <w:rPr>
                      <w:rFonts w:hint="default"/>
                      <w:b/>
                      <w:bCs/>
                      <w:color w:val="FF0000"/>
                      <w:sz w:val="18"/>
                      <w:szCs w:val="18"/>
                      <w:u w:val="single"/>
                      <w:lang w:val="en-US" w:eastAsia="zh-CN"/>
                    </w:rPr>
                  </w:pPr>
                  <w:r>
                    <w:rPr>
                      <w:rFonts w:hint="eastAsia"/>
                      <w:b/>
                      <w:bCs/>
                      <w:color w:val="FF0000"/>
                      <w:sz w:val="18"/>
                      <w:szCs w:val="18"/>
                      <w:u w:val="single"/>
                      <w:lang w:val="en-US" w:eastAsia="zh-CN"/>
                    </w:rPr>
                    <w:t>物理性状</w:t>
                  </w:r>
                </w:p>
              </w:tc>
              <w:tc>
                <w:tcPr>
                  <w:tcW w:w="1090" w:type="dxa"/>
                  <w:tcBorders>
                    <w:tl2br w:val="nil"/>
                    <w:tr2bl w:val="nil"/>
                  </w:tcBorders>
                  <w:vAlign w:val="center"/>
                </w:tcPr>
                <w:p>
                  <w:pPr>
                    <w:bidi w:val="0"/>
                    <w:spacing w:line="240" w:lineRule="auto"/>
                    <w:jc w:val="center"/>
                    <w:rPr>
                      <w:rFonts w:hint="default" w:ascii="Times New Roman" w:hAnsi="Times New Roman" w:eastAsia="宋体" w:cs="Times New Roman"/>
                      <w:b/>
                      <w:bCs/>
                      <w:color w:val="FF0000"/>
                      <w:kern w:val="2"/>
                      <w:sz w:val="18"/>
                      <w:szCs w:val="18"/>
                      <w:u w:val="single"/>
                      <w:lang w:val="en-US" w:eastAsia="zh-CN" w:bidi="ar-SA"/>
                    </w:rPr>
                  </w:pPr>
                  <w:r>
                    <w:rPr>
                      <w:rFonts w:hint="eastAsia"/>
                      <w:b/>
                      <w:bCs/>
                      <w:color w:val="FF0000"/>
                      <w:sz w:val="18"/>
                      <w:szCs w:val="18"/>
                      <w:u w:val="single"/>
                      <w:lang w:val="en-US" w:eastAsia="zh-CN"/>
                    </w:rPr>
                    <w:t>产生量</w:t>
                  </w:r>
                </w:p>
              </w:tc>
              <w:tc>
                <w:tcPr>
                  <w:tcW w:w="1089" w:type="dxa"/>
                  <w:tcBorders>
                    <w:tl2br w:val="nil"/>
                    <w:tr2bl w:val="nil"/>
                  </w:tcBorders>
                  <w:vAlign w:val="center"/>
                </w:tcPr>
                <w:p>
                  <w:pPr>
                    <w:bidi w:val="0"/>
                    <w:spacing w:line="240" w:lineRule="auto"/>
                    <w:jc w:val="center"/>
                    <w:rPr>
                      <w:rFonts w:hint="default" w:ascii="Times New Roman" w:hAnsi="Times New Roman" w:eastAsia="宋体" w:cs="Times New Roman"/>
                      <w:b/>
                      <w:bCs/>
                      <w:color w:val="FF0000"/>
                      <w:kern w:val="2"/>
                      <w:sz w:val="18"/>
                      <w:szCs w:val="18"/>
                      <w:u w:val="single"/>
                      <w:lang w:val="en-US" w:eastAsia="zh-CN" w:bidi="ar-SA"/>
                    </w:rPr>
                  </w:pPr>
                  <w:r>
                    <w:rPr>
                      <w:rFonts w:hint="eastAsia"/>
                      <w:b/>
                      <w:bCs/>
                      <w:color w:val="FF0000"/>
                      <w:sz w:val="18"/>
                      <w:szCs w:val="18"/>
                      <w:u w:val="single"/>
                      <w:lang w:val="en-US" w:eastAsia="zh-CN"/>
                    </w:rPr>
                    <w:t>贮存方式</w:t>
                  </w:r>
                </w:p>
              </w:tc>
              <w:tc>
                <w:tcPr>
                  <w:tcW w:w="1089" w:type="dxa"/>
                  <w:tcBorders>
                    <w:tl2br w:val="nil"/>
                    <w:tr2bl w:val="nil"/>
                  </w:tcBorders>
                  <w:vAlign w:val="center"/>
                </w:tcPr>
                <w:p>
                  <w:pPr>
                    <w:bidi w:val="0"/>
                    <w:spacing w:line="240" w:lineRule="auto"/>
                    <w:jc w:val="center"/>
                    <w:rPr>
                      <w:rFonts w:hint="default" w:ascii="Times New Roman" w:hAnsi="Times New Roman" w:eastAsia="宋体" w:cs="Times New Roman"/>
                      <w:b/>
                      <w:bCs/>
                      <w:color w:val="FF0000"/>
                      <w:kern w:val="2"/>
                      <w:sz w:val="18"/>
                      <w:szCs w:val="18"/>
                      <w:u w:val="single"/>
                      <w:lang w:val="en-US" w:eastAsia="zh-CN" w:bidi="ar-SA"/>
                    </w:rPr>
                  </w:pPr>
                  <w:r>
                    <w:rPr>
                      <w:rFonts w:hint="eastAsia"/>
                      <w:b/>
                      <w:bCs/>
                      <w:color w:val="FF0000"/>
                      <w:sz w:val="18"/>
                      <w:szCs w:val="18"/>
                      <w:u w:val="single"/>
                      <w:lang w:val="en-US" w:eastAsia="zh-CN"/>
                    </w:rPr>
                    <w:t>贮存周期</w:t>
                  </w:r>
                </w:p>
              </w:tc>
              <w:tc>
                <w:tcPr>
                  <w:tcW w:w="1089" w:type="dxa"/>
                  <w:tcBorders>
                    <w:tl2br w:val="nil"/>
                    <w:tr2bl w:val="nil"/>
                  </w:tcBorders>
                  <w:vAlign w:val="center"/>
                </w:tcPr>
                <w:p>
                  <w:pPr>
                    <w:bidi w:val="0"/>
                    <w:spacing w:line="240" w:lineRule="auto"/>
                    <w:jc w:val="center"/>
                    <w:rPr>
                      <w:rFonts w:hint="default" w:ascii="Times New Roman" w:hAnsi="Times New Roman" w:eastAsia="宋体" w:cs="Times New Roman"/>
                      <w:b/>
                      <w:bCs/>
                      <w:color w:val="FF0000"/>
                      <w:kern w:val="2"/>
                      <w:sz w:val="18"/>
                      <w:szCs w:val="18"/>
                      <w:u w:val="single"/>
                      <w:lang w:val="en-US" w:eastAsia="zh-CN" w:bidi="ar-SA"/>
                    </w:rPr>
                  </w:pPr>
                  <w:r>
                    <w:rPr>
                      <w:rFonts w:hint="eastAsia"/>
                      <w:b/>
                      <w:bCs/>
                      <w:color w:val="FF0000"/>
                      <w:sz w:val="18"/>
                      <w:szCs w:val="18"/>
                      <w:u w:val="single"/>
                      <w:lang w:val="en-US" w:eastAsia="zh-CN"/>
                    </w:rPr>
                    <w:t>利用处置方式</w:t>
                  </w:r>
                </w:p>
              </w:tc>
              <w:tc>
                <w:tcPr>
                  <w:tcW w:w="1090" w:type="dxa"/>
                  <w:tcBorders>
                    <w:tl2br w:val="nil"/>
                    <w:tr2bl w:val="nil"/>
                  </w:tcBorders>
                  <w:vAlign w:val="center"/>
                </w:tcPr>
                <w:p>
                  <w:pPr>
                    <w:bidi w:val="0"/>
                    <w:spacing w:line="240" w:lineRule="auto"/>
                    <w:jc w:val="center"/>
                    <w:rPr>
                      <w:rFonts w:hint="default"/>
                      <w:b/>
                      <w:bCs/>
                      <w:color w:val="FF0000"/>
                      <w:sz w:val="18"/>
                      <w:szCs w:val="18"/>
                      <w:u w:val="single"/>
                      <w:lang w:val="en-US" w:eastAsia="zh-CN"/>
                    </w:rPr>
                  </w:pPr>
                  <w:r>
                    <w:rPr>
                      <w:rFonts w:hint="eastAsia"/>
                      <w:b/>
                      <w:bCs/>
                      <w:color w:val="FF0000"/>
                      <w:sz w:val="18"/>
                      <w:szCs w:val="18"/>
                      <w:u w:val="single"/>
                      <w:lang w:val="en-US" w:eastAsia="zh-CN"/>
                    </w:rPr>
                    <w:t>去向</w:t>
                  </w:r>
                </w:p>
              </w:tc>
              <w:tc>
                <w:tcPr>
                  <w:tcW w:w="1092" w:type="dxa"/>
                  <w:tcBorders>
                    <w:tl2br w:val="nil"/>
                    <w:tr2bl w:val="nil"/>
                  </w:tcBorders>
                  <w:vAlign w:val="center"/>
                </w:tcPr>
                <w:p>
                  <w:pPr>
                    <w:bidi w:val="0"/>
                    <w:spacing w:line="240" w:lineRule="auto"/>
                    <w:jc w:val="center"/>
                    <w:rPr>
                      <w:rFonts w:hint="default"/>
                      <w:b/>
                      <w:bCs/>
                      <w:color w:val="FF0000"/>
                      <w:sz w:val="18"/>
                      <w:szCs w:val="18"/>
                      <w:u w:val="single"/>
                      <w:lang w:val="en-US" w:eastAsia="zh-CN"/>
                    </w:rPr>
                  </w:pPr>
                  <w:r>
                    <w:rPr>
                      <w:rFonts w:hint="eastAsia"/>
                      <w:b/>
                      <w:bCs/>
                      <w:color w:val="FF0000"/>
                      <w:sz w:val="18"/>
                      <w:szCs w:val="18"/>
                      <w:u w:val="single"/>
                      <w:lang w:val="en-US" w:eastAsia="zh-CN"/>
                    </w:rPr>
                    <w:t>利用/处置量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职工生活</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生活垃圾</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一般固废</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固态</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33.04t/a</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垃圾桶</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1~3天</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委托处置</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环卫部门处置</w:t>
                  </w:r>
                </w:p>
              </w:tc>
              <w:tc>
                <w:tcPr>
                  <w:tcW w:w="1092"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33.04t/a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机加工工序</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金属边角料</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一般固废</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固态</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50t/a</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散装</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1个月</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委托处置</w:t>
                  </w:r>
                </w:p>
              </w:tc>
              <w:tc>
                <w:tcPr>
                  <w:tcW w:w="1090" w:type="dxa"/>
                  <w:vMerge w:val="restart"/>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物资回收站</w:t>
                  </w:r>
                </w:p>
              </w:tc>
              <w:tc>
                <w:tcPr>
                  <w:tcW w:w="1092"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50t/a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下料</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废包装材料</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一般固废</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固态</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1t/a</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散装</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1个月</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委托处置</w:t>
                  </w:r>
                </w:p>
              </w:tc>
              <w:tc>
                <w:tcPr>
                  <w:tcW w:w="1090" w:type="dxa"/>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1092"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喷漆工序</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废油漆桶及漆渣</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HW12、HW49</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树脂、乙酸乙酯、有机物等</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固态</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0.45t/a</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密封桶装</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1年</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委托处置</w:t>
                  </w:r>
                </w:p>
              </w:tc>
              <w:tc>
                <w:tcPr>
                  <w:tcW w:w="1090" w:type="dxa"/>
                  <w:vMerge w:val="restart"/>
                  <w:tcBorders>
                    <w:tl2br w:val="nil"/>
                    <w:tr2bl w:val="nil"/>
                  </w:tcBorders>
                  <w:vAlign w:val="center"/>
                </w:tcPr>
                <w:p>
                  <w:pPr>
                    <w:bidi w:val="0"/>
                    <w:spacing w:line="240" w:lineRule="auto"/>
                    <w:jc w:val="center"/>
                    <w:rPr>
                      <w:rFonts w:hint="eastAsia"/>
                      <w:color w:val="FF0000"/>
                      <w:sz w:val="18"/>
                      <w:szCs w:val="18"/>
                      <w:u w:val="single"/>
                      <w:lang w:val="en-US" w:eastAsia="zh-CN"/>
                    </w:rPr>
                  </w:pPr>
                  <w:r>
                    <w:rPr>
                      <w:rFonts w:hint="eastAsia"/>
                      <w:color w:val="FF0000"/>
                      <w:sz w:val="18"/>
                      <w:szCs w:val="18"/>
                      <w:u w:val="single"/>
                      <w:lang w:val="en-US" w:eastAsia="zh-CN"/>
                    </w:rPr>
                    <w:t>危废间暂存，定期委托有资质单位处置</w:t>
                  </w:r>
                </w:p>
                <w:p>
                  <w:pPr>
                    <w:bidi w:val="0"/>
                    <w:spacing w:line="240" w:lineRule="auto"/>
                    <w:jc w:val="center"/>
                    <w:rPr>
                      <w:rFonts w:hint="eastAsia"/>
                      <w:color w:val="FF0000"/>
                      <w:sz w:val="18"/>
                      <w:szCs w:val="18"/>
                      <w:u w:val="single"/>
                      <w:lang w:val="en-US" w:eastAsia="zh-CN"/>
                    </w:rPr>
                  </w:pPr>
                </w:p>
              </w:tc>
              <w:tc>
                <w:tcPr>
                  <w:tcW w:w="1092"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0.45t/a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设备养护维护工序</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废机油</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HW08</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矿物油类</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液态</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0.05t/a</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密封桶装</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1年</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委托处置</w:t>
                  </w:r>
                </w:p>
              </w:tc>
              <w:tc>
                <w:tcPr>
                  <w:tcW w:w="1090" w:type="dxa"/>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1092"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0.05t/a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设备养护维护工序</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废机油桶</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HW49</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矿物油类</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固态</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0.14t/a</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桶盖密封</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1年</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委托处置</w:t>
                  </w:r>
                </w:p>
              </w:tc>
              <w:tc>
                <w:tcPr>
                  <w:tcW w:w="1090" w:type="dxa"/>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1092"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0.14t/a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废气处理</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废过滤棉</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HW49</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有机物</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固态</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0.05t/a</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密封箱装</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1年</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委托处置</w:t>
                  </w:r>
                </w:p>
              </w:tc>
              <w:tc>
                <w:tcPr>
                  <w:tcW w:w="1090" w:type="dxa"/>
                  <w:vMerge w:val="continue"/>
                  <w:tcBorders>
                    <w:tl2br w:val="nil"/>
                    <w:tr2bl w:val="nil"/>
                  </w:tcBorders>
                  <w:vAlign w:val="center"/>
                </w:tcPr>
                <w:p>
                  <w:pPr>
                    <w:bidi w:val="0"/>
                    <w:spacing w:line="240" w:lineRule="auto"/>
                    <w:jc w:val="center"/>
                    <w:rPr>
                      <w:rFonts w:hint="default"/>
                      <w:color w:val="FF0000"/>
                      <w:sz w:val="18"/>
                      <w:szCs w:val="18"/>
                      <w:u w:val="single"/>
                      <w:lang w:val="en-US" w:eastAsia="zh-CN"/>
                    </w:rPr>
                  </w:pPr>
                </w:p>
              </w:tc>
              <w:tc>
                <w:tcPr>
                  <w:tcW w:w="1092"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0.05t/a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废气处理</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废活性炭</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HW49</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有机物</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固态</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0.12t/a</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密封箱装</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1年</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委托处置</w:t>
                  </w:r>
                </w:p>
              </w:tc>
              <w:tc>
                <w:tcPr>
                  <w:tcW w:w="1090" w:type="dxa"/>
                  <w:vMerge w:val="continue"/>
                  <w:tcBorders>
                    <w:tl2br w:val="nil"/>
                    <w:tr2bl w:val="nil"/>
                  </w:tcBorders>
                  <w:vAlign w:val="center"/>
                </w:tcPr>
                <w:p>
                  <w:pPr>
                    <w:bidi w:val="0"/>
                    <w:spacing w:line="240" w:lineRule="auto"/>
                    <w:jc w:val="center"/>
                    <w:rPr>
                      <w:rFonts w:hint="eastAsia"/>
                      <w:color w:val="FF0000"/>
                      <w:sz w:val="18"/>
                      <w:szCs w:val="18"/>
                      <w:u w:val="single"/>
                      <w:lang w:val="en-US" w:eastAsia="zh-CN"/>
                    </w:rPr>
                  </w:pPr>
                </w:p>
              </w:tc>
              <w:tc>
                <w:tcPr>
                  <w:tcW w:w="1092" w:type="dxa"/>
                  <w:tcBorders>
                    <w:tl2br w:val="nil"/>
                    <w:tr2bl w:val="nil"/>
                  </w:tcBorders>
                  <w:vAlign w:val="center"/>
                </w:tcPr>
                <w:p>
                  <w:pPr>
                    <w:bidi w:val="0"/>
                    <w:spacing w:line="240" w:lineRule="auto"/>
                    <w:jc w:val="center"/>
                    <w:rPr>
                      <w:rFonts w:hint="eastAsia"/>
                      <w:color w:val="FF0000"/>
                      <w:sz w:val="18"/>
                      <w:szCs w:val="18"/>
                      <w:u w:val="single"/>
                      <w:lang w:val="en-US" w:eastAsia="zh-CN"/>
                    </w:rPr>
                  </w:pPr>
                  <w:r>
                    <w:rPr>
                      <w:rFonts w:hint="eastAsia"/>
                      <w:color w:val="FF0000"/>
                      <w:sz w:val="18"/>
                      <w:szCs w:val="18"/>
                      <w:u w:val="single"/>
                      <w:lang w:val="en-US" w:eastAsia="zh-CN"/>
                    </w:rPr>
                    <w:t>0.12t/a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废气处理</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废UV灯管</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HW29</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含汞</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固态</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0.06t/a</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密封箱装</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1年</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委托处置</w:t>
                  </w:r>
                </w:p>
              </w:tc>
              <w:tc>
                <w:tcPr>
                  <w:tcW w:w="1090" w:type="dxa"/>
                  <w:vMerge w:val="continue"/>
                  <w:tcBorders>
                    <w:tl2br w:val="nil"/>
                    <w:tr2bl w:val="nil"/>
                  </w:tcBorders>
                  <w:vAlign w:val="center"/>
                </w:tcPr>
                <w:p>
                  <w:pPr>
                    <w:bidi w:val="0"/>
                    <w:spacing w:line="240" w:lineRule="auto"/>
                    <w:jc w:val="center"/>
                    <w:rPr>
                      <w:rFonts w:hint="eastAsia"/>
                      <w:color w:val="FF0000"/>
                      <w:sz w:val="18"/>
                      <w:szCs w:val="18"/>
                      <w:u w:val="single"/>
                      <w:lang w:val="en-US" w:eastAsia="zh-CN"/>
                    </w:rPr>
                  </w:pPr>
                </w:p>
              </w:tc>
              <w:tc>
                <w:tcPr>
                  <w:tcW w:w="1092" w:type="dxa"/>
                  <w:tcBorders>
                    <w:tl2br w:val="nil"/>
                    <w:tr2bl w:val="nil"/>
                  </w:tcBorders>
                  <w:vAlign w:val="center"/>
                </w:tcPr>
                <w:p>
                  <w:pPr>
                    <w:bidi w:val="0"/>
                    <w:spacing w:line="240" w:lineRule="auto"/>
                    <w:jc w:val="center"/>
                    <w:rPr>
                      <w:rFonts w:hint="eastAsia"/>
                      <w:color w:val="FF0000"/>
                      <w:sz w:val="18"/>
                      <w:szCs w:val="18"/>
                      <w:u w:val="single"/>
                      <w:lang w:val="en-US" w:eastAsia="zh-CN"/>
                    </w:rPr>
                  </w:pPr>
                  <w:r>
                    <w:rPr>
                      <w:rFonts w:hint="eastAsia"/>
                      <w:color w:val="FF0000"/>
                      <w:sz w:val="18"/>
                      <w:szCs w:val="18"/>
                      <w:u w:val="single"/>
                      <w:lang w:val="en-US" w:eastAsia="zh-CN"/>
                    </w:rPr>
                    <w:t>0.06t/a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机加工</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废切削液</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HW09</w:t>
                  </w:r>
                </w:p>
              </w:tc>
              <w:tc>
                <w:tcPr>
                  <w:tcW w:w="1089" w:type="dxa"/>
                  <w:tcBorders>
                    <w:tl2br w:val="nil"/>
                    <w:tr2bl w:val="nil"/>
                  </w:tcBorders>
                  <w:vAlign w:val="center"/>
                </w:tcPr>
                <w:p>
                  <w:pPr>
                    <w:bidi w:val="0"/>
                    <w:spacing w:line="240" w:lineRule="auto"/>
                    <w:jc w:val="center"/>
                    <w:rPr>
                      <w:rFonts w:hint="eastAsia"/>
                      <w:color w:val="FF0000"/>
                      <w:sz w:val="18"/>
                      <w:szCs w:val="18"/>
                      <w:u w:val="single"/>
                      <w:lang w:val="en-US" w:eastAsia="zh-CN"/>
                    </w:rPr>
                  </w:pPr>
                  <w:r>
                    <w:rPr>
                      <w:rFonts w:hint="eastAsia"/>
                      <w:color w:val="FF0000"/>
                      <w:sz w:val="18"/>
                      <w:szCs w:val="18"/>
                      <w:u w:val="single"/>
                      <w:lang w:val="en-US" w:eastAsia="zh-CN"/>
                    </w:rPr>
                    <w:t>油/水、烃/水混合物或乳化液</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液态</w:t>
                  </w:r>
                </w:p>
              </w:tc>
              <w:tc>
                <w:tcPr>
                  <w:tcW w:w="1090"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0.02t/a</w:t>
                  </w:r>
                </w:p>
              </w:tc>
              <w:tc>
                <w:tcPr>
                  <w:tcW w:w="1089" w:type="dxa"/>
                  <w:tcBorders>
                    <w:tl2br w:val="nil"/>
                    <w:tr2bl w:val="nil"/>
                  </w:tcBorders>
                  <w:vAlign w:val="center"/>
                </w:tcPr>
                <w:p>
                  <w:pPr>
                    <w:bidi w:val="0"/>
                    <w:spacing w:line="240" w:lineRule="auto"/>
                    <w:jc w:val="center"/>
                    <w:rPr>
                      <w:rFonts w:hint="eastAsia"/>
                      <w:color w:val="FF0000"/>
                      <w:sz w:val="18"/>
                      <w:szCs w:val="18"/>
                      <w:u w:val="single"/>
                      <w:lang w:val="en-US" w:eastAsia="zh-CN"/>
                    </w:rPr>
                  </w:pPr>
                  <w:r>
                    <w:rPr>
                      <w:rFonts w:hint="eastAsia"/>
                      <w:color w:val="FF0000"/>
                      <w:sz w:val="18"/>
                      <w:szCs w:val="18"/>
                      <w:u w:val="single"/>
                      <w:lang w:val="en-US" w:eastAsia="zh-CN"/>
                    </w:rPr>
                    <w:t>密封箱装</w:t>
                  </w:r>
                </w:p>
              </w:tc>
              <w:tc>
                <w:tcPr>
                  <w:tcW w:w="1089"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1个月</w:t>
                  </w:r>
                </w:p>
              </w:tc>
              <w:tc>
                <w:tcPr>
                  <w:tcW w:w="1089" w:type="dxa"/>
                  <w:tcBorders>
                    <w:tl2br w:val="nil"/>
                    <w:tr2bl w:val="nil"/>
                  </w:tcBorders>
                  <w:vAlign w:val="center"/>
                </w:tcPr>
                <w:p>
                  <w:pPr>
                    <w:bidi w:val="0"/>
                    <w:spacing w:line="240" w:lineRule="auto"/>
                    <w:jc w:val="center"/>
                    <w:rPr>
                      <w:rFonts w:hint="eastAsia"/>
                      <w:color w:val="FF0000"/>
                      <w:sz w:val="18"/>
                      <w:szCs w:val="18"/>
                      <w:u w:val="single"/>
                      <w:lang w:val="en-US" w:eastAsia="zh-CN"/>
                    </w:rPr>
                  </w:pPr>
                  <w:r>
                    <w:rPr>
                      <w:rFonts w:hint="eastAsia"/>
                      <w:color w:val="FF0000"/>
                      <w:sz w:val="18"/>
                      <w:szCs w:val="18"/>
                      <w:u w:val="single"/>
                      <w:lang w:val="en-US" w:eastAsia="zh-CN"/>
                    </w:rPr>
                    <w:t>委托处置</w:t>
                  </w:r>
                </w:p>
              </w:tc>
              <w:tc>
                <w:tcPr>
                  <w:tcW w:w="1090" w:type="dxa"/>
                  <w:vMerge w:val="continue"/>
                  <w:tcBorders>
                    <w:tl2br w:val="nil"/>
                    <w:tr2bl w:val="nil"/>
                  </w:tcBorders>
                  <w:vAlign w:val="center"/>
                </w:tcPr>
                <w:p>
                  <w:pPr>
                    <w:bidi w:val="0"/>
                    <w:spacing w:line="240" w:lineRule="auto"/>
                    <w:jc w:val="center"/>
                    <w:rPr>
                      <w:rFonts w:hint="eastAsia"/>
                      <w:color w:val="FF0000"/>
                      <w:sz w:val="18"/>
                      <w:szCs w:val="18"/>
                      <w:u w:val="single"/>
                      <w:lang w:val="en-US" w:eastAsia="zh-CN"/>
                    </w:rPr>
                  </w:pPr>
                </w:p>
              </w:tc>
              <w:tc>
                <w:tcPr>
                  <w:tcW w:w="1092" w:type="dxa"/>
                  <w:tcBorders>
                    <w:tl2br w:val="nil"/>
                    <w:tr2bl w:val="nil"/>
                  </w:tcBorders>
                  <w:vAlign w:val="center"/>
                </w:tcPr>
                <w:p>
                  <w:pPr>
                    <w:bidi w:val="0"/>
                    <w:spacing w:line="240" w:lineRule="auto"/>
                    <w:jc w:val="center"/>
                    <w:rPr>
                      <w:rFonts w:hint="default"/>
                      <w:color w:val="FF0000"/>
                      <w:sz w:val="18"/>
                      <w:szCs w:val="18"/>
                      <w:u w:val="single"/>
                      <w:lang w:val="en-US" w:eastAsia="zh-CN"/>
                    </w:rPr>
                  </w:pPr>
                  <w:r>
                    <w:rPr>
                      <w:rFonts w:hint="eastAsia"/>
                      <w:color w:val="FF0000"/>
                      <w:sz w:val="18"/>
                      <w:szCs w:val="18"/>
                      <w:u w:val="single"/>
                      <w:lang w:val="en-US" w:eastAsia="zh-CN"/>
                    </w:rPr>
                    <w:t>0.02t/a</w:t>
                  </w:r>
                </w:p>
              </w:tc>
            </w:tr>
          </w:tbl>
          <w:p>
            <w:pPr>
              <w:spacing w:line="360" w:lineRule="auto"/>
              <w:rPr>
                <w:rFonts w:hint="default"/>
                <w:sz w:val="24"/>
                <w:szCs w:val="24"/>
                <w:vertAlign w:val="baseline"/>
                <w:lang w:val="en-US" w:eastAsia="zh-CN"/>
              </w:rPr>
            </w:pPr>
          </w:p>
        </w:tc>
      </w:tr>
    </w:tbl>
    <w:p>
      <w:pPr>
        <w:rPr>
          <w:rFonts w:hint="eastAsia"/>
          <w:lang w:val="en-US" w:eastAsia="zh-CN"/>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vAlign w:val="center"/>
          </w:tcPr>
          <w:p>
            <w:pPr>
              <w:pStyle w:val="11"/>
              <w:adjustRightInd w:val="0"/>
              <w:snapToGrid w:val="0"/>
              <w:spacing w:before="0" w:beforeAutospacing="0" w:after="0" w:afterAutospacing="0"/>
              <w:jc w:val="center"/>
              <w:rPr>
                <w:rFonts w:hint="eastAsia"/>
                <w:vertAlign w:val="baseline"/>
                <w:lang w:val="en-US" w:eastAsia="zh-CN"/>
              </w:rPr>
            </w:pPr>
            <w:r>
              <w:rPr>
                <w:rFonts w:hint="eastAsia" w:cs="宋体"/>
                <w:kern w:val="2"/>
                <w:sz w:val="24"/>
                <w:szCs w:val="24"/>
              </w:rPr>
              <w:t>运营期环境影响和保护措施</w:t>
            </w:r>
          </w:p>
        </w:tc>
        <w:tc>
          <w:tcPr>
            <w:tcW w:w="8289" w:type="dxa"/>
          </w:tcPr>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 xml:space="preserve">（2）环境管理要求 </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危险废物贮存场所环境影响分析及污染防治措施：本项目危废暂存间依托原有工程（45m</w:t>
            </w:r>
            <w:r>
              <w:rPr>
                <w:rFonts w:hint="eastAsia" w:cs="宋体"/>
                <w:kern w:val="2"/>
                <w:sz w:val="24"/>
                <w:szCs w:val="24"/>
                <w:highlight w:val="none"/>
                <w:vertAlign w:val="superscript"/>
                <w:lang w:val="en-US" w:eastAsia="zh-CN"/>
              </w:rPr>
              <w:t>2</w:t>
            </w:r>
            <w:r>
              <w:rPr>
                <w:rFonts w:hint="eastAsia" w:cs="宋体"/>
                <w:kern w:val="2"/>
                <w:sz w:val="24"/>
                <w:szCs w:val="24"/>
                <w:highlight w:val="none"/>
                <w:lang w:val="en-US" w:eastAsia="zh-CN"/>
              </w:rPr>
              <w:t>），位于厂区东侧，各类危废分类暂存，危废暂存间应按照《危险废物贮存污染控制标准》（GB18597-2001）及其2013年修改单中的要求进行建设，需满足：</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①危险废物应装入容器内存放，且禁止将不相容的危险废物装入同一容器内；</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②危废暂存场所地面与裙脚采用达到标准要求防渗的材料建造，渗透系数≤10-10cm/s，防渗建筑材料须与危险废物相容；</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③危废暂存场所内设置有安全照明设施和观察窗口，场所四周设置边沟，建造径流疏导系统，同时做到“五防”（防风、防雨、防晒、防盗、防渗漏）要求；</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④盛装危险废物的容器上必须粘贴符合要求的危险废物标签；并设置明显的警示标识和防渗漏、防鼠、防蚊蝇、防蟑螂、防盗以及预防儿童接触等安全措施；</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⑤制定双人双锁管理制度，安排专人进行管理。</w:t>
            </w:r>
          </w:p>
          <w:p>
            <w:p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本项目危险废物暂存场所均按照《危险废物贮存污染控制标准》（ GB18597-2001）及其2013年修改单的规定设置，通过规范设置危废暂存场所，可以保障危险废物暂存过程对周边环境不产生影响。</w:t>
            </w:r>
          </w:p>
          <w:p>
            <w:pPr>
              <w:spacing w:line="360" w:lineRule="auto"/>
              <w:ind w:firstLine="480" w:firstLineChars="200"/>
              <w:rPr>
                <w:rFonts w:hint="eastAsia" w:cs="宋体"/>
                <w:color w:val="FF0000"/>
                <w:kern w:val="2"/>
                <w:sz w:val="24"/>
                <w:szCs w:val="24"/>
                <w:highlight w:val="none"/>
                <w:u w:val="single"/>
                <w:lang w:val="en-US" w:eastAsia="zh-CN"/>
              </w:rPr>
            </w:pPr>
            <w:r>
              <w:rPr>
                <w:rFonts w:hint="eastAsia" w:cs="宋体"/>
                <w:color w:val="FF0000"/>
                <w:kern w:val="2"/>
                <w:sz w:val="24"/>
                <w:szCs w:val="24"/>
                <w:highlight w:val="none"/>
                <w:u w:val="single"/>
                <w:lang w:val="en-US" w:eastAsia="zh-CN"/>
              </w:rPr>
              <w:t>本项目危险废物依托原有项目危险废物暂存间进行储存危险废物，原有项目危险废物主要废气处理收集的锌灰、废水处理产生的污泥、废超滤膜和废反渗透膜，本项目废过滤棉、漆渣、含油抹布、废机油、废活性炭、废油桶、废灯管、废切削液和原项目危险废物有同类废物，且危险废物储存间较大，能满足现有项目及本项目危险废物的储存，危险废物之间均不会发生反应，故本项目危险废物依托原有项目危险废物暂存间进行储存是可行的。但环评要求，项目危险废物进行分类储存、做好应急措施。</w:t>
            </w:r>
          </w:p>
          <w:p>
            <w:pPr>
              <w:pStyle w:val="11"/>
              <w:adjustRightInd w:val="0"/>
              <w:snapToGrid w:val="0"/>
              <w:spacing w:before="0" w:beforeAutospacing="0" w:after="0" w:afterAutospacing="0" w:line="360" w:lineRule="auto"/>
              <w:ind w:firstLine="482" w:firstLineChars="200"/>
              <w:jc w:val="both"/>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运输过程环境影响分析及污染防治措施：</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根据中华人民共和国国务院令第591号《危险化学品安全管理条例》的有关规定，在危险废弃物外运至处置单位时必须严格遵守以下要求：</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①危险废物的转移和运输应按照《危险废物转移联单管理办法》的规定报批危险废物转移计划，填写好危险废物转移电子联单，并必须交由有资质的单位承运。做好每次外运处置废弃物的运输登记，认真填写危险废物转移电子联单。</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②危险废物的运输车辆须经主管单位检查，并持有有关单位签发的许可证。运输人员必须掌握危险化学品运输的安全知识，了解所运载的危险物质的性质、危害特性、包装容器的使用特性和发生意外时的应急措施。</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③承载危险废物的车辆须有明显的标志或适当的危险符号，以引起注 意。载有危险废物的车辆在公路上行驶时，需持有运输许可证，其上应注明废物来源、性质和运往地点。</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④组织危险废物的运输单位，在事先需作出周密的运输计划和行驶路线，其中包括有效的废物泄漏情况下的应急措施。运输车辆不得超装、不得超载，必须严格按照指定的路线进行运输，不得进入危化品运输车辆严 禁通行的区域。</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⑤危险废物在运输途中若发生被盗、丢失、流散、泄露等情况时，公司及押运人员必须立即向当地公安部门报告，并采取一切可能的警示措施。</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⑥一旦发生危险废物泄露事故，公司各危废处置单位都应积极协助有关部门采取必要的安全措施，减少事故损失，防止事故蔓延、扩大；针对事故对人体、动植物、土壤、水源、空气造成的现实危害进行监测、处置。直至符合国家环境保护标准。</w:t>
            </w:r>
          </w:p>
          <w:p>
            <w:pPr>
              <w:pStyle w:val="11"/>
              <w:adjustRightInd w:val="0"/>
              <w:snapToGrid w:val="0"/>
              <w:spacing w:before="0" w:beforeAutospacing="0" w:after="0" w:afterAutospacing="0" w:line="360" w:lineRule="auto"/>
              <w:ind w:firstLine="482" w:firstLineChars="200"/>
              <w:jc w:val="both"/>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委托处置的环境影响分析：</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根据项目危废特性及有资质的危险废物处置单位的分布情况、处置能力、资质类别，本项目危废处置单位需可处理产生的HW08、HW09、HW29和HW49类的危险废物，可选择其中或其他有资质单位作为危废处置委托单位。</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综上，本项目产生的危险废物均得到妥善处理处置，不外排，对周边外环境的不利影响较小。</w:t>
            </w:r>
          </w:p>
          <w:p>
            <w:pPr>
              <w:pStyle w:val="11"/>
              <w:adjustRightInd w:val="0"/>
              <w:snapToGrid w:val="0"/>
              <w:spacing w:before="0" w:beforeAutospacing="0" w:after="0" w:afterAutospacing="0" w:line="360" w:lineRule="auto"/>
              <w:ind w:firstLine="480" w:firstLineChars="200"/>
              <w:jc w:val="both"/>
              <w:rPr>
                <w:rFonts w:hint="eastAsia" w:cs="宋体"/>
                <w:kern w:val="2"/>
                <w:sz w:val="24"/>
                <w:szCs w:val="24"/>
                <w:highlight w:val="none"/>
                <w:lang w:val="en-US" w:eastAsia="zh-CN"/>
              </w:rPr>
            </w:pPr>
            <w:r>
              <w:rPr>
                <w:rFonts w:hint="eastAsia" w:cs="宋体"/>
                <w:kern w:val="2"/>
                <w:sz w:val="24"/>
                <w:szCs w:val="24"/>
                <w:highlight w:val="none"/>
                <w:lang w:val="en-US" w:eastAsia="zh-CN"/>
              </w:rPr>
              <w:t>（3）项目固体废物处置及其可行性分析小结</w:t>
            </w:r>
          </w:p>
          <w:p>
            <w:pPr>
              <w:spacing w:line="360" w:lineRule="auto"/>
              <w:ind w:firstLine="480" w:firstLineChars="200"/>
              <w:rPr>
                <w:rFonts w:hint="default" w:cs="宋体"/>
                <w:kern w:val="2"/>
                <w:sz w:val="24"/>
                <w:szCs w:val="24"/>
                <w:highlight w:val="none"/>
                <w:lang w:val="en-US" w:eastAsia="zh-CN"/>
              </w:rPr>
            </w:pPr>
            <w:r>
              <w:rPr>
                <w:rFonts w:hint="eastAsia" w:cs="宋体"/>
                <w:kern w:val="2"/>
                <w:sz w:val="24"/>
                <w:szCs w:val="24"/>
                <w:highlight w:val="none"/>
                <w:lang w:val="en-US" w:eastAsia="zh-CN"/>
              </w:rPr>
              <w:t>本项目</w:t>
            </w:r>
            <w:r>
              <w:rPr>
                <w:color w:val="auto"/>
                <w:kern w:val="0"/>
                <w:sz w:val="24"/>
                <w:u w:val="none" w:color="auto"/>
              </w:rPr>
              <w:t>一般工业固体废物贮存或处置</w:t>
            </w:r>
            <w:r>
              <w:rPr>
                <w:rFonts w:hint="eastAsia" w:cs="宋体"/>
                <w:kern w:val="2"/>
                <w:sz w:val="24"/>
                <w:szCs w:val="24"/>
                <w:highlight w:val="none"/>
                <w:lang w:val="en-US" w:eastAsia="zh-CN"/>
              </w:rPr>
              <w:t>应严格依照</w:t>
            </w:r>
            <w:r>
              <w:rPr>
                <w:color w:val="auto"/>
                <w:kern w:val="0"/>
                <w:sz w:val="24"/>
                <w:u w:val="none" w:color="auto"/>
              </w:rPr>
              <w:t>《一般工业固体废物贮存、处置场污染控制标准》（GB18599-20</w:t>
            </w:r>
            <w:r>
              <w:rPr>
                <w:rFonts w:hint="eastAsia"/>
                <w:color w:val="auto"/>
                <w:kern w:val="0"/>
                <w:sz w:val="24"/>
                <w:u w:val="none" w:color="auto"/>
                <w:lang w:val="en-US" w:eastAsia="zh-CN"/>
              </w:rPr>
              <w:t>20</w:t>
            </w:r>
            <w:r>
              <w:rPr>
                <w:color w:val="auto"/>
                <w:kern w:val="0"/>
                <w:sz w:val="24"/>
                <w:u w:val="none" w:color="auto"/>
              </w:rPr>
              <w:t>）有关要求。一般工业固体废物的贮存设施、场所采取防扬散、防流失、防渗漏或者其他防止污染环境的措施，</w:t>
            </w:r>
            <w:r>
              <w:rPr>
                <w:rFonts w:hint="eastAsia"/>
                <w:color w:val="auto"/>
                <w:kern w:val="0"/>
                <w:sz w:val="24"/>
                <w:u w:val="none" w:color="auto"/>
                <w:lang w:val="en-US" w:eastAsia="zh-CN"/>
              </w:rPr>
              <w:t>应</w:t>
            </w:r>
            <w:r>
              <w:rPr>
                <w:color w:val="auto"/>
                <w:kern w:val="0"/>
                <w:sz w:val="24"/>
                <w:u w:val="none" w:color="auto"/>
              </w:rPr>
              <w:t>符合国家环境保护标准，并对未处理的固体废物做出妥善处理，安全存放。对暂时不利用或者不能回收利用的一般工业固体废物，配套建设防雨淋、防渗漏、易识别等符合环境保护标准和管理要求的贮存设施或场所，以及足够的流转空间，按国家环境保护的技术和管理要求，有专人看管，建立便于核查的进、出物料的台账记录和固体废物明细表</w:t>
            </w:r>
            <w:r>
              <w:rPr>
                <w:color w:val="auto"/>
                <w:sz w:val="24"/>
                <w:u w:val="none" w:color="auto"/>
              </w:rPr>
              <w:t>。</w:t>
            </w:r>
          </w:p>
          <w:p>
            <w:p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本项目危险废物应严格依照《危险废物贮存污染控制标准》（GB18597-2001及其2013年修改单中的要求进行管理，所有危险废物分类存放危废暂存间，并做到防雨、防腐、防渗、防漏、防盗、防风，同时设有警示牌和标识牌，定期委托有资质单位处置。金属边角料、废包装材料集中收集后外售，生活垃圾委托环卫部门统一处理。</w:t>
            </w:r>
          </w:p>
          <w:p>
            <w:p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综上，本项目营运期所产生的各种固废均得到合理处理处置，对外界环境的影响较小。</w:t>
            </w:r>
          </w:p>
          <w:p>
            <w:pPr>
              <w:spacing w:line="360" w:lineRule="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5.环境风险</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（1）物质危险性识别</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危险物质为具有易燃易爆、有毒有害特性，会对环境造成危害的物质。 物质危险性识别主要对项目所涉及的原料、辅料、污染物、火灾和爆炸伴生/次生物等物质进行识别，并根据《建设项目环境风险评价技术导则》 （HJ169-2018）附录B筛选风险评价因子。</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通过对全厂涉及的原料、辅料、产品及废物等物质进行调查，涉及的危险物质主要有：机油以及火灾和爆炸产生的CO等伴生/次生物。其中涉及可燃危险特性的物质主要为机油；具有有毒有害危险特性的物质主要为爆炸产生的 CO等伴生/次生物。根据《国家危险危废名录》（2021年版），本项目产生的固体废物中的危险废物为有毒有害物质。各类物质理化性质见下表：</w:t>
            </w:r>
          </w:p>
          <w:p>
            <w:pPr>
              <w:numPr>
                <w:ilvl w:val="0"/>
                <w:numId w:val="0"/>
              </w:numPr>
              <w:spacing w:line="360" w:lineRule="auto"/>
              <w:jc w:val="center"/>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表4-13  主要风险物质理化性质一览表</w:t>
            </w:r>
          </w:p>
          <w:tbl>
            <w:tblPr>
              <w:tblStyle w:val="14"/>
              <w:tblW w:w="8063"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501"/>
              <w:gridCol w:w="1678"/>
              <w:gridCol w:w="2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9"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名称</w:t>
                  </w:r>
                </w:p>
              </w:tc>
              <w:tc>
                <w:tcPr>
                  <w:tcW w:w="2501"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理化特性</w:t>
                  </w:r>
                </w:p>
              </w:tc>
              <w:tc>
                <w:tcPr>
                  <w:tcW w:w="1678"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危险特性</w:t>
                  </w:r>
                </w:p>
              </w:tc>
              <w:tc>
                <w:tcPr>
                  <w:tcW w:w="2705"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危害性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9"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机油</w:t>
                  </w:r>
                </w:p>
              </w:tc>
              <w:tc>
                <w:tcPr>
                  <w:tcW w:w="2501" w:type="dxa"/>
                  <w:tcBorders>
                    <w:tl2br w:val="nil"/>
                    <w:tr2bl w:val="nil"/>
                  </w:tcBorders>
                  <w:vAlign w:val="center"/>
                </w:tcPr>
                <w:p>
                  <w:pPr>
                    <w:bidi w:val="0"/>
                    <w:spacing w:line="240" w:lineRule="auto"/>
                    <w:jc w:val="both"/>
                    <w:rPr>
                      <w:rFonts w:hint="eastAsia"/>
                      <w:sz w:val="21"/>
                      <w:szCs w:val="21"/>
                      <w:lang w:val="en-US" w:eastAsia="zh-CN"/>
                    </w:rPr>
                  </w:pPr>
                  <w:r>
                    <w:rPr>
                      <w:rFonts w:hint="eastAsia"/>
                      <w:sz w:val="21"/>
                      <w:szCs w:val="21"/>
                      <w:lang w:val="en-US" w:eastAsia="zh-CN"/>
                    </w:rPr>
                    <w:t>性状：油状液体，淡黄色至褐色，无气味或略带气味；引燃温度：248℃；闪点：76℃；溶解性：溶于水，微溶于醇。</w:t>
                  </w:r>
                </w:p>
              </w:tc>
              <w:tc>
                <w:tcPr>
                  <w:tcW w:w="1678"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可燃</w:t>
                  </w:r>
                </w:p>
              </w:tc>
              <w:tc>
                <w:tcPr>
                  <w:tcW w:w="2705" w:type="dxa"/>
                  <w:tcBorders>
                    <w:tl2br w:val="nil"/>
                    <w:tr2bl w:val="nil"/>
                  </w:tcBorders>
                  <w:vAlign w:val="center"/>
                </w:tcPr>
                <w:p>
                  <w:pPr>
                    <w:bidi w:val="0"/>
                    <w:spacing w:line="240" w:lineRule="auto"/>
                    <w:jc w:val="both"/>
                    <w:rPr>
                      <w:rFonts w:hint="eastAsia"/>
                      <w:sz w:val="21"/>
                      <w:szCs w:val="21"/>
                      <w:lang w:val="en-US" w:eastAsia="zh-CN"/>
                    </w:rPr>
                  </w:pPr>
                  <w:r>
                    <w:rPr>
                      <w:rFonts w:hint="eastAsia"/>
                      <w:sz w:val="21"/>
                      <w:szCs w:val="21"/>
                      <w:lang w:val="en-US" w:eastAsia="zh-CN"/>
                    </w:rPr>
                    <w:t>侵入途径：皮肤吸收，呼吸道吸入；健康：柴油有麻醉和刺激作用，柴油的雾滴吸入后可致吸入性肺炎，皮肤接触柴油 可致接触性皮炎，可引起眼、鼻刺激症状、头晕和头痛。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179"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二甲苯（油漆成分）</w:t>
                  </w:r>
                </w:p>
              </w:tc>
              <w:tc>
                <w:tcPr>
                  <w:tcW w:w="2501" w:type="dxa"/>
                  <w:tcBorders>
                    <w:tl2br w:val="nil"/>
                    <w:tr2bl w:val="nil"/>
                  </w:tcBorders>
                  <w:vAlign w:val="center"/>
                </w:tcPr>
                <w:p>
                  <w:pPr>
                    <w:bidi w:val="0"/>
                    <w:spacing w:line="240" w:lineRule="auto"/>
                    <w:jc w:val="both"/>
                    <w:rPr>
                      <w:rFonts w:hint="eastAsia"/>
                      <w:sz w:val="21"/>
                      <w:szCs w:val="21"/>
                      <w:lang w:val="en-US" w:eastAsia="zh-CN"/>
                    </w:rPr>
                  </w:pPr>
                  <w:r>
                    <w:rPr>
                      <w:rFonts w:hint="eastAsia"/>
                      <w:sz w:val="21"/>
                      <w:szCs w:val="21"/>
                      <w:lang w:val="en-US" w:eastAsia="zh-CN"/>
                    </w:rPr>
                    <w:t>工业上指对二甲苯、临二甲苯、间二甲苯的混合物。无色透明液体。有芳香烃的特殊气味，易流动。能与无水乙醇、乙醚和其他许多有机溶剂混溶，几乎不溶于水。相对密度约0.86，沸点137-140℃，闪点29℃</w:t>
                  </w:r>
                </w:p>
              </w:tc>
              <w:tc>
                <w:tcPr>
                  <w:tcW w:w="1678" w:type="dxa"/>
                  <w:tcBorders>
                    <w:tl2br w:val="nil"/>
                    <w:tr2bl w:val="nil"/>
                  </w:tcBorders>
                  <w:vAlign w:val="center"/>
                </w:tcPr>
                <w:p>
                  <w:pPr>
                    <w:bidi w:val="0"/>
                    <w:spacing w:line="240" w:lineRule="auto"/>
                    <w:jc w:val="center"/>
                    <w:rPr>
                      <w:rFonts w:hint="eastAsia"/>
                      <w:sz w:val="21"/>
                      <w:szCs w:val="21"/>
                      <w:lang w:val="en-US" w:eastAsia="zh-CN"/>
                    </w:rPr>
                  </w:pPr>
                  <w:r>
                    <w:rPr>
                      <w:rFonts w:hint="eastAsia"/>
                      <w:sz w:val="21"/>
                      <w:szCs w:val="21"/>
                      <w:lang w:val="en-US" w:eastAsia="zh-CN"/>
                    </w:rPr>
                    <w:t>易燃，其蒸气与空气可形成爆炸性混合物。遇明火、高热能引起燃烧爆炸，爆炸上限%（V/V）7，爆炸下限%（V/V）1.1</w:t>
                  </w:r>
                </w:p>
              </w:tc>
              <w:tc>
                <w:tcPr>
                  <w:tcW w:w="2705" w:type="dxa"/>
                  <w:tcBorders>
                    <w:tl2br w:val="nil"/>
                    <w:tr2bl w:val="nil"/>
                  </w:tcBorders>
                  <w:vAlign w:val="center"/>
                </w:tcPr>
                <w:p>
                  <w:pPr>
                    <w:bidi w:val="0"/>
                    <w:spacing w:line="240" w:lineRule="auto"/>
                    <w:jc w:val="both"/>
                    <w:rPr>
                      <w:rFonts w:hint="eastAsia"/>
                      <w:sz w:val="21"/>
                      <w:szCs w:val="21"/>
                      <w:lang w:val="en-US" w:eastAsia="zh-CN"/>
                    </w:rPr>
                  </w:pPr>
                  <w:r>
                    <w:rPr>
                      <w:rFonts w:hint="eastAsia"/>
                      <w:sz w:val="21"/>
                      <w:szCs w:val="21"/>
                      <w:lang w:val="en-US" w:eastAsia="zh-CN"/>
                    </w:rPr>
                    <w:t>二甲苯蒸气对小鼠的LC为6000*10</w:t>
                  </w:r>
                  <w:r>
                    <w:rPr>
                      <w:rFonts w:hint="eastAsia"/>
                      <w:sz w:val="21"/>
                      <w:szCs w:val="21"/>
                      <w:vertAlign w:val="superscript"/>
                      <w:lang w:val="en-US" w:eastAsia="zh-CN"/>
                    </w:rPr>
                    <w:t>-6</w:t>
                  </w:r>
                  <w:r>
                    <w:rPr>
                      <w:rFonts w:hint="eastAsia"/>
                      <w:sz w:val="21"/>
                      <w:szCs w:val="21"/>
                      <w:lang w:val="en-US" w:eastAsia="zh-CN"/>
                    </w:rPr>
                    <w:t>，</w:t>
                  </w:r>
                  <w:r>
                    <w:rPr>
                      <w:rFonts w:hint="eastAsia"/>
                      <w:sz w:val="21"/>
                      <w:szCs w:val="21"/>
                      <w:lang w:val="en-US" w:eastAsia="zh-CN"/>
                    </w:rPr>
                    <w:fldChar w:fldCharType="begin"/>
                  </w:r>
                  <w:r>
                    <w:rPr>
                      <w:rFonts w:hint="eastAsia"/>
                      <w:sz w:val="21"/>
                      <w:szCs w:val="21"/>
                      <w:lang w:val="en-US" w:eastAsia="zh-CN"/>
                    </w:rPr>
                    <w:instrText xml:space="preserve"> HYPERLINK "http://baike.baidu.com/view/205631.htm" \t "http://baike.baidu.com/view/_blank" </w:instrText>
                  </w:r>
                  <w:r>
                    <w:rPr>
                      <w:rFonts w:hint="eastAsia"/>
                      <w:sz w:val="21"/>
                      <w:szCs w:val="21"/>
                      <w:lang w:val="en-US" w:eastAsia="zh-CN"/>
                    </w:rPr>
                    <w:fldChar w:fldCharType="separate"/>
                  </w:r>
                  <w:r>
                    <w:rPr>
                      <w:rFonts w:hint="eastAsia"/>
                      <w:sz w:val="21"/>
                      <w:szCs w:val="21"/>
                      <w:lang w:val="en-US" w:eastAsia="zh-CN"/>
                    </w:rPr>
                    <w:t>大鼠</w:t>
                  </w:r>
                  <w:r>
                    <w:rPr>
                      <w:rFonts w:hint="eastAsia"/>
                      <w:sz w:val="21"/>
                      <w:szCs w:val="21"/>
                      <w:lang w:val="en-US" w:eastAsia="zh-CN"/>
                    </w:rPr>
                    <w:fldChar w:fldCharType="end"/>
                  </w:r>
                  <w:r>
                    <w:rPr>
                      <w:rFonts w:hint="eastAsia"/>
                      <w:sz w:val="21"/>
                      <w:szCs w:val="21"/>
                      <w:lang w:val="en-US" w:eastAsia="zh-CN"/>
                    </w:rPr>
                    <w:t>经口最低致死量4000mg/kg。</w:t>
                  </w:r>
                </w:p>
              </w:tc>
            </w:tr>
          </w:tbl>
          <w:p>
            <w:pPr>
              <w:numPr>
                <w:ilvl w:val="0"/>
                <w:numId w:val="0"/>
              </w:numPr>
              <w:spacing w:line="360" w:lineRule="auto"/>
              <w:ind w:firstLine="480" w:firstLineChars="200"/>
              <w:rPr>
                <w:rFonts w:hint="default" w:cs="宋体"/>
                <w:kern w:val="2"/>
                <w:sz w:val="24"/>
                <w:szCs w:val="24"/>
                <w:highlight w:val="none"/>
                <w:lang w:val="en-US" w:eastAsia="zh-CN"/>
              </w:rPr>
            </w:pPr>
            <w:r>
              <w:rPr>
                <w:rFonts w:hint="eastAsia" w:cs="宋体"/>
                <w:kern w:val="2"/>
                <w:sz w:val="24"/>
                <w:szCs w:val="24"/>
                <w:highlight w:val="none"/>
                <w:lang w:val="en-US" w:eastAsia="zh-CN"/>
              </w:rPr>
              <w:t>（2）风险源分布</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本项目设计危险物质的危险单元主要为车间辅料库及车间（机油：0.51t）、危废暂存间（危险废物：1.6t）等。</w:t>
            </w:r>
          </w:p>
          <w:p>
            <w:pPr>
              <w:pStyle w:val="2"/>
              <w:spacing w:line="240" w:lineRule="auto"/>
              <w:rPr>
                <w:rFonts w:hint="default"/>
                <w:b/>
                <w:bCs/>
                <w:sz w:val="18"/>
                <w:szCs w:val="18"/>
                <w:lang w:val="en-US" w:eastAsia="zh-CN"/>
              </w:rPr>
            </w:pPr>
            <w:r>
              <w:rPr>
                <w:rFonts w:hint="eastAsia" w:cs="宋体"/>
                <w:b/>
                <w:bCs/>
                <w:kern w:val="2"/>
                <w:sz w:val="18"/>
                <w:szCs w:val="18"/>
                <w:highlight w:val="none"/>
                <w:lang w:val="en-US" w:eastAsia="zh-CN"/>
              </w:rPr>
              <w:t>注：危废暂存间危险废物量不含废机油</w:t>
            </w:r>
          </w:p>
          <w:p>
            <w:pPr>
              <w:numPr>
                <w:ilvl w:val="0"/>
                <w:numId w:val="0"/>
              </w:numPr>
              <w:spacing w:line="360" w:lineRule="auto"/>
              <w:ind w:firstLine="480" w:firstLineChars="200"/>
              <w:rPr>
                <w:rFonts w:hint="default" w:cs="宋体"/>
                <w:kern w:val="2"/>
                <w:sz w:val="24"/>
                <w:szCs w:val="24"/>
                <w:highlight w:val="none"/>
                <w:lang w:val="en-US" w:eastAsia="zh-CN"/>
              </w:rPr>
            </w:pPr>
            <w:r>
              <w:rPr>
                <w:rFonts w:hint="eastAsia" w:cs="宋体"/>
                <w:kern w:val="2"/>
                <w:sz w:val="24"/>
                <w:szCs w:val="24"/>
                <w:highlight w:val="none"/>
                <w:lang w:val="en-US" w:eastAsia="zh-CN"/>
              </w:rPr>
              <w:t>（3）风险物质影响途径</w:t>
            </w:r>
          </w:p>
          <w:p>
            <w:pPr>
              <w:numPr>
                <w:ilvl w:val="0"/>
                <w:numId w:val="0"/>
              </w:numPr>
              <w:spacing w:line="360" w:lineRule="auto"/>
              <w:ind w:firstLine="480" w:firstLineChars="200"/>
              <w:rPr>
                <w:rFonts w:hint="default" w:cs="宋体"/>
                <w:kern w:val="2"/>
                <w:sz w:val="24"/>
                <w:szCs w:val="24"/>
                <w:highlight w:val="none"/>
                <w:lang w:val="en-US" w:eastAsia="zh-CN"/>
              </w:rPr>
            </w:pPr>
            <w:r>
              <w:rPr>
                <w:rFonts w:hint="eastAsia" w:cs="宋体"/>
                <w:kern w:val="2"/>
                <w:sz w:val="24"/>
                <w:szCs w:val="24"/>
                <w:highlight w:val="none"/>
                <w:lang w:val="en-US" w:eastAsia="zh-CN"/>
              </w:rPr>
              <w:t>项目风险物质影响途径如下：</w:t>
            </w:r>
          </w:p>
          <w:p>
            <w:pPr>
              <w:numPr>
                <w:ilvl w:val="0"/>
                <w:numId w:val="0"/>
              </w:numPr>
              <w:spacing w:line="360" w:lineRule="auto"/>
              <w:jc w:val="center"/>
              <w:rPr>
                <w:rFonts w:hint="default" w:cs="宋体"/>
                <w:b/>
                <w:bCs/>
                <w:kern w:val="2"/>
                <w:sz w:val="24"/>
                <w:szCs w:val="24"/>
                <w:highlight w:val="none"/>
                <w:vertAlign w:val="baseline"/>
                <w:lang w:val="en-US" w:eastAsia="zh-CN"/>
              </w:rPr>
            </w:pPr>
            <w:r>
              <w:rPr>
                <w:rFonts w:hint="eastAsia" w:cs="宋体"/>
                <w:b/>
                <w:bCs/>
                <w:kern w:val="2"/>
                <w:sz w:val="24"/>
                <w:szCs w:val="24"/>
                <w:highlight w:val="none"/>
                <w:lang w:val="en-US" w:eastAsia="zh-CN"/>
              </w:rPr>
              <w:t>表4-14  风险物质影响途径</w:t>
            </w:r>
          </w:p>
          <w:tbl>
            <w:tblPr>
              <w:tblStyle w:val="14"/>
              <w:tblW w:w="8063"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9"/>
              <w:gridCol w:w="986"/>
              <w:gridCol w:w="960"/>
              <w:gridCol w:w="1125"/>
              <w:gridCol w:w="765"/>
              <w:gridCol w:w="2605"/>
              <w:gridCol w:w="11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序号</w:t>
                  </w:r>
                </w:p>
              </w:tc>
              <w:tc>
                <w:tcPr>
                  <w:tcW w:w="986"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危险单元</w:t>
                  </w:r>
                </w:p>
              </w:tc>
              <w:tc>
                <w:tcPr>
                  <w:tcW w:w="960"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风险源</w:t>
                  </w:r>
                </w:p>
              </w:tc>
              <w:tc>
                <w:tcPr>
                  <w:tcW w:w="1125"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主要风险物质</w:t>
                  </w:r>
                </w:p>
              </w:tc>
              <w:tc>
                <w:tcPr>
                  <w:tcW w:w="765"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环境风险类型</w:t>
                  </w:r>
                </w:p>
              </w:tc>
              <w:tc>
                <w:tcPr>
                  <w:tcW w:w="2605"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环境影响途径</w:t>
                  </w:r>
                </w:p>
              </w:tc>
              <w:tc>
                <w:tcPr>
                  <w:tcW w:w="1153"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可能受影响的环境敏感目标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1</w:t>
                  </w:r>
                </w:p>
              </w:tc>
              <w:tc>
                <w:tcPr>
                  <w:tcW w:w="986"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车间辅料库及车间</w:t>
                  </w:r>
                </w:p>
              </w:tc>
              <w:tc>
                <w:tcPr>
                  <w:tcW w:w="960"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机油桶、油漆桶</w:t>
                  </w:r>
                </w:p>
              </w:tc>
              <w:tc>
                <w:tcPr>
                  <w:tcW w:w="1125"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机油、油漆</w:t>
                  </w:r>
                </w:p>
              </w:tc>
              <w:tc>
                <w:tcPr>
                  <w:tcW w:w="765"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泄漏、火灾</w:t>
                  </w:r>
                </w:p>
              </w:tc>
              <w:tc>
                <w:tcPr>
                  <w:tcW w:w="2605" w:type="dxa"/>
                  <w:tcBorders>
                    <w:tl2br w:val="nil"/>
                    <w:tr2bl w:val="nil"/>
                  </w:tcBorders>
                  <w:vAlign w:val="center"/>
                </w:tcPr>
                <w:p>
                  <w:pPr>
                    <w:bidi w:val="0"/>
                    <w:spacing w:line="240" w:lineRule="auto"/>
                    <w:jc w:val="center"/>
                    <w:rPr>
                      <w:rFonts w:hint="default"/>
                      <w:sz w:val="21"/>
                      <w:szCs w:val="21"/>
                      <w:lang w:val="en-US" w:eastAsia="zh-CN"/>
                    </w:rPr>
                  </w:pPr>
                  <w:r>
                    <w:rPr>
                      <w:rFonts w:hint="default"/>
                      <w:sz w:val="21"/>
                      <w:szCs w:val="21"/>
                      <w:lang w:val="en-US" w:eastAsia="zh-CN"/>
                    </w:rPr>
                    <w:t>机油</w:t>
                  </w:r>
                  <w:r>
                    <w:rPr>
                      <w:rFonts w:hint="eastAsia"/>
                      <w:sz w:val="21"/>
                      <w:szCs w:val="21"/>
                      <w:lang w:val="en-US" w:eastAsia="zh-CN"/>
                    </w:rPr>
                    <w:t>泄漏</w:t>
                  </w:r>
                  <w:r>
                    <w:rPr>
                      <w:rFonts w:hint="default"/>
                      <w:sz w:val="21"/>
                      <w:szCs w:val="21"/>
                      <w:lang w:val="en-US" w:eastAsia="zh-CN"/>
                    </w:rPr>
                    <w:t>遇明火或高温 易发生火灾，导致机油和衍生次生消防废水经地表径流、地下水、土壤下渗对周边环境产生不利影响；不完全燃烧产生次生污染物CO等环境事件经大气扩散对周围大气环境产生影响。</w:t>
                  </w:r>
                </w:p>
              </w:tc>
              <w:tc>
                <w:tcPr>
                  <w:tcW w:w="1153" w:type="dxa"/>
                  <w:tcBorders>
                    <w:tl2br w:val="nil"/>
                    <w:tr2bl w:val="nil"/>
                  </w:tcBorders>
                  <w:vAlign w:val="center"/>
                </w:tcPr>
                <w:p>
                  <w:pPr>
                    <w:bidi w:val="0"/>
                    <w:spacing w:line="240" w:lineRule="auto"/>
                    <w:jc w:val="center"/>
                    <w:rPr>
                      <w:rFonts w:hint="default"/>
                      <w:sz w:val="21"/>
                      <w:szCs w:val="21"/>
                      <w:lang w:val="en-US" w:eastAsia="zh-CN"/>
                    </w:rPr>
                  </w:pPr>
                  <w:r>
                    <w:rPr>
                      <w:rFonts w:hint="default"/>
                      <w:sz w:val="21"/>
                      <w:szCs w:val="21"/>
                      <w:lang w:val="en-US" w:eastAsia="zh-CN"/>
                    </w:rPr>
                    <w:t>周边土 壤、地表 水、地下 水、大气 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2</w:t>
                  </w:r>
                </w:p>
              </w:tc>
              <w:tc>
                <w:tcPr>
                  <w:tcW w:w="986"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危险暂存间</w:t>
                  </w:r>
                </w:p>
              </w:tc>
              <w:tc>
                <w:tcPr>
                  <w:tcW w:w="960"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危废暂存间</w:t>
                  </w:r>
                </w:p>
              </w:tc>
              <w:tc>
                <w:tcPr>
                  <w:tcW w:w="1125"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危险废物</w:t>
                  </w:r>
                </w:p>
              </w:tc>
              <w:tc>
                <w:tcPr>
                  <w:tcW w:w="765"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泄漏</w:t>
                  </w:r>
                </w:p>
              </w:tc>
              <w:tc>
                <w:tcPr>
                  <w:tcW w:w="2605" w:type="dxa"/>
                  <w:tcBorders>
                    <w:tl2br w:val="nil"/>
                    <w:tr2bl w:val="nil"/>
                  </w:tcBorders>
                  <w:vAlign w:val="center"/>
                </w:tcPr>
                <w:p>
                  <w:pPr>
                    <w:bidi w:val="0"/>
                    <w:spacing w:line="240" w:lineRule="auto"/>
                    <w:jc w:val="center"/>
                    <w:rPr>
                      <w:rFonts w:hint="default"/>
                      <w:sz w:val="21"/>
                      <w:szCs w:val="21"/>
                      <w:lang w:val="en-US" w:eastAsia="zh-CN"/>
                    </w:rPr>
                  </w:pPr>
                  <w:r>
                    <w:rPr>
                      <w:rFonts w:hint="default"/>
                      <w:sz w:val="21"/>
                      <w:szCs w:val="21"/>
                      <w:lang w:val="en-US" w:eastAsia="zh-CN"/>
                    </w:rPr>
                    <w:t>危险废物泄漏经地表径 流、地下水、土壤下渗对周边环境产生不利影响。</w:t>
                  </w:r>
                </w:p>
              </w:tc>
              <w:tc>
                <w:tcPr>
                  <w:tcW w:w="1153" w:type="dxa"/>
                  <w:tcBorders>
                    <w:tl2br w:val="nil"/>
                    <w:tr2bl w:val="nil"/>
                  </w:tcBorders>
                  <w:vAlign w:val="center"/>
                </w:tcPr>
                <w:p>
                  <w:pPr>
                    <w:bidi w:val="0"/>
                    <w:spacing w:line="240" w:lineRule="auto"/>
                    <w:jc w:val="center"/>
                    <w:rPr>
                      <w:rFonts w:hint="default"/>
                      <w:sz w:val="21"/>
                      <w:szCs w:val="21"/>
                      <w:lang w:val="en-US" w:eastAsia="zh-CN"/>
                    </w:rPr>
                  </w:pPr>
                  <w:r>
                    <w:rPr>
                      <w:rFonts w:hint="default"/>
                      <w:sz w:val="21"/>
                      <w:szCs w:val="21"/>
                      <w:lang w:val="en-US" w:eastAsia="zh-CN"/>
                    </w:rPr>
                    <w:t>周边土 壤、地表 水、地下 水、大气 环境</w:t>
                  </w:r>
                </w:p>
              </w:tc>
            </w:tr>
          </w:tbl>
          <w:p>
            <w:pPr>
              <w:numPr>
                <w:ilvl w:val="0"/>
                <w:numId w:val="0"/>
              </w:numPr>
              <w:spacing w:line="360" w:lineRule="auto"/>
              <w:ind w:firstLine="480" w:firstLineChars="200"/>
              <w:rPr>
                <w:rFonts w:hint="default" w:cs="宋体"/>
                <w:kern w:val="2"/>
                <w:sz w:val="24"/>
                <w:szCs w:val="24"/>
                <w:highlight w:val="none"/>
                <w:lang w:val="en-US" w:eastAsia="zh-CN"/>
              </w:rPr>
            </w:pPr>
            <w:r>
              <w:rPr>
                <w:rFonts w:hint="eastAsia" w:cs="宋体"/>
                <w:kern w:val="2"/>
                <w:sz w:val="24"/>
                <w:szCs w:val="24"/>
                <w:highlight w:val="none"/>
                <w:lang w:val="en-US" w:eastAsia="zh-CN"/>
              </w:rPr>
              <w:t>（4）风险防范措施</w:t>
            </w:r>
          </w:p>
          <w:p>
            <w:pPr>
              <w:numPr>
                <w:ilvl w:val="0"/>
                <w:numId w:val="0"/>
              </w:numPr>
              <w:spacing w:line="360" w:lineRule="auto"/>
              <w:ind w:firstLine="482" w:firstLineChars="200"/>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大气环境风险防范措施：</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①要加强生产管理，制定严格的生产操作规范，安全用电。本项目使用的危化品中有易燃物，应当储存得当，厂区设置禁烟标志，采取严格的安全措施，严格控制点火源，配备合理的消防设施。同时加强车间通风。</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②废气末端治理措施必须确保日常运行，如发现人为原因不开启治理措施，责任人应受行政和经济处罚，并承担事故排放责任。若末端治理措施因故不能运行，则生产必须停止。</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③应定期检查废气处理装置的有效性，保证处理效率，确保废气处理能够达标排放。</w:t>
            </w:r>
          </w:p>
          <w:p>
            <w:pPr>
              <w:numPr>
                <w:ilvl w:val="0"/>
                <w:numId w:val="0"/>
              </w:numPr>
              <w:spacing w:line="360" w:lineRule="auto"/>
              <w:ind w:firstLine="480" w:firstLineChars="200"/>
              <w:rPr>
                <w:rFonts w:hint="default" w:cs="宋体"/>
                <w:kern w:val="2"/>
                <w:sz w:val="24"/>
                <w:szCs w:val="24"/>
                <w:highlight w:val="none"/>
                <w:lang w:val="en-US" w:eastAsia="zh-CN"/>
              </w:rPr>
            </w:pPr>
            <w:r>
              <w:rPr>
                <w:rFonts w:hint="eastAsia" w:cs="宋体"/>
                <w:kern w:val="2"/>
                <w:sz w:val="24"/>
                <w:szCs w:val="24"/>
                <w:highlight w:val="none"/>
                <w:lang w:val="en-US" w:eastAsia="zh-CN"/>
              </w:rPr>
              <w:t>地下水和土壤环境风险防范措施：</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①加强源头控制，加强管理，将污染物跑、冒、滴、漏降低到最低限度。</w:t>
            </w:r>
          </w:p>
          <w:p>
            <w:pPr>
              <w:numPr>
                <w:ilvl w:val="0"/>
                <w:numId w:val="0"/>
              </w:numPr>
              <w:spacing w:line="360" w:lineRule="auto"/>
              <w:ind w:firstLine="480" w:firstLineChars="200"/>
              <w:rPr>
                <w:rFonts w:hint="default" w:cs="宋体"/>
                <w:kern w:val="2"/>
                <w:sz w:val="24"/>
                <w:szCs w:val="24"/>
                <w:highlight w:val="none"/>
                <w:lang w:val="en-US" w:eastAsia="zh-CN"/>
              </w:rPr>
            </w:pPr>
            <w:r>
              <w:rPr>
                <w:rFonts w:hint="eastAsia" w:cs="宋体"/>
                <w:kern w:val="2"/>
                <w:sz w:val="24"/>
                <w:szCs w:val="24"/>
                <w:highlight w:val="none"/>
                <w:lang w:val="en-US" w:eastAsia="zh-CN"/>
              </w:rPr>
              <w:t>②做好分区防腐防渗措施，避免危化品和危险物质泄漏进入地下水和土壤。针对本项目厂区各工作区特点，提出相应的分区防渗要求，项目分区防渗及技术要求见表4-15。</w:t>
            </w:r>
          </w:p>
          <w:p>
            <w:pPr>
              <w:numPr>
                <w:ilvl w:val="0"/>
                <w:numId w:val="0"/>
              </w:numPr>
              <w:spacing w:line="360" w:lineRule="auto"/>
              <w:jc w:val="center"/>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表4-15  本项目地下水、土壤防渗分区及技术要求</w:t>
            </w:r>
          </w:p>
          <w:tbl>
            <w:tblPr>
              <w:tblStyle w:val="14"/>
              <w:tblW w:w="8073"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970"/>
              <w:gridCol w:w="32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9"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防渗级别</w:t>
                  </w:r>
                </w:p>
              </w:tc>
              <w:tc>
                <w:tcPr>
                  <w:tcW w:w="2970"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名称</w:t>
                  </w:r>
                </w:p>
              </w:tc>
              <w:tc>
                <w:tcPr>
                  <w:tcW w:w="3264" w:type="dxa"/>
                  <w:tcBorders>
                    <w:tl2br w:val="nil"/>
                    <w:tr2bl w:val="nil"/>
                  </w:tcBorders>
                  <w:vAlign w:val="center"/>
                </w:tcPr>
                <w:p>
                  <w:pPr>
                    <w:bidi w:val="0"/>
                    <w:spacing w:line="240" w:lineRule="auto"/>
                    <w:jc w:val="center"/>
                    <w:rPr>
                      <w:rFonts w:hint="default"/>
                      <w:b/>
                      <w:bCs/>
                      <w:sz w:val="21"/>
                      <w:szCs w:val="21"/>
                      <w:lang w:val="en-US" w:eastAsia="zh-CN"/>
                    </w:rPr>
                  </w:pPr>
                  <w:r>
                    <w:rPr>
                      <w:rFonts w:hint="eastAsia"/>
                      <w:b/>
                      <w:bCs/>
                      <w:sz w:val="21"/>
                      <w:szCs w:val="21"/>
                      <w:lang w:val="en-US" w:eastAsia="zh-CN"/>
                    </w:rPr>
                    <w:t>防渗要求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9"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重点污染防治区</w:t>
                  </w:r>
                </w:p>
              </w:tc>
              <w:tc>
                <w:tcPr>
                  <w:tcW w:w="2970"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喷漆房、原料库、危废暂存间</w:t>
                  </w:r>
                </w:p>
              </w:tc>
              <w:tc>
                <w:tcPr>
                  <w:tcW w:w="3264" w:type="dxa"/>
                  <w:tcBorders>
                    <w:tl2br w:val="nil"/>
                    <w:tr2bl w:val="nil"/>
                  </w:tcBorders>
                  <w:vAlign w:val="center"/>
                </w:tcPr>
                <w:p>
                  <w:pPr>
                    <w:bidi w:val="0"/>
                    <w:spacing w:line="240" w:lineRule="auto"/>
                    <w:jc w:val="both"/>
                    <w:rPr>
                      <w:rFonts w:hint="eastAsia"/>
                      <w:sz w:val="21"/>
                      <w:szCs w:val="21"/>
                      <w:lang w:val="en-US" w:eastAsia="zh-CN"/>
                    </w:rPr>
                  </w:pPr>
                  <w:r>
                    <w:rPr>
                      <w:rFonts w:hint="eastAsia"/>
                      <w:sz w:val="21"/>
                      <w:szCs w:val="21"/>
                      <w:lang w:val="en-US" w:eastAsia="zh-CN"/>
                    </w:rPr>
                    <w:t>重点防渗区防渗措施：地面与裙角基础必须防渗，采取2mm厚高密度聚乙烯（HDPE），渗透系数≤10-10cm/s。</w:t>
                  </w:r>
                </w:p>
                <w:p>
                  <w:pPr>
                    <w:bidi w:val="0"/>
                    <w:spacing w:line="240" w:lineRule="auto"/>
                    <w:jc w:val="both"/>
                    <w:rPr>
                      <w:rFonts w:hint="eastAsia"/>
                      <w:sz w:val="21"/>
                      <w:szCs w:val="21"/>
                      <w:lang w:val="en-US" w:eastAsia="zh-CN"/>
                    </w:rPr>
                  </w:pPr>
                  <w:r>
                    <w:rPr>
                      <w:rFonts w:hint="eastAsia"/>
                      <w:sz w:val="21"/>
                      <w:szCs w:val="21"/>
                      <w:lang w:val="en-US" w:eastAsia="zh-CN"/>
                    </w:rPr>
                    <w:t>泄漏收集措施：喷漆房、原料库和危废库周围做防渗及围堰等收集泄漏的风险防范措施。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9"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一般污染防治区</w:t>
                  </w:r>
                </w:p>
              </w:tc>
              <w:tc>
                <w:tcPr>
                  <w:tcW w:w="2970"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加工区、包装区、仓库等</w:t>
                  </w:r>
                </w:p>
              </w:tc>
              <w:tc>
                <w:tcPr>
                  <w:tcW w:w="3264" w:type="dxa"/>
                  <w:tcBorders>
                    <w:tl2br w:val="nil"/>
                    <w:tr2bl w:val="nil"/>
                  </w:tcBorders>
                  <w:vAlign w:val="center"/>
                </w:tcPr>
                <w:p>
                  <w:pPr>
                    <w:bidi w:val="0"/>
                    <w:spacing w:line="240" w:lineRule="auto"/>
                    <w:jc w:val="center"/>
                    <w:rPr>
                      <w:rFonts w:hint="eastAsia"/>
                      <w:sz w:val="21"/>
                      <w:szCs w:val="21"/>
                      <w:lang w:val="en-US" w:eastAsia="zh-CN"/>
                    </w:rPr>
                  </w:pPr>
                  <w:r>
                    <w:rPr>
                      <w:rFonts w:hint="eastAsia"/>
                      <w:sz w:val="21"/>
                      <w:szCs w:val="21"/>
                      <w:lang w:val="en-US" w:eastAsia="zh-CN"/>
                    </w:rPr>
                    <w:t>一般防渗区防渗措施，地面渗透系数≤1.0×10-7cm/s。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9"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简单防治区</w:t>
                  </w:r>
                </w:p>
              </w:tc>
              <w:tc>
                <w:tcPr>
                  <w:tcW w:w="2970"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办公室、门卫室</w:t>
                  </w:r>
                </w:p>
              </w:tc>
              <w:tc>
                <w:tcPr>
                  <w:tcW w:w="3264" w:type="dxa"/>
                  <w:tcBorders>
                    <w:tl2br w:val="nil"/>
                    <w:tr2bl w:val="nil"/>
                  </w:tcBorders>
                  <w:vAlign w:val="center"/>
                </w:tcPr>
                <w:p>
                  <w:pPr>
                    <w:bidi w:val="0"/>
                    <w:spacing w:line="240" w:lineRule="auto"/>
                    <w:jc w:val="center"/>
                    <w:rPr>
                      <w:rFonts w:hint="default"/>
                      <w:sz w:val="21"/>
                      <w:szCs w:val="21"/>
                      <w:lang w:val="en-US" w:eastAsia="zh-CN"/>
                    </w:rPr>
                  </w:pPr>
                  <w:r>
                    <w:rPr>
                      <w:rFonts w:hint="eastAsia"/>
                      <w:sz w:val="21"/>
                      <w:szCs w:val="21"/>
                      <w:lang w:val="en-US" w:eastAsia="zh-CN"/>
                    </w:rPr>
                    <w:t>一般地面硬化</w:t>
                  </w:r>
                </w:p>
              </w:tc>
            </w:tr>
          </w:tbl>
          <w:p>
            <w:pPr>
              <w:numPr>
                <w:ilvl w:val="0"/>
                <w:numId w:val="0"/>
              </w:numPr>
              <w:spacing w:line="360" w:lineRule="auto"/>
              <w:ind w:firstLine="482" w:firstLineChars="200"/>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应急预案编制要求：</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根据《建设项目危险废物环境影响评价指南》企业应编写危险废物事故应急预案，按照《建设项目风险评价技术导则》（HJ169-2018）对于本项目可能造成环境风险的突发性事故制定应急预案。</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突发环境事件应急预案编制要求如下：</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 xml:space="preserve">①按照国家、地方和相关部门要求，提出企业突发环境事件应急预案编制或完善的原则要求，包括预案适用范围、环境事件分类与分级、组织机构与职责、监控和预警、应急响应、应急保障、善后处理、预案管理与演练等内容。 </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②明确企业、</w:t>
            </w:r>
            <w:r>
              <w:rPr>
                <w:rFonts w:hint="eastAsia" w:eastAsia="宋体" w:cs="宋体"/>
                <w:kern w:val="2"/>
                <w:sz w:val="24"/>
                <w:szCs w:val="24"/>
                <w:highlight w:val="none"/>
                <w:lang w:val="en-US" w:eastAsia="zh-CN"/>
              </w:rPr>
              <w:t>湘阴县工业园</w:t>
            </w:r>
            <w:r>
              <w:rPr>
                <w:rFonts w:hint="eastAsia" w:cs="宋体"/>
                <w:kern w:val="2"/>
                <w:sz w:val="24"/>
                <w:szCs w:val="24"/>
                <w:highlight w:val="none"/>
                <w:lang w:val="en-US" w:eastAsia="zh-CN"/>
              </w:rPr>
              <w:t>、湘阴县人民政府环境风险应急体系。企业突发环境事件应急预案应体现分级响应、区域联动的原则，与《</w:t>
            </w:r>
            <w:r>
              <w:rPr>
                <w:rFonts w:hint="eastAsia" w:eastAsia="宋体" w:cs="宋体"/>
                <w:kern w:val="2"/>
                <w:sz w:val="24"/>
                <w:szCs w:val="24"/>
                <w:highlight w:val="none"/>
                <w:lang w:val="en-US" w:eastAsia="zh-CN"/>
              </w:rPr>
              <w:t>湘阴县工业园突发环境事件应急预案</w:t>
            </w:r>
            <w:r>
              <w:rPr>
                <w:rFonts w:hint="eastAsia" w:cs="宋体"/>
                <w:kern w:val="2"/>
                <w:sz w:val="24"/>
                <w:szCs w:val="24"/>
                <w:highlight w:val="none"/>
                <w:lang w:val="en-US" w:eastAsia="zh-CN"/>
              </w:rPr>
              <w:t>》和《湘阴县突发环境事件应急预案》相衔接，并明确分级响应程序。 应急预案主要编制内容及要求详见下表。</w:t>
            </w:r>
          </w:p>
          <w:p>
            <w:pPr>
              <w:numPr>
                <w:ilvl w:val="0"/>
                <w:numId w:val="0"/>
              </w:numPr>
              <w:spacing w:line="360" w:lineRule="auto"/>
              <w:jc w:val="center"/>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表4-16  应急预案主要编制内容及要求</w:t>
            </w:r>
          </w:p>
          <w:tbl>
            <w:tblPr>
              <w:tblStyle w:val="14"/>
              <w:tblW w:w="8073"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45"/>
              <w:gridCol w:w="58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tcBorders>
                    <w:tl2br w:val="nil"/>
                    <w:tr2bl w:val="nil"/>
                  </w:tcBorders>
                  <w:vAlign w:val="center"/>
                </w:tcPr>
                <w:p>
                  <w:pPr>
                    <w:bidi w:val="0"/>
                    <w:jc w:val="center"/>
                    <w:rPr>
                      <w:rFonts w:hint="default"/>
                      <w:b/>
                      <w:bCs/>
                      <w:sz w:val="21"/>
                      <w:szCs w:val="21"/>
                      <w:lang w:val="en-US" w:eastAsia="zh-CN"/>
                    </w:rPr>
                  </w:pPr>
                  <w:r>
                    <w:rPr>
                      <w:rFonts w:hint="eastAsia"/>
                      <w:b/>
                      <w:bCs/>
                      <w:sz w:val="21"/>
                      <w:szCs w:val="21"/>
                      <w:lang w:val="en-US" w:eastAsia="zh-CN"/>
                    </w:rPr>
                    <w:t>序号</w:t>
                  </w:r>
                </w:p>
              </w:tc>
              <w:tc>
                <w:tcPr>
                  <w:tcW w:w="1545" w:type="dxa"/>
                  <w:tcBorders>
                    <w:tl2br w:val="nil"/>
                    <w:tr2bl w:val="nil"/>
                  </w:tcBorders>
                  <w:vAlign w:val="center"/>
                </w:tcPr>
                <w:p>
                  <w:pPr>
                    <w:bidi w:val="0"/>
                    <w:jc w:val="center"/>
                    <w:rPr>
                      <w:rFonts w:hint="default"/>
                      <w:b/>
                      <w:bCs/>
                      <w:sz w:val="21"/>
                      <w:szCs w:val="21"/>
                      <w:lang w:val="en-US" w:eastAsia="zh-CN"/>
                    </w:rPr>
                  </w:pPr>
                  <w:r>
                    <w:rPr>
                      <w:rFonts w:hint="eastAsia"/>
                      <w:b/>
                      <w:bCs/>
                      <w:sz w:val="21"/>
                      <w:szCs w:val="21"/>
                      <w:lang w:val="en-US" w:eastAsia="zh-CN"/>
                    </w:rPr>
                    <w:t>项目</w:t>
                  </w:r>
                </w:p>
              </w:tc>
              <w:tc>
                <w:tcPr>
                  <w:tcW w:w="5814" w:type="dxa"/>
                  <w:tcBorders>
                    <w:tl2br w:val="nil"/>
                    <w:tr2bl w:val="nil"/>
                  </w:tcBorders>
                  <w:vAlign w:val="center"/>
                </w:tcPr>
                <w:p>
                  <w:pPr>
                    <w:bidi w:val="0"/>
                    <w:jc w:val="center"/>
                    <w:rPr>
                      <w:rFonts w:hint="default"/>
                      <w:b/>
                      <w:bCs/>
                      <w:sz w:val="21"/>
                      <w:szCs w:val="21"/>
                      <w:lang w:val="en-US" w:eastAsia="zh-CN"/>
                    </w:rPr>
                  </w:pPr>
                  <w:r>
                    <w:rPr>
                      <w:rFonts w:hint="eastAsia"/>
                      <w:b/>
                      <w:bCs/>
                      <w:sz w:val="21"/>
                      <w:szCs w:val="21"/>
                      <w:lang w:val="en-US" w:eastAsia="zh-CN"/>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1</w:t>
                  </w:r>
                </w:p>
              </w:tc>
              <w:tc>
                <w:tcPr>
                  <w:tcW w:w="1545"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编制原则</w:t>
                  </w:r>
                </w:p>
              </w:tc>
              <w:tc>
                <w:tcPr>
                  <w:tcW w:w="5814" w:type="dxa"/>
                  <w:tcBorders>
                    <w:tl2br w:val="nil"/>
                    <w:tr2bl w:val="nil"/>
                  </w:tcBorders>
                  <w:vAlign w:val="center"/>
                </w:tcPr>
                <w:p>
                  <w:pPr>
                    <w:bidi w:val="0"/>
                    <w:jc w:val="both"/>
                    <w:rPr>
                      <w:rFonts w:hint="eastAsia"/>
                      <w:sz w:val="21"/>
                      <w:szCs w:val="21"/>
                      <w:lang w:val="en-US" w:eastAsia="zh-CN"/>
                    </w:rPr>
                  </w:pPr>
                  <w:r>
                    <w:rPr>
                      <w:rFonts w:hint="eastAsia"/>
                      <w:sz w:val="21"/>
                      <w:szCs w:val="21"/>
                      <w:lang w:val="en-US" w:eastAsia="zh-CN"/>
                    </w:rPr>
                    <w:t>符合国家有关规定和要求，结合本单位实际；救人第一、环境优先；先期处置、防止危害扩大；快速响应、科学应对；应急工作与岗位职责相结合等。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2</w:t>
                  </w:r>
                </w:p>
              </w:tc>
              <w:tc>
                <w:tcPr>
                  <w:tcW w:w="1545"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适用范围</w:t>
                  </w:r>
                </w:p>
              </w:tc>
              <w:tc>
                <w:tcPr>
                  <w:tcW w:w="5814" w:type="dxa"/>
                  <w:tcBorders>
                    <w:tl2br w:val="nil"/>
                    <w:tr2bl w:val="nil"/>
                  </w:tcBorders>
                  <w:vAlign w:val="center"/>
                </w:tcPr>
                <w:p>
                  <w:pPr>
                    <w:bidi w:val="0"/>
                    <w:jc w:val="both"/>
                    <w:rPr>
                      <w:rFonts w:hint="eastAsia"/>
                      <w:sz w:val="21"/>
                      <w:szCs w:val="21"/>
                      <w:lang w:val="en-US" w:eastAsia="zh-CN"/>
                    </w:rPr>
                  </w:pPr>
                  <w:r>
                    <w:rPr>
                      <w:rFonts w:hint="eastAsia"/>
                      <w:sz w:val="21"/>
                      <w:szCs w:val="21"/>
                      <w:lang w:val="en-US" w:eastAsia="zh-CN"/>
                    </w:rPr>
                    <w:t>明确预案适用的主体、地理或管理范围、事件类别、工作内容等。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3</w:t>
                  </w:r>
                </w:p>
              </w:tc>
              <w:tc>
                <w:tcPr>
                  <w:tcW w:w="1545"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环境事件分类与分级</w:t>
                  </w:r>
                </w:p>
              </w:tc>
              <w:tc>
                <w:tcPr>
                  <w:tcW w:w="5814" w:type="dxa"/>
                  <w:tcBorders>
                    <w:tl2br w:val="nil"/>
                    <w:tr2bl w:val="nil"/>
                  </w:tcBorders>
                  <w:vAlign w:val="center"/>
                </w:tcPr>
                <w:p>
                  <w:pPr>
                    <w:bidi w:val="0"/>
                    <w:jc w:val="both"/>
                    <w:rPr>
                      <w:rFonts w:hint="eastAsia"/>
                      <w:sz w:val="21"/>
                      <w:szCs w:val="21"/>
                      <w:lang w:val="en-US" w:eastAsia="zh-CN"/>
                    </w:rPr>
                  </w:pPr>
                  <w:r>
                    <w:rPr>
                      <w:rFonts w:hint="eastAsia"/>
                      <w:sz w:val="21"/>
                      <w:szCs w:val="21"/>
                      <w:lang w:val="en-US" w:eastAsia="zh-CN"/>
                    </w:rPr>
                    <w:t>根据《企业突发环境事件风险分级防范》（HJ941-2018）进行环境风险分级判定。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4</w:t>
                  </w:r>
                </w:p>
              </w:tc>
              <w:tc>
                <w:tcPr>
                  <w:tcW w:w="1545"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组织机构与职责</w:t>
                  </w:r>
                </w:p>
              </w:tc>
              <w:tc>
                <w:tcPr>
                  <w:tcW w:w="5814" w:type="dxa"/>
                  <w:tcBorders>
                    <w:tl2br w:val="nil"/>
                    <w:tr2bl w:val="nil"/>
                  </w:tcBorders>
                  <w:vAlign w:val="center"/>
                </w:tcPr>
                <w:p>
                  <w:pPr>
                    <w:bidi w:val="0"/>
                    <w:jc w:val="both"/>
                    <w:rPr>
                      <w:rFonts w:hint="eastAsia"/>
                      <w:sz w:val="21"/>
                      <w:szCs w:val="21"/>
                      <w:lang w:val="en-US" w:eastAsia="zh-CN"/>
                    </w:rPr>
                  </w:pPr>
                  <w:r>
                    <w:rPr>
                      <w:rFonts w:hint="eastAsia"/>
                      <w:sz w:val="21"/>
                      <w:szCs w:val="21"/>
                      <w:lang w:val="en-US" w:eastAsia="zh-CN"/>
                    </w:rPr>
                    <w:t>以应急组织体系结构图、应急响应流程图的形式，说明组织体系构成、应急指挥运行机制，配有应急队伍成员名单和联系方式表；明确组织体系的构成及其职责；明确应急状态下指挥运行机制，建立统一的应急指挥、协调和决策程序；根据突发环境事件的危害程度、影响范围、周边环境敏感点、企业应急响应能力等，建立分级应急响应机制，明确不同应急响应级别对应的指挥权限；说明企业与政府及其有关部门之间的关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5</w:t>
                  </w:r>
                </w:p>
              </w:tc>
              <w:tc>
                <w:tcPr>
                  <w:tcW w:w="1545"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监控和预警</w:t>
                  </w:r>
                </w:p>
              </w:tc>
              <w:tc>
                <w:tcPr>
                  <w:tcW w:w="5814" w:type="dxa"/>
                  <w:tcBorders>
                    <w:tl2br w:val="nil"/>
                    <w:tr2bl w:val="nil"/>
                  </w:tcBorders>
                  <w:vAlign w:val="center"/>
                </w:tcPr>
                <w:p>
                  <w:pPr>
                    <w:bidi w:val="0"/>
                    <w:jc w:val="both"/>
                    <w:rPr>
                      <w:rFonts w:hint="eastAsia"/>
                      <w:sz w:val="21"/>
                      <w:szCs w:val="21"/>
                      <w:lang w:val="en-US" w:eastAsia="zh-CN"/>
                    </w:rPr>
                  </w:pPr>
                  <w:r>
                    <w:rPr>
                      <w:rFonts w:hint="eastAsia"/>
                      <w:sz w:val="21"/>
                      <w:szCs w:val="21"/>
                      <w:lang w:val="en-US" w:eastAsia="zh-CN"/>
                    </w:rPr>
                    <w:t>建立企业内部监控预警方案；明确监控信息的获得途径和分 析研判的方式方法；明确企业内部预警条件，预警等级，预警信息发布、接收、调整、解除程序、发布内容、责任人。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6</w:t>
                  </w:r>
                </w:p>
              </w:tc>
              <w:tc>
                <w:tcPr>
                  <w:tcW w:w="1545"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应急响应</w:t>
                  </w:r>
                </w:p>
              </w:tc>
              <w:tc>
                <w:tcPr>
                  <w:tcW w:w="5814" w:type="dxa"/>
                  <w:tcBorders>
                    <w:tl2br w:val="nil"/>
                    <w:tr2bl w:val="nil"/>
                  </w:tcBorders>
                  <w:vAlign w:val="center"/>
                </w:tcPr>
                <w:p>
                  <w:pPr>
                    <w:bidi w:val="0"/>
                    <w:jc w:val="both"/>
                    <w:rPr>
                      <w:rFonts w:hint="eastAsia"/>
                      <w:sz w:val="21"/>
                      <w:szCs w:val="21"/>
                      <w:lang w:val="en-US" w:eastAsia="zh-CN"/>
                    </w:rPr>
                  </w:pPr>
                  <w:r>
                    <w:rPr>
                      <w:rFonts w:hint="eastAsia"/>
                      <w:sz w:val="21"/>
                      <w:szCs w:val="21"/>
                      <w:lang w:val="en-US" w:eastAsia="zh-CN"/>
                    </w:rPr>
                    <w:t>根据企业突发环境事件分类与分级结果，制定相应应急响应程序。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7</w:t>
                  </w:r>
                </w:p>
              </w:tc>
              <w:tc>
                <w:tcPr>
                  <w:tcW w:w="1545"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应急保障</w:t>
                  </w:r>
                </w:p>
              </w:tc>
              <w:tc>
                <w:tcPr>
                  <w:tcW w:w="5814" w:type="dxa"/>
                  <w:tcBorders>
                    <w:tl2br w:val="nil"/>
                    <w:tr2bl w:val="nil"/>
                  </w:tcBorders>
                  <w:vAlign w:val="center"/>
                </w:tcPr>
                <w:p>
                  <w:pPr>
                    <w:bidi w:val="0"/>
                    <w:jc w:val="both"/>
                    <w:rPr>
                      <w:rFonts w:hint="eastAsia"/>
                      <w:sz w:val="21"/>
                      <w:szCs w:val="21"/>
                      <w:lang w:val="en-US" w:eastAsia="zh-CN"/>
                    </w:rPr>
                  </w:pPr>
                  <w:r>
                    <w:rPr>
                      <w:rFonts w:hint="eastAsia"/>
                      <w:sz w:val="21"/>
                      <w:szCs w:val="21"/>
                      <w:lang w:val="en-US" w:eastAsia="zh-CN"/>
                    </w:rPr>
                    <w:t>说明环境应急预案涉及的人力资源、财力、物资以及其他技术、重要设施的保障。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8</w:t>
                  </w:r>
                </w:p>
              </w:tc>
              <w:tc>
                <w:tcPr>
                  <w:tcW w:w="1545"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善后处理</w:t>
                  </w:r>
                </w:p>
              </w:tc>
              <w:tc>
                <w:tcPr>
                  <w:tcW w:w="5814" w:type="dxa"/>
                  <w:tcBorders>
                    <w:tl2br w:val="nil"/>
                    <w:tr2bl w:val="nil"/>
                  </w:tcBorders>
                  <w:vAlign w:val="center"/>
                </w:tcPr>
                <w:p>
                  <w:pPr>
                    <w:bidi w:val="0"/>
                    <w:jc w:val="both"/>
                    <w:rPr>
                      <w:rFonts w:hint="eastAsia"/>
                      <w:sz w:val="21"/>
                      <w:szCs w:val="21"/>
                      <w:lang w:val="en-US" w:eastAsia="zh-CN"/>
                    </w:rPr>
                  </w:pPr>
                  <w:r>
                    <w:rPr>
                      <w:rFonts w:hint="eastAsia"/>
                      <w:sz w:val="21"/>
                      <w:szCs w:val="21"/>
                      <w:lang w:val="en-US" w:eastAsia="zh-CN"/>
                    </w:rPr>
                    <w:t>结合本单位实际，说明应急终止的条件和发布程序；说明事后恢复的工作内容和责任人，一般包括：现场污染物的后续处理；环境应急相关设施、设备、场所的维护；配合开展环境损害评估、赔偿、事件调查处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9</w:t>
                  </w:r>
                </w:p>
              </w:tc>
              <w:tc>
                <w:tcPr>
                  <w:tcW w:w="1545" w:type="dxa"/>
                  <w:tcBorders>
                    <w:tl2br w:val="nil"/>
                    <w:tr2bl w:val="nil"/>
                  </w:tcBorders>
                  <w:vAlign w:val="center"/>
                </w:tcPr>
                <w:p>
                  <w:pPr>
                    <w:bidi w:val="0"/>
                    <w:jc w:val="center"/>
                    <w:rPr>
                      <w:rFonts w:hint="default"/>
                      <w:sz w:val="21"/>
                      <w:szCs w:val="21"/>
                      <w:lang w:val="en-US" w:eastAsia="zh-CN"/>
                    </w:rPr>
                  </w:pPr>
                  <w:r>
                    <w:rPr>
                      <w:rFonts w:hint="eastAsia"/>
                      <w:sz w:val="21"/>
                      <w:szCs w:val="21"/>
                      <w:lang w:val="en-US" w:eastAsia="zh-CN"/>
                    </w:rPr>
                    <w:t>预案管理与演练</w:t>
                  </w:r>
                </w:p>
              </w:tc>
              <w:tc>
                <w:tcPr>
                  <w:tcW w:w="5814" w:type="dxa"/>
                  <w:tcBorders>
                    <w:tl2br w:val="nil"/>
                    <w:tr2bl w:val="nil"/>
                  </w:tcBorders>
                  <w:vAlign w:val="center"/>
                </w:tcPr>
                <w:p>
                  <w:pPr>
                    <w:bidi w:val="0"/>
                    <w:jc w:val="both"/>
                    <w:rPr>
                      <w:rFonts w:hint="eastAsia"/>
                      <w:sz w:val="21"/>
                      <w:szCs w:val="21"/>
                      <w:lang w:val="en-US" w:eastAsia="zh-CN"/>
                    </w:rPr>
                  </w:pPr>
                  <w:r>
                    <w:rPr>
                      <w:rFonts w:hint="eastAsia"/>
                      <w:sz w:val="21"/>
                      <w:szCs w:val="21"/>
                      <w:lang w:val="en-US" w:eastAsia="zh-CN"/>
                    </w:rPr>
                    <w:t>明确环境应急预案的评估修订要求；安排有关环境应急预案 的培训和演练。</w:t>
                  </w:r>
                </w:p>
              </w:tc>
            </w:tr>
          </w:tbl>
          <w:p>
            <w:pPr>
              <w:numPr>
                <w:ilvl w:val="0"/>
                <w:numId w:val="0"/>
              </w:numPr>
              <w:spacing w:line="360" w:lineRule="auto"/>
              <w:ind w:firstLine="480" w:firstLineChars="200"/>
              <w:rPr>
                <w:rFonts w:hint="default" w:cs="宋体"/>
                <w:kern w:val="2"/>
                <w:sz w:val="24"/>
                <w:szCs w:val="24"/>
                <w:highlight w:val="none"/>
                <w:lang w:val="en-US" w:eastAsia="zh-CN"/>
              </w:rPr>
            </w:pPr>
            <w:r>
              <w:rPr>
                <w:rFonts w:hint="eastAsia" w:cs="宋体"/>
                <w:kern w:val="2"/>
                <w:sz w:val="24"/>
                <w:szCs w:val="24"/>
                <w:highlight w:val="none"/>
                <w:lang w:val="en-US" w:eastAsia="zh-CN"/>
              </w:rPr>
              <w:t>（5）结论</w:t>
            </w:r>
          </w:p>
          <w:p>
            <w:pPr>
              <w:numPr>
                <w:ilvl w:val="0"/>
                <w:numId w:val="0"/>
              </w:numPr>
              <w:spacing w:line="360" w:lineRule="auto"/>
              <w:ind w:firstLine="480" w:firstLineChars="200"/>
              <w:rPr>
                <w:rFonts w:hint="eastAsia" w:cs="宋体"/>
                <w:kern w:val="2"/>
                <w:sz w:val="24"/>
                <w:szCs w:val="24"/>
                <w:highlight w:val="none"/>
                <w:lang w:val="en-US" w:eastAsia="zh-CN"/>
              </w:rPr>
            </w:pPr>
            <w:r>
              <w:rPr>
                <w:rFonts w:hint="eastAsia" w:cs="宋体"/>
                <w:kern w:val="2"/>
                <w:sz w:val="24"/>
                <w:szCs w:val="24"/>
                <w:highlight w:val="none"/>
                <w:lang w:val="en-US" w:eastAsia="zh-CN"/>
              </w:rPr>
              <w:t>本项目具有潜在的危险物质泄漏、火灾事故风险，企业应该认真做好各项风险防范措施，完善生产管理制度，严格按规范操作，杜绝风险事故，同时应制定应急预案，使各部门在事故发生后能有步骤、有秩序地采取各项应急措施，并与湘阴县突发环境事件急预案衔接，统一采取救援行动。加强对全体员工防范事故风险能力的培训，建立应急计划和事故应急预案。</w:t>
            </w:r>
          </w:p>
          <w:p>
            <w:pPr>
              <w:pStyle w:val="6"/>
              <w:spacing w:line="360" w:lineRule="auto"/>
              <w:ind w:firstLine="480"/>
              <w:rPr>
                <w:rFonts w:hint="eastAsia" w:cs="宋体"/>
                <w:kern w:val="2"/>
                <w:sz w:val="24"/>
                <w:szCs w:val="24"/>
                <w:highlight w:val="none"/>
                <w:lang w:val="en-US" w:eastAsia="zh-CN"/>
              </w:rPr>
            </w:pPr>
            <w:r>
              <w:rPr>
                <w:rFonts w:hint="eastAsia" w:cs="宋体"/>
                <w:kern w:val="2"/>
                <w:sz w:val="24"/>
                <w:szCs w:val="24"/>
                <w:highlight w:val="none"/>
                <w:lang w:val="en-US" w:eastAsia="zh-CN"/>
              </w:rPr>
              <w:t>在加强监控、建立前述风险防范措施，并制定切实可行的应急预案的情况下，本项目的环境风险是可以接受的。</w:t>
            </w:r>
          </w:p>
          <w:p>
            <w:pPr>
              <w:pStyle w:val="6"/>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建设项目环境风险简单分析内容表如下：</w:t>
            </w:r>
          </w:p>
          <w:p>
            <w:pPr>
              <w:spacing w:line="360" w:lineRule="auto"/>
              <w:jc w:val="center"/>
              <w:rPr>
                <w:rFonts w:hint="default" w:ascii="Times New Roman" w:hAnsi="Times New Roman" w:cs="Times New Roman"/>
                <w:b/>
                <w:bCs/>
                <w:color w:val="auto"/>
                <w:sz w:val="24"/>
                <w:szCs w:val="24"/>
                <w:u w:val="none" w:color="auto"/>
              </w:rPr>
            </w:pPr>
            <w:r>
              <w:rPr>
                <w:rFonts w:hint="default" w:cs="宋体"/>
                <w:b/>
                <w:bCs/>
                <w:kern w:val="2"/>
                <w:sz w:val="24"/>
                <w:szCs w:val="24"/>
                <w:highlight w:val="none"/>
                <w:lang w:val="en-US" w:eastAsia="zh-CN"/>
              </w:rPr>
              <w:t>表4-</w:t>
            </w:r>
            <w:r>
              <w:rPr>
                <w:rFonts w:hint="eastAsia" w:cs="宋体"/>
                <w:b/>
                <w:bCs/>
                <w:kern w:val="2"/>
                <w:sz w:val="24"/>
                <w:szCs w:val="24"/>
                <w:highlight w:val="none"/>
                <w:lang w:val="en-US" w:eastAsia="zh-CN"/>
              </w:rPr>
              <w:t>17</w:t>
            </w:r>
            <w:r>
              <w:rPr>
                <w:rFonts w:hint="default" w:cs="宋体"/>
                <w:b/>
                <w:bCs/>
                <w:kern w:val="2"/>
                <w:sz w:val="24"/>
                <w:szCs w:val="24"/>
                <w:highlight w:val="none"/>
                <w:lang w:val="en-US" w:eastAsia="zh-CN"/>
              </w:rPr>
              <w:t xml:space="preserve">  建设项目环境风险简单分析内容表</w:t>
            </w:r>
          </w:p>
          <w:tbl>
            <w:tblPr>
              <w:tblStyle w:val="13"/>
              <w:tblW w:w="4999"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1117"/>
              <w:gridCol w:w="1768"/>
              <w:gridCol w:w="3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1" w:type="pct"/>
                  <w:tcBorders>
                    <w:tl2br w:val="nil"/>
                    <w:tr2bl w:val="nil"/>
                  </w:tcBorders>
                  <w:noWrap w:val="0"/>
                  <w:vAlign w:val="center"/>
                </w:tcPr>
                <w:p>
                  <w:pPr>
                    <w:bidi w:val="0"/>
                    <w:spacing w:line="240" w:lineRule="auto"/>
                    <w:jc w:val="center"/>
                    <w:rPr>
                      <w:rFonts w:hint="default"/>
                    </w:rPr>
                  </w:pPr>
                  <w:r>
                    <w:rPr>
                      <w:rFonts w:hint="default"/>
                    </w:rPr>
                    <w:t>建设项目名称</w:t>
                  </w:r>
                </w:p>
              </w:tc>
              <w:tc>
                <w:tcPr>
                  <w:tcW w:w="3788" w:type="pct"/>
                  <w:gridSpan w:val="3"/>
                  <w:tcBorders>
                    <w:tl2br w:val="nil"/>
                    <w:tr2bl w:val="nil"/>
                  </w:tcBorders>
                  <w:noWrap w:val="0"/>
                  <w:vAlign w:val="center"/>
                </w:tcPr>
                <w:p>
                  <w:pPr>
                    <w:bidi w:val="0"/>
                    <w:spacing w:line="240" w:lineRule="auto"/>
                    <w:jc w:val="center"/>
                    <w:rPr>
                      <w:rFonts w:hint="default"/>
                    </w:rPr>
                  </w:pPr>
                  <w:r>
                    <w:rPr>
                      <w:rFonts w:hint="eastAsia"/>
                      <w:lang w:val="en-US" w:eastAsia="zh-CN"/>
                    </w:rPr>
                    <w:t>机加工基地（年产7600吨钢结构件）扩建项目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1" w:type="pct"/>
                  <w:tcBorders>
                    <w:tl2br w:val="nil"/>
                    <w:tr2bl w:val="nil"/>
                  </w:tcBorders>
                  <w:noWrap w:val="0"/>
                  <w:vAlign w:val="center"/>
                </w:tcPr>
                <w:p>
                  <w:pPr>
                    <w:bidi w:val="0"/>
                    <w:spacing w:line="240" w:lineRule="auto"/>
                    <w:jc w:val="center"/>
                    <w:rPr>
                      <w:rFonts w:hint="default"/>
                    </w:rPr>
                  </w:pPr>
                  <w:r>
                    <w:rPr>
                      <w:rFonts w:hint="default"/>
                    </w:rPr>
                    <w:t>建设地点</w:t>
                  </w:r>
                </w:p>
              </w:tc>
              <w:tc>
                <w:tcPr>
                  <w:tcW w:w="694" w:type="pct"/>
                  <w:tcBorders>
                    <w:tl2br w:val="nil"/>
                    <w:tr2bl w:val="nil"/>
                  </w:tcBorders>
                  <w:noWrap w:val="0"/>
                  <w:vAlign w:val="center"/>
                </w:tcPr>
                <w:p>
                  <w:pPr>
                    <w:bidi w:val="0"/>
                    <w:spacing w:line="240" w:lineRule="auto"/>
                    <w:jc w:val="center"/>
                    <w:rPr>
                      <w:rFonts w:hint="eastAsia"/>
                      <w:lang w:eastAsia="zh-CN"/>
                    </w:rPr>
                  </w:pPr>
                  <w:r>
                    <w:rPr>
                      <w:rFonts w:hint="eastAsia"/>
                      <w:lang w:eastAsia="zh-CN"/>
                    </w:rPr>
                    <w:t>湖南省</w:t>
                  </w:r>
                </w:p>
              </w:tc>
              <w:tc>
                <w:tcPr>
                  <w:tcW w:w="1099" w:type="pct"/>
                  <w:tcBorders>
                    <w:tl2br w:val="nil"/>
                    <w:tr2bl w:val="nil"/>
                  </w:tcBorders>
                  <w:noWrap w:val="0"/>
                  <w:vAlign w:val="center"/>
                </w:tcPr>
                <w:p>
                  <w:pPr>
                    <w:bidi w:val="0"/>
                    <w:spacing w:line="240" w:lineRule="auto"/>
                    <w:jc w:val="center"/>
                    <w:rPr>
                      <w:rFonts w:hint="eastAsia"/>
                      <w:lang w:eastAsia="zh-CN"/>
                    </w:rPr>
                  </w:pPr>
                  <w:r>
                    <w:rPr>
                      <w:rFonts w:hint="eastAsia"/>
                      <w:lang w:eastAsia="zh-CN"/>
                    </w:rPr>
                    <w:t>岳阳市</w:t>
                  </w:r>
                </w:p>
              </w:tc>
              <w:tc>
                <w:tcPr>
                  <w:tcW w:w="1994" w:type="pct"/>
                  <w:tcBorders>
                    <w:tl2br w:val="nil"/>
                    <w:tr2bl w:val="nil"/>
                  </w:tcBorders>
                  <w:noWrap w:val="0"/>
                  <w:vAlign w:val="center"/>
                </w:tcPr>
                <w:p>
                  <w:pPr>
                    <w:bidi w:val="0"/>
                    <w:spacing w:line="240" w:lineRule="auto"/>
                    <w:jc w:val="center"/>
                    <w:rPr>
                      <w:rFonts w:hint="default"/>
                      <w:lang w:eastAsia="zh-CN"/>
                    </w:rPr>
                  </w:pPr>
                  <w:r>
                    <w:rPr>
                      <w:rFonts w:hint="eastAsia"/>
                      <w:lang w:val="en-US" w:eastAsia="zh-CN"/>
                    </w:rPr>
                    <w:t>湖南省岳阳市湘阴县工业园区顺天大道以南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1" w:type="pct"/>
                  <w:tcBorders>
                    <w:tl2br w:val="nil"/>
                    <w:tr2bl w:val="nil"/>
                  </w:tcBorders>
                  <w:noWrap w:val="0"/>
                  <w:vAlign w:val="center"/>
                </w:tcPr>
                <w:p>
                  <w:pPr>
                    <w:bidi w:val="0"/>
                    <w:spacing w:line="240" w:lineRule="auto"/>
                    <w:jc w:val="center"/>
                    <w:rPr>
                      <w:rFonts w:hint="default"/>
                    </w:rPr>
                  </w:pPr>
                  <w:r>
                    <w:rPr>
                      <w:rFonts w:hint="default"/>
                    </w:rPr>
                    <w:t>地理坐标</w:t>
                  </w:r>
                </w:p>
              </w:tc>
              <w:tc>
                <w:tcPr>
                  <w:tcW w:w="3788" w:type="pct"/>
                  <w:gridSpan w:val="3"/>
                  <w:tcBorders>
                    <w:tl2br w:val="nil"/>
                    <w:tr2bl w:val="nil"/>
                  </w:tcBorders>
                  <w:noWrap w:val="0"/>
                  <w:vAlign w:val="center"/>
                </w:tcPr>
                <w:p>
                  <w:pPr>
                    <w:bidi w:val="0"/>
                    <w:spacing w:line="240" w:lineRule="auto"/>
                    <w:jc w:val="center"/>
                    <w:rPr>
                      <w:rFonts w:hint="default"/>
                    </w:rPr>
                  </w:pPr>
                  <w:r>
                    <w:rPr>
                      <w:rFonts w:hint="default"/>
                    </w:rPr>
                    <w:t>1#~3#车间（112度54分30.511秒，28度37分53.724秒）</w:t>
                  </w:r>
                </w:p>
                <w:p>
                  <w:pPr>
                    <w:bidi w:val="0"/>
                    <w:spacing w:line="240" w:lineRule="auto"/>
                    <w:jc w:val="center"/>
                    <w:rPr>
                      <w:rFonts w:hint="default"/>
                    </w:rPr>
                  </w:pPr>
                  <w:r>
                    <w:rPr>
                      <w:rFonts w:hint="default"/>
                    </w:rPr>
                    <w:t>4#车间（112度54分36.691秒，28度37分46.617秒）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1" w:type="pct"/>
                  <w:tcBorders>
                    <w:tl2br w:val="nil"/>
                    <w:tr2bl w:val="nil"/>
                  </w:tcBorders>
                  <w:noWrap w:val="0"/>
                  <w:vAlign w:val="center"/>
                </w:tcPr>
                <w:p>
                  <w:pPr>
                    <w:bidi w:val="0"/>
                    <w:spacing w:line="240" w:lineRule="auto"/>
                    <w:jc w:val="center"/>
                    <w:rPr>
                      <w:rFonts w:hint="default"/>
                    </w:rPr>
                  </w:pPr>
                  <w:r>
                    <w:rPr>
                      <w:rFonts w:hint="default"/>
                    </w:rPr>
                    <w:t>主要危险物质</w:t>
                  </w:r>
                </w:p>
                <w:p>
                  <w:pPr>
                    <w:bidi w:val="0"/>
                    <w:spacing w:line="240" w:lineRule="auto"/>
                    <w:jc w:val="center"/>
                    <w:rPr>
                      <w:rFonts w:hint="default"/>
                    </w:rPr>
                  </w:pPr>
                  <w:r>
                    <w:rPr>
                      <w:rFonts w:hint="default"/>
                    </w:rPr>
                    <w:t>及分布</w:t>
                  </w:r>
                </w:p>
              </w:tc>
              <w:tc>
                <w:tcPr>
                  <w:tcW w:w="3788" w:type="pct"/>
                  <w:gridSpan w:val="3"/>
                  <w:tcBorders>
                    <w:tl2br w:val="nil"/>
                    <w:tr2bl w:val="nil"/>
                  </w:tcBorders>
                  <w:noWrap w:val="0"/>
                  <w:vAlign w:val="center"/>
                </w:tcPr>
                <w:p>
                  <w:pPr>
                    <w:bidi w:val="0"/>
                    <w:spacing w:line="240" w:lineRule="auto"/>
                    <w:jc w:val="center"/>
                    <w:rPr>
                      <w:rFonts w:hint="default"/>
                      <w:lang w:val="en-US" w:eastAsia="zh-CN"/>
                    </w:rPr>
                  </w:pPr>
                  <w:r>
                    <w:rPr>
                      <w:rFonts w:hint="eastAsia"/>
                      <w:lang w:val="en-US" w:eastAsia="zh-CN"/>
                    </w:rPr>
                    <w:t>车间辅料库及车间、危废暂存间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1" w:type="pct"/>
                  <w:tcBorders>
                    <w:tl2br w:val="nil"/>
                    <w:tr2bl w:val="nil"/>
                  </w:tcBorders>
                  <w:noWrap w:val="0"/>
                  <w:vAlign w:val="center"/>
                </w:tcPr>
                <w:p>
                  <w:pPr>
                    <w:bidi w:val="0"/>
                    <w:spacing w:line="240" w:lineRule="auto"/>
                    <w:jc w:val="center"/>
                    <w:rPr>
                      <w:rFonts w:hint="default"/>
                    </w:rPr>
                  </w:pPr>
                  <w:r>
                    <w:rPr>
                      <w:rFonts w:hint="default"/>
                    </w:rPr>
                    <w:t>环境影响途径及危害后果(大气、地表水、地下水等)</w:t>
                  </w:r>
                </w:p>
              </w:tc>
              <w:tc>
                <w:tcPr>
                  <w:tcW w:w="3788" w:type="pct"/>
                  <w:gridSpan w:val="3"/>
                  <w:tcBorders>
                    <w:tl2br w:val="nil"/>
                    <w:tr2bl w:val="nil"/>
                  </w:tcBorders>
                  <w:noWrap w:val="0"/>
                  <w:vAlign w:val="center"/>
                </w:tcPr>
                <w:p>
                  <w:pPr>
                    <w:bidi w:val="0"/>
                    <w:spacing w:line="240" w:lineRule="auto"/>
                    <w:jc w:val="center"/>
                    <w:rPr>
                      <w:rFonts w:hint="default"/>
                      <w:lang w:val="en-US" w:eastAsia="zh-CN"/>
                    </w:rPr>
                  </w:pPr>
                  <w:r>
                    <w:rPr>
                      <w:rFonts w:hint="eastAsia"/>
                      <w:lang w:val="en-US" w:eastAsia="zh-CN"/>
                    </w:rPr>
                    <w:t>如不做好防范措施，机油、危险废物泄漏导致周边水体污染，厂区内遇明火导致火灾爆炸，会对周边大气造成影响。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1" w:type="pct"/>
                  <w:tcBorders>
                    <w:tl2br w:val="nil"/>
                    <w:tr2bl w:val="nil"/>
                  </w:tcBorders>
                  <w:noWrap w:val="0"/>
                  <w:vAlign w:val="center"/>
                </w:tcPr>
                <w:p>
                  <w:pPr>
                    <w:bidi w:val="0"/>
                    <w:spacing w:line="240" w:lineRule="auto"/>
                    <w:jc w:val="center"/>
                    <w:rPr>
                      <w:rFonts w:hint="default"/>
                    </w:rPr>
                  </w:pPr>
                  <w:r>
                    <w:rPr>
                      <w:rFonts w:hint="default"/>
                    </w:rPr>
                    <w:t>风险防范措施要求</w:t>
                  </w:r>
                </w:p>
              </w:tc>
              <w:tc>
                <w:tcPr>
                  <w:tcW w:w="3788" w:type="pct"/>
                  <w:gridSpan w:val="3"/>
                  <w:tcBorders>
                    <w:tl2br w:val="nil"/>
                    <w:tr2bl w:val="nil"/>
                  </w:tcBorders>
                  <w:noWrap w:val="0"/>
                  <w:vAlign w:val="center"/>
                </w:tcPr>
                <w:p>
                  <w:pPr>
                    <w:bidi w:val="0"/>
                    <w:spacing w:line="240" w:lineRule="auto"/>
                    <w:jc w:val="center"/>
                    <w:rPr>
                      <w:rFonts w:hint="default"/>
                      <w:lang w:eastAsia="zh-CN"/>
                    </w:rPr>
                  </w:pPr>
                  <w:r>
                    <w:rPr>
                      <w:rFonts w:hint="eastAsia"/>
                      <w:lang w:val="en-US" w:eastAsia="zh-CN"/>
                    </w:rPr>
                    <w:t>①加强职工的环保教育，提高安全防范风险的意识； ②厂区地面进行硬化； ③机油需放置储存间内，且地面进行硬化，门口设置拱背型围堰，禁止明火。 ④建立夜间值班巡查制度； ⑤危废暂存间应按规范设置，防止泄漏的危废污染地表水体。同时，应强化管理，采用合格的容器储存危废，并及时交有资质的单位处置</w:t>
                  </w:r>
                  <w:r>
                    <w:rPr>
                      <w:rFonts w:hint="default"/>
                      <w:lang w:eastAsia="zh-CN"/>
                    </w:rPr>
                    <w:t>。</w:t>
                  </w:r>
                </w:p>
              </w:tc>
            </w:tr>
          </w:tbl>
          <w:p>
            <w:pPr>
              <w:numPr>
                <w:ilvl w:val="0"/>
                <w:numId w:val="0"/>
              </w:numPr>
              <w:spacing w:line="360" w:lineRule="auto"/>
              <w:ind w:firstLine="420" w:firstLineChars="200"/>
              <w:rPr>
                <w:rFonts w:hint="default"/>
                <w:vertAlign w:val="baseline"/>
                <w:lang w:val="en-US" w:eastAsia="zh-CN"/>
              </w:rPr>
            </w:pPr>
          </w:p>
        </w:tc>
      </w:tr>
    </w:tbl>
    <w:p>
      <w:pPr>
        <w:rPr>
          <w:rFonts w:hint="eastAsia" w:eastAsia="宋体"/>
          <w:lang w:val="en-US" w:eastAsia="zh-CN"/>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11"/>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5" w:name="_Hlk54167917"/>
      <w:r>
        <w:rPr>
          <w:rFonts w:hint="eastAsia" w:ascii="黑体" w:hAnsi="黑体" w:eastAsia="黑体"/>
          <w:snapToGrid w:val="0"/>
          <w:sz w:val="30"/>
          <w:szCs w:val="30"/>
        </w:rPr>
        <w:t>环境保护措施监督检查清单</w:t>
      </w:r>
      <w:bookmarkEnd w:id="5"/>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675"/>
        <w:gridCol w:w="1364"/>
        <w:gridCol w:w="1909"/>
        <w:gridCol w:w="20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adjustRightInd w:val="0"/>
              <w:snapToGrid w:val="0"/>
              <w:ind w:firstLine="840"/>
              <w:rPr>
                <w:rFonts w:hint="eastAsia" w:ascii="宋体" w:hAnsi="宋体" w:cs="宋体"/>
                <w:szCs w:val="21"/>
              </w:rPr>
            </w:pPr>
            <w:r>
              <w:rPr>
                <w:rFonts w:hint="eastAsia" w:ascii="宋体" w:hAnsi="宋体" w:cs="宋体"/>
                <w:szCs w:val="21"/>
              </w:rPr>
              <w:t>内容</w:t>
            </w:r>
          </w:p>
          <w:p>
            <w:pPr>
              <w:adjustRightInd w:val="0"/>
              <w:snapToGrid w:val="0"/>
              <w:rPr>
                <w:rFonts w:hint="eastAsia" w:ascii="宋体" w:hAnsi="宋体" w:cs="宋体"/>
                <w:szCs w:val="21"/>
              </w:rPr>
            </w:pPr>
            <w:r>
              <w:rPr>
                <w:rFonts w:hint="eastAsia" w:ascii="宋体" w:hAnsi="宋体" w:cs="宋体"/>
                <w:szCs w:val="21"/>
              </w:rPr>
              <w:t>要素</w:t>
            </w:r>
          </w:p>
        </w:tc>
        <w:tc>
          <w:tcPr>
            <w:tcW w:w="1675"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排放口(编号、</w:t>
            </w:r>
          </w:p>
          <w:p>
            <w:pPr>
              <w:adjustRightInd w:val="0"/>
              <w:snapToGrid w:val="0"/>
              <w:jc w:val="center"/>
              <w:rPr>
                <w:rFonts w:hint="eastAsia" w:ascii="宋体" w:hAnsi="宋体" w:cs="宋体"/>
                <w:szCs w:val="21"/>
              </w:rPr>
            </w:pPr>
            <w:r>
              <w:rPr>
                <w:rFonts w:hint="eastAsia" w:ascii="宋体" w:hAnsi="宋体" w:cs="宋体"/>
                <w:szCs w:val="21"/>
              </w:rPr>
              <w:t>名称)/污染源</w:t>
            </w:r>
          </w:p>
        </w:tc>
        <w:tc>
          <w:tcPr>
            <w:tcW w:w="1364"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污染物项目</w:t>
            </w:r>
          </w:p>
        </w:tc>
        <w:tc>
          <w:tcPr>
            <w:tcW w:w="1909"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环境保护措施</w:t>
            </w:r>
          </w:p>
        </w:tc>
        <w:tc>
          <w:tcPr>
            <w:tcW w:w="2074"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78" w:type="dxa"/>
            <w:vMerge w:val="restart"/>
            <w:noWrap w:val="0"/>
            <w:vAlign w:val="center"/>
          </w:tcPr>
          <w:p>
            <w:pPr>
              <w:adjustRightInd w:val="0"/>
              <w:snapToGrid w:val="0"/>
              <w:jc w:val="center"/>
              <w:rPr>
                <w:rFonts w:hint="eastAsia" w:ascii="宋体" w:hAnsi="宋体" w:cs="宋体"/>
                <w:szCs w:val="21"/>
              </w:rPr>
            </w:pPr>
            <w:r>
              <w:rPr>
                <w:rFonts w:hint="eastAsia" w:ascii="宋体" w:hAnsi="宋体" w:cs="宋体"/>
                <w:szCs w:val="21"/>
              </w:rPr>
              <w:t>大气环境</w:t>
            </w:r>
          </w:p>
        </w:tc>
        <w:tc>
          <w:tcPr>
            <w:tcW w:w="1675"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切割、打磨粉尘</w:t>
            </w:r>
          </w:p>
        </w:tc>
        <w:tc>
          <w:tcPr>
            <w:tcW w:w="1364"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颗粒物</w:t>
            </w:r>
          </w:p>
        </w:tc>
        <w:tc>
          <w:tcPr>
            <w:tcW w:w="1909" w:type="dxa"/>
            <w:noWrap w:val="0"/>
            <w:vAlign w:val="center"/>
          </w:tcPr>
          <w:p>
            <w:pPr>
              <w:adjustRightInd w:val="0"/>
              <w:snapToGrid w:val="0"/>
              <w:jc w:val="center"/>
              <w:rPr>
                <w:rFonts w:hint="eastAsia" w:ascii="宋体" w:hAnsi="宋体" w:cs="宋体"/>
                <w:szCs w:val="21"/>
              </w:rPr>
            </w:pPr>
            <w:r>
              <w:rPr>
                <w:rFonts w:hint="eastAsia" w:ascii="宋体" w:hAnsi="宋体" w:cs="宋体"/>
                <w:szCs w:val="21"/>
                <w:lang w:val="en-US" w:eastAsia="zh-CN"/>
              </w:rPr>
              <w:t>移动式烟尘净化器</w:t>
            </w:r>
          </w:p>
        </w:tc>
        <w:tc>
          <w:tcPr>
            <w:tcW w:w="2074" w:type="dxa"/>
            <w:vMerge w:val="restart"/>
            <w:noWrap w:val="0"/>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大气污染物综合排放标准</w:t>
            </w:r>
            <w:r>
              <w:rPr>
                <w:rFonts w:hint="eastAsia" w:ascii="宋体" w:hAnsi="宋体" w:cs="宋体"/>
                <w:szCs w:val="21"/>
                <w:lang w:eastAsia="zh-CN"/>
              </w:rPr>
              <w:t>》（</w:t>
            </w:r>
            <w:r>
              <w:rPr>
                <w:rFonts w:hint="eastAsia" w:ascii="宋体" w:hAnsi="宋体" w:cs="宋体"/>
                <w:szCs w:val="21"/>
                <w:lang w:val="en-US" w:eastAsia="zh-CN"/>
              </w:rPr>
              <w:t>GB16297-1996</w:t>
            </w:r>
            <w:r>
              <w:rPr>
                <w:rFonts w:hint="eastAsia" w:ascii="宋体" w:hAnsi="宋体" w:cs="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eastAsia" w:ascii="宋体" w:hAnsi="宋体" w:cs="宋体"/>
                <w:szCs w:val="21"/>
              </w:rPr>
            </w:pPr>
          </w:p>
        </w:tc>
        <w:tc>
          <w:tcPr>
            <w:tcW w:w="1675"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焊接烟尘</w:t>
            </w:r>
          </w:p>
        </w:tc>
        <w:tc>
          <w:tcPr>
            <w:tcW w:w="1364" w:type="dxa"/>
            <w:noWrap w:val="0"/>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颗粒物</w:t>
            </w:r>
          </w:p>
        </w:tc>
        <w:tc>
          <w:tcPr>
            <w:tcW w:w="1909"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移动式烟尘净化器</w:t>
            </w:r>
          </w:p>
        </w:tc>
        <w:tc>
          <w:tcPr>
            <w:tcW w:w="2074" w:type="dxa"/>
            <w:vMerge w:val="continue"/>
            <w:noWrap w:val="0"/>
            <w:vAlign w:val="center"/>
          </w:tcPr>
          <w:p>
            <w:pPr>
              <w:adjustRightInd w:val="0"/>
              <w:snapToGrid w:val="0"/>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eastAsia" w:ascii="宋体" w:hAnsi="宋体" w:cs="宋体"/>
                <w:szCs w:val="21"/>
              </w:rPr>
            </w:pPr>
          </w:p>
        </w:tc>
        <w:tc>
          <w:tcPr>
            <w:tcW w:w="1675" w:type="dxa"/>
            <w:noWrap w:val="0"/>
            <w:vAlign w:val="center"/>
          </w:tcPr>
          <w:p>
            <w:pPr>
              <w:adjustRightInd w:val="0"/>
              <w:snapToGrid w:val="0"/>
              <w:jc w:val="center"/>
              <w:rPr>
                <w:rFonts w:hint="default" w:ascii="宋体" w:hAnsi="宋体" w:cs="宋体"/>
                <w:szCs w:val="21"/>
                <w:lang w:val="en-US"/>
              </w:rPr>
            </w:pPr>
            <w:r>
              <w:rPr>
                <w:rFonts w:hint="eastAsia" w:ascii="宋体" w:hAnsi="宋体" w:cs="宋体"/>
                <w:szCs w:val="21"/>
                <w:lang w:val="en-US" w:eastAsia="zh-CN"/>
              </w:rPr>
              <w:t>DA001喷漆废气排气筒</w:t>
            </w:r>
          </w:p>
        </w:tc>
        <w:tc>
          <w:tcPr>
            <w:tcW w:w="1364" w:type="dxa"/>
            <w:noWrap w:val="0"/>
            <w:vAlign w:val="center"/>
          </w:tcPr>
          <w:p>
            <w:pPr>
              <w:adjustRightInd w:val="0"/>
              <w:snapToGrid w:val="0"/>
              <w:jc w:val="center"/>
              <w:rPr>
                <w:rFonts w:hint="eastAsia" w:ascii="宋体" w:hAnsi="宋体" w:cs="宋体"/>
                <w:szCs w:val="21"/>
              </w:rPr>
            </w:pPr>
            <w:r>
              <w:rPr>
                <w:rFonts w:hint="eastAsia" w:ascii="宋体" w:hAnsi="宋体" w:cs="宋体"/>
                <w:szCs w:val="21"/>
                <w:lang w:val="en-US" w:eastAsia="zh-CN"/>
              </w:rPr>
              <w:t>VOCs</w:t>
            </w:r>
          </w:p>
        </w:tc>
        <w:tc>
          <w:tcPr>
            <w:tcW w:w="1909" w:type="dxa"/>
            <w:noWrap w:val="0"/>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过滤棉+活性炭光氧一体机+15m高排气筒</w:t>
            </w:r>
            <w:r>
              <w:rPr>
                <w:rFonts w:hint="eastAsia" w:ascii="宋体" w:hAnsi="宋体" w:cs="宋体"/>
                <w:szCs w:val="21"/>
                <w:lang w:eastAsia="zh-CN"/>
              </w:rPr>
              <w:t>”</w:t>
            </w:r>
          </w:p>
        </w:tc>
        <w:tc>
          <w:tcPr>
            <w:tcW w:w="2074" w:type="dxa"/>
            <w:noWrap w:val="0"/>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表面涂装（汽车制造及维修）挥发性有机物、镍排放标准</w:t>
            </w:r>
            <w:r>
              <w:rPr>
                <w:rFonts w:hint="eastAsia" w:ascii="宋体" w:hAnsi="宋体" w:cs="宋体"/>
                <w:szCs w:val="21"/>
                <w:lang w:eastAsia="zh-CN"/>
              </w:rPr>
              <w:t>》（</w:t>
            </w:r>
            <w:r>
              <w:rPr>
                <w:rFonts w:hint="eastAsia" w:ascii="宋体" w:hAnsi="宋体" w:cs="宋体"/>
                <w:szCs w:val="21"/>
                <w:lang w:val="en-US" w:eastAsia="zh-CN"/>
              </w:rPr>
              <w:t>DB43/1356-2017</w:t>
            </w:r>
            <w:r>
              <w:rPr>
                <w:rFonts w:hint="eastAsia" w:ascii="宋体" w:hAnsi="宋体" w:cs="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8" w:type="dxa"/>
            <w:vMerge w:val="restart"/>
            <w:noWrap w:val="0"/>
            <w:vAlign w:val="center"/>
          </w:tcPr>
          <w:p>
            <w:pPr>
              <w:adjustRightInd w:val="0"/>
              <w:snapToGrid w:val="0"/>
              <w:jc w:val="center"/>
              <w:rPr>
                <w:rFonts w:hint="eastAsia" w:ascii="宋体" w:hAnsi="宋体" w:cs="宋体"/>
                <w:szCs w:val="21"/>
              </w:rPr>
            </w:pPr>
            <w:r>
              <w:rPr>
                <w:rFonts w:hint="eastAsia" w:ascii="宋体" w:hAnsi="宋体" w:cs="宋体"/>
                <w:szCs w:val="21"/>
              </w:rPr>
              <w:t>地表水环境</w:t>
            </w:r>
          </w:p>
        </w:tc>
        <w:tc>
          <w:tcPr>
            <w:tcW w:w="1675" w:type="dxa"/>
            <w:vMerge w:val="restart"/>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DW001废水总排口</w:t>
            </w:r>
          </w:p>
        </w:tc>
        <w:tc>
          <w:tcPr>
            <w:tcW w:w="1364"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COD</w:t>
            </w:r>
            <w:r>
              <w:rPr>
                <w:rFonts w:hint="eastAsia" w:ascii="宋体" w:hAnsi="宋体" w:cs="宋体"/>
                <w:szCs w:val="21"/>
                <w:vertAlign w:val="subscript"/>
                <w:lang w:val="en-US" w:eastAsia="zh-CN"/>
              </w:rPr>
              <w:t>Cr</w:t>
            </w:r>
          </w:p>
        </w:tc>
        <w:tc>
          <w:tcPr>
            <w:tcW w:w="1909" w:type="dxa"/>
            <w:vMerge w:val="restart"/>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化粪池</w:t>
            </w:r>
          </w:p>
        </w:tc>
        <w:tc>
          <w:tcPr>
            <w:tcW w:w="2074" w:type="dxa"/>
            <w:vMerge w:val="restart"/>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污水综合排放标准</w:t>
            </w:r>
            <w:r>
              <w:rPr>
                <w:rFonts w:hint="eastAsia" w:ascii="宋体" w:hAnsi="宋体" w:cs="宋体"/>
                <w:szCs w:val="21"/>
                <w:lang w:eastAsia="zh-CN"/>
              </w:rPr>
              <w:t>》（</w:t>
            </w:r>
            <w:r>
              <w:rPr>
                <w:rFonts w:hint="eastAsia" w:ascii="宋体" w:hAnsi="宋体" w:cs="宋体"/>
                <w:szCs w:val="21"/>
                <w:lang w:val="en-US" w:eastAsia="zh-CN"/>
              </w:rPr>
              <w:t>GB8978-1996</w:t>
            </w:r>
            <w:r>
              <w:rPr>
                <w:rFonts w:hint="eastAsia" w:ascii="宋体" w:hAnsi="宋体" w:cs="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8" w:type="dxa"/>
            <w:vMerge w:val="continue"/>
            <w:noWrap w:val="0"/>
            <w:vAlign w:val="center"/>
          </w:tcPr>
          <w:p>
            <w:pPr>
              <w:adjustRightInd w:val="0"/>
              <w:snapToGrid w:val="0"/>
              <w:jc w:val="center"/>
              <w:rPr>
                <w:rFonts w:hint="eastAsia" w:ascii="宋体" w:hAnsi="宋体" w:cs="宋体"/>
                <w:szCs w:val="21"/>
              </w:rPr>
            </w:pPr>
          </w:p>
        </w:tc>
        <w:tc>
          <w:tcPr>
            <w:tcW w:w="1675" w:type="dxa"/>
            <w:vMerge w:val="continue"/>
            <w:noWrap w:val="0"/>
            <w:vAlign w:val="center"/>
          </w:tcPr>
          <w:p>
            <w:pPr>
              <w:adjustRightInd w:val="0"/>
              <w:snapToGrid w:val="0"/>
              <w:jc w:val="center"/>
              <w:rPr>
                <w:rFonts w:hint="eastAsia" w:ascii="宋体" w:hAnsi="宋体" w:cs="宋体"/>
                <w:szCs w:val="21"/>
              </w:rPr>
            </w:pPr>
          </w:p>
        </w:tc>
        <w:tc>
          <w:tcPr>
            <w:tcW w:w="1364"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SS</w:t>
            </w:r>
          </w:p>
        </w:tc>
        <w:tc>
          <w:tcPr>
            <w:tcW w:w="1909" w:type="dxa"/>
            <w:vMerge w:val="continue"/>
            <w:noWrap w:val="0"/>
            <w:vAlign w:val="center"/>
          </w:tcPr>
          <w:p>
            <w:pPr>
              <w:adjustRightInd w:val="0"/>
              <w:snapToGrid w:val="0"/>
              <w:jc w:val="center"/>
              <w:rPr>
                <w:rFonts w:hint="eastAsia" w:ascii="宋体" w:hAnsi="宋体" w:cs="宋体"/>
                <w:szCs w:val="21"/>
              </w:rPr>
            </w:pPr>
          </w:p>
        </w:tc>
        <w:tc>
          <w:tcPr>
            <w:tcW w:w="2074" w:type="dxa"/>
            <w:vMerge w:val="continue"/>
            <w:noWrap w:val="0"/>
            <w:vAlign w:val="center"/>
          </w:tcPr>
          <w:p>
            <w:pPr>
              <w:adjustRightInd w:val="0"/>
              <w:snapToGrid w:val="0"/>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8" w:type="dxa"/>
            <w:vMerge w:val="continue"/>
            <w:noWrap w:val="0"/>
            <w:vAlign w:val="center"/>
          </w:tcPr>
          <w:p>
            <w:pPr>
              <w:adjustRightInd w:val="0"/>
              <w:snapToGrid w:val="0"/>
              <w:jc w:val="center"/>
              <w:rPr>
                <w:rFonts w:hint="eastAsia" w:ascii="宋体" w:hAnsi="宋体" w:cs="宋体"/>
                <w:szCs w:val="21"/>
              </w:rPr>
            </w:pPr>
          </w:p>
        </w:tc>
        <w:tc>
          <w:tcPr>
            <w:tcW w:w="1675" w:type="dxa"/>
            <w:vMerge w:val="continue"/>
            <w:noWrap w:val="0"/>
            <w:vAlign w:val="center"/>
          </w:tcPr>
          <w:p>
            <w:pPr>
              <w:adjustRightInd w:val="0"/>
              <w:snapToGrid w:val="0"/>
              <w:jc w:val="center"/>
              <w:rPr>
                <w:rFonts w:hint="eastAsia" w:ascii="宋体" w:hAnsi="宋体" w:cs="宋体"/>
                <w:szCs w:val="21"/>
              </w:rPr>
            </w:pPr>
          </w:p>
        </w:tc>
        <w:tc>
          <w:tcPr>
            <w:tcW w:w="1364" w:type="dxa"/>
            <w:noWrap w:val="0"/>
            <w:vAlign w:val="center"/>
          </w:tcPr>
          <w:p>
            <w:pPr>
              <w:adjustRightInd w:val="0"/>
              <w:snapToGrid w:val="0"/>
              <w:jc w:val="center"/>
              <w:rPr>
                <w:rFonts w:hint="eastAsia" w:ascii="宋体" w:hAnsi="宋体" w:cs="宋体"/>
                <w:szCs w:val="21"/>
              </w:rPr>
            </w:pPr>
            <w:r>
              <w:rPr>
                <w:rFonts w:hint="eastAsia" w:ascii="宋体" w:hAnsi="宋体" w:cs="宋体"/>
                <w:szCs w:val="21"/>
                <w:lang w:val="en-US" w:eastAsia="zh-CN"/>
              </w:rPr>
              <w:t>NH</w:t>
            </w:r>
            <w:r>
              <w:rPr>
                <w:rFonts w:hint="eastAsia" w:ascii="宋体" w:hAnsi="宋体" w:cs="宋体"/>
                <w:szCs w:val="21"/>
                <w:vertAlign w:val="subscript"/>
                <w:lang w:val="en-US" w:eastAsia="zh-CN"/>
              </w:rPr>
              <w:t>3</w:t>
            </w:r>
            <w:r>
              <w:rPr>
                <w:rFonts w:hint="eastAsia" w:ascii="宋体" w:hAnsi="宋体" w:cs="宋体"/>
                <w:szCs w:val="21"/>
                <w:lang w:val="en-US" w:eastAsia="zh-CN"/>
              </w:rPr>
              <w:t>-N</w:t>
            </w:r>
          </w:p>
        </w:tc>
        <w:tc>
          <w:tcPr>
            <w:tcW w:w="1909" w:type="dxa"/>
            <w:vMerge w:val="continue"/>
            <w:noWrap w:val="0"/>
            <w:vAlign w:val="center"/>
          </w:tcPr>
          <w:p>
            <w:pPr>
              <w:adjustRightInd w:val="0"/>
              <w:snapToGrid w:val="0"/>
              <w:jc w:val="center"/>
              <w:rPr>
                <w:rFonts w:hint="eastAsia" w:ascii="宋体" w:hAnsi="宋体" w:cs="宋体"/>
                <w:szCs w:val="21"/>
              </w:rPr>
            </w:pPr>
          </w:p>
        </w:tc>
        <w:tc>
          <w:tcPr>
            <w:tcW w:w="2074" w:type="dxa"/>
            <w:noWrap w:val="0"/>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污水排入城镇下水道水质标准</w:t>
            </w:r>
            <w:r>
              <w:rPr>
                <w:rFonts w:hint="eastAsia" w:ascii="宋体" w:hAnsi="宋体" w:cs="宋体"/>
                <w:szCs w:val="21"/>
                <w:lang w:eastAsia="zh-CN"/>
              </w:rPr>
              <w:t>》（</w:t>
            </w:r>
            <w:r>
              <w:rPr>
                <w:rFonts w:hint="eastAsia" w:ascii="宋体" w:hAnsi="宋体" w:cs="宋体"/>
                <w:szCs w:val="21"/>
                <w:lang w:val="en-US" w:eastAsia="zh-CN"/>
              </w:rPr>
              <w:t>GB/T31962-2015</w:t>
            </w:r>
            <w:r>
              <w:rPr>
                <w:rFonts w:hint="eastAsia" w:ascii="宋体" w:hAnsi="宋体" w:cs="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778"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声环境</w:t>
            </w:r>
          </w:p>
        </w:tc>
        <w:tc>
          <w:tcPr>
            <w:tcW w:w="1675"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生产设备</w:t>
            </w:r>
          </w:p>
        </w:tc>
        <w:tc>
          <w:tcPr>
            <w:tcW w:w="1364"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连续等效A声级</w:t>
            </w:r>
          </w:p>
        </w:tc>
        <w:tc>
          <w:tcPr>
            <w:tcW w:w="1909"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优化布局，采取隔音、 减振等措施，做好设备的维护保养工作</w:t>
            </w:r>
          </w:p>
        </w:tc>
        <w:tc>
          <w:tcPr>
            <w:tcW w:w="2074" w:type="dxa"/>
            <w:noWrap w:val="0"/>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工业企业厂界环境噪声排放标准</w:t>
            </w:r>
            <w:r>
              <w:rPr>
                <w:rFonts w:hint="eastAsia" w:ascii="宋体" w:hAnsi="宋体" w:cs="宋体"/>
                <w:szCs w:val="21"/>
                <w:lang w:eastAsia="zh-CN"/>
              </w:rPr>
              <w:t>》（</w:t>
            </w:r>
            <w:r>
              <w:rPr>
                <w:rFonts w:hint="eastAsia" w:ascii="宋体" w:hAnsi="宋体" w:cs="宋体"/>
                <w:szCs w:val="21"/>
                <w:lang w:val="en-US" w:eastAsia="zh-CN"/>
              </w:rPr>
              <w:t>GB12348-2008</w:t>
            </w:r>
            <w:r>
              <w:rPr>
                <w:rFonts w:hint="eastAsia" w:ascii="宋体" w:hAnsi="宋体" w:cs="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78"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固体废物</w:t>
            </w:r>
          </w:p>
        </w:tc>
        <w:tc>
          <w:tcPr>
            <w:tcW w:w="7022" w:type="dxa"/>
            <w:gridSpan w:val="4"/>
            <w:noWrap w:val="0"/>
            <w:vAlign w:val="center"/>
          </w:tcPr>
          <w:p>
            <w:pPr>
              <w:adjustRightInd w:val="0"/>
              <w:snapToGrid w:val="0"/>
              <w:jc w:val="center"/>
              <w:rPr>
                <w:rFonts w:hint="eastAsia" w:ascii="宋体" w:hAnsi="宋体" w:cs="宋体"/>
                <w:szCs w:val="21"/>
              </w:rPr>
            </w:pPr>
            <w:r>
              <w:rPr>
                <w:rFonts w:hint="eastAsia" w:ascii="宋体" w:hAnsi="宋体" w:cs="宋体"/>
                <w:szCs w:val="21"/>
              </w:rPr>
              <w:t>生活垃圾设置垃圾桶分类收集，交环卫部门处理。一般固废综合回收利用。</w:t>
            </w:r>
          </w:p>
          <w:p>
            <w:pPr>
              <w:adjustRightInd w:val="0"/>
              <w:snapToGrid w:val="0"/>
              <w:jc w:val="center"/>
              <w:rPr>
                <w:rFonts w:hint="eastAsia" w:ascii="宋体" w:hAnsi="宋体" w:cs="宋体"/>
                <w:szCs w:val="21"/>
              </w:rPr>
            </w:pPr>
            <w:r>
              <w:rPr>
                <w:rFonts w:hint="eastAsia" w:ascii="宋体" w:hAnsi="宋体" w:cs="宋体"/>
                <w:szCs w:val="21"/>
              </w:rPr>
              <w:t>危废于危废暂存间内暂存，定期委托有资质的单位处置。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78"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土壤及地下水</w:t>
            </w:r>
          </w:p>
          <w:p>
            <w:pPr>
              <w:adjustRightInd w:val="0"/>
              <w:snapToGrid w:val="0"/>
              <w:jc w:val="center"/>
              <w:rPr>
                <w:rFonts w:hint="eastAsia" w:ascii="宋体" w:hAnsi="宋体" w:cs="宋体"/>
                <w:szCs w:val="21"/>
              </w:rPr>
            </w:pPr>
            <w:r>
              <w:rPr>
                <w:rFonts w:hint="eastAsia" w:ascii="宋体" w:hAnsi="宋体" w:cs="宋体"/>
                <w:szCs w:val="21"/>
              </w:rPr>
              <w:t>污染防治措施</w:t>
            </w:r>
          </w:p>
        </w:tc>
        <w:tc>
          <w:tcPr>
            <w:tcW w:w="7022" w:type="dxa"/>
            <w:gridSpan w:val="4"/>
            <w:noWrap w:val="0"/>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生态保护措施</w:t>
            </w:r>
          </w:p>
        </w:tc>
        <w:tc>
          <w:tcPr>
            <w:tcW w:w="7022" w:type="dxa"/>
            <w:gridSpan w:val="4"/>
            <w:noWrap w:val="0"/>
            <w:vAlign w:val="center"/>
          </w:tcPr>
          <w:p>
            <w:pPr>
              <w:adjustRightInd w:val="0"/>
              <w:snapToGrid w:val="0"/>
              <w:jc w:val="center"/>
              <w:rPr>
                <w:rFonts w:hint="eastAsia" w:ascii="宋体" w:hAnsi="宋体" w:cs="宋体"/>
                <w:szCs w:val="21"/>
              </w:rPr>
            </w:pPr>
            <w:r>
              <w:rPr>
                <w:rFonts w:hint="eastAsia" w:ascii="宋体" w:hAnsi="宋体" w:cs="宋体"/>
                <w:szCs w:val="21"/>
              </w:rPr>
              <w:t>加强环保设施的维护，使污染物稳定达标排放。加强固体废物管理，避免</w:t>
            </w:r>
          </w:p>
          <w:p>
            <w:pPr>
              <w:adjustRightInd w:val="0"/>
              <w:snapToGrid w:val="0"/>
              <w:jc w:val="center"/>
              <w:rPr>
                <w:rFonts w:hint="eastAsia" w:ascii="宋体" w:hAnsi="宋体" w:cs="宋体"/>
                <w:szCs w:val="21"/>
              </w:rPr>
            </w:pPr>
            <w:r>
              <w:rPr>
                <w:rFonts w:hint="eastAsia" w:ascii="宋体" w:hAnsi="宋体" w:cs="宋体"/>
                <w:szCs w:val="21"/>
              </w:rPr>
              <w:t>对周边生态产生不利影响。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jc w:val="center"/>
              <w:rPr>
                <w:rFonts w:ascii="宋体" w:hAnsi="宋体" w:cs="宋体"/>
                <w:spacing w:val="-8"/>
                <w:szCs w:val="21"/>
              </w:rPr>
            </w:pPr>
            <w:r>
              <w:rPr>
                <w:rFonts w:hint="eastAsia" w:ascii="宋体" w:hAnsi="宋体" w:cs="宋体"/>
                <w:spacing w:val="-8"/>
                <w:szCs w:val="21"/>
              </w:rPr>
              <w:t>环境风险</w:t>
            </w:r>
          </w:p>
          <w:p>
            <w:pPr>
              <w:adjustRightInd w:val="0"/>
              <w:snapToGrid w:val="0"/>
              <w:jc w:val="center"/>
              <w:rPr>
                <w:rFonts w:hint="eastAsia" w:ascii="宋体" w:hAnsi="宋体" w:cs="宋体"/>
                <w:spacing w:val="-8"/>
                <w:szCs w:val="21"/>
              </w:rPr>
            </w:pPr>
            <w:r>
              <w:rPr>
                <w:rFonts w:hint="eastAsia" w:ascii="宋体" w:hAnsi="宋体" w:cs="宋体"/>
                <w:spacing w:val="-8"/>
                <w:szCs w:val="21"/>
              </w:rPr>
              <w:t>防范措施</w:t>
            </w:r>
          </w:p>
        </w:tc>
        <w:tc>
          <w:tcPr>
            <w:tcW w:w="7022" w:type="dxa"/>
            <w:gridSpan w:val="4"/>
            <w:noWrap w:val="0"/>
            <w:vAlign w:val="center"/>
          </w:tcPr>
          <w:p>
            <w:pPr>
              <w:adjustRightInd w:val="0"/>
              <w:snapToGrid w:val="0"/>
              <w:jc w:val="left"/>
              <w:rPr>
                <w:rFonts w:hint="eastAsia" w:ascii="宋体" w:hAnsi="宋体" w:cs="宋体"/>
                <w:szCs w:val="21"/>
              </w:rPr>
            </w:pPr>
            <w:r>
              <w:rPr>
                <w:rFonts w:hint="eastAsia" w:ascii="宋体" w:hAnsi="宋体" w:cs="宋体"/>
                <w:szCs w:val="21"/>
              </w:rPr>
              <w:t>1）设置安全生产管理机构或配备专职安全生产管理人员。</w:t>
            </w:r>
          </w:p>
          <w:p>
            <w:pPr>
              <w:adjustRightInd w:val="0"/>
              <w:snapToGrid w:val="0"/>
              <w:jc w:val="left"/>
              <w:rPr>
                <w:rFonts w:hint="eastAsia" w:ascii="宋体" w:hAnsi="宋体" w:cs="宋体"/>
                <w:szCs w:val="21"/>
              </w:rPr>
            </w:pPr>
            <w:r>
              <w:rPr>
                <w:rFonts w:hint="eastAsia" w:ascii="宋体" w:hAnsi="宋体" w:cs="宋体"/>
                <w:szCs w:val="21"/>
              </w:rPr>
              <w:t>2）建立健全各岗位安全生产责任制、安全操作规程及其他各项规章制度</w:t>
            </w:r>
            <w:r>
              <w:rPr>
                <w:rFonts w:hint="eastAsia" w:ascii="宋体" w:hAnsi="宋体" w:cs="宋体"/>
                <w:szCs w:val="21"/>
                <w:lang w:eastAsia="zh-CN"/>
              </w:rPr>
              <w:t>，</w:t>
            </w:r>
            <w:r>
              <w:rPr>
                <w:rFonts w:hint="eastAsia" w:ascii="宋体" w:hAnsi="宋体" w:cs="宋体"/>
                <w:szCs w:val="21"/>
              </w:rPr>
              <w:t>并严格遵守、执行。</w:t>
            </w:r>
          </w:p>
          <w:p>
            <w:pPr>
              <w:adjustRightInd w:val="0"/>
              <w:snapToGrid w:val="0"/>
              <w:jc w:val="left"/>
              <w:rPr>
                <w:rFonts w:hint="eastAsia" w:ascii="宋体" w:hAnsi="宋体" w:cs="宋体"/>
                <w:szCs w:val="21"/>
              </w:rPr>
            </w:pPr>
            <w:r>
              <w:rPr>
                <w:rFonts w:hint="eastAsia" w:ascii="宋体" w:hAnsi="宋体" w:cs="宋体"/>
                <w:szCs w:val="21"/>
              </w:rPr>
              <w:t>3）定期或不定期对从业人员进行专业技术培训、安全教育培训等。</w:t>
            </w:r>
          </w:p>
          <w:p>
            <w:pPr>
              <w:adjustRightInd w:val="0"/>
              <w:snapToGrid w:val="0"/>
              <w:jc w:val="left"/>
              <w:rPr>
                <w:rFonts w:hint="eastAsia" w:ascii="宋体" w:hAnsi="宋体" w:cs="宋体"/>
                <w:szCs w:val="21"/>
              </w:rPr>
            </w:pPr>
            <w:r>
              <w:rPr>
                <w:rFonts w:hint="eastAsia" w:ascii="宋体" w:hAnsi="宋体" w:cs="宋体"/>
                <w:szCs w:val="21"/>
              </w:rPr>
              <w:t>4）配备足够的灭火器、消防栓等灭火设备，杜绝火灾发生。</w:t>
            </w:r>
          </w:p>
          <w:p>
            <w:pPr>
              <w:adjustRightInd w:val="0"/>
              <w:snapToGrid w:val="0"/>
              <w:jc w:val="left"/>
              <w:rPr>
                <w:rFonts w:hint="eastAsia" w:ascii="宋体" w:hAnsi="宋体" w:cs="宋体"/>
                <w:szCs w:val="21"/>
              </w:rPr>
            </w:pPr>
            <w:r>
              <w:rPr>
                <w:rFonts w:hint="eastAsia" w:ascii="宋体" w:hAnsi="宋体" w:cs="宋体"/>
                <w:szCs w:val="21"/>
              </w:rPr>
              <w:t>5）危险废物应严格管理、避免随意丢弃。</w:t>
            </w:r>
          </w:p>
          <w:p>
            <w:pPr>
              <w:adjustRightInd w:val="0"/>
              <w:snapToGrid w:val="0"/>
              <w:jc w:val="left"/>
              <w:rPr>
                <w:rFonts w:hint="eastAsia" w:ascii="宋体" w:hAnsi="宋体" w:cs="宋体"/>
                <w:szCs w:val="21"/>
              </w:rPr>
            </w:pPr>
            <w:r>
              <w:rPr>
                <w:rFonts w:hint="eastAsia" w:ascii="宋体" w:hAnsi="宋体" w:cs="宋体"/>
                <w:szCs w:val="21"/>
              </w:rPr>
              <w:t>6）建设单位应加强管理，提高操作人员业务素质也是重要的降低风险的措</w:t>
            </w:r>
          </w:p>
          <w:p>
            <w:pPr>
              <w:adjustRightInd w:val="0"/>
              <w:snapToGrid w:val="0"/>
              <w:jc w:val="left"/>
              <w:rPr>
                <w:rFonts w:hint="eastAsia" w:ascii="宋体" w:hAnsi="宋体" w:cs="宋体"/>
                <w:szCs w:val="21"/>
              </w:rPr>
            </w:pPr>
            <w:r>
              <w:rPr>
                <w:rFonts w:hint="eastAsia" w:ascii="宋体" w:hAnsi="宋体" w:cs="宋体"/>
                <w:szCs w:val="21"/>
              </w:rPr>
              <w:t>施之一。</w:t>
            </w:r>
          </w:p>
          <w:p>
            <w:pPr>
              <w:adjustRightInd w:val="0"/>
              <w:snapToGrid w:val="0"/>
              <w:jc w:val="left"/>
              <w:rPr>
                <w:rFonts w:hint="eastAsia" w:ascii="宋体" w:hAnsi="宋体" w:cs="宋体"/>
                <w:szCs w:val="21"/>
              </w:rPr>
            </w:pPr>
            <w:r>
              <w:rPr>
                <w:rFonts w:hint="eastAsia" w:ascii="宋体" w:hAnsi="宋体" w:cs="宋体"/>
                <w:szCs w:val="21"/>
              </w:rPr>
              <w:t>7）编制突发环境事件应急预案。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noWrap w:val="0"/>
            <w:vAlign w:val="center"/>
          </w:tcPr>
          <w:p>
            <w:pPr>
              <w:adjustRightInd w:val="0"/>
              <w:snapToGrid w:val="0"/>
              <w:jc w:val="center"/>
              <w:rPr>
                <w:rFonts w:ascii="宋体" w:hAnsi="宋体" w:cs="宋体"/>
                <w:spacing w:val="-8"/>
                <w:szCs w:val="21"/>
              </w:rPr>
            </w:pPr>
            <w:r>
              <w:rPr>
                <w:rFonts w:hint="eastAsia" w:ascii="宋体" w:hAnsi="宋体" w:cs="宋体"/>
                <w:spacing w:val="-8"/>
                <w:szCs w:val="21"/>
              </w:rPr>
              <w:t>其他环境</w:t>
            </w:r>
          </w:p>
          <w:p>
            <w:pPr>
              <w:adjustRightInd w:val="0"/>
              <w:snapToGrid w:val="0"/>
              <w:jc w:val="center"/>
              <w:rPr>
                <w:rFonts w:hint="eastAsia" w:ascii="宋体" w:hAnsi="宋体" w:cs="宋体"/>
                <w:spacing w:val="-8"/>
                <w:szCs w:val="21"/>
              </w:rPr>
            </w:pPr>
            <w:r>
              <w:rPr>
                <w:rFonts w:hint="eastAsia" w:ascii="宋体" w:hAnsi="宋体" w:cs="宋体"/>
                <w:spacing w:val="-8"/>
                <w:szCs w:val="21"/>
              </w:rPr>
              <w:t>管理要求</w:t>
            </w:r>
          </w:p>
        </w:tc>
        <w:tc>
          <w:tcPr>
            <w:tcW w:w="7022" w:type="dxa"/>
            <w:gridSpan w:val="4"/>
            <w:noWrap w:val="0"/>
            <w:vAlign w:val="center"/>
          </w:tcPr>
          <w:p>
            <w:pPr>
              <w:adjustRightInd w:val="0"/>
              <w:snapToGrid w:val="0"/>
              <w:rPr>
                <w:rFonts w:hint="eastAsia" w:ascii="宋体" w:hAnsi="宋体" w:cs="宋体"/>
                <w:szCs w:val="21"/>
              </w:rPr>
            </w:pPr>
            <w:r>
              <w:rPr>
                <w:rFonts w:hint="eastAsia" w:ascii="宋体" w:hAnsi="宋体" w:cs="宋体"/>
                <w:szCs w:val="21"/>
              </w:rPr>
              <w:t>1、加强对工程环保设施的管理，并定期对各废气处理设施、废水处理设施</w:t>
            </w:r>
          </w:p>
          <w:p>
            <w:pPr>
              <w:adjustRightInd w:val="0"/>
              <w:snapToGrid w:val="0"/>
              <w:rPr>
                <w:rFonts w:hint="eastAsia" w:ascii="宋体" w:hAnsi="宋体" w:cs="宋体"/>
                <w:szCs w:val="21"/>
              </w:rPr>
            </w:pPr>
            <w:r>
              <w:rPr>
                <w:rFonts w:hint="eastAsia" w:ascii="宋体" w:hAnsi="宋体" w:cs="宋体"/>
                <w:szCs w:val="21"/>
              </w:rPr>
              <w:t>进行检查、维护，避免事故排放；</w:t>
            </w:r>
          </w:p>
          <w:p>
            <w:pPr>
              <w:adjustRightInd w:val="0"/>
              <w:snapToGrid w:val="0"/>
              <w:rPr>
                <w:rFonts w:hint="eastAsia" w:ascii="宋体" w:hAnsi="宋体" w:cs="宋体"/>
                <w:szCs w:val="21"/>
              </w:rPr>
            </w:pPr>
            <w:r>
              <w:rPr>
                <w:rFonts w:hint="eastAsia" w:ascii="宋体" w:hAnsi="宋体" w:cs="宋体"/>
                <w:szCs w:val="21"/>
              </w:rPr>
              <w:t>2、建立健全一套完善的环境管理制度，并严格按管理制度执行；加强生产</w:t>
            </w:r>
          </w:p>
          <w:p>
            <w:pPr>
              <w:adjustRightInd w:val="0"/>
              <w:snapToGrid w:val="0"/>
              <w:rPr>
                <w:rFonts w:hint="eastAsia" w:ascii="宋体" w:hAnsi="宋体" w:cs="宋体"/>
                <w:szCs w:val="21"/>
              </w:rPr>
            </w:pPr>
            <w:r>
              <w:rPr>
                <w:rFonts w:hint="eastAsia" w:ascii="宋体" w:hAnsi="宋体" w:cs="宋体"/>
                <w:szCs w:val="21"/>
              </w:rPr>
              <w:t>管理，实施清洁生产，从而减少污染物的产生量；</w:t>
            </w:r>
          </w:p>
          <w:p>
            <w:pPr>
              <w:adjustRightInd w:val="0"/>
              <w:snapToGrid w:val="0"/>
              <w:rPr>
                <w:rFonts w:hint="eastAsia" w:ascii="宋体" w:hAnsi="宋体" w:cs="宋体"/>
                <w:szCs w:val="21"/>
              </w:rPr>
            </w:pPr>
            <w:r>
              <w:rPr>
                <w:rFonts w:hint="eastAsia" w:ascii="宋体" w:hAnsi="宋体" w:cs="宋体"/>
                <w:szCs w:val="21"/>
              </w:rPr>
              <w:t>3、严格按照建设项目竣工环境保护验收制度，项目建成后尽快履行环保验</w:t>
            </w:r>
          </w:p>
          <w:p>
            <w:pPr>
              <w:adjustRightInd w:val="0"/>
              <w:snapToGrid w:val="0"/>
              <w:rPr>
                <w:rFonts w:hint="eastAsia" w:ascii="宋体" w:hAnsi="宋体" w:cs="宋体"/>
                <w:szCs w:val="21"/>
              </w:rPr>
            </w:pPr>
            <w:r>
              <w:rPr>
                <w:rFonts w:hint="eastAsia" w:ascii="宋体" w:hAnsi="宋体" w:cs="宋体"/>
                <w:szCs w:val="21"/>
              </w:rPr>
              <w:t>收手续。</w:t>
            </w:r>
          </w:p>
        </w:tc>
      </w:tr>
    </w:tbl>
    <w:p>
      <w:pPr>
        <w:pStyle w:val="11"/>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pPr>
              <w:spacing w:line="360" w:lineRule="auto"/>
              <w:ind w:firstLine="480" w:firstLineChars="200"/>
              <w:rPr>
                <w:rFonts w:ascii="宋体" w:cs="宋体"/>
                <w:sz w:val="24"/>
              </w:rPr>
            </w:pPr>
            <w:r>
              <w:rPr>
                <w:rFonts w:hint="eastAsia" w:ascii="宋体" w:cs="宋体"/>
                <w:sz w:val="24"/>
              </w:rPr>
              <w:t>经综合分析，项目建设与国家政策及相关规划相符，选址合理可行，在认真落实报告表提出的各项环保措施的前提下，污染物可做到达标排放，固废可得到妥善利用，噪声不会出现扰民现象，项目建设及运营对周边环境的影响可满足环境功能规划的要求，从环境保护角度而言，项目建设可行。</w:t>
            </w:r>
          </w:p>
        </w:tc>
      </w:tr>
    </w:tbl>
    <w:p>
      <w:pPr>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1"/>
        <w:adjustRightInd w:val="0"/>
        <w:snapToGrid w:val="0"/>
        <w:spacing w:before="0" w:beforeAutospacing="0" w:after="0" w:afterAutospacing="0" w:line="648"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11"/>
        <w:adjustRightInd w:val="0"/>
        <w:snapToGrid w:val="0"/>
        <w:spacing w:before="0" w:beforeAutospacing="0" w:after="0" w:afterAutospacing="0" w:line="552" w:lineRule="auto"/>
        <w:jc w:val="center"/>
        <w:outlineLvl w:val="0"/>
        <w:rPr>
          <w:rFonts w:hint="eastAsia"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1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612"/>
        <w:gridCol w:w="1515"/>
        <w:gridCol w:w="14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19"/>
              <w:spacing w:beforeLines="0" w:afterLines="0" w:line="240" w:lineRule="auto"/>
              <w:jc w:val="righ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项目</w:t>
            </w:r>
          </w:p>
          <w:p>
            <w:pPr>
              <w:pStyle w:val="19"/>
              <w:spacing w:beforeLines="0" w:afterLines="0" w:line="240" w:lineRule="auto"/>
              <w:jc w:val="lef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分类</w:t>
            </w:r>
          </w:p>
        </w:tc>
        <w:tc>
          <w:tcPr>
            <w:tcW w:w="1417" w:type="dxa"/>
            <w:noWrap w:val="0"/>
            <w:tcMar>
              <w:left w:w="28" w:type="dxa"/>
              <w:right w:w="28" w:type="dxa"/>
            </w:tcMar>
            <w:vAlign w:val="center"/>
          </w:tcPr>
          <w:p>
            <w:pPr>
              <w:pStyle w:val="19"/>
              <w:spacing w:beforeLines="0" w:afterLines="0" w:line="240" w:lineRule="auto"/>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污染物名称</w:t>
            </w:r>
          </w:p>
        </w:tc>
        <w:tc>
          <w:tcPr>
            <w:tcW w:w="1701" w:type="dxa"/>
            <w:noWrap w:val="0"/>
            <w:tcMar>
              <w:left w:w="28" w:type="dxa"/>
              <w:right w:w="28" w:type="dxa"/>
            </w:tcMar>
            <w:vAlign w:val="center"/>
          </w:tcPr>
          <w:p>
            <w:pPr>
              <w:pStyle w:val="19"/>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pPr>
              <w:pStyle w:val="19"/>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1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①</w:t>
            </w:r>
            <w:r>
              <w:rPr>
                <w:rFonts w:ascii="黑体" w:hAnsi="黑体" w:eastAsia="黑体"/>
                <w:snapToGrid w:val="0"/>
                <w:color w:val="000000"/>
                <w:spacing w:val="-6"/>
                <w:kern w:val="21"/>
                <w:szCs w:val="21"/>
              </w:rPr>
              <w:fldChar w:fldCharType="end"/>
            </w:r>
          </w:p>
        </w:tc>
        <w:tc>
          <w:tcPr>
            <w:tcW w:w="1276" w:type="dxa"/>
            <w:noWrap w:val="0"/>
            <w:tcMar>
              <w:left w:w="28" w:type="dxa"/>
              <w:right w:w="28" w:type="dxa"/>
            </w:tcMar>
            <w:vAlign w:val="center"/>
          </w:tcPr>
          <w:p>
            <w:pPr>
              <w:pStyle w:val="19"/>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pPr>
              <w:pStyle w:val="19"/>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许可排放量</w:t>
            </w:r>
          </w:p>
          <w:p>
            <w:pPr>
              <w:pStyle w:val="19"/>
              <w:spacing w:beforeLines="0" w:afterLines="0"/>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2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snapToGrid w:val="0"/>
                <w:color w:val="000000"/>
                <w:spacing w:val="-6"/>
                <w:kern w:val="21"/>
                <w:szCs w:val="21"/>
              </w:rPr>
              <w:t>②</w:t>
            </w:r>
            <w:r>
              <w:rPr>
                <w:rFonts w:ascii="黑体" w:hAnsi="黑体" w:eastAsia="黑体"/>
                <w:snapToGrid w:val="0"/>
                <w:color w:val="000000"/>
                <w:spacing w:val="-6"/>
                <w:kern w:val="21"/>
                <w:szCs w:val="21"/>
              </w:rPr>
              <w:fldChar w:fldCharType="end"/>
            </w:r>
          </w:p>
        </w:tc>
        <w:tc>
          <w:tcPr>
            <w:tcW w:w="1701" w:type="dxa"/>
            <w:noWrap w:val="0"/>
            <w:tcMar>
              <w:left w:w="28" w:type="dxa"/>
              <w:right w:w="28" w:type="dxa"/>
            </w:tcMar>
            <w:vAlign w:val="center"/>
          </w:tcPr>
          <w:p>
            <w:pPr>
              <w:pStyle w:val="19"/>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在建工程</w:t>
            </w:r>
          </w:p>
          <w:p>
            <w:pPr>
              <w:pStyle w:val="19"/>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3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③</w:t>
            </w:r>
            <w:r>
              <w:rPr>
                <w:rFonts w:ascii="黑体" w:hAnsi="黑体" w:eastAsia="黑体"/>
                <w:snapToGrid w:val="0"/>
                <w:color w:val="000000"/>
                <w:spacing w:val="-6"/>
                <w:kern w:val="21"/>
                <w:szCs w:val="21"/>
              </w:rPr>
              <w:fldChar w:fldCharType="end"/>
            </w:r>
          </w:p>
        </w:tc>
        <w:tc>
          <w:tcPr>
            <w:tcW w:w="1559" w:type="dxa"/>
            <w:noWrap w:val="0"/>
            <w:tcMar>
              <w:left w:w="28" w:type="dxa"/>
              <w:right w:w="28" w:type="dxa"/>
            </w:tcMar>
            <w:vAlign w:val="center"/>
          </w:tcPr>
          <w:p>
            <w:pPr>
              <w:pStyle w:val="19"/>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本项目</w:t>
            </w:r>
          </w:p>
          <w:p>
            <w:pPr>
              <w:pStyle w:val="19"/>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4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④</w:t>
            </w:r>
            <w:r>
              <w:rPr>
                <w:rFonts w:ascii="黑体" w:hAnsi="黑体" w:eastAsia="黑体"/>
                <w:snapToGrid w:val="0"/>
                <w:color w:val="000000"/>
                <w:spacing w:val="-6"/>
                <w:kern w:val="21"/>
                <w:szCs w:val="21"/>
              </w:rPr>
              <w:fldChar w:fldCharType="end"/>
            </w:r>
          </w:p>
        </w:tc>
        <w:tc>
          <w:tcPr>
            <w:tcW w:w="1612" w:type="dxa"/>
            <w:noWrap w:val="0"/>
            <w:tcMar>
              <w:left w:w="28" w:type="dxa"/>
              <w:right w:w="28" w:type="dxa"/>
            </w:tcMar>
            <w:vAlign w:val="center"/>
          </w:tcPr>
          <w:p>
            <w:pPr>
              <w:pStyle w:val="19"/>
              <w:spacing w:beforeLines="0" w:afterLines="0" w:line="240" w:lineRule="auto"/>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以新带老削减量</w:t>
            </w:r>
          </w:p>
          <w:p>
            <w:pPr>
              <w:pStyle w:val="19"/>
              <w:spacing w:beforeLines="0" w:afterLines="0" w:line="240" w:lineRule="auto"/>
              <w:rPr>
                <w:rFonts w:ascii="黑体" w:hAnsi="黑体" w:eastAsia="黑体"/>
                <w:snapToGrid w:val="0"/>
                <w:color w:val="000000"/>
                <w:spacing w:val="-16"/>
                <w:kern w:val="21"/>
                <w:szCs w:val="21"/>
              </w:rPr>
            </w:pPr>
            <w:r>
              <w:rPr>
                <w:rFonts w:ascii="黑体" w:hAnsi="黑体" w:eastAsia="黑体"/>
                <w:snapToGrid w:val="0"/>
                <w:color w:val="000000"/>
                <w:spacing w:val="-16"/>
                <w:kern w:val="21"/>
                <w:szCs w:val="21"/>
              </w:rPr>
              <w:t>（新建项目不填）</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5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⑤</w:t>
            </w:r>
            <w:r>
              <w:rPr>
                <w:rFonts w:ascii="黑体" w:hAnsi="黑体" w:eastAsia="黑体"/>
                <w:snapToGrid w:val="0"/>
                <w:color w:val="000000"/>
                <w:spacing w:val="-16"/>
                <w:kern w:val="21"/>
                <w:szCs w:val="21"/>
              </w:rPr>
              <w:fldChar w:fldCharType="end"/>
            </w:r>
          </w:p>
        </w:tc>
        <w:tc>
          <w:tcPr>
            <w:tcW w:w="1515" w:type="dxa"/>
            <w:noWrap w:val="0"/>
            <w:tcMar>
              <w:left w:w="28" w:type="dxa"/>
              <w:right w:w="28" w:type="dxa"/>
            </w:tcMar>
            <w:vAlign w:val="center"/>
          </w:tcPr>
          <w:p>
            <w:pPr>
              <w:pStyle w:val="19"/>
              <w:spacing w:beforeLines="0" w:afterLines="0" w:line="240" w:lineRule="auto"/>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本项目建成后</w:t>
            </w:r>
          </w:p>
          <w:p>
            <w:pPr>
              <w:pStyle w:val="19"/>
              <w:spacing w:beforeLines="0" w:afterLines="0" w:line="240" w:lineRule="auto"/>
              <w:rPr>
                <w:rFonts w:ascii="黑体" w:hAnsi="黑体" w:eastAsia="黑体"/>
                <w:snapToGrid w:val="0"/>
                <w:color w:val="000000"/>
                <w:spacing w:val="-16"/>
                <w:kern w:val="21"/>
                <w:szCs w:val="21"/>
              </w:rPr>
            </w:pPr>
            <w:r>
              <w:rPr>
                <w:rFonts w:hint="eastAsia" w:ascii="黑体" w:hAnsi="黑体" w:eastAsia="黑体"/>
                <w:snapToGrid w:val="0"/>
                <w:color w:val="000000"/>
                <w:spacing w:val="-16"/>
                <w:kern w:val="21"/>
                <w:szCs w:val="21"/>
              </w:rPr>
              <w:t>全厂</w:t>
            </w:r>
            <w:r>
              <w:rPr>
                <w:rFonts w:ascii="黑体" w:hAnsi="黑体" w:eastAsia="黑体"/>
                <w:snapToGrid w:val="0"/>
                <w:color w:val="000000"/>
                <w:spacing w:val="-16"/>
                <w:kern w:val="21"/>
                <w:szCs w:val="21"/>
              </w:rPr>
              <w:t>排放量（固</w:t>
            </w:r>
            <w:r>
              <w:rPr>
                <w:rFonts w:hint="eastAsia" w:ascii="黑体" w:hAnsi="黑体" w:eastAsia="黑体"/>
                <w:snapToGrid w:val="0"/>
                <w:color w:val="000000"/>
                <w:spacing w:val="-16"/>
                <w:kern w:val="21"/>
                <w:szCs w:val="21"/>
              </w:rPr>
              <w:t>体</w:t>
            </w:r>
            <w:r>
              <w:rPr>
                <w:rFonts w:ascii="黑体" w:hAnsi="黑体" w:eastAsia="黑体"/>
                <w:snapToGrid w:val="0"/>
                <w:color w:val="000000"/>
                <w:spacing w:val="-16"/>
                <w:kern w:val="21"/>
                <w:szCs w:val="21"/>
              </w:rPr>
              <w:t>废</w:t>
            </w:r>
            <w:r>
              <w:rPr>
                <w:rFonts w:hint="eastAsia" w:ascii="黑体" w:hAnsi="黑体" w:eastAsia="黑体"/>
                <w:snapToGrid w:val="0"/>
                <w:color w:val="000000"/>
                <w:spacing w:val="-16"/>
                <w:kern w:val="21"/>
                <w:szCs w:val="21"/>
              </w:rPr>
              <w:t>物</w:t>
            </w:r>
            <w:r>
              <w:rPr>
                <w:rFonts w:ascii="黑体" w:hAnsi="黑体" w:eastAsia="黑体"/>
                <w:snapToGrid w:val="0"/>
                <w:color w:val="000000"/>
                <w:spacing w:val="-16"/>
                <w:kern w:val="21"/>
                <w:szCs w:val="21"/>
              </w:rPr>
              <w:t>产生量）</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6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⑥</w:t>
            </w:r>
            <w:r>
              <w:rPr>
                <w:rFonts w:ascii="黑体" w:hAnsi="黑体" w:eastAsia="黑体"/>
                <w:snapToGrid w:val="0"/>
                <w:color w:val="000000"/>
                <w:spacing w:val="-16"/>
                <w:kern w:val="21"/>
                <w:szCs w:val="21"/>
              </w:rPr>
              <w:fldChar w:fldCharType="end"/>
            </w:r>
          </w:p>
        </w:tc>
        <w:tc>
          <w:tcPr>
            <w:tcW w:w="1419" w:type="dxa"/>
            <w:noWrap w:val="0"/>
            <w:tcMar>
              <w:left w:w="28" w:type="dxa"/>
              <w:right w:w="28" w:type="dxa"/>
            </w:tcMar>
            <w:vAlign w:val="center"/>
          </w:tcPr>
          <w:p>
            <w:pPr>
              <w:pStyle w:val="19"/>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变化量</w:t>
            </w:r>
          </w:p>
          <w:p>
            <w:pPr>
              <w:pStyle w:val="19"/>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7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⑦</w:t>
            </w:r>
            <w:r>
              <w:rPr>
                <w:rFonts w:ascii="黑体" w:hAnsi="黑体" w:eastAsia="黑体"/>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19"/>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废气</w:t>
            </w:r>
          </w:p>
        </w:tc>
        <w:tc>
          <w:tcPr>
            <w:tcW w:w="1417"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二氧化硫</w:t>
            </w:r>
          </w:p>
        </w:tc>
        <w:tc>
          <w:tcPr>
            <w:tcW w:w="1701"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3.024t/a</w:t>
            </w: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p>
        </w:tc>
        <w:tc>
          <w:tcPr>
            <w:tcW w:w="1559"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w:t>
            </w:r>
          </w:p>
        </w:tc>
        <w:tc>
          <w:tcPr>
            <w:tcW w:w="1612"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w:t>
            </w:r>
          </w:p>
        </w:tc>
        <w:tc>
          <w:tcPr>
            <w:tcW w:w="1515"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3.024t/a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氮氧化物</w:t>
            </w:r>
          </w:p>
        </w:tc>
        <w:tc>
          <w:tcPr>
            <w:tcW w:w="1701"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0.432t/a</w:t>
            </w: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p>
        </w:tc>
        <w:tc>
          <w:tcPr>
            <w:tcW w:w="1559"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w:t>
            </w:r>
          </w:p>
        </w:tc>
        <w:tc>
          <w:tcPr>
            <w:tcW w:w="1612"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w:t>
            </w:r>
          </w:p>
        </w:tc>
        <w:tc>
          <w:tcPr>
            <w:tcW w:w="1515"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0.432t/a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颗粒物</w:t>
            </w:r>
          </w:p>
        </w:tc>
        <w:tc>
          <w:tcPr>
            <w:tcW w:w="1701"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5.917t/a</w:t>
            </w: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p>
        </w:tc>
        <w:tc>
          <w:tcPr>
            <w:tcW w:w="1559"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0.4714t/a</w:t>
            </w:r>
          </w:p>
        </w:tc>
        <w:tc>
          <w:tcPr>
            <w:tcW w:w="1612"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+0.4714t/a</w:t>
            </w:r>
          </w:p>
        </w:tc>
        <w:tc>
          <w:tcPr>
            <w:tcW w:w="1515"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6.3884t/a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+0.4714t/a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HCl</w:t>
            </w:r>
          </w:p>
        </w:tc>
        <w:tc>
          <w:tcPr>
            <w:tcW w:w="1701"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2.21t/a</w:t>
            </w: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w:t>
            </w:r>
          </w:p>
        </w:tc>
        <w:tc>
          <w:tcPr>
            <w:tcW w:w="1612"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w:t>
            </w:r>
          </w:p>
        </w:tc>
        <w:tc>
          <w:tcPr>
            <w:tcW w:w="1515"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2.21t/a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氨</w:t>
            </w:r>
          </w:p>
        </w:tc>
        <w:tc>
          <w:tcPr>
            <w:tcW w:w="1701"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10.3t/a</w:t>
            </w: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w:t>
            </w:r>
          </w:p>
        </w:tc>
        <w:tc>
          <w:tcPr>
            <w:tcW w:w="1612"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w:t>
            </w:r>
          </w:p>
        </w:tc>
        <w:tc>
          <w:tcPr>
            <w:tcW w:w="1515"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10.3t/a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硫酸雾</w:t>
            </w:r>
          </w:p>
        </w:tc>
        <w:tc>
          <w:tcPr>
            <w:tcW w:w="1701"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1.02t/a</w:t>
            </w: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w:t>
            </w:r>
          </w:p>
        </w:tc>
        <w:tc>
          <w:tcPr>
            <w:tcW w:w="1612"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w:t>
            </w:r>
          </w:p>
        </w:tc>
        <w:tc>
          <w:tcPr>
            <w:tcW w:w="1515"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1.02t/a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9"/>
              <w:spacing w:beforeLines="0" w:afterLines="0" w:line="240" w:lineRule="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VOCs</w:t>
            </w:r>
          </w:p>
        </w:tc>
        <w:tc>
          <w:tcPr>
            <w:tcW w:w="1701" w:type="dxa"/>
            <w:noWrap w:val="0"/>
            <w:vAlign w:val="center"/>
          </w:tcPr>
          <w:p>
            <w:pPr>
              <w:pStyle w:val="19"/>
              <w:spacing w:beforeLines="0" w:afterLines="0" w:line="240" w:lineRule="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0</w:t>
            </w: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0.1187t/a</w:t>
            </w:r>
          </w:p>
        </w:tc>
        <w:tc>
          <w:tcPr>
            <w:tcW w:w="1612"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+0.1187t/a</w:t>
            </w:r>
          </w:p>
        </w:tc>
        <w:tc>
          <w:tcPr>
            <w:tcW w:w="1515"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0.1187t/a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+0.1187t/a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19"/>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废水</w:t>
            </w:r>
          </w:p>
        </w:tc>
        <w:tc>
          <w:tcPr>
            <w:tcW w:w="1417"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COD</w:t>
            </w:r>
            <w:r>
              <w:rPr>
                <w:rFonts w:hint="eastAsia" w:hAnsi="宋体" w:cs="宋体"/>
                <w:snapToGrid w:val="0"/>
                <w:color w:val="000000"/>
                <w:kern w:val="21"/>
                <w:szCs w:val="21"/>
                <w:vertAlign w:val="subscript"/>
                <w:lang w:val="en-US" w:eastAsia="zh-CN"/>
              </w:rPr>
              <w:t>Cr</w:t>
            </w:r>
          </w:p>
        </w:tc>
        <w:tc>
          <w:tcPr>
            <w:tcW w:w="1701"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0.613t/a</w:t>
            </w: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0.328t/a</w:t>
            </w:r>
          </w:p>
        </w:tc>
        <w:tc>
          <w:tcPr>
            <w:tcW w:w="1612"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+0.328t/a</w:t>
            </w:r>
          </w:p>
        </w:tc>
        <w:tc>
          <w:tcPr>
            <w:tcW w:w="1515"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0.941t/a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+0.328t/a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9"/>
              <w:spacing w:beforeLines="0" w:afterLines="0" w:line="240" w:lineRule="auto"/>
              <w:rPr>
                <w:rFonts w:hint="eastAsia" w:hAnsi="宋体" w:cs="宋体"/>
                <w:snapToGrid w:val="0"/>
                <w:color w:val="000000"/>
                <w:kern w:val="21"/>
                <w:szCs w:val="21"/>
              </w:rPr>
            </w:pPr>
            <w:r>
              <w:rPr>
                <w:szCs w:val="21"/>
              </w:rPr>
              <w:t>NH</w:t>
            </w:r>
            <w:r>
              <w:rPr>
                <w:szCs w:val="21"/>
                <w:vertAlign w:val="subscript"/>
              </w:rPr>
              <w:t>3</w:t>
            </w:r>
            <w:r>
              <w:rPr>
                <w:szCs w:val="21"/>
              </w:rPr>
              <w:t>-N</w:t>
            </w:r>
          </w:p>
        </w:tc>
        <w:tc>
          <w:tcPr>
            <w:tcW w:w="1701"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0.02t/a</w:t>
            </w: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0.051t/a</w:t>
            </w:r>
          </w:p>
        </w:tc>
        <w:tc>
          <w:tcPr>
            <w:tcW w:w="1612"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+0.051t/a</w:t>
            </w:r>
          </w:p>
        </w:tc>
        <w:tc>
          <w:tcPr>
            <w:tcW w:w="1515"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0.071t/a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+0.051t/a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rPr>
              <w:t>一般工业</w:t>
            </w:r>
          </w:p>
          <w:p>
            <w:pPr>
              <w:pStyle w:val="19"/>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固体废物</w:t>
            </w:r>
          </w:p>
        </w:tc>
        <w:tc>
          <w:tcPr>
            <w:tcW w:w="1417"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生活垃圾</w:t>
            </w: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33.04t/a</w:t>
            </w:r>
          </w:p>
        </w:tc>
        <w:tc>
          <w:tcPr>
            <w:tcW w:w="1612"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+33.04t/a</w:t>
            </w:r>
          </w:p>
        </w:tc>
        <w:tc>
          <w:tcPr>
            <w:tcW w:w="1515"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33.04t/a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+33.04t/a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Ansi="宋体" w:cs="宋体"/>
                <w:snapToGrid w:val="0"/>
                <w:color w:val="000000"/>
                <w:kern w:val="21"/>
                <w:szCs w:val="21"/>
              </w:rPr>
            </w:pPr>
          </w:p>
        </w:tc>
        <w:tc>
          <w:tcPr>
            <w:tcW w:w="1417"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金属边角料</w:t>
            </w: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pStyle w:val="19"/>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50t/a</w:t>
            </w:r>
          </w:p>
        </w:tc>
        <w:tc>
          <w:tcPr>
            <w:tcW w:w="1612"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+50t/a</w:t>
            </w:r>
          </w:p>
        </w:tc>
        <w:tc>
          <w:tcPr>
            <w:tcW w:w="1515"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50t/a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+50t/a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Ansi="宋体" w:cs="宋体"/>
                <w:snapToGrid w:val="0"/>
                <w:color w:val="000000"/>
                <w:kern w:val="21"/>
                <w:szCs w:val="21"/>
              </w:rPr>
            </w:pPr>
          </w:p>
        </w:tc>
        <w:tc>
          <w:tcPr>
            <w:tcW w:w="1417"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废包装材料</w:t>
            </w: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pStyle w:val="19"/>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1t/a</w:t>
            </w:r>
          </w:p>
        </w:tc>
        <w:tc>
          <w:tcPr>
            <w:tcW w:w="1612"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+1t/a</w:t>
            </w:r>
          </w:p>
        </w:tc>
        <w:tc>
          <w:tcPr>
            <w:tcW w:w="1515"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1t/a</w:t>
            </w:r>
          </w:p>
        </w:tc>
        <w:tc>
          <w:tcPr>
            <w:tcW w:w="1419" w:type="dxa"/>
            <w:noWrap w:val="0"/>
            <w:vAlign w:val="center"/>
          </w:tcPr>
          <w:p>
            <w:pPr>
              <w:pStyle w:val="19"/>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lang w:val="en-US" w:eastAsia="zh-CN"/>
              </w:rPr>
              <w:t>+1t/a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19"/>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危险废物</w:t>
            </w:r>
          </w:p>
        </w:tc>
        <w:tc>
          <w:tcPr>
            <w:tcW w:w="1417" w:type="dxa"/>
            <w:noWrap w:val="0"/>
            <w:vAlign w:val="center"/>
          </w:tcPr>
          <w:p>
            <w:pPr>
              <w:bidi w:val="0"/>
              <w:spacing w:line="240" w:lineRule="auto"/>
              <w:jc w:val="center"/>
              <w:rPr>
                <w:rFonts w:hint="eastAsia" w:hAnsi="宋体" w:cs="宋体"/>
                <w:snapToGrid w:val="0"/>
                <w:color w:val="000000"/>
                <w:kern w:val="21"/>
                <w:sz w:val="21"/>
                <w:szCs w:val="21"/>
              </w:rPr>
            </w:pPr>
            <w:r>
              <w:rPr>
                <w:rFonts w:hint="eastAsia"/>
                <w:sz w:val="21"/>
                <w:szCs w:val="21"/>
                <w:lang w:val="en-US" w:eastAsia="zh-CN"/>
              </w:rPr>
              <w:t>废油漆桶及漆渣</w:t>
            </w: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0.45t/a</w:t>
            </w:r>
          </w:p>
        </w:tc>
        <w:tc>
          <w:tcPr>
            <w:tcW w:w="1612"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+0.45t/a</w:t>
            </w:r>
          </w:p>
        </w:tc>
        <w:tc>
          <w:tcPr>
            <w:tcW w:w="1515"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0.45t/a</w:t>
            </w:r>
          </w:p>
        </w:tc>
        <w:tc>
          <w:tcPr>
            <w:tcW w:w="141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+0.45t/a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Ansi="宋体" w:cs="宋体"/>
                <w:snapToGrid w:val="0"/>
                <w:color w:val="000000"/>
                <w:kern w:val="21"/>
                <w:szCs w:val="21"/>
              </w:rPr>
            </w:pPr>
          </w:p>
        </w:tc>
        <w:tc>
          <w:tcPr>
            <w:tcW w:w="1417" w:type="dxa"/>
            <w:noWrap w:val="0"/>
            <w:vAlign w:val="center"/>
          </w:tcPr>
          <w:p>
            <w:pPr>
              <w:bidi w:val="0"/>
              <w:spacing w:line="240" w:lineRule="auto"/>
              <w:jc w:val="center"/>
              <w:rPr>
                <w:rFonts w:hint="eastAsia" w:hAnsi="宋体" w:cs="宋体"/>
                <w:snapToGrid w:val="0"/>
                <w:color w:val="000000"/>
                <w:kern w:val="21"/>
                <w:sz w:val="21"/>
                <w:szCs w:val="21"/>
              </w:rPr>
            </w:pPr>
            <w:r>
              <w:rPr>
                <w:rFonts w:hint="eastAsia"/>
                <w:sz w:val="21"/>
                <w:szCs w:val="21"/>
                <w:lang w:val="en-US" w:eastAsia="zh-CN"/>
              </w:rPr>
              <w:t>废机油</w:t>
            </w: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0.05t/a</w:t>
            </w:r>
          </w:p>
        </w:tc>
        <w:tc>
          <w:tcPr>
            <w:tcW w:w="1612"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+0.05t/a</w:t>
            </w:r>
          </w:p>
        </w:tc>
        <w:tc>
          <w:tcPr>
            <w:tcW w:w="1515"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0.05t/a</w:t>
            </w:r>
          </w:p>
        </w:tc>
        <w:tc>
          <w:tcPr>
            <w:tcW w:w="141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Ansi="宋体" w:cs="宋体"/>
                <w:snapToGrid w:val="0"/>
                <w:color w:val="000000"/>
                <w:kern w:val="21"/>
                <w:szCs w:val="21"/>
              </w:rPr>
            </w:pPr>
          </w:p>
        </w:tc>
        <w:tc>
          <w:tcPr>
            <w:tcW w:w="1417" w:type="dxa"/>
            <w:noWrap w:val="0"/>
            <w:vAlign w:val="center"/>
          </w:tcPr>
          <w:p>
            <w:pPr>
              <w:bidi w:val="0"/>
              <w:spacing w:line="240" w:lineRule="auto"/>
              <w:jc w:val="center"/>
              <w:rPr>
                <w:rFonts w:hint="eastAsia" w:hAnsi="宋体" w:cs="宋体"/>
                <w:snapToGrid w:val="0"/>
                <w:color w:val="000000"/>
                <w:kern w:val="21"/>
                <w:sz w:val="21"/>
                <w:szCs w:val="21"/>
              </w:rPr>
            </w:pPr>
            <w:r>
              <w:rPr>
                <w:rFonts w:hint="eastAsia"/>
                <w:sz w:val="21"/>
                <w:szCs w:val="21"/>
                <w:lang w:val="en-US" w:eastAsia="zh-CN"/>
              </w:rPr>
              <w:t>废机油桶</w:t>
            </w: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0.14t/a</w:t>
            </w:r>
          </w:p>
        </w:tc>
        <w:tc>
          <w:tcPr>
            <w:tcW w:w="1612"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+0.14t/a</w:t>
            </w:r>
          </w:p>
        </w:tc>
        <w:tc>
          <w:tcPr>
            <w:tcW w:w="1515"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0.14t/a</w:t>
            </w:r>
          </w:p>
        </w:tc>
        <w:tc>
          <w:tcPr>
            <w:tcW w:w="141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+0.14t/a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Ansi="宋体" w:cs="宋体"/>
                <w:snapToGrid w:val="0"/>
                <w:color w:val="000000"/>
                <w:kern w:val="21"/>
                <w:szCs w:val="21"/>
              </w:rPr>
            </w:pPr>
          </w:p>
        </w:tc>
        <w:tc>
          <w:tcPr>
            <w:tcW w:w="1417" w:type="dxa"/>
            <w:noWrap w:val="0"/>
            <w:vAlign w:val="center"/>
          </w:tcPr>
          <w:p>
            <w:pPr>
              <w:bidi w:val="0"/>
              <w:spacing w:line="240" w:lineRule="auto"/>
              <w:jc w:val="center"/>
              <w:rPr>
                <w:rFonts w:hint="eastAsia" w:hAnsi="宋体" w:cs="宋体"/>
                <w:snapToGrid w:val="0"/>
                <w:color w:val="000000"/>
                <w:kern w:val="21"/>
                <w:sz w:val="21"/>
                <w:szCs w:val="21"/>
              </w:rPr>
            </w:pPr>
            <w:r>
              <w:rPr>
                <w:rFonts w:hint="eastAsia"/>
                <w:sz w:val="21"/>
                <w:szCs w:val="21"/>
                <w:lang w:val="en-US" w:eastAsia="zh-CN"/>
              </w:rPr>
              <w:t>废过滤棉</w:t>
            </w: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0.05t/a</w:t>
            </w:r>
          </w:p>
        </w:tc>
        <w:tc>
          <w:tcPr>
            <w:tcW w:w="1612"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+0.05t/a</w:t>
            </w:r>
          </w:p>
        </w:tc>
        <w:tc>
          <w:tcPr>
            <w:tcW w:w="1515"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0.05t/a</w:t>
            </w:r>
          </w:p>
        </w:tc>
        <w:tc>
          <w:tcPr>
            <w:tcW w:w="141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Ansi="宋体" w:cs="宋体"/>
                <w:snapToGrid w:val="0"/>
                <w:color w:val="000000"/>
                <w:kern w:val="21"/>
                <w:szCs w:val="21"/>
              </w:rPr>
            </w:pPr>
          </w:p>
        </w:tc>
        <w:tc>
          <w:tcPr>
            <w:tcW w:w="1417" w:type="dxa"/>
            <w:noWrap w:val="0"/>
            <w:vAlign w:val="center"/>
          </w:tcPr>
          <w:p>
            <w:pPr>
              <w:bidi w:val="0"/>
              <w:spacing w:line="240" w:lineRule="auto"/>
              <w:jc w:val="center"/>
              <w:rPr>
                <w:rFonts w:hint="eastAsia" w:hAnsi="宋体" w:cs="宋体"/>
                <w:snapToGrid w:val="0"/>
                <w:color w:val="000000"/>
                <w:kern w:val="21"/>
                <w:sz w:val="21"/>
                <w:szCs w:val="21"/>
              </w:rPr>
            </w:pPr>
            <w:r>
              <w:rPr>
                <w:rFonts w:hint="eastAsia"/>
                <w:sz w:val="21"/>
                <w:szCs w:val="21"/>
                <w:lang w:val="en-US" w:eastAsia="zh-CN"/>
              </w:rPr>
              <w:t>废活性炭</w:t>
            </w: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0.12t/a</w:t>
            </w:r>
          </w:p>
        </w:tc>
        <w:tc>
          <w:tcPr>
            <w:tcW w:w="1612"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+0.12t/a</w:t>
            </w:r>
          </w:p>
        </w:tc>
        <w:tc>
          <w:tcPr>
            <w:tcW w:w="1515"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0.12t/a</w:t>
            </w:r>
          </w:p>
        </w:tc>
        <w:tc>
          <w:tcPr>
            <w:tcW w:w="141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+0.12t/a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Ansi="宋体" w:cs="宋体"/>
                <w:snapToGrid w:val="0"/>
                <w:color w:val="000000"/>
                <w:kern w:val="21"/>
                <w:szCs w:val="21"/>
              </w:rPr>
            </w:pPr>
          </w:p>
        </w:tc>
        <w:tc>
          <w:tcPr>
            <w:tcW w:w="1417" w:type="dxa"/>
            <w:noWrap w:val="0"/>
            <w:vAlign w:val="center"/>
          </w:tcPr>
          <w:p>
            <w:pPr>
              <w:bidi w:val="0"/>
              <w:spacing w:line="240" w:lineRule="auto"/>
              <w:jc w:val="center"/>
              <w:rPr>
                <w:rFonts w:hint="eastAsia" w:hAnsi="宋体" w:cs="宋体"/>
                <w:snapToGrid w:val="0"/>
                <w:color w:val="000000"/>
                <w:kern w:val="21"/>
                <w:sz w:val="21"/>
                <w:szCs w:val="21"/>
              </w:rPr>
            </w:pPr>
            <w:r>
              <w:rPr>
                <w:rFonts w:hint="eastAsia"/>
                <w:sz w:val="21"/>
                <w:szCs w:val="21"/>
                <w:lang w:val="en-US" w:eastAsia="zh-CN"/>
              </w:rPr>
              <w:t>废UV灯管</w:t>
            </w: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0.06t/a</w:t>
            </w:r>
          </w:p>
        </w:tc>
        <w:tc>
          <w:tcPr>
            <w:tcW w:w="1612"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+0.06t/a</w:t>
            </w:r>
          </w:p>
        </w:tc>
        <w:tc>
          <w:tcPr>
            <w:tcW w:w="1515"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0.06t/a</w:t>
            </w:r>
          </w:p>
        </w:tc>
        <w:tc>
          <w:tcPr>
            <w:tcW w:w="1419" w:type="dxa"/>
            <w:noWrap w:val="0"/>
            <w:vAlign w:val="center"/>
          </w:tcPr>
          <w:p>
            <w:pPr>
              <w:bidi w:val="0"/>
              <w:spacing w:line="240" w:lineRule="auto"/>
              <w:jc w:val="center"/>
              <w:rPr>
                <w:rFonts w:hAnsi="宋体" w:cs="宋体"/>
                <w:snapToGrid w:val="0"/>
                <w:color w:val="000000"/>
                <w:kern w:val="21"/>
                <w:sz w:val="21"/>
                <w:szCs w:val="21"/>
              </w:rPr>
            </w:pPr>
            <w:r>
              <w:rPr>
                <w:rFonts w:hint="eastAsia"/>
                <w:sz w:val="21"/>
                <w:szCs w:val="21"/>
                <w:lang w:val="en-US" w:eastAsia="zh-CN"/>
              </w:rPr>
              <w:t>+0.06t/a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9"/>
              <w:spacing w:beforeLines="0" w:afterLines="0" w:line="240" w:lineRule="auto"/>
              <w:rPr>
                <w:rFonts w:hAnsi="宋体" w:cs="宋体"/>
                <w:snapToGrid w:val="0"/>
                <w:color w:val="000000"/>
                <w:kern w:val="21"/>
                <w:szCs w:val="21"/>
              </w:rPr>
            </w:pPr>
          </w:p>
        </w:tc>
        <w:tc>
          <w:tcPr>
            <w:tcW w:w="1417"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废切削液</w:t>
            </w: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276" w:type="dxa"/>
            <w:noWrap w:val="0"/>
            <w:vAlign w:val="center"/>
          </w:tcPr>
          <w:p>
            <w:pPr>
              <w:pStyle w:val="19"/>
              <w:spacing w:beforeLines="0" w:afterLines="0" w:line="240" w:lineRule="auto"/>
              <w:rPr>
                <w:rFonts w:hAnsi="宋体" w:cs="宋体"/>
                <w:snapToGrid w:val="0"/>
                <w:color w:val="000000"/>
                <w:kern w:val="21"/>
                <w:szCs w:val="21"/>
              </w:rPr>
            </w:pPr>
          </w:p>
        </w:tc>
        <w:tc>
          <w:tcPr>
            <w:tcW w:w="1701" w:type="dxa"/>
            <w:noWrap w:val="0"/>
            <w:vAlign w:val="center"/>
          </w:tcPr>
          <w:p>
            <w:pPr>
              <w:pStyle w:val="19"/>
              <w:spacing w:beforeLines="0" w:afterLines="0" w:line="240" w:lineRule="auto"/>
              <w:rPr>
                <w:rFonts w:hAnsi="宋体" w:cs="宋体"/>
                <w:snapToGrid w:val="0"/>
                <w:color w:val="000000"/>
                <w:kern w:val="21"/>
                <w:szCs w:val="21"/>
              </w:rPr>
            </w:pPr>
          </w:p>
        </w:tc>
        <w:tc>
          <w:tcPr>
            <w:tcW w:w="1559"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0.02t/a</w:t>
            </w:r>
          </w:p>
        </w:tc>
        <w:tc>
          <w:tcPr>
            <w:tcW w:w="1612"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+0.02t/a</w:t>
            </w:r>
          </w:p>
        </w:tc>
        <w:tc>
          <w:tcPr>
            <w:tcW w:w="1515"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0.02t/a</w:t>
            </w:r>
          </w:p>
        </w:tc>
        <w:tc>
          <w:tcPr>
            <w:tcW w:w="1419"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+0.02t/a</w:t>
            </w:r>
          </w:p>
        </w:tc>
      </w:tr>
    </w:tbl>
    <w:p>
      <w:pPr>
        <w:pStyle w:val="19"/>
        <w:spacing w:before="192" w:beforeLines="80" w:after="24"/>
        <w:jc w:val="left"/>
        <w:rPr>
          <w:rFonts w:hint="eastAsia"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pStyle w:val="17"/>
      </w:pPr>
    </w:p>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Fonts w:ascii="宋体" w:hAnsi="宋体"/>
        <w:sz w:val="28"/>
        <w:szCs w:val="28"/>
      </w:rPr>
    </w:pPr>
    <w:r>
      <w:rPr>
        <w:rStyle w:val="16"/>
        <w:rFonts w:hint="eastAsia" w:ascii="宋体" w:hAnsi="宋体"/>
        <w:sz w:val="28"/>
        <w:szCs w:val="28"/>
      </w:rPr>
      <w:t>—</w:t>
    </w:r>
    <w:r>
      <w:rPr>
        <w:rStyle w:val="16"/>
        <w:rFonts w:hint="eastAsia" w:ascii="宋体" w:hAnsi="宋体"/>
        <w:sz w:val="20"/>
      </w:rPr>
      <w:t xml:space="preserve">  </w:t>
    </w:r>
    <w:r>
      <w:rPr>
        <w:rStyle w:val="16"/>
        <w:rFonts w:ascii="宋体" w:hAnsi="宋体"/>
        <w:sz w:val="26"/>
        <w:szCs w:val="26"/>
      </w:rPr>
      <w:fldChar w:fldCharType="begin"/>
    </w:r>
    <w:r>
      <w:rPr>
        <w:rStyle w:val="16"/>
        <w:rFonts w:ascii="宋体" w:hAnsi="宋体"/>
        <w:sz w:val="26"/>
        <w:szCs w:val="26"/>
      </w:rPr>
      <w:instrText xml:space="preserve">PAGE  </w:instrText>
    </w:r>
    <w:r>
      <w:rPr>
        <w:rStyle w:val="16"/>
        <w:rFonts w:ascii="宋体" w:hAnsi="宋体"/>
        <w:sz w:val="26"/>
        <w:szCs w:val="26"/>
      </w:rPr>
      <w:fldChar w:fldCharType="separate"/>
    </w:r>
    <w:r>
      <w:rPr>
        <w:rStyle w:val="16"/>
        <w:rFonts w:ascii="宋体" w:hAnsi="宋体"/>
        <w:sz w:val="26"/>
        <w:szCs w:val="26"/>
      </w:rPr>
      <w:t>9</w:t>
    </w:r>
    <w:r>
      <w:rPr>
        <w:rStyle w:val="16"/>
        <w:rFonts w:ascii="宋体" w:hAnsi="宋体"/>
        <w:sz w:val="26"/>
        <w:szCs w:val="26"/>
      </w:rPr>
      <w:fldChar w:fldCharType="end"/>
    </w:r>
    <w:r>
      <w:rPr>
        <w:rStyle w:val="16"/>
        <w:rFonts w:hint="eastAsia" w:ascii="宋体" w:hAnsi="宋体"/>
        <w:sz w:val="20"/>
      </w:rPr>
      <w:t xml:space="preserve">  </w:t>
    </w:r>
    <w:r>
      <w:rPr>
        <w:rStyle w:val="16"/>
        <w:rFonts w:hint="eastAsia" w:ascii="宋体" w:hAnsi="宋体"/>
        <w:sz w:val="28"/>
        <w:szCs w:val="28"/>
      </w:rPr>
      <w:t>—</w:t>
    </w:r>
  </w:p>
  <w:p>
    <w:pPr>
      <w:pStyle w:val="9"/>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Fonts w:ascii="宋体" w:hAnsi="宋体"/>
        <w:sz w:val="28"/>
        <w:szCs w:val="28"/>
      </w:rPr>
    </w:pPr>
    <w:r>
      <w:rPr>
        <w:rStyle w:val="16"/>
        <w:rFonts w:hint="eastAsia" w:ascii="宋体" w:hAnsi="宋体"/>
        <w:sz w:val="28"/>
        <w:szCs w:val="28"/>
      </w:rPr>
      <w:t>—</w:t>
    </w:r>
    <w:r>
      <w:rPr>
        <w:rStyle w:val="16"/>
        <w:rFonts w:hint="eastAsia" w:ascii="宋体" w:hAnsi="宋体"/>
        <w:sz w:val="20"/>
      </w:rPr>
      <w:t xml:space="preserve">  </w:t>
    </w:r>
    <w:r>
      <w:rPr>
        <w:rStyle w:val="16"/>
        <w:rFonts w:ascii="宋体" w:hAnsi="宋体"/>
        <w:sz w:val="26"/>
        <w:szCs w:val="26"/>
      </w:rPr>
      <w:fldChar w:fldCharType="begin"/>
    </w:r>
    <w:r>
      <w:rPr>
        <w:rStyle w:val="16"/>
        <w:rFonts w:ascii="宋体" w:hAnsi="宋体"/>
        <w:sz w:val="26"/>
        <w:szCs w:val="26"/>
      </w:rPr>
      <w:instrText xml:space="preserve">PAGE  </w:instrText>
    </w:r>
    <w:r>
      <w:rPr>
        <w:rStyle w:val="16"/>
        <w:rFonts w:ascii="宋体" w:hAnsi="宋体"/>
        <w:sz w:val="26"/>
        <w:szCs w:val="26"/>
      </w:rPr>
      <w:fldChar w:fldCharType="separate"/>
    </w:r>
    <w:r>
      <w:rPr>
        <w:rStyle w:val="16"/>
        <w:rFonts w:ascii="宋体" w:hAnsi="宋体"/>
        <w:sz w:val="26"/>
        <w:szCs w:val="26"/>
      </w:rPr>
      <w:t>11</w:t>
    </w:r>
    <w:r>
      <w:rPr>
        <w:rStyle w:val="16"/>
        <w:rFonts w:ascii="宋体" w:hAnsi="宋体"/>
        <w:sz w:val="26"/>
        <w:szCs w:val="26"/>
      </w:rPr>
      <w:fldChar w:fldCharType="end"/>
    </w:r>
    <w:r>
      <w:rPr>
        <w:rStyle w:val="16"/>
        <w:rFonts w:hint="eastAsia" w:ascii="宋体" w:hAnsi="宋体"/>
        <w:sz w:val="20"/>
      </w:rPr>
      <w:t xml:space="preserve">  </w:t>
    </w:r>
    <w:r>
      <w:rPr>
        <w:rStyle w:val="16"/>
        <w:rFonts w:hint="eastAsia" w:ascii="宋体" w:hAnsi="宋体"/>
        <w:sz w:val="28"/>
        <w:szCs w:val="28"/>
      </w:rPr>
      <w:t>—</w:t>
    </w:r>
  </w:p>
  <w:p>
    <w:pPr>
      <w:pStyle w:val="9"/>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21E70"/>
    <w:multiLevelType w:val="singleLevel"/>
    <w:tmpl w:val="17521E70"/>
    <w:lvl w:ilvl="0" w:tentative="0">
      <w:start w:val="1"/>
      <w:numFmt w:val="decimal"/>
      <w:suff w:val="nothing"/>
      <w:lvlText w:val="（%1）"/>
      <w:lvlJc w:val="left"/>
    </w:lvl>
  </w:abstractNum>
  <w:abstractNum w:abstractNumId="1">
    <w:nsid w:val="2AD97ABD"/>
    <w:multiLevelType w:val="singleLevel"/>
    <w:tmpl w:val="2AD97AB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12632"/>
    <w:rsid w:val="02604A8F"/>
    <w:rsid w:val="03345F7C"/>
    <w:rsid w:val="04196009"/>
    <w:rsid w:val="07896405"/>
    <w:rsid w:val="07B116D7"/>
    <w:rsid w:val="08B9347A"/>
    <w:rsid w:val="095B320D"/>
    <w:rsid w:val="0CFE64EC"/>
    <w:rsid w:val="0E263CAE"/>
    <w:rsid w:val="0EE8432D"/>
    <w:rsid w:val="13D801BC"/>
    <w:rsid w:val="14004650"/>
    <w:rsid w:val="16DC6B86"/>
    <w:rsid w:val="183B096C"/>
    <w:rsid w:val="1A085EDF"/>
    <w:rsid w:val="1CFC13FE"/>
    <w:rsid w:val="1EE135A3"/>
    <w:rsid w:val="1F0C40D5"/>
    <w:rsid w:val="1FCC510F"/>
    <w:rsid w:val="281301B0"/>
    <w:rsid w:val="2A642628"/>
    <w:rsid w:val="2B89661E"/>
    <w:rsid w:val="2D866DEB"/>
    <w:rsid w:val="2DD20F49"/>
    <w:rsid w:val="2E3368C2"/>
    <w:rsid w:val="34F1465A"/>
    <w:rsid w:val="378178DB"/>
    <w:rsid w:val="38650B3D"/>
    <w:rsid w:val="3A890B00"/>
    <w:rsid w:val="40832255"/>
    <w:rsid w:val="432B6815"/>
    <w:rsid w:val="47D90DD2"/>
    <w:rsid w:val="48477318"/>
    <w:rsid w:val="48844B78"/>
    <w:rsid w:val="4A61045C"/>
    <w:rsid w:val="4B221E7A"/>
    <w:rsid w:val="4C317608"/>
    <w:rsid w:val="4FC47BE9"/>
    <w:rsid w:val="50C24CB1"/>
    <w:rsid w:val="547D55F6"/>
    <w:rsid w:val="5F0E6B89"/>
    <w:rsid w:val="5FD34A34"/>
    <w:rsid w:val="5FE32533"/>
    <w:rsid w:val="61694633"/>
    <w:rsid w:val="62A14053"/>
    <w:rsid w:val="64186C30"/>
    <w:rsid w:val="688965B8"/>
    <w:rsid w:val="6BED74C2"/>
    <w:rsid w:val="6E334677"/>
    <w:rsid w:val="6EAE24DF"/>
    <w:rsid w:val="6F076067"/>
    <w:rsid w:val="71412632"/>
    <w:rsid w:val="730811FD"/>
    <w:rsid w:val="732D51B0"/>
    <w:rsid w:val="75462379"/>
    <w:rsid w:val="76E34FD4"/>
    <w:rsid w:val="7A887BED"/>
    <w:rsid w:val="7B4A166E"/>
    <w:rsid w:val="7B5543D5"/>
    <w:rsid w:val="7BC55407"/>
    <w:rsid w:val="7BFE6875"/>
    <w:rsid w:val="7FBB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beforeLines="0" w:after="260" w:afterLines="0" w:line="413" w:lineRule="auto"/>
      <w:outlineLvl w:val="2"/>
    </w:pPr>
    <w:rPr>
      <w:b/>
      <w:bCs/>
      <w:kern w:val="2"/>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line="360" w:lineRule="auto"/>
      <w:ind w:firstLine="420"/>
    </w:p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3"/>
    <w:qFormat/>
    <w:uiPriority w:val="0"/>
    <w:pPr>
      <w:spacing w:before="0" w:after="120"/>
      <w:ind w:left="90" w:leftChars="32" w:firstLine="560" w:firstLineChars="200"/>
    </w:pPr>
    <w:rPr>
      <w:rFonts w:ascii="Times New Roman" w:cs="宋体"/>
    </w:rPr>
  </w:style>
  <w:style w:type="paragraph" w:styleId="6">
    <w:name w:val="Normal Indent"/>
    <w:basedOn w:val="1"/>
    <w:qFormat/>
    <w:uiPriority w:val="0"/>
    <w:pPr>
      <w:spacing w:after="120" w:line="400" w:lineRule="exact"/>
      <w:ind w:firstLine="480" w:firstLineChars="200"/>
    </w:pPr>
    <w:rPr>
      <w:sz w:val="24"/>
      <w:szCs w:val="20"/>
    </w:rPr>
  </w:style>
  <w:style w:type="paragraph" w:styleId="7">
    <w:name w:val="caption"/>
    <w:basedOn w:val="1"/>
    <w:next w:val="1"/>
    <w:qFormat/>
    <w:uiPriority w:val="0"/>
    <w:pPr>
      <w:jc w:val="center"/>
    </w:pPr>
    <w:rPr>
      <w:rFonts w:ascii="Arial Narrow" w:hAnsi="Arial Narrow"/>
      <w:b/>
      <w:sz w:val="24"/>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2">
    <w:name w:val="Body Text First Indent"/>
    <w:basedOn w:val="1"/>
    <w:qFormat/>
    <w:uiPriority w:val="0"/>
    <w:pPr>
      <w:overflowPunct w:val="0"/>
      <w:autoSpaceDE w:val="0"/>
      <w:autoSpaceDN w:val="0"/>
      <w:adjustRightInd w:val="0"/>
      <w:spacing w:line="360" w:lineRule="auto"/>
      <w:ind w:firstLine="539"/>
      <w:textAlignment w:val="baseline"/>
    </w:pPr>
    <w:rPr>
      <w:kern w:val="0"/>
      <w:sz w:val="28"/>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Default"/>
    <w:basedOn w:val="1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正文 Alt+0"/>
    <w:basedOn w:val="1"/>
    <w:qFormat/>
    <w:uiPriority w:val="0"/>
    <w:pPr>
      <w:spacing w:line="360" w:lineRule="auto"/>
      <w:ind w:firstLine="200" w:firstLineChars="200"/>
    </w:pPr>
    <w:rPr>
      <w:rFonts w:ascii="Times New Roman" w:hAnsi="Times New Roman"/>
      <w:sz w:val="28"/>
      <w:szCs w:val="28"/>
    </w:rPr>
  </w:style>
  <w:style w:type="paragraph" w:customStyle="1" w:styleId="19">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0">
    <w:name w:val="样式 (符号) 宋体 小四 行距: 1.5 倍行距"/>
    <w:basedOn w:val="1"/>
    <w:qFormat/>
    <w:uiPriority w:val="0"/>
    <w:pPr>
      <w:spacing w:line="360" w:lineRule="auto"/>
      <w:ind w:firstLine="480" w:firstLineChars="200"/>
    </w:pPr>
    <w:rPr>
      <w:rFonts w:ascii="Calibri" w:hAnsi="宋体" w:cs="宋体"/>
      <w:sz w:val="24"/>
      <w:szCs w:val="21"/>
    </w:rPr>
  </w:style>
  <w:style w:type="paragraph" w:customStyle="1" w:styleId="21">
    <w:name w:val="表格题注"/>
    <w:qFormat/>
    <w:uiPriority w:val="0"/>
    <w:pPr>
      <w:jc w:val="center"/>
    </w:pPr>
    <w:rPr>
      <w:rFonts w:ascii="Calibri" w:hAnsi="Calibri" w:eastAsia="宋体" w:cs="Times New Roman"/>
      <w:b/>
      <w:sz w:val="21"/>
      <w:szCs w:val="22"/>
      <w:lang w:val="en-US" w:eastAsia="zh-CN" w:bidi="ar-SA"/>
    </w:rPr>
  </w:style>
  <w:style w:type="paragraph" w:customStyle="1" w:styleId="22">
    <w:name w:val="表格文字"/>
    <w:basedOn w:val="11"/>
    <w:next w:val="6"/>
    <w:qFormat/>
    <w:uiPriority w:val="0"/>
    <w:pPr>
      <w:widowControl w:val="0"/>
      <w:snapToGrid w:val="0"/>
      <w:spacing w:before="0" w:beforeAutospacing="0" w:after="120" w:afterAutospacing="0"/>
      <w:ind w:firstLine="420" w:firstLineChars="100"/>
      <w:jc w:val="center"/>
      <w:textAlignment w:val="center"/>
    </w:pPr>
    <w:rPr>
      <w:rFonts w:ascii="Calibri" w:hAnsi="Calibri"/>
      <w:kern w:val="2"/>
      <w:sz w:val="21"/>
      <w:szCs w:val="18"/>
    </w:rPr>
  </w:style>
  <w:style w:type="paragraph" w:customStyle="1" w:styleId="23">
    <w:name w:val="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
    <w:name w:val="表字体"/>
    <w:basedOn w:val="1"/>
    <w:next w:val="1"/>
    <w:qFormat/>
    <w:uiPriority w:val="0"/>
    <w:pPr>
      <w:jc w:val="center"/>
    </w:pPr>
    <w:rPr>
      <w:rFonts w:ascii="Times New Roman" w:hAnsi="Times New Roman" w:eastAsia="宋体"/>
    </w:rPr>
  </w:style>
  <w:style w:type="paragraph" w:customStyle="1" w:styleId="25">
    <w:name w:val="ctrl+~  正文"/>
    <w:basedOn w:val="1"/>
    <w:qFormat/>
    <w:uiPriority w:val="0"/>
    <w:pPr>
      <w:spacing w:line="480" w:lineRule="exact"/>
      <w:ind w:firstLine="480" w:firstLineChars="200"/>
    </w:pPr>
    <w:rPr>
      <w:rFonts w:eastAsia="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2021-04-29T07:54:00Z</dcterms:created>
  <dc:creator>Dufour不是豆腐</dc:creator>
  <cp:lastModifiedBy>W</cp:lastModifiedBy>
  <cp:lastPrinted>2021-09-18T08:29:00Z</cp:lastPrinted>
  <dcterms:modified xsi:type="dcterms:W3CDTF">2021-10-15T05:37:45Z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50FFCD10C5794F51AE9B4D6DFBC98E4E</vt:lpwstr>
  </property>
</Properties>
</file>