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hint="eastAsia" w:ascii="仿宋_GB2312" w:hAnsi="仿宋_GB2312" w:eastAsia="仿宋_GB2312" w:cs="仿宋_GB2312"/>
          <w:sz w:val="36"/>
          <w:szCs w:val="36"/>
        </w:rPr>
      </w:pPr>
    </w:p>
    <w:p>
      <w:pPr>
        <w:adjustRightInd w:val="0"/>
        <w:snapToGrid w:val="0"/>
        <w:jc w:val="center"/>
        <w:outlineLvl w:val="0"/>
        <w:rPr>
          <w:rFonts w:hint="eastAsia" w:ascii="方正小标宋_GBK" w:eastAsia="方正小标宋_GBK"/>
          <w:bCs/>
          <w:sz w:val="72"/>
          <w:szCs w:val="72"/>
        </w:rPr>
      </w:pPr>
      <w:r>
        <w:rPr>
          <w:rFonts w:hint="eastAsia" w:ascii="方正小标宋_GBK" w:eastAsia="方正小标宋_GBK"/>
          <w:bCs/>
          <w:sz w:val="72"/>
          <w:szCs w:val="72"/>
        </w:rPr>
        <w:t>建设项目环境影响报告表</w:t>
      </w:r>
    </w:p>
    <w:p>
      <w:pPr>
        <w:adjustRightInd w:val="0"/>
        <w:snapToGrid w:val="0"/>
        <w:spacing w:before="192" w:beforeLines="80"/>
        <w:jc w:val="center"/>
        <w:rPr>
          <w:rFonts w:hint="eastAsia" w:ascii="楷体_GB2312" w:eastAsia="楷体_GB2312"/>
          <w:bCs/>
          <w:sz w:val="48"/>
          <w:szCs w:val="48"/>
        </w:rPr>
      </w:pPr>
      <w:r>
        <w:rPr>
          <w:rFonts w:hint="eastAsia" w:ascii="楷体_GB2312" w:eastAsia="楷体_GB2312"/>
          <w:bCs/>
          <w:sz w:val="48"/>
          <w:szCs w:val="48"/>
        </w:rPr>
        <w:t>（污染影响类）</w:t>
      </w:r>
    </w:p>
    <w:p>
      <w:pPr>
        <w:adjustRightInd w:val="0"/>
        <w:snapToGrid w:val="0"/>
        <w:spacing w:line="288" w:lineRule="auto"/>
        <w:jc w:val="center"/>
        <w:outlineLvl w:val="9"/>
        <w:rPr>
          <w:rFonts w:ascii="华文仿宋" w:hAnsi="华文仿宋" w:eastAsia="华文仿宋" w:cs="华文仿宋"/>
          <w:color w:val="000000"/>
          <w:kern w:val="44"/>
          <w:sz w:val="44"/>
          <w:szCs w:val="44"/>
        </w:rPr>
      </w:pPr>
    </w:p>
    <w:p>
      <w:pPr>
        <w:jc w:val="center"/>
        <w:rPr>
          <w:rFonts w:eastAsia="仿宋"/>
          <w:sz w:val="52"/>
          <w:szCs w:val="52"/>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adjustRightInd w:val="0"/>
        <w:snapToGrid w:val="0"/>
        <w:spacing w:line="288" w:lineRule="auto"/>
        <w:jc w:val="left"/>
        <w:rPr>
          <w:rFonts w:hint="eastAsia" w:ascii="仿宋_GB2312" w:eastAsia="仿宋_GB2312"/>
          <w:sz w:val="36"/>
          <w:szCs w:val="36"/>
          <w:u w:val="single"/>
        </w:rPr>
      </w:pPr>
      <w:r>
        <w:rPr>
          <w:rFonts w:hint="eastAsia" w:ascii="仿宋_GB2312" w:eastAsia="仿宋_GB2312"/>
          <w:sz w:val="36"/>
          <w:szCs w:val="36"/>
        </w:rPr>
        <w:t xml:space="preserve">项目名称： </w:t>
      </w:r>
      <w:r>
        <w:rPr>
          <w:rFonts w:hint="eastAsia" w:ascii="仿宋_GB2312" w:eastAsia="仿宋_GB2312"/>
          <w:sz w:val="36"/>
          <w:szCs w:val="36"/>
          <w:u w:val="single"/>
        </w:rPr>
        <w:t xml:space="preserve"> </w:t>
      </w:r>
      <w:r>
        <w:rPr>
          <w:rFonts w:hint="eastAsia" w:ascii="仿宋_GB2312" w:eastAsia="仿宋_GB2312"/>
          <w:sz w:val="36"/>
          <w:szCs w:val="36"/>
          <w:u w:val="single"/>
          <w:lang w:val="en-US" w:eastAsia="zh-CN"/>
        </w:rPr>
        <w:t xml:space="preserve">  年产40万个水面光伏浮体建设项目</w:t>
      </w:r>
      <w:r>
        <w:rPr>
          <w:rFonts w:hint="eastAsia" w:ascii="仿宋_GB2312" w:eastAsia="仿宋_GB2312"/>
          <w:sz w:val="36"/>
          <w:szCs w:val="36"/>
          <w:u w:val="single"/>
        </w:rPr>
        <w:t xml:space="preserve">   </w:t>
      </w:r>
    </w:p>
    <w:p>
      <w:pPr>
        <w:adjustRightInd w:val="0"/>
        <w:snapToGrid w:val="0"/>
        <w:spacing w:line="288" w:lineRule="auto"/>
        <w:jc w:val="left"/>
        <w:rPr>
          <w:rFonts w:ascii="仿宋_GB2312" w:eastAsia="仿宋_GB2312"/>
          <w:sz w:val="36"/>
          <w:szCs w:val="36"/>
          <w:u w:val="single"/>
        </w:rPr>
      </w:pPr>
      <w:r>
        <w:rPr>
          <w:rFonts w:hint="eastAsia" w:ascii="仿宋_GB2312" w:eastAsia="仿宋_GB2312"/>
          <w:sz w:val="36"/>
          <w:szCs w:val="36"/>
        </w:rPr>
        <w:t>建设单位（盖章）：</w:t>
      </w:r>
      <w:r>
        <w:rPr>
          <w:rFonts w:hint="eastAsia" w:ascii="仿宋_GB2312" w:eastAsia="仿宋_GB2312"/>
          <w:sz w:val="36"/>
          <w:szCs w:val="36"/>
          <w:u w:val="single"/>
        </w:rPr>
        <w:t xml:space="preserve"> </w:t>
      </w:r>
      <w:r>
        <w:rPr>
          <w:rFonts w:hint="eastAsia" w:ascii="仿宋_GB2312" w:eastAsia="仿宋_GB2312"/>
          <w:sz w:val="36"/>
          <w:szCs w:val="36"/>
          <w:u w:val="single"/>
          <w:lang w:val="en-US" w:eastAsia="zh-CN"/>
        </w:rPr>
        <w:t xml:space="preserve"> 湖南乾阳新能源科技有限公司 </w:t>
      </w:r>
      <w:r>
        <w:rPr>
          <w:rFonts w:hint="eastAsia" w:ascii="仿宋_GB2312" w:eastAsia="仿宋_GB2312"/>
          <w:sz w:val="36"/>
          <w:szCs w:val="36"/>
          <w:u w:val="single"/>
        </w:rPr>
        <w:t xml:space="preserve"> </w:t>
      </w:r>
    </w:p>
    <w:p>
      <w:pPr>
        <w:adjustRightInd w:val="0"/>
        <w:snapToGrid w:val="0"/>
        <w:spacing w:line="288" w:lineRule="auto"/>
        <w:jc w:val="left"/>
        <w:rPr>
          <w:rFonts w:hint="eastAsia" w:ascii="仿宋_GB2312" w:eastAsia="仿宋_GB2312"/>
          <w:sz w:val="36"/>
          <w:szCs w:val="36"/>
          <w:u w:val="single"/>
        </w:rPr>
      </w:pPr>
      <w:r>
        <w:rPr>
          <w:rFonts w:hint="eastAsia" w:ascii="仿宋_GB2312" w:eastAsia="仿宋_GB2312"/>
          <w:sz w:val="36"/>
          <w:szCs w:val="36"/>
        </w:rPr>
        <w:t>编制日期：</w:t>
      </w:r>
      <w:r>
        <w:rPr>
          <w:rFonts w:hint="eastAsia" w:ascii="仿宋_GB2312" w:eastAsia="仿宋_GB2312"/>
          <w:sz w:val="36"/>
          <w:szCs w:val="36"/>
          <w:u w:val="single"/>
        </w:rPr>
        <w:t xml:space="preserve"> </w:t>
      </w:r>
      <w:r>
        <w:rPr>
          <w:rFonts w:ascii="仿宋_GB2312" w:eastAsia="仿宋_GB2312"/>
          <w:sz w:val="36"/>
          <w:szCs w:val="36"/>
          <w:u w:val="single"/>
        </w:rPr>
        <w:t xml:space="preserve">   </w:t>
      </w:r>
      <w:r>
        <w:rPr>
          <w:rFonts w:hint="eastAsia" w:ascii="仿宋_GB2312" w:eastAsia="仿宋_GB2312"/>
          <w:sz w:val="36"/>
          <w:szCs w:val="36"/>
          <w:u w:val="single"/>
          <w:lang w:val="en-US" w:eastAsia="zh-CN"/>
        </w:rPr>
        <w:t xml:space="preserve">      二零二一年四月 </w:t>
      </w:r>
      <w:r>
        <w:rPr>
          <w:rFonts w:ascii="仿宋_GB2312" w:eastAsia="仿宋_GB2312"/>
          <w:sz w:val="36"/>
          <w:szCs w:val="36"/>
          <w:u w:val="single"/>
        </w:rPr>
        <w:t xml:space="preserve">    </w:t>
      </w:r>
      <w:r>
        <w:rPr>
          <w:rFonts w:hint="eastAsia" w:ascii="仿宋_GB2312" w:eastAsia="仿宋_GB2312"/>
          <w:sz w:val="36"/>
          <w:szCs w:val="36"/>
          <w:u w:val="single"/>
          <w:lang w:val="en-US" w:eastAsia="zh-CN"/>
        </w:rPr>
        <w:t xml:space="preserve">    </w:t>
      </w:r>
      <w:r>
        <w:rPr>
          <w:rFonts w:ascii="仿宋_GB2312" w:eastAsia="仿宋_GB2312"/>
          <w:sz w:val="36"/>
          <w:szCs w:val="36"/>
          <w:u w:val="single"/>
        </w:rPr>
        <w:t xml:space="preserve"> </w:t>
      </w:r>
      <w:r>
        <w:rPr>
          <w:rFonts w:hint="eastAsia" w:ascii="仿宋_GB2312" w:eastAsia="仿宋_GB2312"/>
          <w:sz w:val="36"/>
          <w:szCs w:val="36"/>
          <w:u w:val="single"/>
          <w:lang w:val="en-US" w:eastAsia="zh-CN"/>
        </w:rPr>
        <w:t xml:space="preserve"> </w:t>
      </w:r>
    </w:p>
    <w:p>
      <w:pPr>
        <w:adjustRightInd w:val="0"/>
        <w:snapToGrid w:val="0"/>
        <w:spacing w:line="288" w:lineRule="auto"/>
        <w:ind w:firstLine="1040"/>
        <w:rPr>
          <w:rFonts w:ascii="仿宋_GB2312" w:eastAsia="仿宋_GB2312"/>
          <w:sz w:val="36"/>
          <w:szCs w:val="36"/>
          <w:u w:val="single"/>
        </w:rPr>
      </w:pPr>
      <w:bookmarkStart w:id="0" w:name="_Hlk57884087"/>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hint="eastAsia" w:ascii="仿宋_GB2312" w:eastAsia="仿宋_GB2312"/>
          <w:sz w:val="36"/>
          <w:szCs w:val="36"/>
        </w:rPr>
      </w:pPr>
    </w:p>
    <w:p>
      <w:pPr>
        <w:adjustRightInd w:val="0"/>
        <w:snapToGrid w:val="0"/>
        <w:spacing w:line="288" w:lineRule="auto"/>
        <w:ind w:firstLine="1040"/>
        <w:rPr>
          <w:rFonts w:hint="eastAsia" w:ascii="仿宋_GB2312" w:eastAsia="仿宋_GB2312"/>
          <w:sz w:val="36"/>
          <w:szCs w:val="36"/>
        </w:rPr>
      </w:pPr>
    </w:p>
    <w:bookmarkEnd w:id="0"/>
    <w:p>
      <w:pPr>
        <w:adjustRightInd w:val="0"/>
        <w:snapToGrid w:val="0"/>
        <w:spacing w:line="288" w:lineRule="auto"/>
        <w:jc w:val="center"/>
        <w:rPr>
          <w:rFonts w:ascii="仿宋_GB2312" w:eastAsia="仿宋_GB2312"/>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ascii="楷体_GB2312" w:eastAsia="楷体_GB2312"/>
          <w:sz w:val="36"/>
          <w:szCs w:val="36"/>
        </w:rPr>
        <w:t>中华人民共和国生态环境部制</w:t>
      </w:r>
    </w:p>
    <w:p>
      <w:pPr>
        <w:adjustRightInd w:val="0"/>
        <w:snapToGrid w:val="0"/>
        <w:spacing w:line="520" w:lineRule="exact"/>
        <w:jc w:val="center"/>
        <w:rPr>
          <w:rFonts w:hint="default" w:ascii="宋体" w:hAnsi="宋体" w:eastAsia="宋体"/>
          <w:b/>
          <w:sz w:val="28"/>
          <w:szCs w:val="28"/>
          <w:lang w:val="en-US" w:eastAsia="zh-CN"/>
        </w:rPr>
      </w:pPr>
      <w:r>
        <w:rPr>
          <w:rFonts w:hint="eastAsia" w:ascii="宋体" w:hAnsi="宋体" w:eastAsia="宋体"/>
          <w:b/>
          <w:sz w:val="28"/>
          <w:szCs w:val="28"/>
          <w:lang w:val="en-US" w:eastAsia="zh-CN"/>
        </w:rPr>
        <w:t>湖南乾阳新能源科技有限公司</w:t>
      </w:r>
    </w:p>
    <w:p>
      <w:pPr>
        <w:adjustRightInd w:val="0"/>
        <w:snapToGrid w:val="0"/>
        <w:spacing w:line="520" w:lineRule="exact"/>
        <w:jc w:val="center"/>
        <w:rPr>
          <w:rFonts w:hint="default" w:ascii="宋体" w:hAnsi="宋体" w:eastAsia="宋体"/>
          <w:b/>
          <w:sz w:val="28"/>
          <w:szCs w:val="28"/>
          <w:lang w:val="en-US" w:eastAsia="zh-CN"/>
        </w:rPr>
      </w:pPr>
      <w:r>
        <w:rPr>
          <w:rFonts w:hint="eastAsia" w:ascii="宋体" w:hAnsi="宋体" w:eastAsia="宋体"/>
          <w:b/>
          <w:sz w:val="28"/>
          <w:szCs w:val="28"/>
          <w:lang w:val="en-US" w:eastAsia="zh-CN"/>
        </w:rPr>
        <w:t>年产40万个水面光伏浮体建设项目</w:t>
      </w:r>
    </w:p>
    <w:p>
      <w:pPr>
        <w:adjustRightInd w:val="0"/>
        <w:snapToGrid w:val="0"/>
        <w:spacing w:line="520" w:lineRule="exact"/>
        <w:jc w:val="center"/>
        <w:rPr>
          <w:rFonts w:hint="eastAsia" w:ascii="宋体" w:hAnsi="宋体" w:eastAsia="宋体"/>
          <w:b/>
          <w:sz w:val="28"/>
          <w:szCs w:val="28"/>
          <w:lang w:val="en-US" w:eastAsia="zh-CN"/>
        </w:rPr>
      </w:pPr>
      <w:r>
        <w:rPr>
          <w:rFonts w:hint="eastAsia" w:ascii="宋体" w:hAnsi="宋体" w:eastAsia="宋体"/>
          <w:b/>
          <w:sz w:val="28"/>
          <w:szCs w:val="28"/>
          <w:lang w:val="en-US" w:eastAsia="zh-CN"/>
        </w:rPr>
        <w:t>修改清单索引</w:t>
      </w:r>
    </w:p>
    <w:tbl>
      <w:tblPr>
        <w:tblStyle w:val="15"/>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3187"/>
        <w:gridCol w:w="1320"/>
        <w:gridCol w:w="33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color w:val="auto"/>
                <w:sz w:val="24"/>
                <w:szCs w:val="24"/>
                <w:vertAlign w:val="baseline"/>
                <w:lang w:val="en-US" w:eastAsia="zh-CN"/>
              </w:rPr>
            </w:pPr>
            <w:r>
              <w:rPr>
                <w:rFonts w:hint="eastAsia" w:ascii="宋体" w:hAnsi="宋体" w:eastAsia="宋体"/>
                <w:b w:val="0"/>
                <w:bCs/>
                <w:color w:val="auto"/>
                <w:sz w:val="24"/>
                <w:szCs w:val="24"/>
                <w:vertAlign w:val="baseline"/>
                <w:lang w:val="en-US" w:eastAsia="zh-CN"/>
              </w:rPr>
              <w:t>序号</w:t>
            </w:r>
          </w:p>
        </w:tc>
        <w:tc>
          <w:tcPr>
            <w:tcW w:w="31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color w:val="auto"/>
                <w:sz w:val="24"/>
                <w:szCs w:val="24"/>
                <w:vertAlign w:val="baseline"/>
                <w:lang w:val="en-US" w:eastAsia="zh-CN"/>
              </w:rPr>
            </w:pPr>
            <w:r>
              <w:rPr>
                <w:rFonts w:hint="eastAsia" w:ascii="宋体" w:hAnsi="宋体" w:eastAsia="宋体"/>
                <w:b w:val="0"/>
                <w:bCs/>
                <w:color w:val="auto"/>
                <w:sz w:val="24"/>
                <w:szCs w:val="24"/>
                <w:vertAlign w:val="baseline"/>
                <w:lang w:val="en-US" w:eastAsia="zh-CN"/>
              </w:rPr>
              <w:t>专家意见</w:t>
            </w:r>
          </w:p>
        </w:tc>
        <w:tc>
          <w:tcPr>
            <w:tcW w:w="13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color w:val="auto"/>
                <w:sz w:val="24"/>
                <w:szCs w:val="24"/>
                <w:vertAlign w:val="baseline"/>
                <w:lang w:val="en-US" w:eastAsia="zh-CN"/>
              </w:rPr>
            </w:pPr>
            <w:r>
              <w:rPr>
                <w:rFonts w:hint="eastAsia" w:ascii="宋体" w:hAnsi="宋体" w:eastAsia="宋体"/>
                <w:b w:val="0"/>
                <w:bCs/>
                <w:color w:val="auto"/>
                <w:sz w:val="24"/>
                <w:szCs w:val="24"/>
                <w:vertAlign w:val="baseline"/>
                <w:lang w:val="en-US" w:eastAsia="zh-CN"/>
              </w:rPr>
              <w:t>修改后页码</w:t>
            </w:r>
          </w:p>
        </w:tc>
        <w:tc>
          <w:tcPr>
            <w:tcW w:w="33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color w:val="auto"/>
                <w:sz w:val="24"/>
                <w:szCs w:val="24"/>
                <w:vertAlign w:val="baseline"/>
                <w:lang w:val="en-US" w:eastAsia="zh-CN"/>
              </w:rPr>
            </w:pPr>
            <w:r>
              <w:rPr>
                <w:rFonts w:hint="eastAsia" w:ascii="宋体" w:hAnsi="宋体" w:eastAsia="宋体"/>
                <w:b w:val="0"/>
                <w:bCs/>
                <w:color w:val="auto"/>
                <w:sz w:val="24"/>
                <w:szCs w:val="24"/>
                <w:vertAlign w:val="baseli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1</w:t>
            </w:r>
          </w:p>
        </w:tc>
        <w:tc>
          <w:tcPr>
            <w:tcW w:w="31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校核项目色母等主要原辅材料的种类、用量及最大暂存量，提出原料使用的限制要求</w:t>
            </w:r>
          </w:p>
        </w:tc>
        <w:tc>
          <w:tcPr>
            <w:tcW w:w="13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p14-15</w:t>
            </w:r>
          </w:p>
        </w:tc>
        <w:tc>
          <w:tcPr>
            <w:tcW w:w="33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已校核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2</w:t>
            </w:r>
          </w:p>
        </w:tc>
        <w:tc>
          <w:tcPr>
            <w:tcW w:w="31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完善废气源强中颗粒物等污染因子，校核项目有机废气处理措施及废气量，细化蓄热式热力燃烧设备的规格和助燃剂情况</w:t>
            </w:r>
          </w:p>
        </w:tc>
        <w:tc>
          <w:tcPr>
            <w:tcW w:w="13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p18-19、p27-30</w:t>
            </w:r>
          </w:p>
        </w:tc>
        <w:tc>
          <w:tcPr>
            <w:tcW w:w="33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已完善，已校核</w:t>
            </w:r>
            <w:r>
              <w:rPr>
                <w:rFonts w:hint="eastAsia" w:ascii="宋体" w:hAnsi="宋体"/>
                <w:b w:val="0"/>
                <w:bCs/>
                <w:sz w:val="24"/>
                <w:szCs w:val="24"/>
                <w:vertAlign w:val="baseline"/>
                <w:lang w:val="en-US" w:eastAsia="zh-CN"/>
              </w:rPr>
              <w:t>；根据业主方提供资料，熔融成型过程中产生的有机废气由原“蓄热式热力燃烧法”改为采用“UV光解催化氧化+活性炭”处理再经过15m高排气筒排放，因此本项目不再涉及</w:t>
            </w:r>
            <w:r>
              <w:rPr>
                <w:rFonts w:hint="eastAsia" w:ascii="宋体" w:hAnsi="宋体" w:eastAsia="宋体"/>
                <w:b w:val="0"/>
                <w:bCs/>
                <w:sz w:val="24"/>
                <w:szCs w:val="24"/>
                <w:vertAlign w:val="baseline"/>
                <w:lang w:val="en-US" w:eastAsia="zh-CN"/>
              </w:rPr>
              <w:t>蓄热式热力燃烧</w:t>
            </w:r>
            <w:r>
              <w:rPr>
                <w:rFonts w:hint="eastAsia" w:ascii="宋体" w:hAnsi="宋体"/>
                <w:b w:val="0"/>
                <w:bCs/>
                <w:sz w:val="24"/>
                <w:szCs w:val="24"/>
                <w:vertAlign w:val="baseline"/>
                <w:lang w:val="en-US" w:eastAsia="zh-CN"/>
              </w:rPr>
              <w:t>相关内容。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6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3</w:t>
            </w:r>
          </w:p>
        </w:tc>
        <w:tc>
          <w:tcPr>
            <w:tcW w:w="31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完善环境空气质量特征因子评价；校核项目主要环境保护目标与本项目的距离和方位</w:t>
            </w:r>
          </w:p>
        </w:tc>
        <w:tc>
          <w:tcPr>
            <w:tcW w:w="13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P20-21、p22-23</w:t>
            </w:r>
          </w:p>
        </w:tc>
        <w:tc>
          <w:tcPr>
            <w:tcW w:w="33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已完善，已校核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4</w:t>
            </w:r>
          </w:p>
        </w:tc>
        <w:tc>
          <w:tcPr>
            <w:tcW w:w="31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校核项目循环水量及水平衡；核实项目废边角料量产生量，完善过滤网等各类固废产生量和处理去向</w:t>
            </w:r>
          </w:p>
        </w:tc>
        <w:tc>
          <w:tcPr>
            <w:tcW w:w="13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p16、p33-40</w:t>
            </w:r>
          </w:p>
        </w:tc>
        <w:tc>
          <w:tcPr>
            <w:tcW w:w="33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已校核，已核实，已完善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5</w:t>
            </w:r>
          </w:p>
        </w:tc>
        <w:tc>
          <w:tcPr>
            <w:tcW w:w="31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完善“三线一单”的符合性分析；核实项目是否在工业园范围内，以此强化项目选址的合理性分析；完善本项目总平面布置图，标示主要环保设施和排气筒等位置。</w:t>
            </w:r>
          </w:p>
        </w:tc>
        <w:tc>
          <w:tcPr>
            <w:tcW w:w="13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P1-11、附图三</w:t>
            </w:r>
          </w:p>
        </w:tc>
        <w:tc>
          <w:tcPr>
            <w:tcW w:w="33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宋体" w:hAnsi="宋体" w:eastAsia="宋体"/>
                <w:b w:val="0"/>
                <w:bCs/>
                <w:sz w:val="24"/>
                <w:szCs w:val="24"/>
                <w:vertAlign w:val="baseline"/>
                <w:lang w:val="en-US" w:eastAsia="zh-CN"/>
              </w:rPr>
            </w:pPr>
            <w:r>
              <w:rPr>
                <w:rFonts w:hint="eastAsia" w:ascii="宋体" w:hAnsi="宋体" w:eastAsia="宋体"/>
                <w:b w:val="0"/>
                <w:bCs/>
                <w:sz w:val="24"/>
                <w:szCs w:val="24"/>
                <w:vertAlign w:val="baseline"/>
                <w:lang w:val="en-US" w:eastAsia="zh-CN"/>
              </w:rPr>
              <w:t>已完善，已核实，</w:t>
            </w:r>
          </w:p>
        </w:tc>
      </w:tr>
    </w:tbl>
    <w:p>
      <w:pPr>
        <w:rPr>
          <w:rFonts w:hint="eastAsia" w:ascii="黑体" w:hAnsi="黑体" w:eastAsia="黑体"/>
          <w:snapToGrid w:val="0"/>
          <w:sz w:val="30"/>
          <w:szCs w:val="30"/>
          <w:lang w:eastAsia="zh-CN"/>
        </w:rPr>
      </w:pPr>
      <w:r>
        <w:rPr>
          <w:rFonts w:hint="eastAsia" w:ascii="黑体" w:hAnsi="黑体" w:eastAsia="黑体"/>
          <w:snapToGrid w:val="0"/>
          <w:sz w:val="30"/>
          <w:szCs w:val="30"/>
          <w:lang w:eastAsia="zh-CN"/>
        </w:rPr>
        <w:br w:type="page"/>
      </w:r>
    </w:p>
    <w:p>
      <w:pPr>
        <w:rPr>
          <w:rFonts w:hint="eastAsia" w:ascii="黑体" w:hAnsi="黑体" w:eastAsia="黑体"/>
          <w:snapToGrid w:val="0"/>
          <w:sz w:val="30"/>
          <w:szCs w:val="30"/>
          <w:lang w:eastAsia="zh-CN"/>
        </w:rPr>
      </w:pPr>
      <w:r>
        <w:rPr>
          <w:rFonts w:hint="eastAsia" w:ascii="黑体" w:hAnsi="黑体" w:eastAsia="黑体"/>
          <w:snapToGrid w:val="0"/>
          <w:sz w:val="30"/>
          <w:szCs w:val="30"/>
          <w:lang w:eastAsia="zh-CN"/>
        </w:rPr>
        <w:drawing>
          <wp:inline distT="0" distB="0" distL="114300" distR="114300">
            <wp:extent cx="5610860" cy="7931785"/>
            <wp:effectExtent l="0" t="0" r="8890" b="12065"/>
            <wp:docPr id="2" name="图片 2" descr="39deee2bd91405bdd470e913fe8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39deee2bd91405bdd470e913fe83834"/>
                    <pic:cNvPicPr>
                      <a:picLocks noChangeAspect="1"/>
                    </pic:cNvPicPr>
                  </pic:nvPicPr>
                  <pic:blipFill>
                    <a:blip r:embed="rId9"/>
                    <a:stretch>
                      <a:fillRect/>
                    </a:stretch>
                  </pic:blipFill>
                  <pic:spPr>
                    <a:xfrm>
                      <a:off x="0" y="0"/>
                      <a:ext cx="5610860" cy="7931785"/>
                    </a:xfrm>
                    <a:prstGeom prst="rect">
                      <a:avLst/>
                    </a:prstGeom>
                  </pic:spPr>
                </pic:pic>
              </a:graphicData>
            </a:graphic>
          </wp:inline>
        </w:drawing>
      </w:r>
    </w:p>
    <w:p>
      <w:pPr>
        <w:pStyle w:val="12"/>
        <w:jc w:val="center"/>
        <w:outlineLvl w:val="0"/>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黑体" w:hAnsi="黑体" w:eastAsia="黑体"/>
          <w:snapToGrid w:val="0"/>
          <w:sz w:val="30"/>
          <w:szCs w:val="30"/>
          <w:lang w:eastAsia="zh-CN"/>
        </w:rPr>
        <w:drawing>
          <wp:inline distT="0" distB="0" distL="114300" distR="114300">
            <wp:extent cx="5615305" cy="7945755"/>
            <wp:effectExtent l="0" t="0" r="4445" b="17145"/>
            <wp:docPr id="35" name="图片 35" descr="DOC072621-0726202108185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DOC072621-07262021081852_00"/>
                    <pic:cNvPicPr>
                      <a:picLocks noChangeAspect="1"/>
                    </pic:cNvPicPr>
                  </pic:nvPicPr>
                  <pic:blipFill>
                    <a:blip r:embed="rId10"/>
                    <a:stretch>
                      <a:fillRect/>
                    </a:stretch>
                  </pic:blipFill>
                  <pic:spPr>
                    <a:xfrm>
                      <a:off x="0" y="0"/>
                      <a:ext cx="5615305" cy="7945755"/>
                    </a:xfrm>
                    <a:prstGeom prst="rect">
                      <a:avLst/>
                    </a:prstGeom>
                  </pic:spPr>
                </pic:pic>
              </a:graphicData>
            </a:graphic>
          </wp:inline>
        </w:drawing>
      </w:r>
      <w:r>
        <w:drawing>
          <wp:inline distT="0" distB="0" distL="114300" distR="114300">
            <wp:extent cx="5543550" cy="7439025"/>
            <wp:effectExtent l="0" t="0" r="0" b="952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11"/>
                    <a:stretch>
                      <a:fillRect/>
                    </a:stretch>
                  </pic:blipFill>
                  <pic:spPr>
                    <a:xfrm>
                      <a:off x="0" y="0"/>
                      <a:ext cx="5543550" cy="7439025"/>
                    </a:xfrm>
                    <a:prstGeom prst="rect">
                      <a:avLst/>
                    </a:prstGeom>
                    <a:noFill/>
                    <a:ln>
                      <a:noFill/>
                    </a:ln>
                  </pic:spPr>
                </pic:pic>
              </a:graphicData>
            </a:graphic>
          </wp:inline>
        </w:drawing>
      </w:r>
    </w:p>
    <w:p>
      <w:pPr>
        <w:pStyle w:val="12"/>
        <w:jc w:val="center"/>
        <w:outlineLvl w:val="0"/>
      </w:pPr>
      <w:r>
        <w:drawing>
          <wp:inline distT="0" distB="0" distL="114300" distR="114300">
            <wp:extent cx="5614670" cy="7860030"/>
            <wp:effectExtent l="0" t="0" r="7620" b="508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12"/>
                    <a:stretch>
                      <a:fillRect/>
                    </a:stretch>
                  </pic:blipFill>
                  <pic:spPr>
                    <a:xfrm rot="5400000">
                      <a:off x="0" y="0"/>
                      <a:ext cx="5614670" cy="7860030"/>
                    </a:xfrm>
                    <a:prstGeom prst="rect">
                      <a:avLst/>
                    </a:prstGeom>
                    <a:noFill/>
                    <a:ln>
                      <a:noFill/>
                    </a:ln>
                  </pic:spPr>
                </pic:pic>
              </a:graphicData>
            </a:graphic>
          </wp:inline>
        </w:drawing>
      </w:r>
    </w:p>
    <w:p>
      <w:r>
        <w:drawing>
          <wp:inline distT="0" distB="0" distL="114300" distR="114300">
            <wp:extent cx="5019675" cy="8429625"/>
            <wp:effectExtent l="0" t="0" r="9525" b="9525"/>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pic:cNvPicPr>
                  </pic:nvPicPr>
                  <pic:blipFill>
                    <a:blip r:embed="rId13"/>
                    <a:stretch>
                      <a:fillRect/>
                    </a:stretch>
                  </pic:blipFill>
                  <pic:spPr>
                    <a:xfrm rot="5400000">
                      <a:off x="0" y="0"/>
                      <a:ext cx="5019675" cy="8429625"/>
                    </a:xfrm>
                    <a:prstGeom prst="rect">
                      <a:avLst/>
                    </a:prstGeom>
                    <a:noFill/>
                    <a:ln>
                      <a:noFill/>
                    </a:ln>
                  </pic:spPr>
                </pic:pic>
              </a:graphicData>
            </a:graphic>
          </wp:inline>
        </w:drawing>
      </w:r>
    </w:p>
    <w:p>
      <w:pPr>
        <w:rPr>
          <w:rFonts w:hint="eastAsia"/>
          <w:lang w:val="en-US" w:eastAsia="zh-CN"/>
        </w:rPr>
      </w:pPr>
      <w:r>
        <w:rPr>
          <w:rFonts w:hint="eastAsia"/>
          <w:lang w:val="en-US" w:eastAsia="zh-CN"/>
        </w:rPr>
        <w:br w:type="page"/>
      </w:r>
    </w:p>
    <w:p>
      <w:r>
        <w:drawing>
          <wp:inline distT="0" distB="0" distL="114300" distR="114300">
            <wp:extent cx="3241675" cy="8526780"/>
            <wp:effectExtent l="0" t="0" r="7620" b="15875"/>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14"/>
                    <a:stretch>
                      <a:fillRect/>
                    </a:stretch>
                  </pic:blipFill>
                  <pic:spPr>
                    <a:xfrm rot="5400000">
                      <a:off x="0" y="0"/>
                      <a:ext cx="3241675" cy="8526780"/>
                    </a:xfrm>
                    <a:prstGeom prst="rect">
                      <a:avLst/>
                    </a:prstGeom>
                    <a:noFill/>
                    <a:ln>
                      <a:noFill/>
                    </a:ln>
                  </pic:spPr>
                </pic:pic>
              </a:graphicData>
            </a:graphic>
          </wp:inline>
        </w:drawing>
      </w:r>
      <w:r>
        <w:br w:type="page"/>
      </w:r>
    </w:p>
    <w:p>
      <w:pPr>
        <w:pStyle w:val="12"/>
        <w:jc w:val="center"/>
        <w:outlineLvl w:val="0"/>
        <w:sectPr>
          <w:pgSz w:w="16838" w:h="11906" w:orient="landscape"/>
          <w:pgMar w:top="1531" w:right="1701" w:bottom="1531" w:left="170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12"/>
        <w:jc w:val="center"/>
        <w:outlineLvl w:val="0"/>
        <w:rPr>
          <w:rFonts w:hint="eastAsia" w:ascii="黑体" w:hAnsi="黑体" w:eastAsia="黑体"/>
          <w:snapToGrid w:val="0"/>
          <w:sz w:val="30"/>
          <w:szCs w:val="30"/>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drawing>
          <wp:inline distT="0" distB="0" distL="114300" distR="114300">
            <wp:extent cx="5438775" cy="5238750"/>
            <wp:effectExtent l="0" t="0" r="9525" b="0"/>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15"/>
                    <a:stretch>
                      <a:fillRect/>
                    </a:stretch>
                  </pic:blipFill>
                  <pic:spPr>
                    <a:xfrm>
                      <a:off x="0" y="0"/>
                      <a:ext cx="5438775" cy="5238750"/>
                    </a:xfrm>
                    <a:prstGeom prst="rect">
                      <a:avLst/>
                    </a:prstGeom>
                    <a:noFill/>
                    <a:ln>
                      <a:noFill/>
                    </a:ln>
                  </pic:spPr>
                </pic:pic>
              </a:graphicData>
            </a:graphic>
          </wp:inline>
        </w:drawing>
      </w:r>
    </w:p>
    <w:p>
      <w:pPr>
        <w:pStyle w:val="12"/>
        <w:jc w:val="center"/>
        <w:outlineLvl w:val="0"/>
        <w:rPr>
          <w:rFonts w:hint="eastAsia" w:ascii="黑体" w:hAnsi="黑体" w:eastAsia="黑体"/>
          <w:snapToGrid w:val="0"/>
          <w:sz w:val="30"/>
          <w:szCs w:val="30"/>
        </w:rPr>
      </w:pPr>
      <w:r>
        <w:rPr>
          <w:rFonts w:hint="eastAsia" w:ascii="黑体" w:hAnsi="黑体" w:eastAsia="黑体"/>
          <w:snapToGrid w:val="0"/>
          <w:sz w:val="30"/>
          <w:szCs w:val="30"/>
        </w:rPr>
        <w:t>一、建设项目基本情况</w:t>
      </w:r>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151"/>
        <w:gridCol w:w="1868"/>
        <w:gridCol w:w="2212"/>
        <w:gridCol w:w="26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51" w:type="dxa"/>
            <w:noWrap w:val="0"/>
            <w:tcMar>
              <w:top w:w="16" w:type="dxa"/>
              <w:left w:w="16" w:type="dxa"/>
              <w:right w:w="16" w:type="dxa"/>
            </w:tcMar>
            <w:vAlign w:val="center"/>
          </w:tcPr>
          <w:p>
            <w:pPr>
              <w:adjustRightInd w:val="0"/>
              <w:snapToGrid w:val="0"/>
              <w:jc w:val="center"/>
              <w:rPr>
                <w:rFonts w:ascii="宋体" w:hAnsi="宋体" w:cs="宋体"/>
                <w:sz w:val="24"/>
                <w:szCs w:val="24"/>
              </w:rPr>
            </w:pPr>
            <w:r>
              <w:rPr>
                <w:rFonts w:hint="eastAsia" w:ascii="宋体" w:hAnsi="宋体" w:cs="宋体"/>
                <w:sz w:val="24"/>
                <w:szCs w:val="24"/>
              </w:rPr>
              <w:t>建设项目名称</w:t>
            </w:r>
          </w:p>
        </w:tc>
        <w:tc>
          <w:tcPr>
            <w:tcW w:w="6719" w:type="dxa"/>
            <w:gridSpan w:val="3"/>
            <w:noWrap w:val="0"/>
            <w:vAlign w:val="center"/>
          </w:tcPr>
          <w:p>
            <w:pPr>
              <w:adjustRightInd w:val="0"/>
              <w:snapToGrid w:val="0"/>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年产40万个水面光伏浮体建设项目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51" w:type="dxa"/>
            <w:noWrap w:val="0"/>
            <w:tcMar>
              <w:top w:w="16" w:type="dxa"/>
              <w:left w:w="16" w:type="dxa"/>
              <w:right w:w="16" w:type="dxa"/>
            </w:tcMar>
            <w:vAlign w:val="center"/>
          </w:tcPr>
          <w:p>
            <w:pPr>
              <w:adjustRightInd w:val="0"/>
              <w:snapToGrid w:val="0"/>
              <w:jc w:val="center"/>
              <w:rPr>
                <w:rFonts w:ascii="宋体" w:hAnsi="宋体" w:cs="宋体"/>
                <w:sz w:val="24"/>
                <w:szCs w:val="24"/>
              </w:rPr>
            </w:pPr>
            <w:r>
              <w:rPr>
                <w:rFonts w:hint="eastAsia" w:ascii="宋体" w:hAnsi="宋体" w:cs="宋体"/>
                <w:sz w:val="24"/>
                <w:szCs w:val="24"/>
              </w:rPr>
              <w:t>项目代码</w:t>
            </w:r>
          </w:p>
        </w:tc>
        <w:tc>
          <w:tcPr>
            <w:tcW w:w="6719" w:type="dxa"/>
            <w:gridSpan w:val="3"/>
            <w:noWrap w:val="0"/>
            <w:vAlign w:val="center"/>
          </w:tcPr>
          <w:p>
            <w:pPr>
              <w:adjustRightInd w:val="0"/>
              <w:snapToGrid w:val="0"/>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51" w:type="dxa"/>
            <w:noWrap w:val="0"/>
            <w:tcMar>
              <w:top w:w="16" w:type="dxa"/>
              <w:left w:w="16" w:type="dxa"/>
              <w:right w:w="16" w:type="dxa"/>
            </w:tcMar>
            <w:vAlign w:val="center"/>
          </w:tcPr>
          <w:p>
            <w:pPr>
              <w:adjustRightInd w:val="0"/>
              <w:snapToGrid w:val="0"/>
              <w:jc w:val="center"/>
              <w:rPr>
                <w:rFonts w:hint="eastAsia" w:ascii="宋体" w:hAnsi="宋体" w:cs="宋体"/>
                <w:sz w:val="24"/>
                <w:szCs w:val="24"/>
              </w:rPr>
            </w:pPr>
            <w:r>
              <w:rPr>
                <w:rFonts w:hint="eastAsia" w:ascii="宋体" w:hAnsi="宋体" w:cs="宋体"/>
                <w:sz w:val="24"/>
                <w:szCs w:val="24"/>
              </w:rPr>
              <w:t>建设单位联系人</w:t>
            </w:r>
          </w:p>
        </w:tc>
        <w:tc>
          <w:tcPr>
            <w:tcW w:w="1868" w:type="dxa"/>
            <w:noWrap w:val="0"/>
            <w:vAlign w:val="center"/>
          </w:tcPr>
          <w:p>
            <w:pPr>
              <w:adjustRightInd w:val="0"/>
              <w:snapToGrid w:val="0"/>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柏奇</w:t>
            </w:r>
          </w:p>
        </w:tc>
        <w:tc>
          <w:tcPr>
            <w:tcW w:w="2212" w:type="dxa"/>
            <w:noWrap w:val="0"/>
            <w:vAlign w:val="center"/>
          </w:tcPr>
          <w:p>
            <w:pPr>
              <w:adjustRightInd w:val="0"/>
              <w:snapToGrid w:val="0"/>
              <w:jc w:val="center"/>
              <w:rPr>
                <w:rFonts w:ascii="宋体" w:hAnsi="宋体" w:cs="宋体"/>
                <w:sz w:val="24"/>
                <w:szCs w:val="24"/>
              </w:rPr>
            </w:pPr>
            <w:r>
              <w:rPr>
                <w:rFonts w:hint="eastAsia" w:ascii="宋体" w:hAnsi="宋体" w:cs="宋体"/>
                <w:sz w:val="24"/>
                <w:szCs w:val="24"/>
              </w:rPr>
              <w:t>联系方式</w:t>
            </w:r>
          </w:p>
        </w:tc>
        <w:tc>
          <w:tcPr>
            <w:tcW w:w="2639" w:type="dxa"/>
            <w:noWrap w:val="0"/>
            <w:vAlign w:val="center"/>
          </w:tcPr>
          <w:p>
            <w:pPr>
              <w:adjustRightInd w:val="0"/>
              <w:snapToGrid w:val="0"/>
              <w:jc w:val="center"/>
              <w:rPr>
                <w:rFonts w:ascii="宋体" w:hAnsi="宋体" w:cs="宋体"/>
                <w:sz w:val="24"/>
                <w:szCs w:val="24"/>
              </w:rPr>
            </w:pPr>
            <w:r>
              <w:rPr>
                <w:rFonts w:hint="eastAsia"/>
                <w:bCs/>
                <w:sz w:val="24"/>
                <w:szCs w:val="24"/>
              </w:rPr>
              <w:t>15805199168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51" w:type="dxa"/>
            <w:noWrap w:val="0"/>
            <w:tcMar>
              <w:top w:w="16" w:type="dxa"/>
              <w:left w:w="16" w:type="dxa"/>
              <w:right w:w="16" w:type="dxa"/>
            </w:tcMar>
            <w:vAlign w:val="center"/>
          </w:tcPr>
          <w:p>
            <w:pPr>
              <w:adjustRightInd w:val="0"/>
              <w:snapToGrid w:val="0"/>
              <w:jc w:val="center"/>
              <w:rPr>
                <w:rFonts w:ascii="宋体" w:hAnsi="宋体" w:cs="宋体"/>
                <w:sz w:val="24"/>
                <w:szCs w:val="24"/>
              </w:rPr>
            </w:pPr>
            <w:r>
              <w:rPr>
                <w:rFonts w:hint="eastAsia" w:ascii="宋体" w:hAnsi="宋体" w:cs="宋体"/>
                <w:sz w:val="24"/>
                <w:szCs w:val="24"/>
              </w:rPr>
              <w:t>建设地点</w:t>
            </w:r>
          </w:p>
        </w:tc>
        <w:tc>
          <w:tcPr>
            <w:tcW w:w="6719" w:type="dxa"/>
            <w:gridSpan w:val="3"/>
            <w:noWrap w:val="0"/>
            <w:vAlign w:val="center"/>
          </w:tcPr>
          <w:p>
            <w:pPr>
              <w:adjustRightInd w:val="0"/>
              <w:snapToGrid w:val="0"/>
              <w:jc w:val="center"/>
              <w:rPr>
                <w:rFonts w:hint="eastAsia" w:ascii="宋体" w:hAnsi="宋体" w:cs="宋体"/>
                <w:sz w:val="24"/>
                <w:szCs w:val="24"/>
                <w:u w:val="none"/>
                <w:lang w:val="en-US" w:eastAsia="zh-CN"/>
              </w:rPr>
            </w:pPr>
            <w:r>
              <w:rPr>
                <w:rFonts w:hint="eastAsia" w:ascii="宋体" w:hAnsi="宋体" w:cs="宋体"/>
                <w:sz w:val="24"/>
                <w:szCs w:val="24"/>
                <w:u w:val="none"/>
                <w:lang w:val="en-US" w:eastAsia="zh-CN"/>
              </w:rPr>
              <w:t>湖南</w:t>
            </w:r>
            <w:r>
              <w:rPr>
                <w:rFonts w:hint="eastAsia" w:ascii="宋体" w:hAnsi="宋体" w:cs="宋体"/>
                <w:sz w:val="24"/>
                <w:szCs w:val="24"/>
                <w:u w:val="none"/>
              </w:rPr>
              <w:t>省</w:t>
            </w:r>
            <w:r>
              <w:rPr>
                <w:rFonts w:hint="eastAsia" w:ascii="宋体" w:hAnsi="宋体" w:cs="宋体"/>
                <w:sz w:val="24"/>
                <w:szCs w:val="24"/>
                <w:u w:val="none"/>
                <w:lang w:val="en-US" w:eastAsia="zh-CN"/>
              </w:rPr>
              <w:t>岳阳</w:t>
            </w:r>
            <w:r>
              <w:rPr>
                <w:rFonts w:hint="eastAsia" w:ascii="宋体" w:hAnsi="宋体" w:cs="宋体"/>
                <w:sz w:val="24"/>
                <w:szCs w:val="24"/>
                <w:u w:val="none"/>
              </w:rPr>
              <w:t>市</w:t>
            </w:r>
            <w:r>
              <w:rPr>
                <w:rFonts w:hint="eastAsia" w:ascii="宋体" w:hAnsi="宋体" w:cs="宋体"/>
                <w:sz w:val="24"/>
                <w:szCs w:val="24"/>
                <w:u w:val="none"/>
                <w:lang w:val="en-US" w:eastAsia="zh-CN"/>
              </w:rPr>
              <w:t>湘阴县工业园区顺天大道以南</w:t>
            </w:r>
          </w:p>
          <w:p>
            <w:pPr>
              <w:adjustRightInd w:val="0"/>
              <w:snapToGrid w:val="0"/>
              <w:jc w:val="center"/>
              <w:rPr>
                <w:rFonts w:hint="default" w:ascii="宋体" w:hAnsi="宋体" w:cs="宋体"/>
                <w:sz w:val="24"/>
                <w:szCs w:val="24"/>
                <w:lang w:val="en-US"/>
              </w:rPr>
            </w:pPr>
            <w:r>
              <w:rPr>
                <w:rFonts w:hint="eastAsia" w:ascii="宋体" w:hAnsi="宋体" w:cs="宋体"/>
                <w:sz w:val="24"/>
                <w:szCs w:val="24"/>
                <w:u w:val="none"/>
                <w:lang w:val="en-US" w:eastAsia="zh-CN"/>
              </w:rPr>
              <w:t>（湖南定宇新材料科技有限公司已建成闲置厂房）</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51" w:type="dxa"/>
            <w:noWrap w:val="0"/>
            <w:tcMar>
              <w:top w:w="16" w:type="dxa"/>
              <w:left w:w="16" w:type="dxa"/>
              <w:right w:w="16" w:type="dxa"/>
            </w:tcMar>
            <w:vAlign w:val="center"/>
          </w:tcPr>
          <w:p>
            <w:pPr>
              <w:adjustRightInd w:val="0"/>
              <w:snapToGrid w:val="0"/>
              <w:jc w:val="center"/>
              <w:rPr>
                <w:rFonts w:ascii="宋体" w:hAnsi="宋体" w:cs="宋体"/>
                <w:sz w:val="24"/>
                <w:szCs w:val="24"/>
              </w:rPr>
            </w:pPr>
            <w:r>
              <w:rPr>
                <w:rFonts w:hint="eastAsia" w:ascii="宋体" w:hAnsi="宋体" w:cs="宋体"/>
                <w:sz w:val="24"/>
                <w:szCs w:val="24"/>
              </w:rPr>
              <w:t>地理坐标</w:t>
            </w:r>
          </w:p>
        </w:tc>
        <w:tc>
          <w:tcPr>
            <w:tcW w:w="6719" w:type="dxa"/>
            <w:gridSpan w:val="3"/>
            <w:noWrap w:val="0"/>
            <w:vAlign w:val="center"/>
          </w:tcPr>
          <w:p>
            <w:pPr>
              <w:jc w:val="center"/>
              <w:rPr>
                <w:rFonts w:hint="default" w:ascii="宋体" w:hAnsi="宋体" w:eastAsia="宋体" w:cs="宋体"/>
                <w:sz w:val="24"/>
                <w:szCs w:val="24"/>
                <w:lang w:val="en-US" w:eastAsia="zh-CN"/>
              </w:rPr>
            </w:pPr>
            <w:r>
              <w:rPr>
                <w:rFonts w:hint="eastAsia" w:ascii="宋体" w:hAnsi="宋体" w:cs="宋体"/>
                <w:color w:val="auto"/>
                <w:sz w:val="24"/>
                <w:szCs w:val="24"/>
              </w:rPr>
              <w:t>（</w:t>
            </w:r>
            <w:r>
              <w:rPr>
                <w:rFonts w:hint="eastAsia" w:ascii="宋体" w:hAnsi="宋体" w:cs="宋体"/>
                <w:color w:val="auto"/>
                <w:sz w:val="24"/>
                <w:szCs w:val="24"/>
                <w:u w:val="none"/>
                <w:lang w:val="en-US" w:eastAsia="zh-CN"/>
              </w:rPr>
              <w:t>112</w:t>
            </w:r>
            <w:r>
              <w:rPr>
                <w:rFonts w:hint="eastAsia" w:ascii="宋体" w:hAnsi="宋体" w:cs="宋体"/>
                <w:color w:val="auto"/>
                <w:sz w:val="24"/>
                <w:szCs w:val="24"/>
                <w:u w:val="none"/>
              </w:rPr>
              <w:t>度</w:t>
            </w:r>
            <w:r>
              <w:rPr>
                <w:rFonts w:hint="eastAsia" w:ascii="宋体" w:hAnsi="宋体" w:cs="宋体"/>
                <w:color w:val="auto"/>
                <w:sz w:val="24"/>
                <w:szCs w:val="24"/>
                <w:u w:val="none"/>
                <w:lang w:val="en-US" w:eastAsia="zh-CN"/>
              </w:rPr>
              <w:t>54</w:t>
            </w:r>
            <w:r>
              <w:rPr>
                <w:rFonts w:hint="eastAsia" w:ascii="宋体" w:hAnsi="宋体" w:cs="宋体"/>
                <w:color w:val="auto"/>
                <w:sz w:val="24"/>
                <w:szCs w:val="24"/>
                <w:u w:val="none"/>
              </w:rPr>
              <w:t>分</w:t>
            </w:r>
            <w:r>
              <w:rPr>
                <w:rFonts w:hint="eastAsia" w:ascii="宋体" w:hAnsi="宋体" w:cs="宋体"/>
                <w:color w:val="auto"/>
                <w:sz w:val="24"/>
                <w:szCs w:val="24"/>
                <w:u w:val="none"/>
                <w:lang w:val="en-US" w:eastAsia="zh-CN"/>
              </w:rPr>
              <w:t>30.281</w:t>
            </w:r>
            <w:r>
              <w:rPr>
                <w:rFonts w:hint="eastAsia" w:ascii="宋体" w:hAnsi="宋体" w:cs="宋体"/>
                <w:color w:val="auto"/>
                <w:sz w:val="24"/>
                <w:szCs w:val="24"/>
                <w:u w:val="none"/>
              </w:rPr>
              <w:t>秒，</w:t>
            </w:r>
            <w:r>
              <w:rPr>
                <w:rFonts w:hint="eastAsia" w:ascii="宋体" w:hAnsi="宋体" w:cs="宋体"/>
                <w:color w:val="auto"/>
                <w:sz w:val="24"/>
                <w:szCs w:val="24"/>
                <w:u w:val="none"/>
                <w:lang w:val="en-US" w:eastAsia="zh-CN"/>
              </w:rPr>
              <w:t>28</w:t>
            </w:r>
            <w:r>
              <w:rPr>
                <w:rFonts w:hint="eastAsia" w:ascii="宋体" w:hAnsi="宋体" w:cs="宋体"/>
                <w:color w:val="auto"/>
                <w:sz w:val="24"/>
                <w:szCs w:val="24"/>
                <w:u w:val="none"/>
              </w:rPr>
              <w:t>度</w:t>
            </w:r>
            <w:r>
              <w:rPr>
                <w:rFonts w:hint="eastAsia" w:ascii="宋体" w:hAnsi="宋体" w:cs="宋体"/>
                <w:color w:val="auto"/>
                <w:sz w:val="24"/>
                <w:szCs w:val="24"/>
                <w:u w:val="none"/>
                <w:lang w:val="en-US" w:eastAsia="zh-CN"/>
              </w:rPr>
              <w:t>37</w:t>
            </w:r>
            <w:r>
              <w:rPr>
                <w:rFonts w:hint="eastAsia" w:ascii="宋体" w:hAnsi="宋体" w:cs="宋体"/>
                <w:color w:val="auto"/>
                <w:sz w:val="24"/>
                <w:szCs w:val="24"/>
                <w:u w:val="none"/>
              </w:rPr>
              <w:t>分</w:t>
            </w:r>
            <w:r>
              <w:rPr>
                <w:rFonts w:hint="eastAsia" w:ascii="宋体" w:hAnsi="宋体" w:cs="宋体"/>
                <w:color w:val="auto"/>
                <w:sz w:val="24"/>
                <w:szCs w:val="24"/>
                <w:u w:val="none"/>
                <w:lang w:val="en-US" w:eastAsia="zh-CN"/>
              </w:rPr>
              <w:t>43.254</w:t>
            </w:r>
            <w:r>
              <w:rPr>
                <w:rFonts w:hint="eastAsia" w:ascii="宋体" w:hAnsi="宋体" w:cs="宋体"/>
                <w:color w:val="auto"/>
                <w:sz w:val="24"/>
                <w:szCs w:val="24"/>
                <w:u w:val="none"/>
              </w:rPr>
              <w:t>秒</w:t>
            </w:r>
            <w:r>
              <w:rPr>
                <w:rFonts w:hint="eastAsia" w:ascii="宋体" w:hAnsi="宋体" w:cs="宋体"/>
                <w:color w:val="auto"/>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151" w:type="dxa"/>
            <w:noWrap w:val="0"/>
            <w:tcMar>
              <w:top w:w="16" w:type="dxa"/>
              <w:left w:w="16" w:type="dxa"/>
              <w:right w:w="16" w:type="dxa"/>
            </w:tcMar>
            <w:vAlign w:val="center"/>
          </w:tcPr>
          <w:p>
            <w:pPr>
              <w:adjustRightInd w:val="0"/>
              <w:snapToGrid w:val="0"/>
              <w:jc w:val="center"/>
              <w:rPr>
                <w:rFonts w:ascii="宋体" w:hAnsi="宋体" w:cs="宋体"/>
                <w:sz w:val="24"/>
                <w:szCs w:val="24"/>
              </w:rPr>
            </w:pPr>
            <w:r>
              <w:rPr>
                <w:rFonts w:hint="eastAsia" w:ascii="宋体" w:hAnsi="宋体" w:cs="宋体"/>
                <w:sz w:val="24"/>
                <w:szCs w:val="24"/>
              </w:rPr>
              <w:t>国民经济行业类别</w:t>
            </w:r>
          </w:p>
        </w:tc>
        <w:tc>
          <w:tcPr>
            <w:tcW w:w="1868" w:type="dxa"/>
            <w:noWrap w:val="0"/>
            <w:vAlign w:val="center"/>
          </w:tcPr>
          <w:p>
            <w:pPr>
              <w:adjustRightInd w:val="0"/>
              <w:snapToGrid w:val="0"/>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C2922塑料板、管、型材制造</w:t>
            </w:r>
          </w:p>
        </w:tc>
        <w:tc>
          <w:tcPr>
            <w:tcW w:w="2212" w:type="dxa"/>
            <w:noWrap w:val="0"/>
            <w:vAlign w:val="center"/>
          </w:tcPr>
          <w:p>
            <w:pPr>
              <w:adjustRightInd w:val="0"/>
              <w:snapToGrid w:val="0"/>
              <w:jc w:val="center"/>
              <w:rPr>
                <w:rFonts w:ascii="宋体" w:hAnsi="宋体" w:cs="宋体"/>
                <w:sz w:val="24"/>
                <w:szCs w:val="24"/>
              </w:rPr>
            </w:pPr>
            <w:bookmarkStart w:id="1" w:name="_Hlk49843745"/>
            <w:r>
              <w:rPr>
                <w:rFonts w:hint="eastAsia" w:ascii="宋体" w:hAnsi="宋体" w:cs="宋体"/>
                <w:sz w:val="24"/>
                <w:szCs w:val="24"/>
              </w:rPr>
              <w:t>建设项目行业类别</w:t>
            </w:r>
            <w:bookmarkEnd w:id="1"/>
          </w:p>
        </w:tc>
        <w:tc>
          <w:tcPr>
            <w:tcW w:w="2639" w:type="dxa"/>
            <w:noWrap w:val="0"/>
            <w:vAlign w:val="center"/>
          </w:tcPr>
          <w:p>
            <w:pPr>
              <w:adjustRightInd w:val="0"/>
              <w:snapToGrid w:val="0"/>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二十六、橡胶和塑料制品业53塑料制品292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151" w:type="dxa"/>
            <w:noWrap w:val="0"/>
            <w:tcMar>
              <w:top w:w="16" w:type="dxa"/>
              <w:left w:w="16" w:type="dxa"/>
              <w:right w:w="16" w:type="dxa"/>
            </w:tcMar>
            <w:vAlign w:val="center"/>
          </w:tcPr>
          <w:p>
            <w:pPr>
              <w:adjustRightInd w:val="0"/>
              <w:snapToGrid w:val="0"/>
              <w:jc w:val="center"/>
              <w:rPr>
                <w:rFonts w:ascii="宋体" w:hAnsi="宋体" w:cs="宋体"/>
                <w:sz w:val="24"/>
                <w:szCs w:val="24"/>
              </w:rPr>
            </w:pPr>
            <w:r>
              <w:rPr>
                <w:rFonts w:hint="eastAsia" w:ascii="宋体" w:hAnsi="宋体" w:cs="宋体"/>
                <w:sz w:val="24"/>
                <w:szCs w:val="24"/>
              </w:rPr>
              <w:t>建设性质</w:t>
            </w:r>
          </w:p>
        </w:tc>
        <w:tc>
          <w:tcPr>
            <w:tcW w:w="1868" w:type="dxa"/>
            <w:noWrap w:val="0"/>
            <w:vAlign w:val="center"/>
          </w:tcPr>
          <w:p>
            <w:pPr>
              <w:jc w:val="left"/>
              <w:rPr>
                <w:rFonts w:ascii="宋体" w:hAnsi="宋体" w:cs="宋体"/>
                <w:sz w:val="24"/>
                <w:szCs w:val="24"/>
              </w:rPr>
            </w:pPr>
            <w:r>
              <w:rPr>
                <w:rFonts w:hint="eastAsia" w:ascii="宋体" w:hAnsi="宋体" w:cs="宋体"/>
                <w:sz w:val="24"/>
                <w:szCs w:val="24"/>
              </w:rPr>
              <w:sym w:font="Wingdings 2" w:char="0052"/>
            </w:r>
            <w:r>
              <w:rPr>
                <w:rFonts w:hint="eastAsia" w:ascii="宋体" w:hAnsi="宋体" w:cs="宋体"/>
                <w:sz w:val="24"/>
                <w:szCs w:val="24"/>
              </w:rPr>
              <w:t>新建（迁建）</w:t>
            </w:r>
          </w:p>
          <w:p>
            <w:pPr>
              <w:jc w:val="left"/>
              <w:rPr>
                <w:rFonts w:hint="eastAsia" w:ascii="宋体" w:hAnsi="宋体" w:cs="宋体"/>
                <w:sz w:val="24"/>
                <w:szCs w:val="24"/>
              </w:rPr>
            </w:pPr>
            <w:r>
              <w:rPr>
                <w:rFonts w:hint="eastAsia" w:ascii="宋体" w:hAnsi="宋体" w:cs="宋体"/>
                <w:sz w:val="24"/>
                <w:szCs w:val="24"/>
              </w:rPr>
              <w:t>□改建</w:t>
            </w:r>
          </w:p>
          <w:p>
            <w:pPr>
              <w:jc w:val="left"/>
              <w:rPr>
                <w:rFonts w:hint="eastAsia" w:ascii="宋体" w:hAnsi="宋体" w:cs="宋体"/>
                <w:sz w:val="24"/>
                <w:szCs w:val="24"/>
              </w:rPr>
            </w:pPr>
            <w:r>
              <w:rPr>
                <w:rFonts w:hint="eastAsia" w:ascii="宋体" w:hAnsi="宋体" w:cs="宋体"/>
                <w:sz w:val="24"/>
                <w:szCs w:val="24"/>
              </w:rPr>
              <w:sym w:font="Wingdings 2" w:char="00A3"/>
            </w:r>
            <w:r>
              <w:rPr>
                <w:rFonts w:hint="eastAsia" w:ascii="宋体" w:hAnsi="宋体" w:cs="宋体"/>
                <w:sz w:val="24"/>
                <w:szCs w:val="24"/>
              </w:rPr>
              <w:t>扩建</w:t>
            </w:r>
          </w:p>
          <w:p>
            <w:pPr>
              <w:jc w:val="left"/>
              <w:rPr>
                <w:rFonts w:ascii="宋体" w:hAnsi="宋体" w:cs="宋体"/>
                <w:sz w:val="24"/>
                <w:szCs w:val="24"/>
              </w:rPr>
            </w:pPr>
            <w:r>
              <w:rPr>
                <w:rFonts w:hint="eastAsia" w:ascii="宋体" w:hAnsi="宋体" w:cs="宋体"/>
                <w:sz w:val="24"/>
                <w:szCs w:val="24"/>
              </w:rPr>
              <w:t>□技术改造</w:t>
            </w:r>
          </w:p>
        </w:tc>
        <w:tc>
          <w:tcPr>
            <w:tcW w:w="2212" w:type="dxa"/>
            <w:noWrap w:val="0"/>
            <w:vAlign w:val="center"/>
          </w:tcPr>
          <w:p>
            <w:pPr>
              <w:adjustRightInd w:val="0"/>
              <w:snapToGrid w:val="0"/>
              <w:jc w:val="center"/>
              <w:rPr>
                <w:rFonts w:hint="eastAsia" w:ascii="宋体" w:hAnsi="宋体" w:cs="宋体"/>
                <w:sz w:val="24"/>
                <w:szCs w:val="24"/>
              </w:rPr>
            </w:pPr>
            <w:r>
              <w:rPr>
                <w:rFonts w:hint="eastAsia" w:ascii="宋体" w:hAnsi="宋体" w:cs="宋体"/>
                <w:sz w:val="24"/>
                <w:szCs w:val="24"/>
              </w:rPr>
              <w:t>建设项目</w:t>
            </w:r>
          </w:p>
          <w:p>
            <w:pPr>
              <w:adjustRightInd w:val="0"/>
              <w:snapToGrid w:val="0"/>
              <w:jc w:val="center"/>
              <w:rPr>
                <w:rFonts w:ascii="宋体" w:hAnsi="宋体" w:cs="宋体"/>
                <w:sz w:val="24"/>
                <w:szCs w:val="24"/>
              </w:rPr>
            </w:pPr>
            <w:r>
              <w:rPr>
                <w:rFonts w:hint="eastAsia" w:ascii="宋体" w:hAnsi="宋体" w:cs="宋体"/>
                <w:sz w:val="24"/>
                <w:szCs w:val="24"/>
              </w:rPr>
              <w:t>申报情形</w:t>
            </w:r>
          </w:p>
        </w:tc>
        <w:tc>
          <w:tcPr>
            <w:tcW w:w="2639" w:type="dxa"/>
            <w:noWrap w:val="0"/>
            <w:vAlign w:val="center"/>
          </w:tcPr>
          <w:p>
            <w:pPr>
              <w:jc w:val="left"/>
              <w:rPr>
                <w:rFonts w:ascii="宋体" w:hAnsi="宋体" w:cs="宋体"/>
                <w:sz w:val="24"/>
                <w:szCs w:val="24"/>
              </w:rPr>
            </w:pPr>
            <w:r>
              <w:rPr>
                <w:rFonts w:hint="eastAsia" w:ascii="宋体" w:hAnsi="宋体" w:cs="宋体"/>
                <w:sz w:val="24"/>
                <w:szCs w:val="24"/>
              </w:rPr>
              <w:sym w:font="Wingdings 2" w:char="0052"/>
            </w:r>
            <w:r>
              <w:rPr>
                <w:rFonts w:hint="eastAsia" w:ascii="宋体" w:hAnsi="宋体" w:cs="宋体"/>
                <w:sz w:val="24"/>
                <w:szCs w:val="24"/>
              </w:rPr>
              <w:t>首次申报项目</w:t>
            </w:r>
            <w:r>
              <w:rPr>
                <w:rFonts w:ascii="宋体" w:hAnsi="宋体" w:cs="宋体"/>
                <w:sz w:val="24"/>
                <w:szCs w:val="24"/>
              </w:rPr>
              <w:t xml:space="preserve">             </w:t>
            </w:r>
          </w:p>
          <w:p>
            <w:pPr>
              <w:jc w:val="left"/>
              <w:rPr>
                <w:rFonts w:ascii="宋体" w:hAnsi="宋体" w:cs="宋体"/>
                <w:sz w:val="24"/>
                <w:szCs w:val="24"/>
              </w:rPr>
            </w:pPr>
            <w:r>
              <w:rPr>
                <w:rFonts w:hint="eastAsia" w:ascii="宋体" w:hAnsi="宋体" w:cs="宋体"/>
                <w:sz w:val="24"/>
                <w:szCs w:val="24"/>
              </w:rPr>
              <w:t>□不予批准后再次申报项目</w:t>
            </w:r>
          </w:p>
          <w:p>
            <w:pPr>
              <w:jc w:val="left"/>
              <w:rPr>
                <w:rFonts w:ascii="宋体" w:hAnsi="宋体" w:cs="宋体"/>
                <w:sz w:val="24"/>
                <w:szCs w:val="24"/>
              </w:rPr>
            </w:pPr>
            <w:r>
              <w:rPr>
                <w:rFonts w:hint="eastAsia" w:ascii="宋体" w:hAnsi="宋体" w:cs="宋体"/>
                <w:sz w:val="24"/>
                <w:szCs w:val="24"/>
              </w:rPr>
              <w:sym w:font="Wingdings 2" w:char="00A3"/>
            </w:r>
            <w:r>
              <w:rPr>
                <w:rFonts w:hint="eastAsia" w:ascii="宋体" w:hAnsi="宋体" w:cs="宋体"/>
                <w:sz w:val="24"/>
                <w:szCs w:val="24"/>
              </w:rPr>
              <w:t>超五年重新审核项目</w:t>
            </w:r>
            <w:r>
              <w:rPr>
                <w:rFonts w:ascii="宋体" w:hAnsi="宋体" w:cs="宋体"/>
                <w:sz w:val="24"/>
                <w:szCs w:val="24"/>
              </w:rPr>
              <w:t xml:space="preserve">     </w:t>
            </w:r>
          </w:p>
          <w:p>
            <w:pPr>
              <w:jc w:val="left"/>
              <w:rPr>
                <w:rFonts w:ascii="宋体" w:hAnsi="宋体" w:cs="宋体"/>
                <w:sz w:val="24"/>
                <w:szCs w:val="24"/>
              </w:rPr>
            </w:pPr>
            <w:r>
              <w:rPr>
                <w:rFonts w:hint="eastAsia" w:ascii="宋体" w:hAnsi="宋体" w:cs="宋体"/>
                <w:sz w:val="24"/>
                <w:szCs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151" w:type="dxa"/>
            <w:noWrap w:val="0"/>
            <w:tcMar>
              <w:top w:w="16" w:type="dxa"/>
              <w:left w:w="16" w:type="dxa"/>
              <w:right w:w="16" w:type="dxa"/>
            </w:tcMar>
            <w:vAlign w:val="center"/>
          </w:tcPr>
          <w:p>
            <w:pPr>
              <w:adjustRightInd w:val="0"/>
              <w:snapToGrid w:val="0"/>
              <w:jc w:val="center"/>
              <w:rPr>
                <w:rFonts w:hint="eastAsia" w:ascii="宋体" w:hAnsi="宋体" w:cs="宋体"/>
                <w:sz w:val="24"/>
                <w:szCs w:val="24"/>
              </w:rPr>
            </w:pPr>
            <w:r>
              <w:rPr>
                <w:rFonts w:hint="eastAsia" w:ascii="宋体" w:hAnsi="宋体" w:cs="宋体"/>
                <w:sz w:val="24"/>
                <w:szCs w:val="24"/>
              </w:rPr>
              <w:t>项目审批（核准</w:t>
            </w:r>
            <w:r>
              <w:rPr>
                <w:rFonts w:ascii="宋体" w:hAnsi="宋体" w:cs="宋体"/>
                <w:sz w:val="24"/>
                <w:szCs w:val="24"/>
              </w:rPr>
              <w:t>/</w:t>
            </w:r>
          </w:p>
          <w:p>
            <w:pPr>
              <w:adjustRightInd w:val="0"/>
              <w:snapToGrid w:val="0"/>
              <w:jc w:val="center"/>
              <w:rPr>
                <w:rFonts w:ascii="宋体" w:hAnsi="宋体" w:cs="宋体"/>
                <w:sz w:val="24"/>
                <w:szCs w:val="24"/>
              </w:rPr>
            </w:pPr>
            <w:r>
              <w:rPr>
                <w:rFonts w:hint="eastAsia" w:ascii="宋体" w:hAnsi="宋体" w:cs="宋体"/>
                <w:sz w:val="24"/>
                <w:szCs w:val="24"/>
              </w:rPr>
              <w:t>备案）部门（选填）</w:t>
            </w:r>
          </w:p>
        </w:tc>
        <w:tc>
          <w:tcPr>
            <w:tcW w:w="1868" w:type="dxa"/>
            <w:noWrap w:val="0"/>
            <w:vAlign w:val="center"/>
          </w:tcPr>
          <w:p>
            <w:pPr>
              <w:adjustRightInd w:val="0"/>
              <w:snapToGrid w:val="0"/>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w:t>
            </w:r>
          </w:p>
        </w:tc>
        <w:tc>
          <w:tcPr>
            <w:tcW w:w="2212" w:type="dxa"/>
            <w:noWrap w:val="0"/>
            <w:vAlign w:val="center"/>
          </w:tcPr>
          <w:p>
            <w:pPr>
              <w:adjustRightInd w:val="0"/>
              <w:snapToGrid w:val="0"/>
              <w:jc w:val="center"/>
              <w:rPr>
                <w:rFonts w:hint="eastAsia" w:ascii="宋体" w:hAnsi="宋体" w:cs="宋体"/>
                <w:sz w:val="24"/>
                <w:szCs w:val="24"/>
              </w:rPr>
            </w:pPr>
            <w:r>
              <w:rPr>
                <w:rFonts w:hint="eastAsia" w:ascii="宋体" w:hAnsi="宋体" w:cs="宋体"/>
                <w:sz w:val="24"/>
                <w:szCs w:val="24"/>
              </w:rPr>
              <w:t>项目审批（核准</w:t>
            </w:r>
            <w:r>
              <w:rPr>
                <w:rFonts w:ascii="宋体" w:hAnsi="宋体" w:cs="宋体"/>
                <w:sz w:val="24"/>
                <w:szCs w:val="24"/>
              </w:rPr>
              <w:t>/</w:t>
            </w:r>
          </w:p>
          <w:p>
            <w:pPr>
              <w:adjustRightInd w:val="0"/>
              <w:snapToGrid w:val="0"/>
              <w:jc w:val="center"/>
              <w:rPr>
                <w:rFonts w:hint="eastAsia" w:ascii="宋体" w:hAnsi="宋体" w:cs="宋体"/>
                <w:sz w:val="24"/>
                <w:szCs w:val="24"/>
              </w:rPr>
            </w:pPr>
            <w:r>
              <w:rPr>
                <w:rFonts w:hint="eastAsia" w:ascii="宋体" w:hAnsi="宋体" w:cs="宋体"/>
                <w:sz w:val="24"/>
                <w:szCs w:val="24"/>
              </w:rPr>
              <w:t>备案）文号（选填）</w:t>
            </w:r>
          </w:p>
        </w:tc>
        <w:tc>
          <w:tcPr>
            <w:tcW w:w="2639" w:type="dxa"/>
            <w:noWrap w:val="0"/>
            <w:vAlign w:val="center"/>
          </w:tcPr>
          <w:p>
            <w:pPr>
              <w:adjustRightInd w:val="0"/>
              <w:snapToGrid w:val="0"/>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51" w:type="dxa"/>
            <w:noWrap w:val="0"/>
            <w:tcMar>
              <w:top w:w="16" w:type="dxa"/>
              <w:left w:w="16" w:type="dxa"/>
              <w:right w:w="16" w:type="dxa"/>
            </w:tcMar>
            <w:vAlign w:val="center"/>
          </w:tcPr>
          <w:p>
            <w:pPr>
              <w:adjustRightInd w:val="0"/>
              <w:snapToGrid w:val="0"/>
              <w:jc w:val="center"/>
              <w:rPr>
                <w:rFonts w:ascii="宋体" w:hAnsi="宋体" w:cs="宋体"/>
                <w:sz w:val="24"/>
                <w:szCs w:val="24"/>
              </w:rPr>
            </w:pPr>
            <w:r>
              <w:rPr>
                <w:rFonts w:hint="eastAsia" w:ascii="宋体" w:hAnsi="宋体" w:cs="宋体"/>
                <w:sz w:val="24"/>
                <w:szCs w:val="24"/>
              </w:rPr>
              <w:t>总投资（万元）</w:t>
            </w:r>
          </w:p>
        </w:tc>
        <w:tc>
          <w:tcPr>
            <w:tcW w:w="1868" w:type="dxa"/>
            <w:noWrap w:val="0"/>
            <w:vAlign w:val="center"/>
          </w:tcPr>
          <w:p>
            <w:pPr>
              <w:adjustRightInd w:val="0"/>
              <w:snapToGrid w:val="0"/>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5000</w:t>
            </w:r>
          </w:p>
        </w:tc>
        <w:tc>
          <w:tcPr>
            <w:tcW w:w="2212" w:type="dxa"/>
            <w:noWrap w:val="0"/>
            <w:tcMar>
              <w:top w:w="16" w:type="dxa"/>
              <w:left w:w="16" w:type="dxa"/>
              <w:right w:w="16" w:type="dxa"/>
            </w:tcMar>
            <w:vAlign w:val="center"/>
          </w:tcPr>
          <w:p>
            <w:pPr>
              <w:adjustRightInd w:val="0"/>
              <w:snapToGrid w:val="0"/>
              <w:jc w:val="center"/>
              <w:rPr>
                <w:rFonts w:ascii="宋体" w:hAnsi="宋体" w:cs="宋体"/>
                <w:sz w:val="24"/>
                <w:szCs w:val="24"/>
              </w:rPr>
            </w:pPr>
            <w:r>
              <w:rPr>
                <w:rFonts w:hint="eastAsia" w:ascii="宋体" w:hAnsi="宋体" w:cs="宋体"/>
                <w:color w:val="auto"/>
                <w:sz w:val="24"/>
                <w:szCs w:val="24"/>
              </w:rPr>
              <w:t>环保投资（万元）</w:t>
            </w:r>
          </w:p>
        </w:tc>
        <w:tc>
          <w:tcPr>
            <w:tcW w:w="2639" w:type="dxa"/>
            <w:noWrap w:val="0"/>
            <w:vAlign w:val="center"/>
          </w:tcPr>
          <w:p>
            <w:pPr>
              <w:adjustRightInd w:val="0"/>
              <w:snapToGrid w:val="0"/>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51" w:type="dxa"/>
            <w:noWrap w:val="0"/>
            <w:tcMar>
              <w:top w:w="16" w:type="dxa"/>
              <w:left w:w="16" w:type="dxa"/>
              <w:right w:w="16" w:type="dxa"/>
            </w:tcMar>
            <w:vAlign w:val="center"/>
          </w:tcPr>
          <w:p>
            <w:pPr>
              <w:adjustRightInd w:val="0"/>
              <w:snapToGrid w:val="0"/>
              <w:jc w:val="center"/>
              <w:rPr>
                <w:rFonts w:ascii="宋体" w:hAnsi="宋体" w:cs="宋体"/>
                <w:sz w:val="24"/>
                <w:szCs w:val="24"/>
              </w:rPr>
            </w:pPr>
            <w:r>
              <w:rPr>
                <w:rFonts w:hint="eastAsia" w:ascii="宋体" w:hAnsi="宋体" w:cs="宋体"/>
                <w:color w:val="000000" w:themeColor="text1"/>
                <w:sz w:val="24"/>
                <w:szCs w:val="24"/>
                <w14:textFill>
                  <w14:solidFill>
                    <w14:schemeClr w14:val="tx1"/>
                  </w14:solidFill>
                </w14:textFill>
              </w:rPr>
              <w:t>环保投资占比（</w:t>
            </w:r>
            <w:r>
              <w:rPr>
                <w:rFonts w:ascii="宋体" w:hAnsi="宋体" w:cs="宋体"/>
                <w:color w:val="000000" w:themeColor="text1"/>
                <w:sz w:val="24"/>
                <w:szCs w:val="24"/>
                <w14:textFill>
                  <w14:solidFill>
                    <w14:schemeClr w14:val="tx1"/>
                  </w14:solidFill>
                </w14:textFill>
              </w:rPr>
              <w:t>%</w:t>
            </w:r>
            <w:r>
              <w:rPr>
                <w:rFonts w:hint="eastAsia" w:ascii="宋体" w:hAnsi="宋体" w:cs="宋体"/>
                <w:color w:val="000000" w:themeColor="text1"/>
                <w:sz w:val="24"/>
                <w:szCs w:val="24"/>
                <w14:textFill>
                  <w14:solidFill>
                    <w14:schemeClr w14:val="tx1"/>
                  </w14:solidFill>
                </w14:textFill>
              </w:rPr>
              <w:t>）</w:t>
            </w:r>
          </w:p>
        </w:tc>
        <w:tc>
          <w:tcPr>
            <w:tcW w:w="1868" w:type="dxa"/>
            <w:noWrap w:val="0"/>
            <w:vAlign w:val="center"/>
          </w:tcPr>
          <w:p>
            <w:pPr>
              <w:adjustRightInd w:val="0"/>
              <w:snapToGrid w:val="0"/>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1</w:t>
            </w:r>
          </w:p>
        </w:tc>
        <w:tc>
          <w:tcPr>
            <w:tcW w:w="2212" w:type="dxa"/>
            <w:noWrap w:val="0"/>
            <w:tcMar>
              <w:top w:w="16" w:type="dxa"/>
              <w:left w:w="16" w:type="dxa"/>
              <w:right w:w="16" w:type="dxa"/>
            </w:tcMar>
            <w:vAlign w:val="center"/>
          </w:tcPr>
          <w:p>
            <w:pPr>
              <w:adjustRightInd w:val="0"/>
              <w:snapToGrid w:val="0"/>
              <w:jc w:val="center"/>
              <w:rPr>
                <w:rFonts w:ascii="宋体" w:hAnsi="宋体" w:cs="宋体"/>
                <w:sz w:val="24"/>
                <w:szCs w:val="24"/>
              </w:rPr>
            </w:pPr>
            <w:r>
              <w:rPr>
                <w:rFonts w:hint="eastAsia" w:ascii="宋体" w:hAnsi="宋体" w:cs="宋体"/>
                <w:sz w:val="24"/>
                <w:szCs w:val="24"/>
              </w:rPr>
              <w:t>施工工期</w:t>
            </w:r>
          </w:p>
        </w:tc>
        <w:tc>
          <w:tcPr>
            <w:tcW w:w="2639" w:type="dxa"/>
            <w:noWrap w:val="0"/>
            <w:vAlign w:val="center"/>
          </w:tcPr>
          <w:p>
            <w:pPr>
              <w:adjustRightInd w:val="0"/>
              <w:snapToGrid w:val="0"/>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2021.9-2021.10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151" w:type="dxa"/>
            <w:noWrap w:val="0"/>
            <w:tcMar>
              <w:top w:w="16" w:type="dxa"/>
              <w:left w:w="16" w:type="dxa"/>
              <w:right w:w="16" w:type="dxa"/>
            </w:tcMar>
            <w:vAlign w:val="center"/>
          </w:tcPr>
          <w:p>
            <w:pPr>
              <w:adjustRightInd w:val="0"/>
              <w:snapToGrid w:val="0"/>
              <w:jc w:val="center"/>
              <w:rPr>
                <w:rFonts w:hint="eastAsia" w:ascii="宋体" w:hAnsi="宋体" w:cs="宋体"/>
                <w:sz w:val="24"/>
                <w:szCs w:val="24"/>
              </w:rPr>
            </w:pPr>
            <w:r>
              <w:rPr>
                <w:rFonts w:hint="eastAsia" w:ascii="宋体" w:hAnsi="宋体" w:cs="宋体"/>
                <w:sz w:val="24"/>
                <w:szCs w:val="24"/>
              </w:rPr>
              <w:t>是否开工建设</w:t>
            </w:r>
          </w:p>
        </w:tc>
        <w:tc>
          <w:tcPr>
            <w:tcW w:w="1868" w:type="dxa"/>
            <w:noWrap w:val="0"/>
            <w:vAlign w:val="center"/>
          </w:tcPr>
          <w:p>
            <w:pPr>
              <w:adjustRightInd w:val="0"/>
              <w:snapToGrid w:val="0"/>
              <w:rPr>
                <w:rFonts w:ascii="宋体" w:hAnsi="宋体" w:cs="宋体"/>
                <w:sz w:val="24"/>
                <w:szCs w:val="24"/>
              </w:rPr>
            </w:pPr>
            <w:r>
              <w:rPr>
                <w:rFonts w:hint="eastAsia" w:ascii="宋体" w:hAnsi="宋体" w:cs="宋体"/>
                <w:sz w:val="24"/>
                <w:szCs w:val="24"/>
              </w:rPr>
              <w:sym w:font="Wingdings 2" w:char="0052"/>
            </w:r>
            <w:r>
              <w:rPr>
                <w:rFonts w:hint="eastAsia" w:ascii="宋体" w:hAnsi="宋体" w:cs="宋体"/>
                <w:sz w:val="24"/>
                <w:szCs w:val="24"/>
              </w:rPr>
              <w:t>否</w:t>
            </w:r>
          </w:p>
          <w:p>
            <w:pPr>
              <w:adjustRightInd w:val="0"/>
              <w:snapToGrid w:val="0"/>
              <w:rPr>
                <w:rFonts w:ascii="宋体" w:hAnsi="宋体" w:cs="宋体"/>
                <w:sz w:val="24"/>
                <w:szCs w:val="24"/>
              </w:rPr>
            </w:pPr>
            <w:r>
              <w:rPr>
                <w:rFonts w:hint="eastAsia" w:ascii="宋体" w:hAnsi="宋体" w:cs="宋体"/>
                <w:sz w:val="24"/>
                <w:szCs w:val="24"/>
              </w:rPr>
              <w:sym w:font="Wingdings 2" w:char="00A3"/>
            </w:r>
            <w:r>
              <w:rPr>
                <w:rFonts w:hint="eastAsia" w:ascii="宋体" w:hAnsi="宋体" w:cs="宋体"/>
                <w:sz w:val="24"/>
                <w:szCs w:val="24"/>
              </w:rPr>
              <w:t>是：</w:t>
            </w:r>
            <w:r>
              <w:rPr>
                <w:rFonts w:hint="eastAsia" w:ascii="宋体" w:hAnsi="宋体" w:cs="宋体"/>
                <w:sz w:val="24"/>
                <w:szCs w:val="24"/>
                <w:u w:val="single"/>
              </w:rPr>
              <w:t xml:space="preserve">             </w:t>
            </w:r>
          </w:p>
        </w:tc>
        <w:tc>
          <w:tcPr>
            <w:tcW w:w="2212" w:type="dxa"/>
            <w:noWrap w:val="0"/>
            <w:tcMar>
              <w:top w:w="16" w:type="dxa"/>
              <w:left w:w="16" w:type="dxa"/>
              <w:right w:w="16" w:type="dxa"/>
            </w:tcMar>
            <w:vAlign w:val="center"/>
          </w:tcPr>
          <w:p>
            <w:pPr>
              <w:adjustRightInd w:val="0"/>
              <w:snapToGrid w:val="0"/>
              <w:jc w:val="center"/>
              <w:rPr>
                <w:rFonts w:hint="eastAsia" w:ascii="宋体" w:hAnsi="宋体" w:cs="宋体"/>
                <w:sz w:val="24"/>
                <w:szCs w:val="24"/>
              </w:rPr>
            </w:pPr>
            <w:r>
              <w:rPr>
                <w:rFonts w:hint="eastAsia" w:ascii="宋体" w:hAnsi="宋体" w:cs="宋体"/>
                <w:spacing w:val="-6"/>
                <w:sz w:val="24"/>
                <w:szCs w:val="24"/>
              </w:rPr>
              <w:t>用地面积（</w:t>
            </w:r>
            <w:r>
              <w:rPr>
                <w:rFonts w:ascii="宋体" w:hAnsi="宋体" w:cs="宋体"/>
                <w:spacing w:val="-6"/>
                <w:sz w:val="24"/>
                <w:szCs w:val="24"/>
              </w:rPr>
              <w:t>m</w:t>
            </w:r>
            <w:r>
              <w:rPr>
                <w:rFonts w:ascii="宋体" w:hAnsi="宋体" w:cs="宋体"/>
                <w:spacing w:val="-6"/>
                <w:sz w:val="24"/>
                <w:szCs w:val="24"/>
                <w:vertAlign w:val="superscript"/>
              </w:rPr>
              <w:t>2</w:t>
            </w:r>
            <w:r>
              <w:rPr>
                <w:rFonts w:hint="eastAsia" w:ascii="宋体" w:hAnsi="宋体" w:cs="宋体"/>
                <w:spacing w:val="-6"/>
                <w:sz w:val="24"/>
                <w:szCs w:val="24"/>
              </w:rPr>
              <w:t>）</w:t>
            </w:r>
          </w:p>
        </w:tc>
        <w:tc>
          <w:tcPr>
            <w:tcW w:w="2639" w:type="dxa"/>
            <w:noWrap w:val="0"/>
            <w:vAlign w:val="center"/>
          </w:tcPr>
          <w:p>
            <w:pPr>
              <w:adjustRightInd w:val="0"/>
              <w:snapToGrid w:val="0"/>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7000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151" w:type="dxa"/>
            <w:noWrap w:val="0"/>
            <w:vAlign w:val="center"/>
          </w:tcPr>
          <w:p>
            <w:pPr>
              <w:autoSpaceDE w:val="0"/>
              <w:autoSpaceDN w:val="0"/>
              <w:adjustRightInd w:val="0"/>
              <w:snapToGrid w:val="0"/>
              <w:jc w:val="center"/>
              <w:rPr>
                <w:rFonts w:ascii="宋体" w:hAnsi="宋体" w:cs="宋体"/>
                <w:kern w:val="0"/>
                <w:sz w:val="24"/>
                <w:szCs w:val="24"/>
              </w:rPr>
            </w:pPr>
            <w:r>
              <w:rPr>
                <w:rFonts w:hint="eastAsia" w:ascii="宋体" w:hAnsi="宋体" w:cs="宋体"/>
                <w:kern w:val="0"/>
                <w:sz w:val="24"/>
                <w:szCs w:val="24"/>
              </w:rPr>
              <w:t>专项评价设置情况</w:t>
            </w:r>
          </w:p>
        </w:tc>
        <w:tc>
          <w:tcPr>
            <w:tcW w:w="6719" w:type="dxa"/>
            <w:gridSpan w:val="3"/>
            <w:noWrap w:val="0"/>
            <w:vAlign w:val="center"/>
          </w:tcPr>
          <w:p>
            <w:pPr>
              <w:autoSpaceDE w:val="0"/>
              <w:autoSpaceDN w:val="0"/>
              <w:adjustRightInd w:val="0"/>
              <w:snapToGrid w:val="0"/>
              <w:jc w:val="center"/>
              <w:rPr>
                <w:rFonts w:hint="eastAsia" w:ascii="宋体" w:hAnsi="宋体" w:eastAsia="宋体" w:cs="宋体"/>
                <w:kern w:val="0"/>
                <w:sz w:val="24"/>
                <w:szCs w:val="24"/>
                <w:lang w:val="en-US" w:eastAsia="zh-CN"/>
              </w:rPr>
            </w:pPr>
            <w:r>
              <w:rPr>
                <w:rFonts w:hint="eastAsia" w:ascii="宋体" w:hAnsi="宋体" w:cs="宋体"/>
                <w:kern w:val="0"/>
                <w:sz w:val="24"/>
                <w:szCs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151" w:type="dxa"/>
            <w:noWrap w:val="0"/>
            <w:vAlign w:val="center"/>
          </w:tcPr>
          <w:p>
            <w:pPr>
              <w:autoSpaceDE w:val="0"/>
              <w:autoSpaceDN w:val="0"/>
              <w:adjustRightInd w:val="0"/>
              <w:snapToGrid w:val="0"/>
              <w:jc w:val="center"/>
              <w:rPr>
                <w:rFonts w:hint="eastAsia" w:ascii="宋体" w:hAnsi="宋体" w:cs="宋体"/>
                <w:color w:val="FF0000"/>
                <w:kern w:val="0"/>
                <w:sz w:val="24"/>
                <w:szCs w:val="24"/>
                <w:u w:val="single" w:color="auto"/>
              </w:rPr>
            </w:pPr>
            <w:r>
              <w:rPr>
                <w:rFonts w:hint="eastAsia" w:ascii="宋体" w:hAnsi="宋体" w:cs="宋体"/>
                <w:color w:val="FF0000"/>
                <w:sz w:val="24"/>
                <w:szCs w:val="24"/>
                <w:u w:val="single" w:color="auto"/>
              </w:rPr>
              <w:t>规划情况</w:t>
            </w:r>
          </w:p>
        </w:tc>
        <w:tc>
          <w:tcPr>
            <w:tcW w:w="6719" w:type="dxa"/>
            <w:gridSpan w:val="3"/>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0"/>
                <w:sz w:val="24"/>
                <w:szCs w:val="24"/>
                <w:u w:val="single" w:color="auto"/>
                <w:lang w:val="en-US" w:eastAsia="zh-CN"/>
              </w:rPr>
            </w:pPr>
            <w:r>
              <w:rPr>
                <w:rFonts w:hint="eastAsia" w:cs="Times New Roman"/>
                <w:color w:val="FF0000"/>
                <w:kern w:val="0"/>
                <w:sz w:val="24"/>
                <w:szCs w:val="24"/>
                <w:u w:val="single" w:color="auto"/>
                <w:lang w:eastAsia="zh-CN"/>
              </w:rPr>
              <w:t>《</w:t>
            </w:r>
            <w:r>
              <w:rPr>
                <w:rFonts w:hint="eastAsia" w:cs="Times New Roman"/>
                <w:color w:val="FF0000"/>
                <w:kern w:val="0"/>
                <w:sz w:val="24"/>
                <w:szCs w:val="24"/>
                <w:u w:val="single" w:color="auto"/>
                <w:lang w:val="en-US" w:eastAsia="zh-CN"/>
              </w:rPr>
              <w:t>湖南湘阴高新区近期规划（2020-2025）</w:t>
            </w:r>
            <w:r>
              <w:rPr>
                <w:rFonts w:hint="eastAsia" w:cs="Times New Roman"/>
                <w:color w:val="FF0000"/>
                <w:kern w:val="0"/>
                <w:sz w:val="24"/>
                <w:szCs w:val="24"/>
                <w:u w:val="single" w:color="auto"/>
                <w:lang w:eastAsia="zh-CN"/>
              </w:rPr>
              <w:t>》，</w:t>
            </w:r>
            <w:r>
              <w:rPr>
                <w:rFonts w:hint="eastAsia" w:cs="Times New Roman"/>
                <w:color w:val="FF0000"/>
                <w:kern w:val="0"/>
                <w:sz w:val="24"/>
                <w:szCs w:val="24"/>
                <w:u w:val="single" w:color="auto"/>
                <w:lang w:val="en-US" w:eastAsia="zh-CN"/>
              </w:rPr>
              <w:t>湘阴高新技术产业开发区管理委员会。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151" w:type="dxa"/>
            <w:noWrap w:val="0"/>
            <w:vAlign w:val="center"/>
          </w:tcPr>
          <w:p>
            <w:pPr>
              <w:adjustRightInd w:val="0"/>
              <w:snapToGrid w:val="0"/>
              <w:jc w:val="center"/>
              <w:rPr>
                <w:rFonts w:ascii="宋体" w:hAnsi="宋体" w:cs="宋体"/>
                <w:color w:val="FF0000"/>
                <w:sz w:val="24"/>
                <w:szCs w:val="24"/>
                <w:u w:val="single" w:color="auto"/>
              </w:rPr>
            </w:pPr>
            <w:r>
              <w:rPr>
                <w:rFonts w:hint="eastAsia" w:ascii="宋体" w:hAnsi="宋体" w:cs="宋体"/>
                <w:color w:val="FF0000"/>
                <w:sz w:val="24"/>
                <w:szCs w:val="24"/>
                <w:u w:val="single" w:color="auto"/>
              </w:rPr>
              <w:t>规划环境影响</w:t>
            </w:r>
          </w:p>
          <w:p>
            <w:pPr>
              <w:adjustRightInd w:val="0"/>
              <w:snapToGrid w:val="0"/>
              <w:jc w:val="center"/>
              <w:rPr>
                <w:rFonts w:hint="eastAsia" w:ascii="宋体" w:hAnsi="宋体" w:cs="宋体"/>
                <w:color w:val="FF0000"/>
                <w:kern w:val="0"/>
                <w:sz w:val="24"/>
                <w:szCs w:val="24"/>
                <w:u w:val="single" w:color="auto"/>
              </w:rPr>
            </w:pPr>
            <w:r>
              <w:rPr>
                <w:rFonts w:hint="eastAsia" w:ascii="宋体" w:hAnsi="宋体" w:cs="宋体"/>
                <w:color w:val="FF0000"/>
                <w:sz w:val="24"/>
                <w:szCs w:val="24"/>
                <w:u w:val="single" w:color="auto"/>
              </w:rPr>
              <w:t>评价情况</w:t>
            </w:r>
          </w:p>
        </w:tc>
        <w:tc>
          <w:tcPr>
            <w:tcW w:w="6719" w:type="dxa"/>
            <w:gridSpan w:val="3"/>
            <w:noWrap w:val="0"/>
            <w:vAlign w:val="center"/>
          </w:tcPr>
          <w:p>
            <w:pPr>
              <w:autoSpaceDE w:val="0"/>
              <w:autoSpaceDN w:val="0"/>
              <w:adjustRightInd w:val="0"/>
              <w:snapToGrid w:val="0"/>
              <w:spacing w:line="360" w:lineRule="auto"/>
              <w:ind w:firstLine="480" w:firstLineChars="200"/>
              <w:rPr>
                <w:rFonts w:ascii="宋体" w:hAnsi="宋体" w:cs="宋体"/>
                <w:kern w:val="0"/>
                <w:sz w:val="24"/>
                <w:szCs w:val="24"/>
                <w:u w:val="single" w:color="auto"/>
              </w:rPr>
            </w:pPr>
            <w:r>
              <w:rPr>
                <w:rFonts w:hint="default" w:ascii="Times New Roman" w:hAnsi="Times New Roman" w:eastAsia="宋体" w:cs="Times New Roman"/>
                <w:color w:val="FF0000"/>
                <w:sz w:val="24"/>
                <w:szCs w:val="24"/>
                <w:u w:val="single" w:color="auto"/>
                <w:lang w:val="en-US" w:eastAsia="zh-CN"/>
              </w:rPr>
              <w:t>《湖南湘阴</w:t>
            </w:r>
            <w:r>
              <w:rPr>
                <w:rFonts w:hint="eastAsia" w:ascii="Times New Roman" w:hAnsi="Times New Roman" w:cs="Times New Roman"/>
                <w:color w:val="FF0000"/>
                <w:sz w:val="24"/>
                <w:szCs w:val="24"/>
                <w:u w:val="single" w:color="auto"/>
                <w:lang w:val="en-US" w:eastAsia="zh-CN"/>
              </w:rPr>
              <w:t>高新技术产业开发区调扩区规划环境影响报告书</w:t>
            </w:r>
            <w:r>
              <w:rPr>
                <w:rFonts w:hint="default" w:ascii="Times New Roman" w:hAnsi="Times New Roman" w:eastAsia="宋体" w:cs="Times New Roman"/>
                <w:color w:val="FF0000"/>
                <w:sz w:val="24"/>
                <w:szCs w:val="24"/>
                <w:u w:val="single" w:color="auto"/>
                <w:lang w:val="en-US" w:eastAsia="zh-CN"/>
              </w:rPr>
              <w:t>》</w:t>
            </w:r>
            <w:r>
              <w:rPr>
                <w:rFonts w:hint="eastAsia" w:ascii="Times New Roman" w:hAnsi="Times New Roman" w:eastAsia="宋体" w:cs="Times New Roman"/>
                <w:color w:val="FF0000"/>
                <w:sz w:val="24"/>
                <w:szCs w:val="24"/>
                <w:u w:val="single" w:color="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51" w:type="dxa"/>
            <w:noWrap w:val="0"/>
            <w:vAlign w:val="center"/>
          </w:tcPr>
          <w:p>
            <w:pPr>
              <w:autoSpaceDE w:val="0"/>
              <w:autoSpaceDN w:val="0"/>
              <w:adjustRightInd w:val="0"/>
              <w:snapToGrid w:val="0"/>
              <w:jc w:val="center"/>
              <w:rPr>
                <w:rFonts w:hint="eastAsia" w:ascii="宋体" w:hAnsi="宋体" w:cs="宋体"/>
                <w:color w:val="FF0000"/>
                <w:kern w:val="0"/>
                <w:sz w:val="24"/>
                <w:szCs w:val="24"/>
                <w:u w:val="single" w:color="auto"/>
              </w:rPr>
            </w:pPr>
            <w:r>
              <w:rPr>
                <w:rFonts w:hint="eastAsia" w:ascii="宋体" w:hAnsi="宋体" w:cs="宋体"/>
                <w:color w:val="FF0000"/>
                <w:kern w:val="0"/>
                <w:sz w:val="24"/>
                <w:szCs w:val="24"/>
                <w:u w:val="single" w:color="auto"/>
              </w:rPr>
              <w:t>规划及规划环境</w:t>
            </w:r>
          </w:p>
          <w:p>
            <w:pPr>
              <w:autoSpaceDE w:val="0"/>
              <w:autoSpaceDN w:val="0"/>
              <w:adjustRightInd w:val="0"/>
              <w:snapToGrid w:val="0"/>
              <w:jc w:val="center"/>
              <w:rPr>
                <w:rFonts w:ascii="宋体" w:hAnsi="宋体" w:cs="宋体"/>
                <w:color w:val="FF0000"/>
                <w:kern w:val="0"/>
                <w:sz w:val="24"/>
                <w:szCs w:val="24"/>
                <w:u w:val="single" w:color="auto"/>
              </w:rPr>
            </w:pPr>
            <w:r>
              <w:rPr>
                <w:rFonts w:hint="eastAsia" w:ascii="宋体" w:hAnsi="宋体" w:cs="宋体"/>
                <w:color w:val="FF0000"/>
                <w:kern w:val="0"/>
                <w:sz w:val="24"/>
                <w:szCs w:val="24"/>
                <w:u w:val="single" w:color="auto"/>
              </w:rPr>
              <w:t>影响评价符合性分析</w:t>
            </w:r>
          </w:p>
        </w:tc>
        <w:tc>
          <w:tcPr>
            <w:tcW w:w="6719" w:type="dxa"/>
            <w:gridSpan w:val="3"/>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sz w:val="24"/>
                <w:szCs w:val="24"/>
                <w:u w:val="single" w:color="auto"/>
                <w:lang w:eastAsia="zh-CN"/>
              </w:rPr>
            </w:pPr>
            <w:r>
              <w:rPr>
                <w:rFonts w:hint="default" w:ascii="Times New Roman" w:hAnsi="Times New Roman" w:eastAsia="宋体" w:cs="Times New Roman"/>
                <w:color w:val="FF0000"/>
                <w:sz w:val="24"/>
                <w:szCs w:val="24"/>
                <w:u w:val="single" w:color="auto"/>
              </w:rPr>
              <w:t>《湖南湘阴高新区近期规划（2020-2025）》</w:t>
            </w:r>
            <w:r>
              <w:rPr>
                <w:rFonts w:hint="default" w:ascii="Times New Roman" w:hAnsi="Times New Roman" w:eastAsia="宋体" w:cs="Times New Roman"/>
                <w:color w:val="FF0000"/>
                <w:sz w:val="24"/>
                <w:szCs w:val="24"/>
                <w:u w:val="single" w:color="auto"/>
                <w:lang w:eastAsia="zh-CN"/>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FF0000"/>
                <w:sz w:val="24"/>
                <w:szCs w:val="24"/>
                <w:u w:val="single" w:color="auto"/>
              </w:rPr>
            </w:pPr>
            <w:r>
              <w:rPr>
                <w:rFonts w:hint="default" w:ascii="Times New Roman" w:hAnsi="Times New Roman" w:eastAsia="宋体" w:cs="Times New Roman"/>
                <w:color w:val="FF0000"/>
                <w:kern w:val="0"/>
                <w:sz w:val="24"/>
                <w:szCs w:val="24"/>
                <w:u w:val="single" w:color="auto"/>
                <w:lang w:val="en-US" w:eastAsia="zh-CN" w:bidi="ar"/>
              </w:rPr>
              <w:t xml:space="preserve">湖南湘阴高新技术产业开发区为“一区三园”，即临港片区、洋沙湖片区和金龙片区，规划区范围面积共计约12.40平方公里。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FF0000"/>
                <w:sz w:val="24"/>
                <w:szCs w:val="24"/>
                <w:u w:val="single" w:color="auto"/>
              </w:rPr>
            </w:pPr>
            <w:r>
              <w:rPr>
                <w:rFonts w:hint="default" w:ascii="Times New Roman" w:hAnsi="Times New Roman" w:eastAsia="宋体" w:cs="Times New Roman"/>
                <w:color w:val="FF0000"/>
                <w:kern w:val="0"/>
                <w:sz w:val="24"/>
                <w:szCs w:val="24"/>
                <w:u w:val="single" w:color="auto"/>
                <w:lang w:val="en-US" w:eastAsia="zh-CN" w:bidi="ar"/>
              </w:rPr>
              <w:t xml:space="preserve">临港片区位于县城北侧，范围东至太傅路、南至长岭路、西至湘江东岸、北至漕溪港火车站，规划范围约为276.73公顷。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FF0000"/>
                <w:sz w:val="24"/>
                <w:szCs w:val="24"/>
                <w:u w:val="single" w:color="auto"/>
              </w:rPr>
            </w:pPr>
            <w:r>
              <w:rPr>
                <w:rFonts w:hint="default" w:ascii="Times New Roman" w:hAnsi="Times New Roman" w:eastAsia="宋体" w:cs="Times New Roman"/>
                <w:color w:val="FF0000"/>
                <w:kern w:val="0"/>
                <w:sz w:val="24"/>
                <w:szCs w:val="24"/>
                <w:u w:val="single" w:color="auto"/>
                <w:lang w:val="en-US" w:eastAsia="zh-CN" w:bidi="ar"/>
              </w:rPr>
              <w:t xml:space="preserve">洋沙湖片区位于县城中部与南部，区块1范围东至芙蓉北路、南至洋沙湖大道、西至中联大道、北至劈山渠，规划范围约为321.98公顷；区块2范围东至芙蓉北路、南至劈山渠、西至程家湾、北至城南村，规划范围约为296.07公顷，洋沙湖片区规划范围618.05公顷。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FF0000"/>
                <w:sz w:val="24"/>
                <w:szCs w:val="24"/>
                <w:u w:val="single" w:color="auto"/>
              </w:rPr>
            </w:pPr>
            <w:r>
              <w:rPr>
                <w:rFonts w:hint="default" w:ascii="Times New Roman" w:hAnsi="Times New Roman" w:eastAsia="宋体" w:cs="Times New Roman"/>
                <w:color w:val="FF0000"/>
                <w:kern w:val="0"/>
                <w:sz w:val="24"/>
                <w:szCs w:val="24"/>
                <w:u w:val="single" w:color="auto"/>
                <w:lang w:val="en-US" w:eastAsia="zh-CN" w:bidi="ar"/>
              </w:rPr>
              <w:t xml:space="preserve">金龙片区位于金龙镇南面，范围东至芙蓉北路、南至燎原路、西至西华村、北至安康路，规划范围约为344.78公顷。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color w:val="FF0000"/>
                <w:kern w:val="0"/>
                <w:sz w:val="24"/>
                <w:szCs w:val="24"/>
                <w:u w:val="single" w:color="auto"/>
                <w:lang w:val="en-US" w:eastAsia="zh-CN" w:bidi="ar"/>
              </w:rPr>
            </w:pPr>
            <w:r>
              <w:rPr>
                <w:rFonts w:hint="default" w:ascii="Times New Roman" w:hAnsi="Times New Roman" w:eastAsia="宋体" w:cs="Times New Roman"/>
                <w:b/>
                <w:bCs/>
                <w:color w:val="FF0000"/>
                <w:kern w:val="0"/>
                <w:sz w:val="24"/>
                <w:szCs w:val="24"/>
                <w:u w:val="single" w:color="auto"/>
                <w:lang w:val="en-US" w:eastAsia="zh-CN" w:bidi="ar"/>
              </w:rPr>
              <w:t>功能定位：</w:t>
            </w:r>
            <w:r>
              <w:rPr>
                <w:rFonts w:hint="default" w:ascii="Times New Roman" w:hAnsi="Times New Roman" w:eastAsia="宋体" w:cs="Times New Roman"/>
                <w:color w:val="FF0000"/>
                <w:kern w:val="0"/>
                <w:sz w:val="24"/>
                <w:szCs w:val="24"/>
                <w:u w:val="single" w:color="auto"/>
                <w:lang w:val="en-US" w:eastAsia="zh-CN" w:bidi="ar"/>
              </w:rPr>
              <w:t>发挥靠城</w:t>
            </w:r>
            <w:r>
              <w:rPr>
                <w:rFonts w:hint="eastAsia" w:cs="Times New Roman"/>
                <w:color w:val="FF0000"/>
                <w:kern w:val="0"/>
                <w:sz w:val="24"/>
                <w:szCs w:val="24"/>
                <w:u w:val="single" w:color="auto"/>
                <w:lang w:val="en-US" w:eastAsia="zh-CN" w:bidi="ar"/>
              </w:rPr>
              <w:t>（</w:t>
            </w:r>
            <w:r>
              <w:rPr>
                <w:rFonts w:hint="default" w:ascii="Times New Roman" w:hAnsi="Times New Roman" w:eastAsia="宋体" w:cs="Times New Roman"/>
                <w:color w:val="FF0000"/>
                <w:kern w:val="0"/>
                <w:sz w:val="24"/>
                <w:szCs w:val="24"/>
                <w:u w:val="single" w:color="auto"/>
                <w:lang w:val="en-US" w:eastAsia="zh-CN" w:bidi="ar"/>
              </w:rPr>
              <w:t>长沙</w:t>
            </w:r>
            <w:r>
              <w:rPr>
                <w:rFonts w:hint="eastAsia" w:cs="Times New Roman"/>
                <w:color w:val="FF0000"/>
                <w:kern w:val="0"/>
                <w:sz w:val="24"/>
                <w:szCs w:val="24"/>
                <w:u w:val="single" w:color="auto"/>
                <w:lang w:val="en-US" w:eastAsia="zh-CN" w:bidi="ar"/>
              </w:rPr>
              <w:t>）</w:t>
            </w:r>
            <w:r>
              <w:rPr>
                <w:rFonts w:hint="default" w:ascii="Times New Roman" w:hAnsi="Times New Roman" w:eastAsia="宋体" w:cs="Times New Roman"/>
                <w:color w:val="FF0000"/>
                <w:kern w:val="0"/>
                <w:sz w:val="24"/>
                <w:szCs w:val="24"/>
                <w:u w:val="single" w:color="auto"/>
                <w:lang w:val="en-US" w:eastAsia="zh-CN" w:bidi="ar"/>
              </w:rPr>
              <w:t>依江</w:t>
            </w:r>
            <w:r>
              <w:rPr>
                <w:rFonts w:hint="eastAsia" w:cs="Times New Roman"/>
                <w:color w:val="FF0000"/>
                <w:kern w:val="0"/>
                <w:sz w:val="24"/>
                <w:szCs w:val="24"/>
                <w:u w:val="single" w:color="auto"/>
                <w:lang w:val="en-US" w:eastAsia="zh-CN" w:bidi="ar"/>
              </w:rPr>
              <w:t>（</w:t>
            </w:r>
            <w:r>
              <w:rPr>
                <w:rFonts w:hint="default" w:ascii="Times New Roman" w:hAnsi="Times New Roman" w:eastAsia="宋体" w:cs="Times New Roman"/>
                <w:color w:val="FF0000"/>
                <w:kern w:val="0"/>
                <w:sz w:val="24"/>
                <w:szCs w:val="24"/>
                <w:u w:val="single" w:color="auto"/>
                <w:lang w:val="en-US" w:eastAsia="zh-CN" w:bidi="ar"/>
              </w:rPr>
              <w:t>湘江</w:t>
            </w:r>
            <w:r>
              <w:rPr>
                <w:rFonts w:hint="eastAsia" w:cs="Times New Roman"/>
                <w:color w:val="FF0000"/>
                <w:kern w:val="0"/>
                <w:sz w:val="24"/>
                <w:szCs w:val="24"/>
                <w:u w:val="single" w:color="auto"/>
                <w:lang w:val="en-US" w:eastAsia="zh-CN" w:bidi="ar"/>
              </w:rPr>
              <w:t>）</w:t>
            </w:r>
            <w:r>
              <w:rPr>
                <w:rFonts w:hint="default" w:ascii="Times New Roman" w:hAnsi="Times New Roman" w:eastAsia="宋体" w:cs="Times New Roman"/>
                <w:color w:val="FF0000"/>
                <w:kern w:val="0"/>
                <w:sz w:val="24"/>
                <w:szCs w:val="24"/>
                <w:u w:val="single" w:color="auto"/>
                <w:lang w:val="en-US" w:eastAsia="zh-CN" w:bidi="ar"/>
              </w:rPr>
              <w:t xml:space="preserve">的区位优势，立足对接长沙、省级高新技术开发区发展核心平台的有利条件，依托长株潭大经济圈及岳阳、益阳两城市的经济辐射，“以园兴工、以工兴县”的战略，千方百计加大园区基础建设力度，想方设法引进战略投资大户，把园区建成为规模工业企业的集聚区，商贸流通的重点区，城镇化发展的示范区，对外开放的先导区，以及全国较高水平的省级生态环保型城郊综合工业园区。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color w:val="FF0000"/>
                <w:sz w:val="24"/>
                <w:szCs w:val="24"/>
                <w:u w:val="single" w:color="auto"/>
              </w:rPr>
            </w:pPr>
            <w:r>
              <w:rPr>
                <w:rFonts w:hint="default" w:ascii="Times New Roman" w:hAnsi="Times New Roman" w:eastAsia="宋体" w:cs="Times New Roman"/>
                <w:b/>
                <w:bCs/>
                <w:color w:val="FF0000"/>
                <w:kern w:val="0"/>
                <w:sz w:val="24"/>
                <w:szCs w:val="24"/>
                <w:u w:val="single" w:color="auto"/>
                <w:lang w:val="en-US" w:eastAsia="zh-CN" w:bidi="ar"/>
              </w:rPr>
              <w:t xml:space="preserve">产业定位：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FF0000"/>
                <w:sz w:val="24"/>
                <w:szCs w:val="24"/>
                <w:u w:val="single" w:color="auto"/>
              </w:rPr>
            </w:pPr>
            <w:r>
              <w:rPr>
                <w:rFonts w:hint="default" w:ascii="Times New Roman" w:hAnsi="Times New Roman" w:eastAsia="宋体" w:cs="Times New Roman"/>
                <w:color w:val="FF0000"/>
                <w:kern w:val="0"/>
                <w:sz w:val="24"/>
                <w:szCs w:val="24"/>
                <w:u w:val="single" w:color="auto"/>
                <w:lang w:val="en-US" w:eastAsia="zh-CN" w:bidi="ar"/>
              </w:rPr>
              <w:t xml:space="preserve">主导产业：绿色装备制造、绿色建筑建材、绿色食品加工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szCs w:val="24"/>
                <w:u w:val="single" w:color="auto"/>
                <w:lang w:val="en-US" w:eastAsia="zh-CN" w:bidi="ar"/>
              </w:rPr>
            </w:pPr>
            <w:r>
              <w:rPr>
                <w:rFonts w:hint="default" w:ascii="Times New Roman" w:hAnsi="Times New Roman" w:eastAsia="宋体" w:cs="Times New Roman"/>
                <w:color w:val="FF0000"/>
                <w:kern w:val="0"/>
                <w:sz w:val="24"/>
                <w:szCs w:val="24"/>
                <w:u w:val="single" w:color="auto"/>
                <w:lang w:val="en-US" w:eastAsia="zh-CN" w:bidi="ar"/>
              </w:rPr>
              <w:t xml:space="preserve">配套产业：电子信息、新材料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color w:val="FF0000"/>
                <w:sz w:val="24"/>
                <w:szCs w:val="24"/>
                <w:u w:val="single" w:color="auto"/>
              </w:rPr>
            </w:pPr>
            <w:r>
              <w:rPr>
                <w:rFonts w:hint="default" w:ascii="Times New Roman" w:hAnsi="Times New Roman" w:eastAsia="宋体" w:cs="Times New Roman"/>
                <w:b/>
                <w:bCs/>
                <w:color w:val="FF0000"/>
                <w:kern w:val="0"/>
                <w:sz w:val="24"/>
                <w:szCs w:val="24"/>
                <w:u w:val="single" w:color="auto"/>
                <w:lang w:val="en-US" w:eastAsia="zh-CN" w:bidi="ar"/>
              </w:rPr>
              <w:t xml:space="preserve">分区定位：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FF0000"/>
                <w:sz w:val="24"/>
                <w:szCs w:val="24"/>
                <w:u w:val="single" w:color="auto"/>
              </w:rPr>
            </w:pPr>
            <w:r>
              <w:rPr>
                <w:rFonts w:hint="default" w:ascii="Times New Roman" w:hAnsi="Times New Roman" w:eastAsia="宋体" w:cs="Times New Roman"/>
                <w:color w:val="FF0000"/>
                <w:kern w:val="0"/>
                <w:sz w:val="24"/>
                <w:szCs w:val="24"/>
                <w:u w:val="single" w:color="auto"/>
                <w:lang w:val="en-US" w:eastAsia="zh-CN" w:bidi="ar"/>
              </w:rPr>
              <w:t xml:space="preserve">金龙片区主要承接长株潭优势产业，重点发展与长株潭相匹配的绿色装备制造、电子信息产业；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FF0000"/>
                <w:sz w:val="24"/>
                <w:szCs w:val="24"/>
                <w:u w:val="single" w:color="auto"/>
              </w:rPr>
            </w:pPr>
            <w:r>
              <w:rPr>
                <w:rFonts w:hint="default" w:ascii="Times New Roman" w:hAnsi="Times New Roman" w:eastAsia="宋体" w:cs="Times New Roman"/>
                <w:color w:val="FF0000"/>
                <w:kern w:val="0"/>
                <w:sz w:val="24"/>
                <w:szCs w:val="24"/>
                <w:u w:val="single" w:color="auto"/>
                <w:lang w:val="en-US" w:eastAsia="zh-CN" w:bidi="ar"/>
              </w:rPr>
              <w:t xml:space="preserve">临港片区重点发展商贸物流、绿色建筑建材、绿色装备制造产业； </w:t>
            </w:r>
          </w:p>
          <w:p>
            <w:pPr>
              <w:autoSpaceDE w:val="0"/>
              <w:autoSpaceDN w:val="0"/>
              <w:adjustRightInd w:val="0"/>
              <w:snapToGrid w:val="0"/>
              <w:spacing w:line="360" w:lineRule="auto"/>
              <w:ind w:firstLine="480" w:firstLineChars="200"/>
              <w:jc w:val="both"/>
              <w:rPr>
                <w:rFonts w:hint="default" w:ascii="Times New Roman" w:hAnsi="Times New Roman" w:eastAsia="宋体" w:cs="Times New Roman"/>
                <w:color w:val="FF0000"/>
                <w:kern w:val="0"/>
                <w:sz w:val="24"/>
                <w:szCs w:val="24"/>
                <w:u w:val="single" w:color="auto"/>
                <w:lang w:val="en-US" w:eastAsia="zh-CN" w:bidi="ar"/>
              </w:rPr>
            </w:pPr>
            <w:r>
              <w:rPr>
                <w:rFonts w:hint="default" w:ascii="Times New Roman" w:hAnsi="Times New Roman" w:eastAsia="宋体" w:cs="Times New Roman"/>
                <w:color w:val="FF0000"/>
                <w:kern w:val="0"/>
                <w:sz w:val="24"/>
                <w:szCs w:val="24"/>
                <w:u w:val="single" w:color="auto"/>
                <w:lang w:val="en-US" w:eastAsia="zh-CN" w:bidi="ar"/>
              </w:rPr>
              <w:t>洋沙湖片区重点发展绿色建筑建材、新能源汽车和绿色食品加工产业。</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ascii="宋体" w:hAnsi="宋体" w:cs="宋体"/>
                <w:kern w:val="0"/>
                <w:sz w:val="24"/>
                <w:szCs w:val="24"/>
                <w:u w:val="single" w:color="auto"/>
              </w:rPr>
            </w:pPr>
            <w:r>
              <w:rPr>
                <w:rFonts w:hint="eastAsia" w:ascii="Times New Roman" w:hAnsi="Times New Roman" w:eastAsia="宋体" w:cs="Times New Roman"/>
                <w:color w:val="FF0000"/>
                <w:kern w:val="0"/>
                <w:sz w:val="24"/>
                <w:szCs w:val="24"/>
                <w:u w:val="single" w:color="auto"/>
                <w:lang w:val="en-US" w:eastAsia="zh-CN" w:bidi="ar"/>
              </w:rPr>
              <w:t>符合性审查：项目生产产品为水面光伏浮体，属于绿色装备制造。</w:t>
            </w:r>
            <w:r>
              <w:rPr>
                <w:rFonts w:hint="default" w:ascii="Times New Roman" w:hAnsi="Times New Roman" w:cs="Times New Roman"/>
                <w:color w:val="FF0000"/>
                <w:sz w:val="24"/>
                <w:szCs w:val="24"/>
                <w:u w:val="single" w:color="auto"/>
              </w:rPr>
              <w:t>基本满足</w:t>
            </w:r>
            <w:r>
              <w:rPr>
                <w:rFonts w:hint="eastAsia" w:cs="Times New Roman"/>
                <w:color w:val="FF0000"/>
                <w:sz w:val="24"/>
                <w:szCs w:val="24"/>
                <w:u w:val="single" w:color="auto"/>
                <w:lang w:val="en-US" w:eastAsia="zh-CN"/>
              </w:rPr>
              <w:t>《湖南湘阴高新区近期规划（2020-2025）》的</w:t>
            </w:r>
            <w:r>
              <w:rPr>
                <w:rFonts w:hint="default" w:ascii="Times New Roman" w:hAnsi="Times New Roman" w:cs="Times New Roman"/>
                <w:color w:val="FF0000"/>
                <w:sz w:val="24"/>
                <w:szCs w:val="24"/>
                <w:u w:val="single" w:color="auto"/>
              </w:rPr>
              <w:t>要求，故本项目选址基本合理。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2151" w:type="dxa"/>
            <w:noWrap w:val="0"/>
            <w:vAlign w:val="center"/>
          </w:tcPr>
          <w:p>
            <w:pPr>
              <w:autoSpaceDE w:val="0"/>
              <w:autoSpaceDN w:val="0"/>
              <w:adjustRightInd w:val="0"/>
              <w:snapToGrid w:val="0"/>
              <w:jc w:val="center"/>
              <w:rPr>
                <w:rFonts w:hint="eastAsia" w:ascii="宋体" w:hAnsi="宋体" w:cs="宋体"/>
                <w:kern w:val="0"/>
                <w:sz w:val="24"/>
                <w:szCs w:val="24"/>
                <w:u w:val="single" w:color="auto"/>
              </w:rPr>
            </w:pPr>
            <w:r>
              <w:rPr>
                <w:rFonts w:hint="eastAsia" w:ascii="宋体" w:hAnsi="宋体" w:cs="宋体"/>
                <w:color w:val="FF0000"/>
                <w:kern w:val="0"/>
                <w:sz w:val="24"/>
                <w:szCs w:val="24"/>
                <w:u w:val="single" w:color="auto"/>
              </w:rPr>
              <w:t>其他符合性分析</w:t>
            </w:r>
          </w:p>
        </w:tc>
        <w:tc>
          <w:tcPr>
            <w:tcW w:w="6719" w:type="dxa"/>
            <w:gridSpan w:val="3"/>
            <w:noWrap w:val="0"/>
            <w:vAlign w:val="center"/>
          </w:tcPr>
          <w:p>
            <w:pPr>
              <w:tabs>
                <w:tab w:val="left" w:pos="8918"/>
              </w:tabs>
              <w:spacing w:line="360" w:lineRule="auto"/>
              <w:rPr>
                <w:rFonts w:hint="default" w:ascii="Times New Roman" w:hAnsi="Times New Roman" w:eastAsia="宋体" w:cs="Times New Roman"/>
                <w:b/>
                <w:bCs/>
                <w:color w:val="FF0000"/>
                <w:sz w:val="24"/>
                <w:szCs w:val="24"/>
                <w:u w:val="single" w:color="auto"/>
                <w:lang w:val="en-US" w:eastAsia="zh-CN"/>
              </w:rPr>
            </w:pPr>
            <w:r>
              <w:rPr>
                <w:rFonts w:hint="eastAsia" w:ascii="Times New Roman" w:hAnsi="Times New Roman" w:eastAsia="宋体" w:cs="Times New Roman"/>
                <w:b/>
                <w:bCs/>
                <w:color w:val="FF0000"/>
                <w:sz w:val="24"/>
                <w:szCs w:val="24"/>
                <w:u w:val="single" w:color="auto"/>
                <w:lang w:val="en-US" w:eastAsia="zh-CN"/>
              </w:rPr>
              <w:t>1、</w:t>
            </w:r>
            <w:r>
              <w:rPr>
                <w:rFonts w:ascii="Times New Roman" w:hAnsi="Times New Roman" w:eastAsia="宋体" w:cs="Times New Roman"/>
                <w:b/>
                <w:bCs/>
                <w:color w:val="FF0000"/>
                <w:sz w:val="24"/>
                <w:szCs w:val="24"/>
                <w:u w:val="single" w:color="auto"/>
              </w:rPr>
              <w:t>产业政策</w:t>
            </w:r>
            <w:r>
              <w:rPr>
                <w:rFonts w:hint="default" w:ascii="Times New Roman" w:hAnsi="Times New Roman" w:eastAsia="宋体" w:cs="Times New Roman"/>
                <w:b/>
                <w:bCs/>
                <w:color w:val="FF0000"/>
                <w:sz w:val="24"/>
                <w:szCs w:val="24"/>
                <w:u w:val="single" w:color="auto"/>
                <w:lang w:val="en-US" w:eastAsia="zh-CN"/>
              </w:rPr>
              <w:t>符合性分析</w:t>
            </w:r>
          </w:p>
          <w:p>
            <w:pPr>
              <w:tabs>
                <w:tab w:val="left" w:pos="8918"/>
              </w:tabs>
              <w:spacing w:line="360" w:lineRule="auto"/>
              <w:ind w:firstLine="480" w:firstLineChars="200"/>
              <w:rPr>
                <w:rFonts w:hint="default" w:ascii="Times New Roman" w:hAnsi="Times New Roman" w:eastAsia="宋体" w:cs="Times New Roman"/>
                <w:color w:val="FF0000"/>
                <w:sz w:val="24"/>
                <w:szCs w:val="24"/>
                <w:u w:val="single" w:color="auto"/>
                <w:lang w:eastAsia="zh-CN"/>
              </w:rPr>
            </w:pPr>
            <w:r>
              <w:rPr>
                <w:rFonts w:hint="default" w:ascii="Times New Roman" w:hAnsi="Times New Roman" w:eastAsia="宋体" w:cs="Times New Roman"/>
                <w:color w:val="FF0000"/>
                <w:sz w:val="24"/>
                <w:szCs w:val="24"/>
                <w:u w:val="single" w:color="auto"/>
              </w:rPr>
              <w:t>根据</w:t>
            </w:r>
            <w:r>
              <w:rPr>
                <w:rFonts w:hint="default" w:ascii="Times New Roman" w:hAnsi="Times New Roman" w:eastAsia="宋体" w:cs="Times New Roman"/>
                <w:color w:val="FF0000"/>
                <w:sz w:val="24"/>
                <w:szCs w:val="24"/>
                <w:u w:val="single" w:color="auto"/>
                <w:lang w:eastAsia="zh-CN"/>
              </w:rPr>
              <w:t>国家发改委颁布的</w:t>
            </w:r>
            <w:r>
              <w:rPr>
                <w:rFonts w:hint="default" w:ascii="Times New Roman" w:hAnsi="Times New Roman" w:eastAsia="宋体" w:cs="Times New Roman"/>
                <w:color w:val="FF0000"/>
                <w:sz w:val="24"/>
                <w:szCs w:val="24"/>
                <w:u w:val="single" w:color="auto"/>
              </w:rPr>
              <w:t>《产业结构调整指导目录》（201</w:t>
            </w:r>
            <w:r>
              <w:rPr>
                <w:rFonts w:hint="default" w:ascii="Times New Roman" w:hAnsi="Times New Roman" w:eastAsia="宋体" w:cs="Times New Roman"/>
                <w:color w:val="FF0000"/>
                <w:sz w:val="24"/>
                <w:szCs w:val="24"/>
                <w:u w:val="single" w:color="auto"/>
                <w:lang w:val="en-US" w:eastAsia="zh-CN"/>
              </w:rPr>
              <w:t>9</w:t>
            </w:r>
            <w:r>
              <w:rPr>
                <w:rFonts w:hint="default" w:ascii="Times New Roman" w:hAnsi="Times New Roman" w:eastAsia="宋体" w:cs="Times New Roman"/>
                <w:color w:val="FF0000"/>
                <w:sz w:val="24"/>
                <w:szCs w:val="24"/>
                <w:u w:val="single" w:color="auto"/>
              </w:rPr>
              <w:t>年）</w:t>
            </w:r>
            <w:r>
              <w:rPr>
                <w:rFonts w:hint="default" w:ascii="Times New Roman" w:hAnsi="Times New Roman" w:eastAsia="宋体" w:cs="Times New Roman"/>
                <w:color w:val="FF0000"/>
                <w:sz w:val="24"/>
                <w:szCs w:val="24"/>
                <w:u w:val="single" w:color="auto"/>
                <w:lang w:eastAsia="zh-CN"/>
              </w:rPr>
              <w:t>，</w:t>
            </w:r>
            <w:r>
              <w:rPr>
                <w:rFonts w:hint="default" w:ascii="Times New Roman" w:hAnsi="Times New Roman" w:eastAsia="宋体" w:cs="Times New Roman"/>
                <w:color w:val="FF0000"/>
                <w:sz w:val="24"/>
                <w:szCs w:val="24"/>
                <w:u w:val="single" w:color="auto"/>
                <w:lang w:val="en-US" w:eastAsia="zh-CN"/>
              </w:rPr>
              <w:t>查阅</w:t>
            </w:r>
            <w:r>
              <w:rPr>
                <w:rFonts w:hint="default" w:ascii="Times New Roman" w:hAnsi="Times New Roman" w:eastAsia="宋体" w:cs="Times New Roman"/>
                <w:color w:val="FF0000"/>
                <w:sz w:val="24"/>
                <w:szCs w:val="24"/>
                <w:u w:val="single" w:color="auto"/>
                <w:lang w:eastAsia="zh-CN"/>
              </w:rPr>
              <w:t>规定的限制类和淘汰类范围内</w:t>
            </w:r>
            <w:r>
              <w:rPr>
                <w:rFonts w:hint="default" w:ascii="Times New Roman" w:hAnsi="Times New Roman" w:eastAsia="宋体" w:cs="Times New Roman"/>
                <w:color w:val="FF0000"/>
                <w:sz w:val="24"/>
                <w:szCs w:val="24"/>
                <w:u w:val="single" w:color="auto"/>
                <w:lang w:val="en-US" w:eastAsia="zh-CN"/>
              </w:rPr>
              <w:t>不含本项目</w:t>
            </w:r>
            <w:r>
              <w:rPr>
                <w:rFonts w:hint="default" w:ascii="Times New Roman" w:hAnsi="Times New Roman" w:eastAsia="宋体" w:cs="Times New Roman"/>
                <w:color w:val="FF0000"/>
                <w:sz w:val="24"/>
                <w:szCs w:val="24"/>
                <w:u w:val="single" w:color="auto"/>
                <w:lang w:eastAsia="zh-CN"/>
              </w:rPr>
              <w:t>，</w:t>
            </w:r>
            <w:r>
              <w:rPr>
                <w:rFonts w:hint="default" w:ascii="Times New Roman" w:hAnsi="Times New Roman" w:eastAsia="宋体" w:cs="Times New Roman"/>
                <w:color w:val="FF0000"/>
                <w:sz w:val="24"/>
                <w:szCs w:val="24"/>
                <w:u w:val="single" w:color="auto"/>
                <w:lang w:val="en-US" w:eastAsia="zh-CN"/>
              </w:rPr>
              <w:t>故本项目</w:t>
            </w:r>
            <w:r>
              <w:rPr>
                <w:rFonts w:hint="default" w:ascii="Times New Roman" w:hAnsi="Times New Roman" w:eastAsia="宋体" w:cs="Times New Roman"/>
                <w:color w:val="FF0000"/>
                <w:sz w:val="24"/>
                <w:szCs w:val="24"/>
                <w:u w:val="single" w:color="auto"/>
                <w:lang w:eastAsia="zh-CN"/>
              </w:rPr>
              <w:t>属于允许类建设项目。</w:t>
            </w:r>
          </w:p>
          <w:p>
            <w:pPr>
              <w:numPr>
                <w:ilvl w:val="0"/>
                <w:numId w:val="0"/>
              </w:numPr>
              <w:bidi w:val="0"/>
              <w:spacing w:line="360" w:lineRule="auto"/>
              <w:rPr>
                <w:rFonts w:hint="eastAsia"/>
                <w:b/>
                <w:bCs/>
                <w:color w:val="FF0000"/>
                <w:sz w:val="24"/>
                <w:szCs w:val="24"/>
                <w:u w:val="single" w:color="auto"/>
                <w:lang w:val="en-US" w:eastAsia="zh-CN"/>
              </w:rPr>
            </w:pPr>
            <w:r>
              <w:rPr>
                <w:rFonts w:hint="eastAsia"/>
                <w:b/>
                <w:bCs/>
                <w:color w:val="FF0000"/>
                <w:sz w:val="24"/>
                <w:szCs w:val="24"/>
                <w:u w:val="single" w:color="auto"/>
                <w:lang w:val="en-US" w:eastAsia="zh-CN"/>
              </w:rPr>
              <w:t>2、与《湖南省重点行业挥发性有机物污染控制指南（征求意见稿）》相符性分析</w:t>
            </w:r>
          </w:p>
          <w:p>
            <w:pPr>
              <w:numPr>
                <w:ilvl w:val="0"/>
                <w:numId w:val="0"/>
              </w:numPr>
              <w:bidi w:val="0"/>
              <w:spacing w:line="360" w:lineRule="auto"/>
              <w:jc w:val="center"/>
              <w:rPr>
                <w:rFonts w:hint="default" w:ascii="宋体" w:hAnsi="宋体" w:cs="宋体"/>
                <w:b/>
                <w:bCs/>
                <w:color w:val="FF0000"/>
                <w:kern w:val="0"/>
                <w:sz w:val="24"/>
                <w:szCs w:val="24"/>
                <w:u w:val="single" w:color="auto"/>
                <w:vertAlign w:val="baseline"/>
                <w:lang w:val="en-US"/>
              </w:rPr>
            </w:pPr>
            <w:r>
              <w:rPr>
                <w:rFonts w:hint="eastAsia"/>
                <w:b/>
                <w:bCs/>
                <w:color w:val="FF0000"/>
                <w:sz w:val="24"/>
                <w:szCs w:val="24"/>
                <w:u w:val="single" w:color="auto"/>
                <w:lang w:val="en-US" w:eastAsia="zh-CN"/>
              </w:rPr>
              <w:t>表1-2 与《湖南省重点行业挥发性有机物污染控制指南》相符性分析</w:t>
            </w:r>
          </w:p>
          <w:tbl>
            <w:tblPr>
              <w:tblStyle w:val="15"/>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80"/>
              <w:gridCol w:w="2450"/>
              <w:gridCol w:w="2425"/>
              <w:gridCol w:w="7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0" w:type="dxa"/>
                  <w:tcBorders>
                    <w:tl2br w:val="nil"/>
                    <w:tr2bl w:val="nil"/>
                  </w:tcBorders>
                  <w:vAlign w:val="center"/>
                </w:tcPr>
                <w:p>
                  <w:pPr>
                    <w:numPr>
                      <w:ilvl w:val="0"/>
                      <w:numId w:val="0"/>
                    </w:numPr>
                    <w:bidi w:val="0"/>
                    <w:spacing w:line="240" w:lineRule="auto"/>
                    <w:jc w:val="center"/>
                    <w:rPr>
                      <w:rFonts w:hint="eastAsia" w:ascii="宋体" w:hAnsi="宋体" w:eastAsia="宋体" w:cs="宋体"/>
                      <w:b/>
                      <w:bCs/>
                      <w:color w:val="FF0000"/>
                      <w:kern w:val="0"/>
                      <w:sz w:val="21"/>
                      <w:szCs w:val="21"/>
                      <w:u w:val="single" w:color="auto"/>
                      <w:vertAlign w:val="baseline"/>
                      <w:lang w:val="en-US" w:eastAsia="zh-CN"/>
                    </w:rPr>
                  </w:pPr>
                  <w:r>
                    <w:rPr>
                      <w:rFonts w:hint="eastAsia" w:ascii="宋体" w:hAnsi="宋体" w:cs="宋体"/>
                      <w:b/>
                      <w:bCs/>
                      <w:color w:val="FF0000"/>
                      <w:kern w:val="0"/>
                      <w:sz w:val="21"/>
                      <w:szCs w:val="21"/>
                      <w:u w:val="single" w:color="auto"/>
                      <w:vertAlign w:val="baseline"/>
                      <w:lang w:val="en-US" w:eastAsia="zh-CN"/>
                    </w:rPr>
                    <w:t>序号</w:t>
                  </w:r>
                </w:p>
              </w:tc>
              <w:tc>
                <w:tcPr>
                  <w:tcW w:w="2450" w:type="dxa"/>
                  <w:tcBorders>
                    <w:tl2br w:val="nil"/>
                    <w:tr2bl w:val="nil"/>
                  </w:tcBorders>
                  <w:vAlign w:val="center"/>
                </w:tcPr>
                <w:p>
                  <w:pPr>
                    <w:numPr>
                      <w:ilvl w:val="0"/>
                      <w:numId w:val="0"/>
                    </w:numPr>
                    <w:bidi w:val="0"/>
                    <w:spacing w:line="240" w:lineRule="auto"/>
                    <w:jc w:val="center"/>
                    <w:rPr>
                      <w:rFonts w:hint="default" w:ascii="宋体" w:hAnsi="宋体" w:eastAsia="宋体" w:cs="宋体"/>
                      <w:b/>
                      <w:bCs/>
                      <w:color w:val="FF0000"/>
                      <w:kern w:val="0"/>
                      <w:sz w:val="21"/>
                      <w:szCs w:val="21"/>
                      <w:u w:val="single" w:color="auto"/>
                      <w:vertAlign w:val="baseline"/>
                      <w:lang w:val="en-US" w:eastAsia="zh-CN"/>
                    </w:rPr>
                  </w:pPr>
                  <w:r>
                    <w:rPr>
                      <w:rFonts w:hint="eastAsia" w:ascii="宋体" w:hAnsi="宋体" w:cs="宋体"/>
                      <w:b/>
                      <w:bCs/>
                      <w:color w:val="FF0000"/>
                      <w:kern w:val="0"/>
                      <w:sz w:val="21"/>
                      <w:szCs w:val="21"/>
                      <w:u w:val="single" w:color="auto"/>
                      <w:vertAlign w:val="baseline"/>
                      <w:lang w:val="en-US" w:eastAsia="zh-CN"/>
                    </w:rPr>
                    <w:t>控制指南要求</w:t>
                  </w:r>
                </w:p>
              </w:tc>
              <w:tc>
                <w:tcPr>
                  <w:tcW w:w="2425" w:type="dxa"/>
                  <w:tcBorders>
                    <w:tl2br w:val="nil"/>
                    <w:tr2bl w:val="nil"/>
                  </w:tcBorders>
                  <w:vAlign w:val="center"/>
                </w:tcPr>
                <w:p>
                  <w:pPr>
                    <w:numPr>
                      <w:ilvl w:val="0"/>
                      <w:numId w:val="0"/>
                    </w:numPr>
                    <w:bidi w:val="0"/>
                    <w:spacing w:line="240" w:lineRule="auto"/>
                    <w:jc w:val="center"/>
                    <w:rPr>
                      <w:rFonts w:hint="default" w:ascii="宋体" w:hAnsi="宋体" w:eastAsia="宋体" w:cs="宋体"/>
                      <w:b/>
                      <w:bCs/>
                      <w:color w:val="FF0000"/>
                      <w:kern w:val="0"/>
                      <w:sz w:val="21"/>
                      <w:szCs w:val="21"/>
                      <w:u w:val="single" w:color="auto"/>
                      <w:vertAlign w:val="baseline"/>
                      <w:lang w:val="en-US" w:eastAsia="zh-CN"/>
                    </w:rPr>
                  </w:pPr>
                  <w:r>
                    <w:rPr>
                      <w:rFonts w:hint="eastAsia" w:ascii="宋体" w:hAnsi="宋体" w:cs="宋体"/>
                      <w:b/>
                      <w:bCs/>
                      <w:color w:val="FF0000"/>
                      <w:kern w:val="0"/>
                      <w:sz w:val="21"/>
                      <w:szCs w:val="21"/>
                      <w:u w:val="single" w:color="auto"/>
                      <w:vertAlign w:val="baseline"/>
                      <w:lang w:val="en-US" w:eastAsia="zh-CN"/>
                    </w:rPr>
                    <w:t>本项目情况</w:t>
                  </w:r>
                </w:p>
              </w:tc>
              <w:tc>
                <w:tcPr>
                  <w:tcW w:w="707" w:type="dxa"/>
                  <w:tcBorders>
                    <w:tl2br w:val="nil"/>
                    <w:tr2bl w:val="nil"/>
                  </w:tcBorders>
                  <w:vAlign w:val="center"/>
                </w:tcPr>
                <w:p>
                  <w:pPr>
                    <w:numPr>
                      <w:ilvl w:val="0"/>
                      <w:numId w:val="0"/>
                    </w:numPr>
                    <w:bidi w:val="0"/>
                    <w:spacing w:line="240" w:lineRule="auto"/>
                    <w:jc w:val="center"/>
                    <w:rPr>
                      <w:rFonts w:hint="eastAsia" w:ascii="宋体" w:hAnsi="宋体" w:eastAsia="宋体" w:cs="宋体"/>
                      <w:b/>
                      <w:bCs/>
                      <w:color w:val="FF0000"/>
                      <w:kern w:val="0"/>
                      <w:sz w:val="21"/>
                      <w:szCs w:val="21"/>
                      <w:u w:val="single" w:color="auto"/>
                      <w:vertAlign w:val="baseline"/>
                      <w:lang w:val="en-US" w:eastAsia="zh-CN"/>
                    </w:rPr>
                  </w:pPr>
                  <w:r>
                    <w:rPr>
                      <w:rFonts w:hint="eastAsia" w:ascii="宋体" w:hAnsi="宋体" w:cs="宋体"/>
                      <w:b/>
                      <w:bCs/>
                      <w:color w:val="FF0000"/>
                      <w:kern w:val="0"/>
                      <w:sz w:val="21"/>
                      <w:szCs w:val="21"/>
                      <w:u w:val="single" w:color="auto"/>
                      <w:vertAlign w:val="baseline"/>
                      <w:lang w:val="en-US" w:eastAsia="zh-CN"/>
                    </w:rPr>
                    <w:t>是否符合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0" w:type="dxa"/>
                  <w:tcBorders>
                    <w:tl2br w:val="nil"/>
                    <w:tr2bl w:val="nil"/>
                  </w:tcBorders>
                  <w:vAlign w:val="center"/>
                </w:tcPr>
                <w:p>
                  <w:pPr>
                    <w:numPr>
                      <w:ilvl w:val="0"/>
                      <w:numId w:val="0"/>
                    </w:numPr>
                    <w:bidi w:val="0"/>
                    <w:spacing w:line="240" w:lineRule="auto"/>
                    <w:jc w:val="center"/>
                    <w:rPr>
                      <w:rFonts w:hint="eastAsia" w:ascii="宋体" w:hAnsi="宋体" w:eastAsia="宋体" w:cs="宋体"/>
                      <w:color w:val="FF0000"/>
                      <w:kern w:val="0"/>
                      <w:sz w:val="21"/>
                      <w:szCs w:val="21"/>
                      <w:u w:val="single" w:color="auto"/>
                      <w:vertAlign w:val="baseline"/>
                      <w:lang w:val="en-US" w:eastAsia="zh-CN"/>
                    </w:rPr>
                  </w:pPr>
                  <w:r>
                    <w:rPr>
                      <w:rFonts w:hint="eastAsia" w:ascii="宋体" w:hAnsi="宋体" w:cs="宋体"/>
                      <w:color w:val="FF0000"/>
                      <w:kern w:val="0"/>
                      <w:sz w:val="21"/>
                      <w:szCs w:val="21"/>
                      <w:u w:val="single" w:color="auto"/>
                      <w:vertAlign w:val="baseline"/>
                      <w:lang w:val="en-US" w:eastAsia="zh-CN"/>
                    </w:rPr>
                    <w:t>1</w:t>
                  </w:r>
                </w:p>
              </w:tc>
              <w:tc>
                <w:tcPr>
                  <w:tcW w:w="2450" w:type="dxa"/>
                  <w:tcBorders>
                    <w:tl2br w:val="nil"/>
                    <w:tr2bl w:val="nil"/>
                  </w:tcBorders>
                  <w:vAlign w:val="center"/>
                </w:tcPr>
                <w:p>
                  <w:pPr>
                    <w:adjustRightInd w:val="0"/>
                    <w:snapToGrid w:val="0"/>
                    <w:jc w:val="center"/>
                    <w:rPr>
                      <w:rFonts w:hint="default" w:ascii="宋体" w:hAnsi="宋体" w:cs="宋体"/>
                      <w:color w:val="FF0000"/>
                      <w:kern w:val="0"/>
                      <w:sz w:val="21"/>
                      <w:szCs w:val="21"/>
                      <w:u w:val="single" w:color="auto"/>
                      <w:vertAlign w:val="baseline"/>
                      <w:lang w:val="en-US"/>
                    </w:rPr>
                  </w:pPr>
                  <w:r>
                    <w:rPr>
                      <w:bCs/>
                      <w:color w:val="FF0000"/>
                      <w:sz w:val="21"/>
                      <w:szCs w:val="21"/>
                      <w:u w:val="single" w:color="auto"/>
                    </w:rPr>
                    <w:t>所有产生有机废气污染的企业，应优先采用低（无）VOCs含量的原辅材料，使用与之相配套的生产工艺和装备，从源头控制VOCs的产生；对产生VOCs的生产单元或工艺装置进行密闭，无法密闭的应设立局部气体收集系统，废气收集系统应保持负压状态，减少VOCs 的无组织逸散；减少废气排放口数量，合并同类废气的排放口</w:t>
                  </w:r>
                </w:p>
              </w:tc>
              <w:tc>
                <w:tcPr>
                  <w:tcW w:w="2425" w:type="dxa"/>
                  <w:tcBorders>
                    <w:tl2br w:val="nil"/>
                    <w:tr2bl w:val="nil"/>
                  </w:tcBorders>
                  <w:vAlign w:val="center"/>
                </w:tcPr>
                <w:p>
                  <w:pPr>
                    <w:adjustRightInd w:val="0"/>
                    <w:snapToGrid w:val="0"/>
                    <w:jc w:val="center"/>
                    <w:rPr>
                      <w:rFonts w:hint="default" w:ascii="宋体" w:hAnsi="宋体" w:cs="宋体"/>
                      <w:color w:val="FF0000"/>
                      <w:kern w:val="0"/>
                      <w:sz w:val="21"/>
                      <w:szCs w:val="21"/>
                      <w:u w:val="single" w:color="auto"/>
                      <w:vertAlign w:val="baseline"/>
                      <w:lang w:val="en-US"/>
                    </w:rPr>
                  </w:pPr>
                  <w:r>
                    <w:rPr>
                      <w:bCs/>
                      <w:color w:val="FF0000"/>
                      <w:sz w:val="21"/>
                      <w:szCs w:val="21"/>
                      <w:u w:val="single" w:color="auto"/>
                    </w:rPr>
                    <w:t>项目采用低VOCs含量的原辅材料，使用了与之相配套的生产工艺和装备，从源头控制VOCs的产生；</w:t>
                  </w:r>
                  <w:r>
                    <w:rPr>
                      <w:color w:val="FF0000"/>
                      <w:sz w:val="21"/>
                      <w:szCs w:val="21"/>
                      <w:u w:val="single" w:color="auto"/>
                    </w:rPr>
                    <w:t>项目</w:t>
                  </w:r>
                  <w:r>
                    <w:rPr>
                      <w:rFonts w:hint="eastAsia"/>
                      <w:color w:val="FF0000"/>
                      <w:sz w:val="21"/>
                      <w:szCs w:val="21"/>
                      <w:u w:val="single" w:color="auto"/>
                      <w:lang w:val="en-US" w:eastAsia="zh-CN"/>
                    </w:rPr>
                    <w:t>熔融成型过程均在密闭设备内进行</w:t>
                  </w:r>
                  <w:r>
                    <w:rPr>
                      <w:color w:val="FF0000"/>
                      <w:sz w:val="21"/>
                      <w:szCs w:val="21"/>
                      <w:u w:val="single" w:color="auto"/>
                    </w:rPr>
                    <w:t>，</w:t>
                  </w:r>
                  <w:r>
                    <w:rPr>
                      <w:rFonts w:hint="eastAsia"/>
                      <w:color w:val="FF0000"/>
                      <w:sz w:val="21"/>
                      <w:szCs w:val="21"/>
                      <w:u w:val="single" w:color="auto"/>
                    </w:rPr>
                    <w:t>废气</w:t>
                  </w:r>
                  <w:r>
                    <w:rPr>
                      <w:rFonts w:hint="eastAsia"/>
                      <w:color w:val="FF0000"/>
                      <w:sz w:val="21"/>
                      <w:szCs w:val="21"/>
                      <w:u w:val="single" w:color="auto"/>
                      <w:lang w:val="en-US" w:eastAsia="zh-CN"/>
                    </w:rPr>
                    <w:t>由集气管道收集后统一由“UV光解催化氧化+活性炭”处理再经过15m高排气筒排放。</w:t>
                  </w:r>
                  <w:r>
                    <w:rPr>
                      <w:bCs/>
                      <w:color w:val="FF0000"/>
                      <w:sz w:val="21"/>
                      <w:szCs w:val="21"/>
                      <w:u w:val="single" w:color="auto"/>
                    </w:rPr>
                    <w:t>废气可以达标排放</w:t>
                  </w:r>
                </w:p>
              </w:tc>
              <w:tc>
                <w:tcPr>
                  <w:tcW w:w="707" w:type="dxa"/>
                  <w:tcBorders>
                    <w:tl2br w:val="nil"/>
                    <w:tr2bl w:val="nil"/>
                  </w:tcBorders>
                  <w:vAlign w:val="center"/>
                </w:tcPr>
                <w:p>
                  <w:pPr>
                    <w:numPr>
                      <w:ilvl w:val="0"/>
                      <w:numId w:val="0"/>
                    </w:numPr>
                    <w:bidi w:val="0"/>
                    <w:spacing w:line="240" w:lineRule="auto"/>
                    <w:jc w:val="center"/>
                    <w:rPr>
                      <w:rFonts w:hint="eastAsia" w:ascii="宋体" w:hAnsi="宋体" w:eastAsia="宋体" w:cs="宋体"/>
                      <w:color w:val="FF0000"/>
                      <w:kern w:val="0"/>
                      <w:sz w:val="21"/>
                      <w:szCs w:val="21"/>
                      <w:u w:val="single" w:color="auto"/>
                      <w:vertAlign w:val="baseline"/>
                      <w:lang w:val="en-US" w:eastAsia="zh-CN"/>
                    </w:rPr>
                  </w:pPr>
                  <w:r>
                    <w:rPr>
                      <w:rFonts w:hint="eastAsia" w:ascii="宋体" w:hAnsi="宋体" w:cs="宋体"/>
                      <w:color w:val="FF0000"/>
                      <w:kern w:val="0"/>
                      <w:sz w:val="21"/>
                      <w:szCs w:val="21"/>
                      <w:u w:val="single" w:color="auto"/>
                      <w:vertAlign w:val="baseli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0" w:type="dxa"/>
                  <w:tcBorders>
                    <w:tl2br w:val="nil"/>
                    <w:tr2bl w:val="nil"/>
                  </w:tcBorders>
                  <w:vAlign w:val="center"/>
                </w:tcPr>
                <w:p>
                  <w:pPr>
                    <w:numPr>
                      <w:ilvl w:val="0"/>
                      <w:numId w:val="0"/>
                    </w:numPr>
                    <w:bidi w:val="0"/>
                    <w:spacing w:line="240" w:lineRule="auto"/>
                    <w:jc w:val="center"/>
                    <w:rPr>
                      <w:rFonts w:hint="eastAsia" w:ascii="宋体" w:hAnsi="宋体" w:eastAsia="宋体" w:cs="宋体"/>
                      <w:color w:val="FF0000"/>
                      <w:kern w:val="0"/>
                      <w:sz w:val="21"/>
                      <w:szCs w:val="21"/>
                      <w:u w:val="single" w:color="auto"/>
                      <w:vertAlign w:val="baseline"/>
                      <w:lang w:val="en-US" w:eastAsia="zh-CN"/>
                    </w:rPr>
                  </w:pPr>
                  <w:r>
                    <w:rPr>
                      <w:rFonts w:hint="eastAsia" w:ascii="宋体" w:hAnsi="宋体" w:cs="宋体"/>
                      <w:color w:val="FF0000"/>
                      <w:kern w:val="0"/>
                      <w:sz w:val="21"/>
                      <w:szCs w:val="21"/>
                      <w:u w:val="single" w:color="auto"/>
                      <w:vertAlign w:val="baseline"/>
                      <w:lang w:val="en-US" w:eastAsia="zh-CN"/>
                    </w:rPr>
                    <w:t>2</w:t>
                  </w:r>
                </w:p>
              </w:tc>
              <w:tc>
                <w:tcPr>
                  <w:tcW w:w="2450" w:type="dxa"/>
                  <w:tcBorders>
                    <w:tl2br w:val="nil"/>
                    <w:tr2bl w:val="nil"/>
                  </w:tcBorders>
                  <w:vAlign w:val="center"/>
                </w:tcPr>
                <w:p>
                  <w:pPr>
                    <w:adjustRightInd w:val="0"/>
                    <w:snapToGrid w:val="0"/>
                    <w:jc w:val="center"/>
                    <w:rPr>
                      <w:rFonts w:hint="default" w:ascii="宋体" w:hAnsi="宋体" w:cs="宋体"/>
                      <w:color w:val="FF0000"/>
                      <w:kern w:val="0"/>
                      <w:sz w:val="21"/>
                      <w:szCs w:val="21"/>
                      <w:u w:val="single" w:color="auto"/>
                      <w:vertAlign w:val="baseline"/>
                      <w:lang w:val="en-US"/>
                    </w:rPr>
                  </w:pPr>
                  <w:r>
                    <w:rPr>
                      <w:bCs/>
                      <w:color w:val="FF0000"/>
                      <w:sz w:val="21"/>
                      <w:szCs w:val="21"/>
                      <w:u w:val="single" w:color="auto"/>
                    </w:rPr>
                    <w:t>VOCs总削减率需满足管理要求，其中有机化工、医药化工、橡胶和塑料制品（有溶剂浸胶工艺）、溶剂型涂料表面涂装、包装印刷的净化处理率原则上不得低于90%，其他行业原则上不低于75%</w:t>
                  </w:r>
                </w:p>
              </w:tc>
              <w:tc>
                <w:tcPr>
                  <w:tcW w:w="2425" w:type="dxa"/>
                  <w:tcBorders>
                    <w:tl2br w:val="nil"/>
                    <w:tr2bl w:val="nil"/>
                  </w:tcBorders>
                  <w:vAlign w:val="center"/>
                </w:tcPr>
                <w:p>
                  <w:pPr>
                    <w:adjustRightInd w:val="0"/>
                    <w:snapToGrid w:val="0"/>
                    <w:jc w:val="center"/>
                    <w:rPr>
                      <w:rFonts w:hint="default" w:ascii="宋体" w:hAnsi="宋体" w:cs="宋体"/>
                      <w:color w:val="FF0000"/>
                      <w:kern w:val="0"/>
                      <w:sz w:val="21"/>
                      <w:szCs w:val="21"/>
                      <w:u w:val="single" w:color="auto"/>
                      <w:vertAlign w:val="baseline"/>
                      <w:lang w:val="en-US"/>
                    </w:rPr>
                  </w:pPr>
                  <w:r>
                    <w:rPr>
                      <w:bCs/>
                      <w:color w:val="FF0000"/>
                      <w:sz w:val="21"/>
                      <w:szCs w:val="21"/>
                      <w:u w:val="single" w:color="auto"/>
                    </w:rPr>
                    <w:t>本项目属于</w:t>
                  </w:r>
                  <w:r>
                    <w:rPr>
                      <w:rFonts w:hint="eastAsia"/>
                      <w:bCs/>
                      <w:color w:val="FF0000"/>
                      <w:sz w:val="21"/>
                      <w:szCs w:val="21"/>
                      <w:u w:val="single" w:color="auto"/>
                      <w:lang w:val="en-US" w:eastAsia="zh-CN"/>
                    </w:rPr>
                    <w:t>橡胶和塑料制品（无溶剂</w:t>
                  </w:r>
                  <w:r>
                    <w:rPr>
                      <w:bCs/>
                      <w:color w:val="FF0000"/>
                      <w:sz w:val="21"/>
                      <w:szCs w:val="21"/>
                      <w:u w:val="single" w:color="auto"/>
                    </w:rPr>
                    <w:t>浸胶工艺</w:t>
                  </w:r>
                  <w:r>
                    <w:rPr>
                      <w:rFonts w:hint="eastAsia"/>
                      <w:bCs/>
                      <w:color w:val="FF0000"/>
                      <w:sz w:val="21"/>
                      <w:szCs w:val="21"/>
                      <w:u w:val="single" w:color="auto"/>
                      <w:lang w:val="en-US" w:eastAsia="zh-CN"/>
                    </w:rPr>
                    <w:t>）；处理效率不低于75%</w:t>
                  </w:r>
                </w:p>
              </w:tc>
              <w:tc>
                <w:tcPr>
                  <w:tcW w:w="707" w:type="dxa"/>
                  <w:tcBorders>
                    <w:tl2br w:val="nil"/>
                    <w:tr2bl w:val="nil"/>
                  </w:tcBorders>
                  <w:vAlign w:val="center"/>
                </w:tcPr>
                <w:p>
                  <w:pPr>
                    <w:numPr>
                      <w:ilvl w:val="0"/>
                      <w:numId w:val="0"/>
                    </w:numPr>
                    <w:bidi w:val="0"/>
                    <w:spacing w:line="240" w:lineRule="auto"/>
                    <w:jc w:val="center"/>
                    <w:rPr>
                      <w:rFonts w:hint="eastAsia" w:ascii="宋体" w:hAnsi="宋体" w:eastAsia="宋体" w:cs="宋体"/>
                      <w:color w:val="FF0000"/>
                      <w:kern w:val="0"/>
                      <w:sz w:val="21"/>
                      <w:szCs w:val="21"/>
                      <w:u w:val="single" w:color="auto"/>
                      <w:vertAlign w:val="baseline"/>
                      <w:lang w:val="en-US" w:eastAsia="zh-CN"/>
                    </w:rPr>
                  </w:pPr>
                  <w:r>
                    <w:rPr>
                      <w:rFonts w:hint="eastAsia" w:ascii="宋体" w:hAnsi="宋体" w:cs="宋体"/>
                      <w:color w:val="FF0000"/>
                      <w:kern w:val="0"/>
                      <w:sz w:val="21"/>
                      <w:szCs w:val="21"/>
                      <w:u w:val="single" w:color="auto"/>
                      <w:vertAlign w:val="baseline"/>
                      <w:lang w:val="en-US" w:eastAsia="zh-CN"/>
                    </w:rPr>
                    <w:t>符合</w:t>
                  </w:r>
                </w:p>
              </w:tc>
            </w:tr>
          </w:tbl>
          <w:p>
            <w:pPr>
              <w:bidi w:val="0"/>
              <w:spacing w:line="360" w:lineRule="auto"/>
              <w:ind w:firstLine="480" w:firstLineChars="200"/>
              <w:rPr>
                <w:color w:val="FF0000"/>
                <w:sz w:val="24"/>
                <w:szCs w:val="24"/>
                <w:u w:val="single" w:color="auto"/>
              </w:rPr>
            </w:pPr>
            <w:r>
              <w:rPr>
                <w:color w:val="FF0000"/>
                <w:sz w:val="24"/>
                <w:szCs w:val="24"/>
                <w:u w:val="single" w:color="auto"/>
              </w:rPr>
              <w:t>由上表可知，本项目建设与《湖南省重点行业挥发性有机物污染控制指南（征求意见稿）》要求相符。</w:t>
            </w:r>
          </w:p>
          <w:p>
            <w:pPr>
              <w:numPr>
                <w:ilvl w:val="0"/>
                <w:numId w:val="0"/>
              </w:numPr>
              <w:bidi w:val="0"/>
              <w:spacing w:line="360" w:lineRule="auto"/>
              <w:rPr>
                <w:rFonts w:hint="eastAsia" w:ascii="Times New Roman" w:hAnsi="Times New Roman" w:eastAsia="宋体" w:cs="Times New Roman"/>
                <w:b/>
                <w:bCs/>
                <w:color w:val="FF0000"/>
                <w:sz w:val="24"/>
                <w:szCs w:val="24"/>
                <w:u w:val="single" w:color="auto"/>
                <w:lang w:val="en-US" w:eastAsia="zh-CN"/>
              </w:rPr>
            </w:pPr>
            <w:r>
              <w:rPr>
                <w:rFonts w:hint="eastAsia" w:cs="Times New Roman"/>
                <w:b/>
                <w:bCs/>
                <w:color w:val="FF0000"/>
                <w:sz w:val="24"/>
                <w:szCs w:val="24"/>
                <w:u w:val="single" w:color="auto"/>
                <w:lang w:val="en-US" w:eastAsia="zh-CN"/>
              </w:rPr>
              <w:t>3</w:t>
            </w:r>
            <w:r>
              <w:rPr>
                <w:rFonts w:hint="eastAsia" w:ascii="Times New Roman" w:hAnsi="Times New Roman" w:eastAsia="宋体" w:cs="Times New Roman"/>
                <w:b/>
                <w:bCs/>
                <w:color w:val="FF0000"/>
                <w:sz w:val="24"/>
                <w:szCs w:val="24"/>
                <w:u w:val="single" w:color="auto"/>
                <w:lang w:val="en-US" w:eastAsia="zh-CN"/>
              </w:rPr>
              <w:t>、与《湖南省“蓝天保卫战”实施方案（2018-2020年）》的符合性分析</w:t>
            </w:r>
          </w:p>
          <w:p>
            <w:pPr>
              <w:bidi w:val="0"/>
              <w:jc w:val="center"/>
              <w:rPr>
                <w:b/>
                <w:bCs/>
                <w:color w:val="FF0000"/>
                <w:sz w:val="24"/>
                <w:szCs w:val="24"/>
                <w:u w:val="single" w:color="auto"/>
              </w:rPr>
            </w:pPr>
            <w:r>
              <w:rPr>
                <w:b/>
                <w:bCs/>
                <w:color w:val="FF0000"/>
                <w:sz w:val="24"/>
                <w:szCs w:val="24"/>
                <w:u w:val="single" w:color="auto"/>
              </w:rPr>
              <w:t>表1-3 与《湖南省“蓝天保卫战”实施方案（2018-2020年）》相符性分析</w:t>
            </w:r>
          </w:p>
          <w:tbl>
            <w:tblPr>
              <w:tblStyle w:val="14"/>
              <w:tblW w:w="0" w:type="auto"/>
              <w:tblInd w:w="-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58"/>
              <w:gridCol w:w="2518"/>
              <w:gridCol w:w="3038"/>
              <w:gridCol w:w="45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tcBorders>
                    <w:tl2br w:val="nil"/>
                    <w:tr2bl w:val="nil"/>
                  </w:tcBorders>
                  <w:noWrap w:val="0"/>
                  <w:vAlign w:val="center"/>
                </w:tcPr>
                <w:p>
                  <w:pPr>
                    <w:bidi w:val="0"/>
                    <w:jc w:val="center"/>
                    <w:rPr>
                      <w:b/>
                      <w:bCs/>
                      <w:color w:val="FF0000"/>
                      <w:sz w:val="21"/>
                      <w:szCs w:val="21"/>
                      <w:u w:val="single" w:color="auto"/>
                    </w:rPr>
                  </w:pPr>
                  <w:r>
                    <w:rPr>
                      <w:b/>
                      <w:bCs/>
                      <w:color w:val="FF0000"/>
                      <w:sz w:val="21"/>
                      <w:szCs w:val="21"/>
                      <w:u w:val="single" w:color="auto"/>
                    </w:rPr>
                    <w:t>序号</w:t>
                  </w:r>
                </w:p>
              </w:tc>
              <w:tc>
                <w:tcPr>
                  <w:tcW w:w="0" w:type="auto"/>
                  <w:tcBorders>
                    <w:tl2br w:val="nil"/>
                    <w:tr2bl w:val="nil"/>
                  </w:tcBorders>
                  <w:noWrap w:val="0"/>
                  <w:vAlign w:val="center"/>
                </w:tcPr>
                <w:p>
                  <w:pPr>
                    <w:bidi w:val="0"/>
                    <w:jc w:val="center"/>
                    <w:rPr>
                      <w:b/>
                      <w:bCs/>
                      <w:color w:val="FF0000"/>
                      <w:sz w:val="21"/>
                      <w:szCs w:val="21"/>
                      <w:u w:val="single" w:color="auto"/>
                    </w:rPr>
                  </w:pPr>
                  <w:r>
                    <w:rPr>
                      <w:b/>
                      <w:bCs/>
                      <w:color w:val="FF0000"/>
                      <w:sz w:val="21"/>
                      <w:szCs w:val="21"/>
                      <w:u w:val="single" w:color="auto"/>
                    </w:rPr>
                    <w:t>方案要求</w:t>
                  </w:r>
                </w:p>
              </w:tc>
              <w:tc>
                <w:tcPr>
                  <w:tcW w:w="0" w:type="auto"/>
                  <w:tcBorders>
                    <w:tl2br w:val="nil"/>
                    <w:tr2bl w:val="nil"/>
                  </w:tcBorders>
                  <w:noWrap w:val="0"/>
                  <w:vAlign w:val="center"/>
                </w:tcPr>
                <w:p>
                  <w:pPr>
                    <w:bidi w:val="0"/>
                    <w:jc w:val="center"/>
                    <w:rPr>
                      <w:b/>
                      <w:bCs/>
                      <w:color w:val="FF0000"/>
                      <w:sz w:val="21"/>
                      <w:szCs w:val="21"/>
                      <w:u w:val="single" w:color="auto"/>
                    </w:rPr>
                  </w:pPr>
                  <w:r>
                    <w:rPr>
                      <w:b/>
                      <w:bCs/>
                      <w:color w:val="FF0000"/>
                      <w:sz w:val="21"/>
                      <w:szCs w:val="21"/>
                      <w:u w:val="single" w:color="auto"/>
                    </w:rPr>
                    <w:t>本项目情况</w:t>
                  </w:r>
                </w:p>
              </w:tc>
              <w:tc>
                <w:tcPr>
                  <w:tcW w:w="0" w:type="auto"/>
                  <w:tcBorders>
                    <w:tl2br w:val="nil"/>
                    <w:tr2bl w:val="nil"/>
                  </w:tcBorders>
                  <w:noWrap w:val="0"/>
                  <w:vAlign w:val="center"/>
                </w:tcPr>
                <w:p>
                  <w:pPr>
                    <w:bidi w:val="0"/>
                    <w:jc w:val="center"/>
                    <w:rPr>
                      <w:b/>
                      <w:bCs/>
                      <w:color w:val="FF0000"/>
                      <w:sz w:val="21"/>
                      <w:szCs w:val="21"/>
                      <w:u w:val="single" w:color="auto"/>
                    </w:rPr>
                  </w:pPr>
                  <w:r>
                    <w:rPr>
                      <w:b/>
                      <w:bCs/>
                      <w:color w:val="FF0000"/>
                      <w:sz w:val="21"/>
                      <w:szCs w:val="21"/>
                      <w:u w:val="single" w:color="auto"/>
                    </w:rPr>
                    <w:t>是否</w:t>
                  </w:r>
                </w:p>
                <w:p>
                  <w:pPr>
                    <w:bidi w:val="0"/>
                    <w:jc w:val="center"/>
                    <w:rPr>
                      <w:b/>
                      <w:bCs/>
                      <w:color w:val="FF0000"/>
                      <w:sz w:val="21"/>
                      <w:szCs w:val="21"/>
                      <w:u w:val="single" w:color="auto"/>
                    </w:rPr>
                  </w:pPr>
                  <w:r>
                    <w:rPr>
                      <w:b/>
                      <w:bCs/>
                      <w:color w:val="FF0000"/>
                      <w:sz w:val="21"/>
                      <w:szCs w:val="21"/>
                      <w:u w:val="singl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1</w:t>
                  </w:r>
                </w:p>
              </w:tc>
              <w:tc>
                <w:tcPr>
                  <w:tcW w:w="0" w:type="auto"/>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全面推进工业VOCs综合治理。严格环境准入，严禁新建石化、有机化工、包装印刷、工业涂装等高VOCs排放建设项目</w:t>
                  </w:r>
                </w:p>
              </w:tc>
              <w:tc>
                <w:tcPr>
                  <w:tcW w:w="0" w:type="auto"/>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本项目为</w:t>
                  </w:r>
                  <w:r>
                    <w:rPr>
                      <w:rFonts w:hint="eastAsia"/>
                      <w:bCs/>
                      <w:color w:val="FF0000"/>
                      <w:sz w:val="21"/>
                      <w:szCs w:val="21"/>
                      <w:u w:val="single" w:color="auto"/>
                      <w:lang w:val="en-US" w:eastAsia="zh-CN"/>
                    </w:rPr>
                    <w:t>橡胶和塑料制品</w:t>
                  </w:r>
                  <w:r>
                    <w:rPr>
                      <w:bCs/>
                      <w:color w:val="FF0000"/>
                      <w:sz w:val="21"/>
                      <w:szCs w:val="21"/>
                      <w:u w:val="single" w:color="auto"/>
                    </w:rPr>
                    <w:t>项目</w:t>
                  </w:r>
                  <w:r>
                    <w:rPr>
                      <w:color w:val="FF0000"/>
                      <w:sz w:val="21"/>
                      <w:szCs w:val="21"/>
                      <w:u w:val="single" w:color="auto"/>
                    </w:rPr>
                    <w:t>，项目</w:t>
                  </w:r>
                  <w:r>
                    <w:rPr>
                      <w:rFonts w:hint="eastAsia"/>
                      <w:color w:val="FF0000"/>
                      <w:sz w:val="21"/>
                      <w:szCs w:val="21"/>
                      <w:u w:val="single" w:color="auto"/>
                      <w:lang w:val="en-US" w:eastAsia="zh-CN"/>
                    </w:rPr>
                    <w:t>熔融成型过程均在密闭设备内进行</w:t>
                  </w:r>
                  <w:r>
                    <w:rPr>
                      <w:color w:val="FF0000"/>
                      <w:sz w:val="21"/>
                      <w:szCs w:val="21"/>
                      <w:u w:val="single" w:color="auto"/>
                    </w:rPr>
                    <w:t>，</w:t>
                  </w:r>
                  <w:r>
                    <w:rPr>
                      <w:rFonts w:hint="eastAsia"/>
                      <w:color w:val="FF0000"/>
                      <w:sz w:val="21"/>
                      <w:szCs w:val="21"/>
                      <w:u w:val="single" w:color="auto"/>
                      <w:lang w:val="en-US" w:eastAsia="zh-CN"/>
                    </w:rPr>
                    <w:t>挥发性有机物</w:t>
                  </w:r>
                  <w:r>
                    <w:rPr>
                      <w:color w:val="FF0000"/>
                      <w:sz w:val="21"/>
                      <w:szCs w:val="21"/>
                      <w:u w:val="single" w:color="auto"/>
                    </w:rPr>
                    <w:t>在采取对应的环保措施后可实现达标排放。项目不属于高</w:t>
                  </w:r>
                  <w:r>
                    <w:rPr>
                      <w:rFonts w:hint="eastAsia"/>
                      <w:color w:val="FF0000"/>
                      <w:sz w:val="21"/>
                      <w:szCs w:val="21"/>
                      <w:u w:val="single" w:color="auto"/>
                      <w:lang w:val="en-US" w:eastAsia="zh-CN"/>
                    </w:rPr>
                    <w:t>挥发性有机物</w:t>
                  </w:r>
                  <w:r>
                    <w:rPr>
                      <w:color w:val="FF0000"/>
                      <w:sz w:val="21"/>
                      <w:szCs w:val="21"/>
                      <w:u w:val="single" w:color="auto"/>
                    </w:rPr>
                    <w:t>排放的工业企业</w:t>
                  </w:r>
                </w:p>
              </w:tc>
              <w:tc>
                <w:tcPr>
                  <w:tcW w:w="0" w:type="auto"/>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2</w:t>
                  </w:r>
                </w:p>
              </w:tc>
              <w:tc>
                <w:tcPr>
                  <w:tcW w:w="0" w:type="auto"/>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强化源头管控，2018 年交通运输设备制造、汽车制造、工程机械制造和家具制造行业全面实施油性漆改水性漆，减少 VOCS 产生量</w:t>
                  </w:r>
                </w:p>
              </w:tc>
              <w:tc>
                <w:tcPr>
                  <w:tcW w:w="0" w:type="auto"/>
                  <w:tcBorders>
                    <w:tl2br w:val="nil"/>
                    <w:tr2bl w:val="nil"/>
                  </w:tcBorders>
                  <w:noWrap w:val="0"/>
                  <w:vAlign w:val="center"/>
                </w:tcPr>
                <w:p>
                  <w:pPr>
                    <w:bidi w:val="0"/>
                    <w:jc w:val="center"/>
                    <w:rPr>
                      <w:rFonts w:hint="default"/>
                      <w:color w:val="FF0000"/>
                      <w:sz w:val="21"/>
                      <w:szCs w:val="21"/>
                      <w:u w:val="single" w:color="auto"/>
                      <w:lang w:val="en-US"/>
                    </w:rPr>
                  </w:pPr>
                  <w:r>
                    <w:rPr>
                      <w:color w:val="FF0000"/>
                      <w:sz w:val="21"/>
                      <w:szCs w:val="21"/>
                      <w:u w:val="single" w:color="auto"/>
                    </w:rPr>
                    <w:t>项目</w:t>
                  </w:r>
                  <w:r>
                    <w:rPr>
                      <w:rFonts w:hint="eastAsia"/>
                      <w:color w:val="FF0000"/>
                      <w:sz w:val="21"/>
                      <w:szCs w:val="21"/>
                      <w:u w:val="single" w:color="auto"/>
                      <w:lang w:val="en-US" w:eastAsia="zh-CN"/>
                    </w:rPr>
                    <w:t>不</w:t>
                  </w:r>
                  <w:r>
                    <w:rPr>
                      <w:color w:val="FF0000"/>
                      <w:sz w:val="21"/>
                      <w:szCs w:val="21"/>
                      <w:u w:val="single" w:color="auto"/>
                    </w:rPr>
                    <w:t>使用</w:t>
                  </w:r>
                  <w:r>
                    <w:rPr>
                      <w:rFonts w:hint="eastAsia"/>
                      <w:color w:val="FF0000"/>
                      <w:sz w:val="21"/>
                      <w:szCs w:val="21"/>
                      <w:u w:val="single" w:color="auto"/>
                      <w:lang w:val="en-US" w:eastAsia="zh-CN"/>
                    </w:rPr>
                    <w:t>油漆，不涉及喷涂工艺</w:t>
                  </w:r>
                </w:p>
              </w:tc>
              <w:tc>
                <w:tcPr>
                  <w:tcW w:w="0" w:type="auto"/>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3</w:t>
                  </w:r>
                </w:p>
              </w:tc>
              <w:tc>
                <w:tcPr>
                  <w:tcW w:w="0" w:type="auto"/>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强化末端治理，加快推进有机化工、工业涂装、包装印刷、沥青搅拌等行业企业VOCs治理，确保达标排放</w:t>
                  </w:r>
                </w:p>
              </w:tc>
              <w:tc>
                <w:tcPr>
                  <w:tcW w:w="0" w:type="auto"/>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项目</w:t>
                  </w:r>
                  <w:r>
                    <w:rPr>
                      <w:rFonts w:hint="eastAsia"/>
                      <w:color w:val="FF0000"/>
                      <w:sz w:val="21"/>
                      <w:szCs w:val="21"/>
                      <w:u w:val="single" w:color="auto"/>
                      <w:lang w:val="en-US" w:eastAsia="zh-CN"/>
                    </w:rPr>
                    <w:t>挥发性有机物</w:t>
                  </w:r>
                  <w:r>
                    <w:rPr>
                      <w:color w:val="FF0000"/>
                      <w:sz w:val="21"/>
                      <w:szCs w:val="21"/>
                      <w:u w:val="single" w:color="auto"/>
                    </w:rPr>
                    <w:t>经</w:t>
                  </w:r>
                  <w:r>
                    <w:rPr>
                      <w:rFonts w:hint="eastAsia"/>
                      <w:color w:val="FF0000"/>
                      <w:sz w:val="21"/>
                      <w:szCs w:val="21"/>
                      <w:u w:val="single" w:color="auto"/>
                      <w:lang w:eastAsia="zh-CN"/>
                    </w:rPr>
                    <w:t>“UV光解催化氧化+活性炭”</w:t>
                  </w:r>
                  <w:r>
                    <w:rPr>
                      <w:color w:val="FF0000"/>
                      <w:sz w:val="21"/>
                      <w:szCs w:val="21"/>
                      <w:u w:val="single" w:color="auto"/>
                    </w:rPr>
                    <w:t>吸附处理，可确保达标排放</w:t>
                  </w:r>
                </w:p>
              </w:tc>
              <w:tc>
                <w:tcPr>
                  <w:tcW w:w="0" w:type="auto"/>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符合</w:t>
                  </w:r>
                </w:p>
              </w:tc>
            </w:tr>
          </w:tbl>
          <w:p>
            <w:pPr>
              <w:bidi w:val="0"/>
              <w:spacing w:line="360" w:lineRule="auto"/>
              <w:ind w:firstLine="480" w:firstLineChars="200"/>
              <w:rPr>
                <w:color w:val="FF0000"/>
                <w:sz w:val="24"/>
                <w:szCs w:val="24"/>
                <w:u w:val="single" w:color="auto"/>
                <w:lang w:val="en-US" w:eastAsia="zh-CN"/>
              </w:rPr>
            </w:pPr>
            <w:r>
              <w:rPr>
                <w:color w:val="FF0000"/>
                <w:sz w:val="24"/>
                <w:szCs w:val="24"/>
                <w:u w:val="single" w:color="auto"/>
                <w:lang w:val="en-US" w:eastAsia="zh-CN"/>
              </w:rPr>
              <w:t>由上表可知，本项目建设与《湖南省“蓝天保卫战”实施方案（2018-2020年）》要求相符。</w:t>
            </w:r>
          </w:p>
          <w:p>
            <w:pPr>
              <w:bidi w:val="0"/>
              <w:spacing w:line="360" w:lineRule="auto"/>
              <w:rPr>
                <w:rFonts w:hint="eastAsia"/>
                <w:b/>
                <w:bCs/>
                <w:color w:val="FF0000"/>
                <w:sz w:val="24"/>
                <w:szCs w:val="24"/>
                <w:u w:val="single" w:color="auto"/>
              </w:rPr>
            </w:pPr>
            <w:r>
              <w:rPr>
                <w:rFonts w:hint="eastAsia"/>
                <w:b/>
                <w:bCs/>
                <w:color w:val="FF0000"/>
                <w:sz w:val="24"/>
                <w:szCs w:val="24"/>
                <w:u w:val="single" w:color="auto"/>
                <w:lang w:val="en-US" w:eastAsia="zh-CN"/>
              </w:rPr>
              <w:t>4</w:t>
            </w:r>
            <w:r>
              <w:rPr>
                <w:b/>
                <w:bCs/>
                <w:color w:val="FF0000"/>
                <w:sz w:val="24"/>
                <w:szCs w:val="24"/>
                <w:u w:val="single" w:color="auto"/>
              </w:rPr>
              <w:t>、与《挥发性有机物无组织排放控制标准》（GB37822-2019）的符合性分析</w:t>
            </w:r>
          </w:p>
          <w:p>
            <w:pPr>
              <w:bidi w:val="0"/>
              <w:jc w:val="center"/>
              <w:rPr>
                <w:color w:val="FF0000"/>
                <w:sz w:val="24"/>
                <w:szCs w:val="24"/>
                <w:u w:val="single" w:color="auto"/>
              </w:rPr>
            </w:pPr>
            <w:r>
              <w:rPr>
                <w:b/>
                <w:bCs/>
                <w:color w:val="FF0000"/>
                <w:sz w:val="24"/>
                <w:szCs w:val="24"/>
                <w:u w:val="single" w:color="auto"/>
              </w:rPr>
              <w:t xml:space="preserve">表1-4 </w:t>
            </w:r>
            <w:r>
              <w:rPr>
                <w:rFonts w:hint="eastAsia"/>
                <w:b/>
                <w:bCs/>
                <w:color w:val="FF0000"/>
                <w:sz w:val="24"/>
                <w:szCs w:val="24"/>
                <w:u w:val="single" w:color="auto"/>
                <w:lang w:val="en-US" w:eastAsia="zh-CN"/>
              </w:rPr>
              <w:t xml:space="preserve"> </w:t>
            </w:r>
            <w:r>
              <w:rPr>
                <w:b/>
                <w:bCs/>
                <w:color w:val="FF0000"/>
                <w:sz w:val="24"/>
                <w:szCs w:val="24"/>
                <w:u w:val="single" w:color="auto"/>
              </w:rPr>
              <w:t>与（GB37822-2019）相符性分析</w:t>
            </w:r>
          </w:p>
          <w:tbl>
            <w:tblPr>
              <w:tblStyle w:val="14"/>
              <w:tblW w:w="0" w:type="auto"/>
              <w:tblInd w:w="-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42"/>
              <w:gridCol w:w="2677"/>
              <w:gridCol w:w="1625"/>
              <w:gridCol w:w="6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rPr>
              <w:tc>
                <w:tcPr>
                  <w:tcW w:w="1545" w:type="dxa"/>
                  <w:tcBorders>
                    <w:tl2br w:val="nil"/>
                    <w:tr2bl w:val="nil"/>
                  </w:tcBorders>
                  <w:noWrap w:val="0"/>
                  <w:vAlign w:val="center"/>
                </w:tcPr>
                <w:p>
                  <w:pPr>
                    <w:bidi w:val="0"/>
                    <w:jc w:val="center"/>
                    <w:rPr>
                      <w:b/>
                      <w:bCs/>
                      <w:color w:val="FF0000"/>
                      <w:sz w:val="21"/>
                      <w:szCs w:val="21"/>
                      <w:u w:val="single" w:color="auto"/>
                    </w:rPr>
                  </w:pPr>
                  <w:r>
                    <w:rPr>
                      <w:b/>
                      <w:bCs/>
                      <w:color w:val="FF0000"/>
                      <w:sz w:val="21"/>
                      <w:szCs w:val="21"/>
                      <w:u w:val="single" w:color="auto"/>
                    </w:rPr>
                    <w:t>基本原则</w:t>
                  </w:r>
                </w:p>
              </w:tc>
              <w:tc>
                <w:tcPr>
                  <w:tcW w:w="2680" w:type="dxa"/>
                  <w:tcBorders>
                    <w:tl2br w:val="nil"/>
                    <w:tr2bl w:val="nil"/>
                  </w:tcBorders>
                  <w:noWrap w:val="0"/>
                  <w:vAlign w:val="center"/>
                </w:tcPr>
                <w:p>
                  <w:pPr>
                    <w:bidi w:val="0"/>
                    <w:jc w:val="center"/>
                    <w:rPr>
                      <w:b/>
                      <w:bCs/>
                      <w:color w:val="FF0000"/>
                      <w:sz w:val="21"/>
                      <w:szCs w:val="21"/>
                      <w:u w:val="single" w:color="auto"/>
                    </w:rPr>
                  </w:pPr>
                  <w:r>
                    <w:rPr>
                      <w:b/>
                      <w:bCs/>
                      <w:color w:val="FF0000"/>
                      <w:sz w:val="21"/>
                      <w:szCs w:val="21"/>
                      <w:u w:val="single" w:color="auto"/>
                    </w:rPr>
                    <w:t>（GB37822-2019）具体规定</w:t>
                  </w:r>
                </w:p>
              </w:tc>
              <w:tc>
                <w:tcPr>
                  <w:tcW w:w="1628" w:type="dxa"/>
                  <w:tcBorders>
                    <w:tl2br w:val="nil"/>
                    <w:tr2bl w:val="nil"/>
                  </w:tcBorders>
                  <w:noWrap w:val="0"/>
                  <w:vAlign w:val="center"/>
                </w:tcPr>
                <w:p>
                  <w:pPr>
                    <w:bidi w:val="0"/>
                    <w:jc w:val="center"/>
                    <w:rPr>
                      <w:b/>
                      <w:bCs/>
                      <w:color w:val="FF0000"/>
                      <w:sz w:val="21"/>
                      <w:szCs w:val="21"/>
                      <w:u w:val="single" w:color="auto"/>
                    </w:rPr>
                  </w:pPr>
                  <w:r>
                    <w:rPr>
                      <w:b/>
                      <w:bCs/>
                      <w:color w:val="FF0000"/>
                      <w:sz w:val="21"/>
                      <w:szCs w:val="21"/>
                      <w:u w:val="single" w:color="auto"/>
                    </w:rPr>
                    <w:t>本项目情况</w:t>
                  </w:r>
                </w:p>
              </w:tc>
              <w:tc>
                <w:tcPr>
                  <w:tcW w:w="630" w:type="dxa"/>
                  <w:tcBorders>
                    <w:tl2br w:val="nil"/>
                    <w:tr2bl w:val="nil"/>
                  </w:tcBorders>
                  <w:noWrap w:val="0"/>
                  <w:vAlign w:val="center"/>
                </w:tcPr>
                <w:p>
                  <w:pPr>
                    <w:bidi w:val="0"/>
                    <w:jc w:val="center"/>
                    <w:rPr>
                      <w:b/>
                      <w:bCs/>
                      <w:color w:val="FF0000"/>
                      <w:sz w:val="21"/>
                      <w:szCs w:val="21"/>
                      <w:u w:val="single" w:color="auto"/>
                    </w:rPr>
                  </w:pPr>
                  <w:r>
                    <w:rPr>
                      <w:b/>
                      <w:bCs/>
                      <w:color w:val="FF0000"/>
                      <w:sz w:val="21"/>
                      <w:szCs w:val="21"/>
                      <w:u w:val="single" w:color="auto"/>
                    </w:rPr>
                    <w:t>是否</w:t>
                  </w:r>
                </w:p>
                <w:p>
                  <w:pPr>
                    <w:bidi w:val="0"/>
                    <w:jc w:val="center"/>
                    <w:rPr>
                      <w:b/>
                      <w:bCs/>
                      <w:color w:val="FF0000"/>
                      <w:sz w:val="21"/>
                      <w:szCs w:val="21"/>
                      <w:u w:val="single" w:color="auto"/>
                    </w:rPr>
                  </w:pPr>
                  <w:r>
                    <w:rPr>
                      <w:b/>
                      <w:bCs/>
                      <w:color w:val="FF0000"/>
                      <w:sz w:val="21"/>
                      <w:szCs w:val="21"/>
                      <w:u w:val="singl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45" w:type="dxa"/>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VOCs物料储存无组织排放控制要求</w:t>
                  </w:r>
                </w:p>
              </w:tc>
              <w:tc>
                <w:tcPr>
                  <w:tcW w:w="2680" w:type="dxa"/>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VOCs 物料应储存于密闭的容器、包装袋、储罐、储库、料仓中</w:t>
                  </w:r>
                </w:p>
              </w:tc>
              <w:tc>
                <w:tcPr>
                  <w:tcW w:w="1628" w:type="dxa"/>
                  <w:tcBorders>
                    <w:tl2br w:val="nil"/>
                    <w:tr2bl w:val="nil"/>
                  </w:tcBorders>
                  <w:noWrap w:val="0"/>
                  <w:vAlign w:val="center"/>
                </w:tcPr>
                <w:p>
                  <w:pPr>
                    <w:bidi w:val="0"/>
                    <w:jc w:val="center"/>
                    <w:rPr>
                      <w:rFonts w:hint="default" w:eastAsia="宋体"/>
                      <w:color w:val="FF0000"/>
                      <w:sz w:val="21"/>
                      <w:szCs w:val="21"/>
                      <w:u w:val="single" w:color="auto"/>
                      <w:lang w:val="en-US" w:eastAsia="zh-CN"/>
                    </w:rPr>
                  </w:pPr>
                  <w:r>
                    <w:rPr>
                      <w:color w:val="FF0000"/>
                      <w:sz w:val="21"/>
                      <w:szCs w:val="21"/>
                      <w:u w:val="single" w:color="auto"/>
                    </w:rPr>
                    <w:t>本项目</w:t>
                  </w:r>
                  <w:r>
                    <w:rPr>
                      <w:rFonts w:hint="eastAsia"/>
                      <w:color w:val="FF0000"/>
                      <w:sz w:val="21"/>
                      <w:szCs w:val="21"/>
                      <w:u w:val="single" w:color="auto"/>
                      <w:lang w:val="en-US" w:eastAsia="zh-CN"/>
                    </w:rPr>
                    <w:t>无VOCs物料</w:t>
                  </w:r>
                </w:p>
              </w:tc>
              <w:tc>
                <w:tcPr>
                  <w:tcW w:w="630" w:type="dxa"/>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45" w:type="dxa"/>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VOCs物料转移和输送无组织排放控制要求</w:t>
                  </w:r>
                </w:p>
              </w:tc>
              <w:tc>
                <w:tcPr>
                  <w:tcW w:w="2680" w:type="dxa"/>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粉状、粒状VOCs物料应采用气力输送设备、管状带式输送机、螺旋输送机等密闭输送方式，或者采用密闭的包装袋、容器或罐车进行物料转移</w:t>
                  </w:r>
                </w:p>
              </w:tc>
              <w:tc>
                <w:tcPr>
                  <w:tcW w:w="1628" w:type="dxa"/>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本项目无粉状、粒装VOCs物料</w:t>
                  </w:r>
                </w:p>
              </w:tc>
              <w:tc>
                <w:tcPr>
                  <w:tcW w:w="630" w:type="dxa"/>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rPr>
              <w:tc>
                <w:tcPr>
                  <w:tcW w:w="1545" w:type="dxa"/>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敞开液面VOCs无组织排放控制要求</w:t>
                  </w:r>
                </w:p>
              </w:tc>
              <w:tc>
                <w:tcPr>
                  <w:tcW w:w="4308" w:type="dxa"/>
                  <w:gridSpan w:val="2"/>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本项目无含VOCs废水排放</w:t>
                  </w:r>
                </w:p>
              </w:tc>
              <w:tc>
                <w:tcPr>
                  <w:tcW w:w="630" w:type="dxa"/>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rPr>
              <w:tc>
                <w:tcPr>
                  <w:tcW w:w="1545" w:type="dxa"/>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VOCs无组织排放废气收集处理系统要求</w:t>
                  </w:r>
                </w:p>
              </w:tc>
              <w:tc>
                <w:tcPr>
                  <w:tcW w:w="2680" w:type="dxa"/>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VOCs废气收集处理系统污染物排放应符合GB16297或相关行业排放标准的规定。收集的废气中NMHC初始排放速率≥3kg/h时，应配置VOCs 处理设施，处理效率不应低于 80%；对于重点地区，收集的废气中NMHC初始排放速率≥2kg/h时，应配置VOCs 处理设施，处理效率不应低于 80%；采用的原辅材料符合国家有关低VOCs含量产品规定的除外</w:t>
                  </w:r>
                </w:p>
              </w:tc>
              <w:tc>
                <w:tcPr>
                  <w:tcW w:w="1628" w:type="dxa"/>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项目</w:t>
                  </w:r>
                  <w:r>
                    <w:rPr>
                      <w:rFonts w:hint="eastAsia"/>
                      <w:color w:val="FF0000"/>
                      <w:sz w:val="21"/>
                      <w:szCs w:val="21"/>
                      <w:u w:val="single" w:color="auto"/>
                      <w:lang w:val="en-US" w:eastAsia="zh-CN"/>
                    </w:rPr>
                    <w:t>熔融成型过程均在密闭设备内进行</w:t>
                  </w:r>
                  <w:r>
                    <w:rPr>
                      <w:color w:val="FF0000"/>
                      <w:sz w:val="21"/>
                      <w:szCs w:val="21"/>
                      <w:u w:val="single" w:color="auto"/>
                    </w:rPr>
                    <w:t>，</w:t>
                  </w:r>
                  <w:r>
                    <w:rPr>
                      <w:rFonts w:hint="eastAsia"/>
                      <w:color w:val="FF0000"/>
                      <w:sz w:val="21"/>
                      <w:szCs w:val="21"/>
                      <w:u w:val="single" w:color="auto"/>
                    </w:rPr>
                    <w:t>废气</w:t>
                  </w:r>
                  <w:r>
                    <w:rPr>
                      <w:rFonts w:hint="eastAsia"/>
                      <w:color w:val="FF0000"/>
                      <w:sz w:val="21"/>
                      <w:szCs w:val="21"/>
                      <w:u w:val="single" w:color="auto"/>
                      <w:lang w:val="en-US" w:eastAsia="zh-CN"/>
                    </w:rPr>
                    <w:t>由集气管道收集后统一由“UV光解催化氧化+活性炭”处理再经过15m高排气筒排放。</w:t>
                  </w:r>
                  <w:r>
                    <w:rPr>
                      <w:color w:val="FF0000"/>
                      <w:sz w:val="21"/>
                      <w:szCs w:val="21"/>
                      <w:u w:val="single" w:color="auto"/>
                    </w:rPr>
                    <w:t>可确保达标排放</w:t>
                  </w:r>
                </w:p>
              </w:tc>
              <w:tc>
                <w:tcPr>
                  <w:tcW w:w="630" w:type="dxa"/>
                  <w:tcBorders>
                    <w:tl2br w:val="nil"/>
                    <w:tr2bl w:val="nil"/>
                  </w:tcBorders>
                  <w:noWrap w:val="0"/>
                  <w:vAlign w:val="center"/>
                </w:tcPr>
                <w:p>
                  <w:pPr>
                    <w:bidi w:val="0"/>
                    <w:jc w:val="center"/>
                    <w:rPr>
                      <w:color w:val="FF0000"/>
                      <w:sz w:val="21"/>
                      <w:szCs w:val="21"/>
                      <w:u w:val="single" w:color="auto"/>
                    </w:rPr>
                  </w:pPr>
                  <w:r>
                    <w:rPr>
                      <w:color w:val="FF0000"/>
                      <w:sz w:val="21"/>
                      <w:szCs w:val="21"/>
                      <w:u w:val="single" w:color="auto"/>
                    </w:rPr>
                    <w:t>符合</w:t>
                  </w:r>
                </w:p>
              </w:tc>
            </w:tr>
          </w:tbl>
          <w:p>
            <w:pPr>
              <w:bidi w:val="0"/>
              <w:spacing w:line="360" w:lineRule="auto"/>
              <w:ind w:firstLine="480" w:firstLineChars="200"/>
              <w:rPr>
                <w:color w:val="FF0000"/>
                <w:sz w:val="24"/>
                <w:szCs w:val="24"/>
                <w:u w:val="single" w:color="auto"/>
              </w:rPr>
            </w:pPr>
            <w:r>
              <w:rPr>
                <w:color w:val="FF0000"/>
                <w:sz w:val="24"/>
                <w:szCs w:val="24"/>
                <w:u w:val="single" w:color="auto"/>
              </w:rPr>
              <w:t>由上表可知，本项目建设与《挥发性有机物无组织排放控制标准》（GB37822-2019）要求相符。</w:t>
            </w:r>
          </w:p>
          <w:p>
            <w:pPr>
              <w:bidi w:val="0"/>
              <w:spacing w:line="360" w:lineRule="auto"/>
              <w:rPr>
                <w:rFonts w:hint="default"/>
                <w:b/>
                <w:bCs/>
                <w:color w:val="FF0000"/>
                <w:sz w:val="24"/>
                <w:szCs w:val="24"/>
                <w:u w:val="single" w:color="auto"/>
                <w:lang w:val="en-US" w:eastAsia="zh-CN"/>
              </w:rPr>
            </w:pPr>
            <w:r>
              <w:rPr>
                <w:rFonts w:hint="eastAsia"/>
                <w:b/>
                <w:bCs/>
                <w:color w:val="FF0000"/>
                <w:sz w:val="24"/>
                <w:szCs w:val="24"/>
                <w:u w:val="single" w:color="auto"/>
                <w:lang w:val="en-US" w:eastAsia="zh-CN"/>
              </w:rPr>
              <w:t>5、“三线一单”相符性分析</w:t>
            </w:r>
          </w:p>
          <w:p>
            <w:pPr>
              <w:numPr>
                <w:ilvl w:val="0"/>
                <w:numId w:val="0"/>
              </w:numPr>
              <w:bidi w:val="0"/>
              <w:spacing w:line="360" w:lineRule="auto"/>
              <w:jc w:val="center"/>
              <w:rPr>
                <w:rFonts w:hint="default" w:ascii="宋体" w:hAnsi="宋体" w:cs="宋体"/>
                <w:b/>
                <w:bCs/>
                <w:color w:val="FF0000"/>
                <w:kern w:val="0"/>
                <w:sz w:val="24"/>
                <w:szCs w:val="24"/>
                <w:u w:val="single" w:color="auto"/>
                <w:vertAlign w:val="baseline"/>
                <w:lang w:val="en-US" w:eastAsia="zh-CN"/>
              </w:rPr>
            </w:pPr>
            <w:r>
              <w:rPr>
                <w:rFonts w:hint="eastAsia" w:ascii="宋体" w:hAnsi="宋体" w:cs="宋体"/>
                <w:b/>
                <w:bCs/>
                <w:color w:val="FF0000"/>
                <w:kern w:val="0"/>
                <w:sz w:val="24"/>
                <w:szCs w:val="24"/>
                <w:u w:val="single" w:color="auto"/>
                <w:lang w:val="en-US" w:eastAsia="zh-CN"/>
              </w:rPr>
              <w:t>表1-5  “三线一单”相符性分析</w:t>
            </w:r>
          </w:p>
          <w:tbl>
            <w:tblPr>
              <w:tblStyle w:val="15"/>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57"/>
              <w:gridCol w:w="49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2" w:type="dxa"/>
                  <w:tcBorders>
                    <w:tl2br w:val="nil"/>
                    <w:tr2bl w:val="nil"/>
                  </w:tcBorders>
                  <w:vAlign w:val="center"/>
                </w:tcPr>
                <w:p>
                  <w:pPr>
                    <w:adjustRightInd w:val="0"/>
                    <w:snapToGrid w:val="0"/>
                    <w:jc w:val="center"/>
                    <w:rPr>
                      <w:rFonts w:hint="default" w:ascii="宋体" w:hAnsi="宋体" w:cs="宋体"/>
                      <w:b/>
                      <w:bCs w:val="0"/>
                      <w:color w:val="FF0000"/>
                      <w:kern w:val="0"/>
                      <w:sz w:val="21"/>
                      <w:szCs w:val="21"/>
                      <w:u w:val="single" w:color="auto"/>
                      <w:vertAlign w:val="baseline"/>
                      <w:lang w:val="en-US" w:eastAsia="zh-CN"/>
                    </w:rPr>
                  </w:pPr>
                  <w:r>
                    <w:rPr>
                      <w:b/>
                      <w:bCs w:val="0"/>
                      <w:color w:val="FF0000"/>
                      <w:sz w:val="21"/>
                      <w:szCs w:val="21"/>
                      <w:u w:val="single" w:color="auto"/>
                    </w:rPr>
                    <w:t>内容</w:t>
                  </w:r>
                </w:p>
              </w:tc>
              <w:tc>
                <w:tcPr>
                  <w:tcW w:w="4931" w:type="dxa"/>
                  <w:tcBorders>
                    <w:tl2br w:val="nil"/>
                    <w:tr2bl w:val="nil"/>
                  </w:tcBorders>
                  <w:vAlign w:val="center"/>
                </w:tcPr>
                <w:p>
                  <w:pPr>
                    <w:adjustRightInd w:val="0"/>
                    <w:snapToGrid w:val="0"/>
                    <w:jc w:val="center"/>
                    <w:rPr>
                      <w:rFonts w:hint="default" w:ascii="宋体" w:hAnsi="宋体" w:cs="宋体"/>
                      <w:b/>
                      <w:bCs w:val="0"/>
                      <w:color w:val="FF0000"/>
                      <w:kern w:val="0"/>
                      <w:sz w:val="21"/>
                      <w:szCs w:val="21"/>
                      <w:u w:val="single" w:color="auto"/>
                      <w:vertAlign w:val="baseline"/>
                      <w:lang w:val="en-US" w:eastAsia="zh-CN"/>
                    </w:rPr>
                  </w:pPr>
                  <w:r>
                    <w:rPr>
                      <w:b/>
                      <w:bCs w:val="0"/>
                      <w:color w:val="FF0000"/>
                      <w:sz w:val="21"/>
                      <w:szCs w:val="21"/>
                      <w:u w:val="single" w:color="auto"/>
                    </w:rPr>
                    <w:t>符合性分析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2" w:type="dxa"/>
                  <w:tcBorders>
                    <w:tl2br w:val="nil"/>
                    <w:tr2bl w:val="nil"/>
                  </w:tcBorders>
                  <w:vAlign w:val="center"/>
                </w:tcPr>
                <w:p>
                  <w:pPr>
                    <w:adjustRightInd w:val="0"/>
                    <w:snapToGrid w:val="0"/>
                    <w:jc w:val="center"/>
                    <w:rPr>
                      <w:rFonts w:hint="default" w:ascii="宋体" w:hAnsi="宋体" w:cs="宋体"/>
                      <w:color w:val="FF0000"/>
                      <w:kern w:val="0"/>
                      <w:sz w:val="21"/>
                      <w:szCs w:val="21"/>
                      <w:u w:val="single" w:color="auto"/>
                      <w:vertAlign w:val="baseline"/>
                      <w:lang w:val="en-US" w:eastAsia="zh-CN"/>
                    </w:rPr>
                  </w:pPr>
                  <w:r>
                    <w:rPr>
                      <w:bCs/>
                      <w:color w:val="FF0000"/>
                      <w:sz w:val="21"/>
                      <w:szCs w:val="21"/>
                      <w:u w:val="single" w:color="auto"/>
                    </w:rPr>
                    <w:t>生态保护红线</w:t>
                  </w:r>
                </w:p>
              </w:tc>
              <w:tc>
                <w:tcPr>
                  <w:tcW w:w="4931" w:type="dxa"/>
                  <w:tcBorders>
                    <w:tl2br w:val="nil"/>
                    <w:tr2bl w:val="nil"/>
                  </w:tcBorders>
                  <w:vAlign w:val="center"/>
                </w:tcPr>
                <w:p>
                  <w:pPr>
                    <w:adjustRightInd w:val="0"/>
                    <w:snapToGrid w:val="0"/>
                    <w:jc w:val="both"/>
                    <w:rPr>
                      <w:rFonts w:hint="default" w:ascii="宋体" w:hAnsi="宋体" w:cs="宋体"/>
                      <w:color w:val="FF0000"/>
                      <w:kern w:val="0"/>
                      <w:sz w:val="21"/>
                      <w:szCs w:val="21"/>
                      <w:u w:val="single" w:color="auto"/>
                      <w:vertAlign w:val="baseline"/>
                      <w:lang w:val="en-US" w:eastAsia="zh-CN"/>
                    </w:rPr>
                  </w:pPr>
                  <w:r>
                    <w:rPr>
                      <w:bCs/>
                      <w:color w:val="FF0000"/>
                      <w:sz w:val="21"/>
                      <w:szCs w:val="21"/>
                      <w:u w:val="single" w:color="auto"/>
                    </w:rPr>
                    <w:t>本项目位于</w:t>
                  </w:r>
                  <w:r>
                    <w:rPr>
                      <w:rFonts w:hint="eastAsia" w:ascii="宋体" w:hAnsi="宋体" w:cs="宋体"/>
                      <w:color w:val="FF0000"/>
                      <w:sz w:val="21"/>
                      <w:szCs w:val="21"/>
                      <w:u w:val="single" w:color="auto"/>
                      <w:lang w:val="en-US" w:eastAsia="zh-CN"/>
                    </w:rPr>
                    <w:t>湖南</w:t>
                  </w:r>
                  <w:r>
                    <w:rPr>
                      <w:rFonts w:hint="eastAsia" w:ascii="宋体" w:hAnsi="宋体" w:cs="宋体"/>
                      <w:color w:val="FF0000"/>
                      <w:sz w:val="21"/>
                      <w:szCs w:val="21"/>
                      <w:u w:val="single" w:color="auto"/>
                    </w:rPr>
                    <w:t>省</w:t>
                  </w:r>
                  <w:r>
                    <w:rPr>
                      <w:rFonts w:hint="eastAsia" w:ascii="宋体" w:hAnsi="宋体" w:cs="宋体"/>
                      <w:color w:val="FF0000"/>
                      <w:sz w:val="21"/>
                      <w:szCs w:val="21"/>
                      <w:u w:val="single" w:color="auto"/>
                      <w:lang w:val="en-US" w:eastAsia="zh-CN"/>
                    </w:rPr>
                    <w:t>岳阳</w:t>
                  </w:r>
                  <w:r>
                    <w:rPr>
                      <w:rFonts w:hint="eastAsia" w:ascii="宋体" w:hAnsi="宋体" w:cs="宋体"/>
                      <w:color w:val="FF0000"/>
                      <w:sz w:val="21"/>
                      <w:szCs w:val="21"/>
                      <w:u w:val="single" w:color="auto"/>
                    </w:rPr>
                    <w:t>市</w:t>
                  </w:r>
                  <w:r>
                    <w:rPr>
                      <w:rFonts w:hint="eastAsia" w:ascii="宋体" w:hAnsi="宋体" w:cs="宋体"/>
                      <w:color w:val="FF0000"/>
                      <w:sz w:val="21"/>
                      <w:szCs w:val="21"/>
                      <w:u w:val="single" w:color="auto"/>
                      <w:lang w:val="en-US" w:eastAsia="zh-CN"/>
                    </w:rPr>
                    <w:t>湘阴县工业园区顺天大道以南</w:t>
                  </w:r>
                  <w:r>
                    <w:rPr>
                      <w:bCs/>
                      <w:color w:val="FF0000"/>
                      <w:sz w:val="21"/>
                      <w:szCs w:val="21"/>
                      <w:u w:val="single" w:color="auto"/>
                    </w:rPr>
                    <w:t>，属工业用地，不在湘阴县划定的生态红线范围。项目不在自然保护区、饮用水源保护区等生态保护目标内，符合生态保护红线要求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2" w:type="dxa"/>
                  <w:tcBorders>
                    <w:tl2br w:val="nil"/>
                    <w:tr2bl w:val="nil"/>
                  </w:tcBorders>
                  <w:vAlign w:val="center"/>
                </w:tcPr>
                <w:p>
                  <w:pPr>
                    <w:adjustRightInd w:val="0"/>
                    <w:snapToGrid w:val="0"/>
                    <w:jc w:val="center"/>
                    <w:rPr>
                      <w:rFonts w:hint="default" w:ascii="宋体" w:hAnsi="宋体" w:cs="宋体"/>
                      <w:color w:val="FF0000"/>
                      <w:kern w:val="0"/>
                      <w:sz w:val="21"/>
                      <w:szCs w:val="21"/>
                      <w:u w:val="single" w:color="auto"/>
                      <w:vertAlign w:val="baseline"/>
                      <w:lang w:val="en-US" w:eastAsia="zh-CN"/>
                    </w:rPr>
                  </w:pPr>
                  <w:r>
                    <w:rPr>
                      <w:bCs/>
                      <w:color w:val="FF0000"/>
                      <w:sz w:val="21"/>
                      <w:szCs w:val="21"/>
                      <w:u w:val="single" w:color="auto"/>
                    </w:rPr>
                    <w:t>资源利用上线</w:t>
                  </w:r>
                </w:p>
              </w:tc>
              <w:tc>
                <w:tcPr>
                  <w:tcW w:w="4931" w:type="dxa"/>
                  <w:tcBorders>
                    <w:tl2br w:val="nil"/>
                    <w:tr2bl w:val="nil"/>
                  </w:tcBorders>
                  <w:vAlign w:val="center"/>
                </w:tcPr>
                <w:p>
                  <w:pPr>
                    <w:adjustRightInd w:val="0"/>
                    <w:snapToGrid w:val="0"/>
                    <w:jc w:val="both"/>
                    <w:rPr>
                      <w:rFonts w:hint="default" w:ascii="宋体" w:hAnsi="宋体" w:cs="宋体"/>
                      <w:color w:val="FF0000"/>
                      <w:kern w:val="0"/>
                      <w:sz w:val="21"/>
                      <w:szCs w:val="21"/>
                      <w:u w:val="single" w:color="auto"/>
                      <w:vertAlign w:val="baseline"/>
                      <w:lang w:val="en-US" w:eastAsia="zh-CN"/>
                    </w:rPr>
                  </w:pPr>
                  <w:r>
                    <w:rPr>
                      <w:bCs/>
                      <w:color w:val="FF0000"/>
                      <w:sz w:val="21"/>
                      <w:szCs w:val="21"/>
                      <w:u w:val="single" w:color="auto"/>
                    </w:rPr>
                    <w:t>本项目运营过程中消耗一定量的电力、水等资源。①项目用电由当地电网提供，项目用电量不大，不会超出当地国家电网的用电负荷；②项目用水来源为当地自来水公司，主要用水为生活用水</w:t>
                  </w:r>
                  <w:r>
                    <w:rPr>
                      <w:rFonts w:hint="eastAsia"/>
                      <w:bCs/>
                      <w:color w:val="FF0000"/>
                      <w:sz w:val="21"/>
                      <w:szCs w:val="21"/>
                      <w:u w:val="single" w:color="auto"/>
                      <w:lang w:val="en-US" w:eastAsia="zh-CN"/>
                    </w:rPr>
                    <w:t>和循环补充用水</w:t>
                  </w:r>
                  <w:r>
                    <w:rPr>
                      <w:bCs/>
                      <w:color w:val="FF0000"/>
                      <w:sz w:val="21"/>
                      <w:szCs w:val="21"/>
                      <w:u w:val="single" w:color="auto"/>
                    </w:rPr>
                    <w:t>，用水量较少。故本项目电力、水的消耗量所占比重较少，符合资源利用上限要求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2" w:type="dxa"/>
                  <w:tcBorders>
                    <w:tl2br w:val="nil"/>
                    <w:tr2bl w:val="nil"/>
                  </w:tcBorders>
                  <w:vAlign w:val="center"/>
                </w:tcPr>
                <w:p>
                  <w:pPr>
                    <w:adjustRightInd w:val="0"/>
                    <w:snapToGrid w:val="0"/>
                    <w:jc w:val="center"/>
                    <w:rPr>
                      <w:rFonts w:hint="default" w:ascii="宋体" w:hAnsi="宋体" w:cs="宋体"/>
                      <w:color w:val="FF0000"/>
                      <w:kern w:val="0"/>
                      <w:sz w:val="21"/>
                      <w:szCs w:val="21"/>
                      <w:u w:val="single" w:color="auto"/>
                      <w:vertAlign w:val="baseline"/>
                      <w:lang w:val="en-US" w:eastAsia="zh-CN"/>
                    </w:rPr>
                  </w:pPr>
                  <w:r>
                    <w:rPr>
                      <w:bCs/>
                      <w:color w:val="FF0000"/>
                      <w:sz w:val="21"/>
                      <w:szCs w:val="21"/>
                      <w:u w:val="single" w:color="auto"/>
                    </w:rPr>
                    <w:t>环境质量底线</w:t>
                  </w:r>
                </w:p>
              </w:tc>
              <w:tc>
                <w:tcPr>
                  <w:tcW w:w="4931" w:type="dxa"/>
                  <w:tcBorders>
                    <w:tl2br w:val="nil"/>
                    <w:tr2bl w:val="nil"/>
                  </w:tcBorders>
                  <w:vAlign w:val="center"/>
                </w:tcPr>
                <w:p>
                  <w:pPr>
                    <w:adjustRightInd w:val="0"/>
                    <w:snapToGrid w:val="0"/>
                    <w:jc w:val="both"/>
                    <w:rPr>
                      <w:rFonts w:hint="default" w:ascii="宋体" w:hAnsi="宋体" w:cs="宋体"/>
                      <w:color w:val="FF0000"/>
                      <w:kern w:val="0"/>
                      <w:sz w:val="21"/>
                      <w:szCs w:val="21"/>
                      <w:u w:val="single" w:color="auto"/>
                      <w:vertAlign w:val="baseline"/>
                      <w:lang w:val="en-US" w:eastAsia="zh-CN"/>
                    </w:rPr>
                  </w:pPr>
                  <w:r>
                    <w:rPr>
                      <w:bCs/>
                      <w:color w:val="FF0000"/>
                      <w:sz w:val="21"/>
                      <w:szCs w:val="21"/>
                      <w:u w:val="single" w:color="auto"/>
                    </w:rPr>
                    <w:t>根据现场调查，项目场址为工业用地，通过对评价区域内空气、地表水、声环境的调查得知，项目所在区域的大气、地表水体、声环境能达到相应的环境质量标准。项目对产生的污染物采取相应的措施后，对周边环境影响较小，符合环境质量底线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2" w:type="dxa"/>
                  <w:tcBorders>
                    <w:tl2br w:val="nil"/>
                    <w:tr2bl w:val="nil"/>
                  </w:tcBorders>
                  <w:vAlign w:val="center"/>
                </w:tcPr>
                <w:p>
                  <w:pPr>
                    <w:adjustRightInd w:val="0"/>
                    <w:snapToGrid w:val="0"/>
                    <w:jc w:val="center"/>
                    <w:rPr>
                      <w:rFonts w:hint="default" w:ascii="宋体" w:hAnsi="宋体" w:cs="宋体"/>
                      <w:color w:val="FF0000"/>
                      <w:kern w:val="0"/>
                      <w:sz w:val="21"/>
                      <w:szCs w:val="21"/>
                      <w:u w:val="single" w:color="auto"/>
                      <w:vertAlign w:val="baseline"/>
                      <w:lang w:val="en-US" w:eastAsia="zh-CN"/>
                    </w:rPr>
                  </w:pPr>
                  <w:r>
                    <w:rPr>
                      <w:rFonts w:hint="eastAsia"/>
                      <w:bCs/>
                      <w:color w:val="FF0000"/>
                      <w:sz w:val="21"/>
                      <w:szCs w:val="21"/>
                      <w:u w:val="single" w:color="auto"/>
                      <w:lang w:val="en-US" w:eastAsia="zh-CN"/>
                    </w:rPr>
                    <w:t>生态环境准入</w:t>
                  </w:r>
                  <w:r>
                    <w:rPr>
                      <w:bCs/>
                      <w:color w:val="FF0000"/>
                      <w:sz w:val="21"/>
                      <w:szCs w:val="21"/>
                      <w:u w:val="single" w:color="auto"/>
                    </w:rPr>
                    <w:t>清单</w:t>
                  </w:r>
                </w:p>
              </w:tc>
              <w:tc>
                <w:tcPr>
                  <w:tcW w:w="4931" w:type="dxa"/>
                  <w:tcBorders>
                    <w:tl2br w:val="nil"/>
                    <w:tr2bl w:val="nil"/>
                  </w:tcBorders>
                  <w:vAlign w:val="center"/>
                </w:tcPr>
                <w:p>
                  <w:pPr>
                    <w:adjustRightInd w:val="0"/>
                    <w:snapToGrid w:val="0"/>
                    <w:jc w:val="both"/>
                    <w:rPr>
                      <w:rFonts w:ascii="Times New Roman" w:hAnsi="Times New Roman" w:eastAsia="宋体" w:cs="Times New Roman"/>
                      <w:bCs/>
                      <w:color w:val="FF0000"/>
                      <w:sz w:val="21"/>
                      <w:szCs w:val="21"/>
                      <w:u w:val="single" w:color="auto"/>
                    </w:rPr>
                  </w:pPr>
                  <w:r>
                    <w:rPr>
                      <w:rFonts w:ascii="Times New Roman" w:hAnsi="Times New Roman" w:eastAsia="宋体" w:cs="Times New Roman"/>
                      <w:bCs/>
                      <w:color w:val="FF0000"/>
                      <w:sz w:val="21"/>
                      <w:szCs w:val="21"/>
                      <w:u w:val="single" w:color="auto"/>
                    </w:rPr>
                    <w:t>根据《湖南省人民政府关于实施“三线一单”生态环境分区管控的意见》(湘政发〔2020〕12号)</w:t>
                  </w:r>
                  <w:r>
                    <w:rPr>
                      <w:rFonts w:hint="eastAsia" w:ascii="Times New Roman" w:hAnsi="Times New Roman" w:eastAsia="宋体" w:cs="Times New Roman"/>
                      <w:bCs/>
                      <w:color w:val="FF0000"/>
                      <w:sz w:val="21"/>
                      <w:szCs w:val="21"/>
                      <w:u w:val="single" w:color="auto"/>
                    </w:rPr>
                    <w:t>、</w:t>
                  </w:r>
                  <w:r>
                    <w:rPr>
                      <w:rFonts w:ascii="Times New Roman" w:hAnsi="Times New Roman" w:eastAsia="宋体" w:cs="Times New Roman"/>
                      <w:bCs/>
                      <w:color w:val="FF0000"/>
                      <w:sz w:val="21"/>
                      <w:szCs w:val="21"/>
                      <w:u w:val="single" w:color="auto"/>
                    </w:rPr>
                    <w:t>《湖南省“三线一单”生态环境总体管控要求暨省级以上产业园区生态环境准入清单》</w:t>
                  </w:r>
                  <w:r>
                    <w:rPr>
                      <w:rFonts w:hint="eastAsia" w:ascii="Times New Roman" w:hAnsi="Times New Roman" w:eastAsia="宋体" w:cs="Times New Roman"/>
                      <w:bCs/>
                      <w:color w:val="FF0000"/>
                      <w:sz w:val="21"/>
                      <w:szCs w:val="21"/>
                      <w:u w:val="single" w:color="auto"/>
                    </w:rPr>
                    <w:t>（2020年11月10日），</w:t>
                  </w:r>
                  <w:r>
                    <w:rPr>
                      <w:rFonts w:ascii="Times New Roman" w:hAnsi="Times New Roman" w:eastAsia="宋体" w:cs="Times New Roman"/>
                      <w:bCs/>
                      <w:color w:val="FF0000"/>
                      <w:sz w:val="21"/>
                      <w:szCs w:val="21"/>
                      <w:u w:val="single" w:color="auto"/>
                    </w:rPr>
                    <w:t>扩建项目所在</w:t>
                  </w:r>
                  <w:r>
                    <w:rPr>
                      <w:rFonts w:hint="eastAsia" w:ascii="Times New Roman" w:hAnsi="Times New Roman" w:eastAsia="宋体" w:cs="Times New Roman"/>
                      <w:bCs/>
                      <w:color w:val="FF0000"/>
                      <w:sz w:val="21"/>
                      <w:szCs w:val="21"/>
                      <w:u w:val="single" w:color="auto"/>
                      <w:lang w:val="en-US" w:eastAsia="zh-CN"/>
                    </w:rPr>
                    <w:t>湘阴县工业园</w:t>
                  </w:r>
                  <w:r>
                    <w:rPr>
                      <w:rFonts w:ascii="Times New Roman" w:hAnsi="Times New Roman" w:eastAsia="宋体" w:cs="Times New Roman"/>
                      <w:bCs/>
                      <w:color w:val="FF0000"/>
                      <w:sz w:val="21"/>
                      <w:szCs w:val="21"/>
                      <w:u w:val="single" w:color="auto"/>
                    </w:rPr>
                    <w:t>属</w:t>
                  </w:r>
                  <w:r>
                    <w:rPr>
                      <w:rFonts w:hint="eastAsia" w:ascii="Times New Roman" w:hAnsi="Times New Roman" w:eastAsia="宋体" w:cs="Times New Roman"/>
                      <w:bCs/>
                      <w:color w:val="FF0000"/>
                      <w:sz w:val="21"/>
                      <w:szCs w:val="21"/>
                      <w:u w:val="single" w:color="auto"/>
                      <w:lang w:val="en-US" w:eastAsia="zh-CN"/>
                    </w:rPr>
                    <w:t>湘阴</w:t>
                  </w:r>
                  <w:r>
                    <w:rPr>
                      <w:rFonts w:ascii="Times New Roman" w:hAnsi="Times New Roman" w:eastAsia="宋体" w:cs="Times New Roman"/>
                      <w:bCs/>
                      <w:color w:val="FF0000"/>
                      <w:sz w:val="21"/>
                      <w:szCs w:val="21"/>
                      <w:u w:val="single" w:color="auto"/>
                    </w:rPr>
                    <w:t>高新技术产业区范围，属于</w:t>
                  </w:r>
                  <w:r>
                    <w:rPr>
                      <w:rFonts w:hint="eastAsia" w:ascii="Times New Roman" w:hAnsi="Times New Roman" w:eastAsia="宋体" w:cs="Times New Roman"/>
                      <w:bCs/>
                      <w:color w:val="FF0000"/>
                      <w:sz w:val="21"/>
                      <w:szCs w:val="21"/>
                      <w:u w:val="single" w:color="auto"/>
                    </w:rPr>
                    <w:t>重点管控单元</w:t>
                  </w:r>
                  <w:r>
                    <w:rPr>
                      <w:rFonts w:ascii="Times New Roman" w:hAnsi="Times New Roman" w:eastAsia="宋体" w:cs="Times New Roman"/>
                      <w:bCs/>
                      <w:color w:val="FF0000"/>
                      <w:sz w:val="21"/>
                      <w:szCs w:val="21"/>
                      <w:u w:val="single" w:color="auto"/>
                    </w:rPr>
                    <w:t>，环境管控单元编码为</w:t>
                  </w:r>
                  <w:r>
                    <w:rPr>
                      <w:rFonts w:hint="default" w:ascii="Times New Roman" w:hAnsi="Times New Roman" w:eastAsia="宋体" w:cs="Times New Roman"/>
                      <w:bCs/>
                      <w:color w:val="FF0000"/>
                      <w:sz w:val="21"/>
                      <w:szCs w:val="21"/>
                      <w:u w:val="single" w:color="auto"/>
                      <w:lang w:val="en-US" w:eastAsia="zh-CN"/>
                    </w:rPr>
                    <w:t>ZH43062420002</w:t>
                  </w:r>
                  <w:r>
                    <w:rPr>
                      <w:rFonts w:ascii="Times New Roman" w:hAnsi="Times New Roman" w:eastAsia="宋体" w:cs="Times New Roman"/>
                      <w:bCs/>
                      <w:color w:val="FF0000"/>
                      <w:sz w:val="21"/>
                      <w:szCs w:val="21"/>
                      <w:u w:val="single" w:color="auto"/>
                    </w:rPr>
                    <w:t>，其管控要求具体如下：</w:t>
                  </w:r>
                </w:p>
                <w:p>
                  <w:pPr>
                    <w:adjustRightInd w:val="0"/>
                    <w:snapToGrid w:val="0"/>
                    <w:jc w:val="both"/>
                    <w:rPr>
                      <w:rFonts w:ascii="Times New Roman" w:hAnsi="Times New Roman" w:eastAsia="宋体" w:cs="Times New Roman"/>
                      <w:bCs/>
                      <w:color w:val="FF0000"/>
                      <w:sz w:val="21"/>
                      <w:szCs w:val="21"/>
                      <w:u w:val="single" w:color="auto"/>
                    </w:rPr>
                  </w:pPr>
                  <w:r>
                    <w:rPr>
                      <w:rFonts w:ascii="Times New Roman" w:hAnsi="Times New Roman" w:eastAsia="宋体" w:cs="Times New Roman"/>
                      <w:bCs/>
                      <w:color w:val="FF0000"/>
                      <w:sz w:val="21"/>
                      <w:szCs w:val="21"/>
                      <w:u w:val="single" w:color="auto"/>
                    </w:rPr>
                    <w:t>空间布局约束：</w:t>
                  </w:r>
                </w:p>
                <w:p>
                  <w:pPr>
                    <w:adjustRightInd w:val="0"/>
                    <w:snapToGrid w:val="0"/>
                    <w:jc w:val="both"/>
                    <w:rPr>
                      <w:rFonts w:hint="eastAsia" w:ascii="Times New Roman" w:hAnsi="Times New Roman" w:eastAsia="宋体" w:cs="Times New Roman"/>
                      <w:bCs/>
                      <w:color w:val="FF0000"/>
                      <w:sz w:val="21"/>
                      <w:szCs w:val="21"/>
                      <w:u w:val="single" w:color="auto"/>
                      <w:lang w:val="en-US" w:eastAsia="zh-CN"/>
                    </w:rPr>
                  </w:pPr>
                  <w:r>
                    <w:rPr>
                      <w:rFonts w:hint="eastAsia" w:ascii="Times New Roman" w:hAnsi="Times New Roman" w:eastAsia="宋体" w:cs="Times New Roman"/>
                      <w:bCs/>
                      <w:color w:val="FF0000"/>
                      <w:sz w:val="21"/>
                      <w:szCs w:val="21"/>
                      <w:u w:val="single" w:color="auto"/>
                      <w:lang w:val="en-US" w:eastAsia="zh-CN"/>
                    </w:rPr>
                    <w:t>严格限制三类工业入驻，禁止大型喷涂、涉及酸雾排放等气型污染严重企业入驻。禁止外排水污染物涉及重金属的项目入驻。</w:t>
                  </w:r>
                </w:p>
                <w:p>
                  <w:pPr>
                    <w:adjustRightInd w:val="0"/>
                    <w:snapToGrid w:val="0"/>
                    <w:jc w:val="both"/>
                    <w:rPr>
                      <w:rFonts w:ascii="Times New Roman" w:hAnsi="Times New Roman" w:eastAsia="宋体" w:cs="Times New Roman"/>
                      <w:bCs/>
                      <w:color w:val="FF0000"/>
                      <w:sz w:val="21"/>
                      <w:szCs w:val="21"/>
                      <w:u w:val="single" w:color="auto"/>
                    </w:rPr>
                  </w:pPr>
                  <w:r>
                    <w:rPr>
                      <w:rFonts w:hint="eastAsia" w:ascii="Times New Roman" w:hAnsi="Times New Roman" w:eastAsia="宋体" w:cs="Times New Roman"/>
                      <w:bCs/>
                      <w:color w:val="FF0000"/>
                      <w:sz w:val="21"/>
                      <w:szCs w:val="21"/>
                      <w:u w:val="single" w:color="auto"/>
                      <w:lang w:val="en-US" w:eastAsia="zh-CN"/>
                    </w:rPr>
                    <w:t>将开发区西面临洋沙湖－东湖湿地公园一侧一定范围内的三类、二类工业用地调整为一类工业用地，将涉及气型污染物无组织排放的企业、车间尽量远离湿地公园布置；禁止引进对洋沙湖</w:t>
                  </w:r>
                  <w:r>
                    <w:rPr>
                      <w:rFonts w:hint="default" w:ascii="Times New Roman" w:hAnsi="Times New Roman" w:eastAsia="宋体" w:cs="Times New Roman"/>
                      <w:bCs/>
                      <w:color w:val="FF0000"/>
                      <w:sz w:val="21"/>
                      <w:szCs w:val="21"/>
                      <w:u w:val="single" w:color="auto"/>
                      <w:lang w:val="en-US" w:eastAsia="zh-CN"/>
                    </w:rPr>
                    <w:t>—</w:t>
                  </w:r>
                  <w:r>
                    <w:rPr>
                      <w:rFonts w:hint="eastAsia" w:ascii="Times New Roman" w:hAnsi="Times New Roman" w:eastAsia="宋体" w:cs="Times New Roman"/>
                      <w:bCs/>
                      <w:color w:val="FF0000"/>
                      <w:sz w:val="21"/>
                      <w:szCs w:val="21"/>
                      <w:u w:val="single" w:color="auto"/>
                      <w:lang w:val="en-US" w:eastAsia="zh-CN"/>
                    </w:rPr>
                    <w:t>东湖国家湿地公园产生不利影响的企业。</w:t>
                  </w:r>
                </w:p>
                <w:p>
                  <w:pPr>
                    <w:adjustRightInd w:val="0"/>
                    <w:snapToGrid w:val="0"/>
                    <w:jc w:val="both"/>
                    <w:rPr>
                      <w:rFonts w:ascii="Times New Roman" w:hAnsi="Times New Roman" w:eastAsia="宋体" w:cs="Times New Roman"/>
                      <w:bCs/>
                      <w:color w:val="FF0000"/>
                      <w:sz w:val="21"/>
                      <w:szCs w:val="21"/>
                      <w:u w:val="single" w:color="auto"/>
                    </w:rPr>
                  </w:pPr>
                  <w:r>
                    <w:rPr>
                      <w:rFonts w:hint="eastAsia" w:ascii="Times New Roman" w:hAnsi="Times New Roman" w:eastAsia="宋体" w:cs="Times New Roman"/>
                      <w:bCs/>
                      <w:color w:val="FF0000"/>
                      <w:sz w:val="21"/>
                      <w:szCs w:val="21"/>
                      <w:u w:val="single" w:color="auto"/>
                      <w:lang w:val="en-US" w:eastAsia="zh-CN"/>
                    </w:rPr>
                    <w:t>靠近交通干线两侧一定范围不得新建对噪声敏感的建筑物，居民安置区与工业用地之间设置一定宽度的防护距离，防止功能干扰。</w:t>
                  </w:r>
                </w:p>
                <w:p>
                  <w:pPr>
                    <w:adjustRightInd w:val="0"/>
                    <w:snapToGrid w:val="0"/>
                    <w:jc w:val="both"/>
                    <w:rPr>
                      <w:rFonts w:ascii="Times New Roman" w:hAnsi="Times New Roman" w:eastAsia="宋体" w:cs="Times New Roman"/>
                      <w:bCs/>
                      <w:color w:val="FF0000"/>
                      <w:sz w:val="21"/>
                      <w:szCs w:val="21"/>
                      <w:u w:val="single" w:color="auto"/>
                    </w:rPr>
                  </w:pPr>
                  <w:r>
                    <w:rPr>
                      <w:rFonts w:ascii="Times New Roman" w:hAnsi="Times New Roman" w:eastAsia="宋体" w:cs="Times New Roman"/>
                      <w:bCs/>
                      <w:color w:val="FF0000"/>
                      <w:sz w:val="21"/>
                      <w:szCs w:val="21"/>
                      <w:u w:val="single" w:color="auto"/>
                    </w:rPr>
                    <w:t>本项目位于</w:t>
                  </w:r>
                  <w:r>
                    <w:rPr>
                      <w:rFonts w:hint="eastAsia" w:ascii="Times New Roman" w:hAnsi="Times New Roman" w:eastAsia="宋体" w:cs="Times New Roman"/>
                      <w:bCs/>
                      <w:color w:val="FF0000"/>
                      <w:sz w:val="21"/>
                      <w:szCs w:val="21"/>
                      <w:u w:val="single" w:color="auto"/>
                      <w:lang w:val="en-US" w:eastAsia="zh-CN"/>
                    </w:rPr>
                    <w:t>湖南省岳阳市湘阴县工业园洋沙湖大道北侧，距离西侧的洋沙湖－东湖湿地公园约3.3km，不会对其产生影响，项目为</w:t>
                  </w:r>
                  <w:r>
                    <w:rPr>
                      <w:rFonts w:hint="eastAsia" w:cs="Times New Roman"/>
                      <w:bCs/>
                      <w:color w:val="FF0000"/>
                      <w:sz w:val="21"/>
                      <w:szCs w:val="21"/>
                      <w:u w:val="single" w:color="auto"/>
                      <w:lang w:val="en-US" w:eastAsia="zh-CN"/>
                    </w:rPr>
                    <w:t>塑料制品</w:t>
                  </w:r>
                  <w:r>
                    <w:rPr>
                      <w:rFonts w:hint="eastAsia" w:ascii="Times New Roman" w:hAnsi="Times New Roman" w:eastAsia="宋体" w:cs="Times New Roman"/>
                      <w:bCs/>
                      <w:color w:val="FF0000"/>
                      <w:sz w:val="21"/>
                      <w:szCs w:val="21"/>
                      <w:u w:val="single" w:color="auto"/>
                      <w:lang w:val="en-US" w:eastAsia="zh-CN"/>
                    </w:rPr>
                    <w:t>生产，不属于三类工业、大型喷涂、涉及酸雾排放等气型污染严重企业。外排污水为生活污水，水污染物不涉及重金属，废气均经收集处理后通过排气筒排放，周边无对噪声敏感的建筑物，距离居民安置区较远，符合空间布局约束要求</w:t>
                  </w:r>
                  <w:r>
                    <w:rPr>
                      <w:rFonts w:ascii="Times New Roman" w:hAnsi="Times New Roman" w:eastAsia="宋体" w:cs="Times New Roman"/>
                      <w:bCs/>
                      <w:color w:val="FF0000"/>
                      <w:sz w:val="21"/>
                      <w:szCs w:val="21"/>
                      <w:u w:val="single" w:color="auto"/>
                    </w:rPr>
                    <w:t>。</w:t>
                  </w:r>
                </w:p>
                <w:p>
                  <w:pPr>
                    <w:adjustRightInd w:val="0"/>
                    <w:snapToGrid w:val="0"/>
                    <w:jc w:val="both"/>
                    <w:rPr>
                      <w:rFonts w:ascii="Times New Roman" w:hAnsi="Times New Roman" w:eastAsia="宋体" w:cs="Times New Roman"/>
                      <w:bCs/>
                      <w:color w:val="FF0000"/>
                      <w:sz w:val="21"/>
                      <w:szCs w:val="21"/>
                      <w:u w:val="single" w:color="auto"/>
                    </w:rPr>
                  </w:pPr>
                  <w:r>
                    <w:rPr>
                      <w:rFonts w:ascii="Times New Roman" w:hAnsi="Times New Roman" w:eastAsia="宋体" w:cs="Times New Roman"/>
                      <w:bCs/>
                      <w:color w:val="FF0000"/>
                      <w:sz w:val="21"/>
                      <w:szCs w:val="21"/>
                      <w:u w:val="single" w:color="auto"/>
                    </w:rPr>
                    <w:t>污染物排放管控：</w:t>
                  </w:r>
                </w:p>
                <w:p>
                  <w:pPr>
                    <w:adjustRightInd w:val="0"/>
                    <w:snapToGrid w:val="0"/>
                    <w:jc w:val="both"/>
                    <w:rPr>
                      <w:rFonts w:hint="eastAsia" w:ascii="Times New Roman" w:hAnsi="Times New Roman" w:eastAsia="宋体" w:cs="Times New Roman"/>
                      <w:bCs/>
                      <w:color w:val="FF0000"/>
                      <w:sz w:val="21"/>
                      <w:szCs w:val="21"/>
                      <w:u w:val="single" w:color="auto"/>
                      <w:lang w:val="en-US" w:eastAsia="zh-CN"/>
                    </w:rPr>
                  </w:pPr>
                  <w:r>
                    <w:rPr>
                      <w:rFonts w:ascii="Times New Roman" w:hAnsi="Times New Roman" w:eastAsia="宋体" w:cs="Times New Roman"/>
                      <w:bCs/>
                      <w:color w:val="FF0000"/>
                      <w:sz w:val="21"/>
                      <w:szCs w:val="21"/>
                      <w:u w:val="single" w:color="auto"/>
                      <w:lang w:val="en-US" w:eastAsia="zh-CN"/>
                    </w:rPr>
                    <w:t>（</w:t>
                  </w:r>
                  <w:r>
                    <w:rPr>
                      <w:rFonts w:hint="default" w:ascii="Times New Roman" w:hAnsi="Times New Roman" w:eastAsia="宋体" w:cs="Times New Roman"/>
                      <w:bCs/>
                      <w:color w:val="FF0000"/>
                      <w:sz w:val="21"/>
                      <w:szCs w:val="21"/>
                      <w:u w:val="single" w:color="auto"/>
                      <w:lang w:val="en-US" w:eastAsia="zh-CN"/>
                    </w:rPr>
                    <w:t>2.1</w:t>
                  </w:r>
                  <w:r>
                    <w:rPr>
                      <w:rFonts w:hint="eastAsia" w:ascii="Times New Roman" w:hAnsi="Times New Roman" w:eastAsia="宋体" w:cs="Times New Roman"/>
                      <w:bCs/>
                      <w:color w:val="FF0000"/>
                      <w:sz w:val="21"/>
                      <w:szCs w:val="21"/>
                      <w:u w:val="single" w:color="auto"/>
                      <w:lang w:val="en-US" w:eastAsia="zh-CN"/>
                    </w:rPr>
                    <w:t>）废水：开发区排水实施雨污分流，开发区污水经管网收集统一进入湘阴县第二污水处理厂处理后，通过专修排水管道直接排入湘江。开发区雨水经雨水管网排入洋沙湖。</w:t>
                  </w:r>
                </w:p>
                <w:p>
                  <w:pPr>
                    <w:adjustRightInd w:val="0"/>
                    <w:snapToGrid w:val="0"/>
                    <w:jc w:val="both"/>
                    <w:rPr>
                      <w:rFonts w:hint="eastAsia" w:ascii="Times New Roman" w:hAnsi="Times New Roman" w:eastAsia="宋体" w:cs="Times New Roman"/>
                      <w:bCs/>
                      <w:color w:val="FF0000"/>
                      <w:sz w:val="21"/>
                      <w:szCs w:val="21"/>
                      <w:u w:val="single" w:color="auto"/>
                      <w:lang w:val="en-US" w:eastAsia="zh-CN"/>
                    </w:rPr>
                  </w:pPr>
                  <w:r>
                    <w:rPr>
                      <w:rFonts w:hint="eastAsia" w:ascii="Times New Roman" w:hAnsi="Times New Roman" w:eastAsia="宋体" w:cs="Times New Roman"/>
                      <w:bCs/>
                      <w:color w:val="FF0000"/>
                      <w:sz w:val="21"/>
                      <w:szCs w:val="21"/>
                      <w:u w:val="single" w:color="auto"/>
                      <w:lang w:val="en-US" w:eastAsia="zh-CN"/>
                    </w:rPr>
                    <w:t>（</w:t>
                  </w:r>
                  <w:r>
                    <w:rPr>
                      <w:rFonts w:hint="default" w:ascii="Times New Roman" w:hAnsi="Times New Roman" w:eastAsia="宋体" w:cs="Times New Roman"/>
                      <w:bCs/>
                      <w:color w:val="FF0000"/>
                      <w:sz w:val="21"/>
                      <w:szCs w:val="21"/>
                      <w:u w:val="single" w:color="auto"/>
                      <w:lang w:val="en-US" w:eastAsia="zh-CN"/>
                    </w:rPr>
                    <w:t>2.2</w:t>
                  </w:r>
                  <w:r>
                    <w:rPr>
                      <w:rFonts w:hint="eastAsia" w:ascii="Times New Roman" w:hAnsi="Times New Roman" w:eastAsia="宋体" w:cs="Times New Roman"/>
                      <w:bCs/>
                      <w:color w:val="FF0000"/>
                      <w:sz w:val="21"/>
                      <w:szCs w:val="21"/>
                      <w:u w:val="single" w:color="auto"/>
                      <w:lang w:val="en-US" w:eastAsia="zh-CN"/>
                    </w:rPr>
                    <w:t>）废气：对各企业工艺废气产出的生产节点，须配置废气收集与处理净化装置，确保达标排放；加强生产工艺研究与技术改进，采取有效措施，减少入园企业工艺废气的无组织排放。</w:t>
                  </w:r>
                </w:p>
                <w:p>
                  <w:pPr>
                    <w:adjustRightInd w:val="0"/>
                    <w:snapToGrid w:val="0"/>
                    <w:jc w:val="both"/>
                    <w:rPr>
                      <w:rFonts w:hint="eastAsia" w:ascii="Times New Roman" w:hAnsi="Times New Roman" w:eastAsia="宋体" w:cs="Times New Roman"/>
                      <w:bCs/>
                      <w:color w:val="FF0000"/>
                      <w:sz w:val="21"/>
                      <w:szCs w:val="21"/>
                      <w:u w:val="single" w:color="auto"/>
                      <w:lang w:val="en-US" w:eastAsia="zh-CN"/>
                    </w:rPr>
                  </w:pPr>
                  <w:r>
                    <w:rPr>
                      <w:rFonts w:hint="eastAsia" w:ascii="Times New Roman" w:hAnsi="Times New Roman" w:eastAsia="宋体" w:cs="Times New Roman"/>
                      <w:bCs/>
                      <w:color w:val="FF0000"/>
                      <w:sz w:val="21"/>
                      <w:szCs w:val="21"/>
                      <w:u w:val="single" w:color="auto"/>
                      <w:lang w:val="en-US" w:eastAsia="zh-CN"/>
                    </w:rPr>
                    <w:t>（</w:t>
                  </w:r>
                  <w:r>
                    <w:rPr>
                      <w:rFonts w:hint="default" w:ascii="Times New Roman" w:hAnsi="Times New Roman" w:eastAsia="宋体" w:cs="Times New Roman"/>
                      <w:bCs/>
                      <w:color w:val="FF0000"/>
                      <w:sz w:val="21"/>
                      <w:szCs w:val="21"/>
                      <w:u w:val="single" w:color="auto"/>
                      <w:lang w:val="en-US" w:eastAsia="zh-CN"/>
                    </w:rPr>
                    <w:t>2.3</w:t>
                  </w:r>
                  <w:r>
                    <w:rPr>
                      <w:rFonts w:hint="eastAsia" w:ascii="Times New Roman" w:hAnsi="Times New Roman" w:eastAsia="宋体" w:cs="Times New Roman"/>
                      <w:bCs/>
                      <w:color w:val="FF0000"/>
                      <w:sz w:val="21"/>
                      <w:szCs w:val="21"/>
                      <w:u w:val="single" w:color="auto"/>
                      <w:lang w:val="en-US" w:eastAsia="zh-CN"/>
                    </w:rPr>
                    <w:t>）开发区内相关行业及锅炉废气污染物排放满足《湖南省生态环境厅关于执行污染物特别排放限值（第一批）的公告》中的要求。</w:t>
                  </w:r>
                </w:p>
                <w:p>
                  <w:pPr>
                    <w:adjustRightInd w:val="0"/>
                    <w:snapToGrid w:val="0"/>
                    <w:jc w:val="both"/>
                    <w:rPr>
                      <w:rFonts w:ascii="Times New Roman" w:hAnsi="Times New Roman" w:eastAsia="宋体" w:cs="Times New Roman"/>
                      <w:bCs/>
                      <w:color w:val="FF0000"/>
                      <w:sz w:val="21"/>
                      <w:szCs w:val="21"/>
                      <w:u w:val="single" w:color="auto"/>
                    </w:rPr>
                  </w:pPr>
                  <w:r>
                    <w:rPr>
                      <w:rFonts w:ascii="Times New Roman" w:hAnsi="Times New Roman" w:eastAsia="宋体" w:cs="Times New Roman"/>
                      <w:bCs/>
                      <w:color w:val="FF0000"/>
                      <w:sz w:val="21"/>
                      <w:szCs w:val="21"/>
                      <w:u w:val="single" w:color="auto"/>
                      <w:lang w:val="en-US" w:eastAsia="zh-CN"/>
                    </w:rPr>
                    <w:t>（</w:t>
                  </w:r>
                  <w:r>
                    <w:rPr>
                      <w:rFonts w:hint="default" w:ascii="Times New Roman" w:hAnsi="Times New Roman" w:eastAsia="宋体" w:cs="Times New Roman"/>
                      <w:bCs/>
                      <w:color w:val="FF0000"/>
                      <w:sz w:val="21"/>
                      <w:szCs w:val="21"/>
                      <w:u w:val="single" w:color="auto"/>
                      <w:lang w:val="en-US" w:eastAsia="zh-CN"/>
                    </w:rPr>
                    <w:t>2.4</w:t>
                  </w:r>
                  <w:r>
                    <w:rPr>
                      <w:rFonts w:hint="eastAsia" w:ascii="Times New Roman" w:hAnsi="Times New Roman" w:eastAsia="宋体" w:cs="Times New Roman"/>
                      <w:bCs/>
                      <w:color w:val="FF0000"/>
                      <w:sz w:val="21"/>
                      <w:szCs w:val="21"/>
                      <w:u w:val="single" w:color="auto"/>
                      <w:lang w:val="en-US" w:eastAsia="zh-CN"/>
                    </w:rPr>
                    <w:t>）固体废弃物：做好园区工业固体废物和生活垃圾的分类收集、转运，综合利用和无害化处理，建立统一的固废收集、贮存、运输、综合利用和安全处置的运营管理体系。推行清洁生产，减少固体废物产生量；加强固体废物的资源化进程，提高综合利用率；规范固体废物处理措施，对工业企业产生的固体废物特别是危险废物应按国家有关规定综合利用或妥善处置，严防二次污染。</w:t>
                  </w:r>
                </w:p>
                <w:p>
                  <w:pPr>
                    <w:adjustRightInd w:val="0"/>
                    <w:snapToGrid w:val="0"/>
                    <w:jc w:val="both"/>
                    <w:rPr>
                      <w:rFonts w:ascii="Times New Roman" w:hAnsi="Times New Roman" w:eastAsia="宋体" w:cs="Times New Roman"/>
                      <w:bCs/>
                      <w:color w:val="FF0000"/>
                      <w:sz w:val="21"/>
                      <w:szCs w:val="21"/>
                      <w:u w:val="single" w:color="auto"/>
                    </w:rPr>
                  </w:pPr>
                  <w:r>
                    <w:rPr>
                      <w:rFonts w:hint="eastAsia" w:ascii="Times New Roman" w:hAnsi="Times New Roman" w:eastAsia="宋体" w:cs="Times New Roman"/>
                      <w:bCs/>
                      <w:color w:val="FF0000"/>
                      <w:sz w:val="21"/>
                      <w:szCs w:val="21"/>
                      <w:u w:val="single" w:color="auto"/>
                      <w:lang w:val="en-US" w:eastAsia="zh-CN"/>
                    </w:rPr>
                    <w:t>本项目生活污水依托现有化粪池处理后排入园区污水管网进入湘阴县第二污水处理厂，进一步处理后排入湘江，有机废气</w:t>
                  </w:r>
                  <w:r>
                    <w:rPr>
                      <w:rFonts w:hint="eastAsia"/>
                      <w:color w:val="FF0000"/>
                      <w:sz w:val="21"/>
                      <w:szCs w:val="21"/>
                      <w:u w:val="single" w:color="auto"/>
                      <w:lang w:val="en-US" w:eastAsia="zh-CN"/>
                    </w:rPr>
                    <w:t>由集气管道收集后统一由“UV光解催化氧化+活性炭”处理再经过15m高排气筒排放</w:t>
                  </w:r>
                  <w:r>
                    <w:rPr>
                      <w:rFonts w:hint="eastAsia" w:ascii="Times New Roman" w:hAnsi="Times New Roman" w:eastAsia="宋体" w:cs="Times New Roman"/>
                      <w:bCs/>
                      <w:color w:val="FF0000"/>
                      <w:sz w:val="21"/>
                      <w:szCs w:val="21"/>
                      <w:u w:val="single" w:color="auto"/>
                      <w:lang w:val="en-US" w:eastAsia="zh-CN"/>
                    </w:rPr>
                    <w:t>，固体废弃物均按照要求进行妥善处置，符合污染物排放管控要求</w:t>
                  </w:r>
                  <w:r>
                    <w:rPr>
                      <w:rFonts w:ascii="Times New Roman" w:hAnsi="Times New Roman" w:eastAsia="宋体" w:cs="Times New Roman"/>
                      <w:bCs/>
                      <w:color w:val="FF0000"/>
                      <w:sz w:val="21"/>
                      <w:szCs w:val="21"/>
                      <w:u w:val="single" w:color="auto"/>
                    </w:rPr>
                    <w:t>。</w:t>
                  </w:r>
                </w:p>
                <w:p>
                  <w:pPr>
                    <w:adjustRightInd w:val="0"/>
                    <w:snapToGrid w:val="0"/>
                    <w:jc w:val="both"/>
                    <w:rPr>
                      <w:rFonts w:ascii="Times New Roman" w:hAnsi="Times New Roman" w:eastAsia="宋体" w:cs="Times New Roman"/>
                      <w:bCs/>
                      <w:color w:val="FF0000"/>
                      <w:sz w:val="21"/>
                      <w:szCs w:val="21"/>
                      <w:u w:val="single" w:color="auto"/>
                    </w:rPr>
                  </w:pPr>
                  <w:r>
                    <w:rPr>
                      <w:rFonts w:ascii="Times New Roman" w:hAnsi="Times New Roman" w:eastAsia="宋体" w:cs="Times New Roman"/>
                      <w:bCs/>
                      <w:color w:val="FF0000"/>
                      <w:sz w:val="21"/>
                      <w:szCs w:val="21"/>
                      <w:u w:val="single" w:color="auto"/>
                    </w:rPr>
                    <w:t>环境风险防控：</w:t>
                  </w:r>
                </w:p>
                <w:p>
                  <w:pPr>
                    <w:adjustRightInd w:val="0"/>
                    <w:snapToGrid w:val="0"/>
                    <w:jc w:val="both"/>
                    <w:rPr>
                      <w:rFonts w:ascii="Times New Roman" w:hAnsi="Times New Roman" w:eastAsia="宋体" w:cs="Times New Roman"/>
                      <w:bCs/>
                      <w:color w:val="FF0000"/>
                      <w:sz w:val="21"/>
                      <w:szCs w:val="21"/>
                      <w:u w:val="single" w:color="auto"/>
                    </w:rPr>
                  </w:pPr>
                  <w:r>
                    <w:rPr>
                      <w:rFonts w:ascii="Times New Roman" w:hAnsi="Times New Roman" w:eastAsia="宋体" w:cs="Times New Roman"/>
                      <w:bCs/>
                      <w:color w:val="FF0000"/>
                      <w:sz w:val="21"/>
                      <w:szCs w:val="21"/>
                      <w:u w:val="single" w:color="auto"/>
                      <w:lang w:val="en-US" w:eastAsia="zh-CN"/>
                    </w:rPr>
                    <w:t>（</w:t>
                  </w:r>
                  <w:r>
                    <w:rPr>
                      <w:rFonts w:hint="default" w:ascii="Times New Roman" w:hAnsi="Times New Roman" w:eastAsia="宋体" w:cs="Times New Roman"/>
                      <w:bCs/>
                      <w:color w:val="FF0000"/>
                      <w:sz w:val="21"/>
                      <w:szCs w:val="21"/>
                      <w:u w:val="single" w:color="auto"/>
                      <w:lang w:val="en-US" w:eastAsia="zh-CN"/>
                    </w:rPr>
                    <w:t>3.1</w:t>
                  </w:r>
                  <w:r>
                    <w:rPr>
                      <w:rFonts w:hint="eastAsia" w:ascii="Times New Roman" w:hAnsi="Times New Roman" w:eastAsia="宋体" w:cs="Times New Roman"/>
                      <w:bCs/>
                      <w:color w:val="FF0000"/>
                      <w:sz w:val="21"/>
                      <w:szCs w:val="21"/>
                      <w:u w:val="single" w:color="auto"/>
                      <w:lang w:val="en-US" w:eastAsia="zh-CN"/>
                    </w:rPr>
                    <w:t xml:space="preserve">）园区应建立健全环境风险防控体系，严格落实《湖南湘阴工业园区突发环境事件应急预案》中相关要求，严防突发环境事件发生，提高应急处置能力。 </w:t>
                  </w:r>
                </w:p>
                <w:p>
                  <w:pPr>
                    <w:adjustRightInd w:val="0"/>
                    <w:snapToGrid w:val="0"/>
                    <w:jc w:val="both"/>
                    <w:rPr>
                      <w:rFonts w:ascii="Times New Roman" w:hAnsi="Times New Roman" w:eastAsia="宋体" w:cs="Times New Roman"/>
                      <w:bCs/>
                      <w:color w:val="FF0000"/>
                      <w:sz w:val="21"/>
                      <w:szCs w:val="21"/>
                      <w:u w:val="single" w:color="auto"/>
                    </w:rPr>
                  </w:pPr>
                  <w:r>
                    <w:rPr>
                      <w:rFonts w:hint="eastAsia" w:ascii="Times New Roman" w:hAnsi="Times New Roman" w:eastAsia="宋体" w:cs="Times New Roman"/>
                      <w:bCs/>
                      <w:color w:val="FF0000"/>
                      <w:sz w:val="21"/>
                      <w:szCs w:val="21"/>
                      <w:u w:val="single" w:color="auto"/>
                      <w:lang w:val="en-US" w:eastAsia="zh-CN"/>
                    </w:rPr>
                    <w:t>（</w:t>
                  </w:r>
                  <w:r>
                    <w:rPr>
                      <w:rFonts w:hint="default" w:ascii="Times New Roman" w:hAnsi="Times New Roman" w:eastAsia="宋体" w:cs="Times New Roman"/>
                      <w:bCs/>
                      <w:color w:val="FF0000"/>
                      <w:sz w:val="21"/>
                      <w:szCs w:val="21"/>
                      <w:u w:val="single" w:color="auto"/>
                      <w:lang w:val="en-US" w:eastAsia="zh-CN"/>
                    </w:rPr>
                    <w:t>3.2</w:t>
                  </w:r>
                  <w:r>
                    <w:rPr>
                      <w:rFonts w:hint="eastAsia" w:ascii="Times New Roman" w:hAnsi="Times New Roman" w:eastAsia="宋体" w:cs="Times New Roman"/>
                      <w:bCs/>
                      <w:color w:val="FF0000"/>
                      <w:sz w:val="21"/>
                      <w:szCs w:val="21"/>
                      <w:u w:val="single" w:color="auto"/>
                      <w:lang w:val="en-US" w:eastAsia="zh-CN"/>
                    </w:rPr>
                    <w:t xml:space="preserve">）园区可能发生突发环境事件的污染物排放企业，生产、储存、运输、使用危险化学品的企业，产生、收集、贮存、运输、利用、处置危险废物的企业应当编制和实施环境应急预案；鼓励其他企业制定单独的环境应急预案，或在突发事件应急预案中制定环境应急预案专章，并备案。 </w:t>
                  </w:r>
                </w:p>
                <w:p>
                  <w:pPr>
                    <w:adjustRightInd w:val="0"/>
                    <w:snapToGrid w:val="0"/>
                    <w:jc w:val="both"/>
                    <w:rPr>
                      <w:rFonts w:ascii="Times New Roman" w:hAnsi="Times New Roman" w:eastAsia="宋体" w:cs="Times New Roman"/>
                      <w:bCs/>
                      <w:color w:val="FF0000"/>
                      <w:sz w:val="21"/>
                      <w:szCs w:val="21"/>
                      <w:u w:val="single" w:color="auto"/>
                    </w:rPr>
                  </w:pPr>
                  <w:r>
                    <w:rPr>
                      <w:rFonts w:hint="eastAsia" w:ascii="Times New Roman" w:hAnsi="Times New Roman" w:eastAsia="宋体" w:cs="Times New Roman"/>
                      <w:bCs/>
                      <w:color w:val="FF0000"/>
                      <w:sz w:val="21"/>
                      <w:szCs w:val="21"/>
                      <w:u w:val="single" w:color="auto"/>
                      <w:lang w:val="en-US" w:eastAsia="zh-CN"/>
                    </w:rPr>
                    <w:t>（</w:t>
                  </w:r>
                  <w:r>
                    <w:rPr>
                      <w:rFonts w:hint="default" w:ascii="Times New Roman" w:hAnsi="Times New Roman" w:eastAsia="宋体" w:cs="Times New Roman"/>
                      <w:bCs/>
                      <w:color w:val="FF0000"/>
                      <w:sz w:val="21"/>
                      <w:szCs w:val="21"/>
                      <w:u w:val="single" w:color="auto"/>
                      <w:lang w:val="en-US" w:eastAsia="zh-CN"/>
                    </w:rPr>
                    <w:t>3.3</w:t>
                  </w:r>
                  <w:r>
                    <w:rPr>
                      <w:rFonts w:hint="eastAsia" w:ascii="Times New Roman" w:hAnsi="Times New Roman" w:eastAsia="宋体" w:cs="Times New Roman"/>
                      <w:bCs/>
                      <w:color w:val="FF0000"/>
                      <w:sz w:val="21"/>
                      <w:szCs w:val="21"/>
                      <w:u w:val="single" w:color="auto"/>
                      <w:lang w:val="en-US" w:eastAsia="zh-CN"/>
                    </w:rPr>
                    <w:t xml:space="preserve">）建设用地土壤风险防控：对拟收回土地使用权的相关行业企业用地，以及用途拟变更为居住和商业、学校、医疗、养老机构等公共设施的企业用地开展土壤环境状况调查评估。 </w:t>
                  </w:r>
                </w:p>
                <w:p>
                  <w:pPr>
                    <w:adjustRightInd w:val="0"/>
                    <w:snapToGrid w:val="0"/>
                    <w:jc w:val="both"/>
                    <w:rPr>
                      <w:rFonts w:ascii="Times New Roman" w:hAnsi="Times New Roman" w:eastAsia="宋体" w:cs="Times New Roman"/>
                      <w:bCs/>
                      <w:color w:val="FF0000"/>
                      <w:sz w:val="21"/>
                      <w:szCs w:val="21"/>
                      <w:u w:val="single" w:color="auto"/>
                    </w:rPr>
                  </w:pPr>
                  <w:r>
                    <w:rPr>
                      <w:rFonts w:hint="eastAsia" w:ascii="Times New Roman" w:hAnsi="Times New Roman" w:eastAsia="宋体" w:cs="Times New Roman"/>
                      <w:bCs/>
                      <w:color w:val="FF0000"/>
                      <w:sz w:val="21"/>
                      <w:szCs w:val="21"/>
                      <w:u w:val="single" w:color="auto"/>
                      <w:lang w:val="en-US" w:eastAsia="zh-CN"/>
                    </w:rPr>
                    <w:t>（</w:t>
                  </w:r>
                  <w:r>
                    <w:rPr>
                      <w:rFonts w:hint="default" w:ascii="Times New Roman" w:hAnsi="Times New Roman" w:eastAsia="宋体" w:cs="Times New Roman"/>
                      <w:bCs/>
                      <w:color w:val="FF0000"/>
                      <w:sz w:val="21"/>
                      <w:szCs w:val="21"/>
                      <w:u w:val="single" w:color="auto"/>
                      <w:lang w:val="en-US" w:eastAsia="zh-CN"/>
                    </w:rPr>
                    <w:t>3.4</w:t>
                  </w:r>
                  <w:r>
                    <w:rPr>
                      <w:rFonts w:hint="eastAsia" w:ascii="Times New Roman" w:hAnsi="Times New Roman" w:eastAsia="宋体" w:cs="Times New Roman"/>
                      <w:bCs/>
                      <w:color w:val="FF0000"/>
                      <w:sz w:val="21"/>
                      <w:szCs w:val="21"/>
                      <w:u w:val="single" w:color="auto"/>
                      <w:lang w:val="en-US" w:eastAsia="zh-CN"/>
                    </w:rPr>
                    <w:t>）农用地土壤风险防控：拟开发为农用地的，地方人民政府组织开展土壤环境质量状况评估；不符合相应标准的，不得种植食用农产品。</w:t>
                  </w:r>
                </w:p>
                <w:p>
                  <w:pPr>
                    <w:adjustRightInd w:val="0"/>
                    <w:snapToGrid w:val="0"/>
                    <w:jc w:val="both"/>
                    <w:rPr>
                      <w:rFonts w:ascii="Times New Roman" w:hAnsi="Times New Roman" w:eastAsia="宋体" w:cs="Times New Roman"/>
                      <w:bCs/>
                      <w:color w:val="FF0000"/>
                      <w:sz w:val="21"/>
                      <w:szCs w:val="21"/>
                      <w:u w:val="single" w:color="auto"/>
                    </w:rPr>
                  </w:pPr>
                  <w:r>
                    <w:rPr>
                      <w:rFonts w:hint="eastAsia" w:ascii="Times New Roman" w:hAnsi="Times New Roman" w:eastAsia="宋体" w:cs="Times New Roman"/>
                      <w:bCs/>
                      <w:color w:val="FF0000"/>
                      <w:sz w:val="21"/>
                      <w:szCs w:val="21"/>
                      <w:u w:val="single" w:color="auto"/>
                      <w:lang w:val="en-US" w:eastAsia="zh-CN"/>
                    </w:rPr>
                    <w:t>项目位于湘阴县工业园内，该工业园编制了《湖南湘阴工业园区突发环境事件应急预案》，本项目地面进行了硬化处理、制定了安全生产制度等，</w:t>
                  </w:r>
                  <w:r>
                    <w:rPr>
                      <w:rFonts w:ascii="Times New Roman" w:hAnsi="Times New Roman" w:eastAsia="宋体" w:cs="Times New Roman"/>
                      <w:bCs/>
                      <w:color w:val="FF0000"/>
                      <w:sz w:val="21"/>
                      <w:szCs w:val="21"/>
                      <w:u w:val="single" w:color="auto"/>
                    </w:rPr>
                    <w:t>污染防治措施完善，符合环境风险防控要求。</w:t>
                  </w:r>
                </w:p>
                <w:p>
                  <w:pPr>
                    <w:adjustRightInd w:val="0"/>
                    <w:snapToGrid w:val="0"/>
                    <w:jc w:val="both"/>
                    <w:rPr>
                      <w:rFonts w:hint="default" w:ascii="宋体" w:hAnsi="宋体" w:cs="宋体"/>
                      <w:color w:val="FF0000"/>
                      <w:kern w:val="0"/>
                      <w:sz w:val="21"/>
                      <w:szCs w:val="21"/>
                      <w:u w:val="single" w:color="auto"/>
                      <w:vertAlign w:val="baseline"/>
                      <w:lang w:val="en-US" w:eastAsia="zh-CN"/>
                    </w:rPr>
                  </w:pPr>
                </w:p>
              </w:tc>
            </w:tr>
          </w:tbl>
          <w:p>
            <w:pPr>
              <w:numPr>
                <w:ilvl w:val="0"/>
                <w:numId w:val="0"/>
              </w:numPr>
              <w:bidi w:val="0"/>
              <w:spacing w:line="360" w:lineRule="auto"/>
              <w:jc w:val="both"/>
              <w:rPr>
                <w:rFonts w:hint="default" w:ascii="宋体" w:hAnsi="宋体" w:cs="宋体"/>
                <w:b/>
                <w:bCs/>
                <w:color w:val="FF0000"/>
                <w:kern w:val="0"/>
                <w:sz w:val="24"/>
                <w:szCs w:val="24"/>
                <w:u w:val="single" w:color="auto"/>
                <w:lang w:val="en-US" w:eastAsia="zh-CN"/>
              </w:rPr>
            </w:pPr>
            <w:r>
              <w:rPr>
                <w:rFonts w:hint="eastAsia" w:ascii="宋体" w:hAnsi="宋体" w:cs="宋体"/>
                <w:b/>
                <w:bCs/>
                <w:color w:val="FF0000"/>
                <w:kern w:val="0"/>
                <w:sz w:val="24"/>
                <w:szCs w:val="24"/>
                <w:u w:val="single" w:color="auto"/>
                <w:lang w:val="en-US" w:eastAsia="zh-CN"/>
              </w:rPr>
              <w:t>6、选址合理性分析</w:t>
            </w:r>
          </w:p>
          <w:p>
            <w:pPr>
              <w:numPr>
                <w:ilvl w:val="0"/>
                <w:numId w:val="0"/>
              </w:numPr>
              <w:bidi w:val="0"/>
              <w:spacing w:line="360" w:lineRule="auto"/>
              <w:ind w:firstLine="480" w:firstLineChars="200"/>
              <w:rPr>
                <w:rFonts w:hint="eastAsia" w:ascii="宋体" w:hAnsi="宋体" w:cs="宋体"/>
                <w:color w:val="FF0000"/>
                <w:kern w:val="0"/>
                <w:sz w:val="24"/>
                <w:szCs w:val="24"/>
                <w:u w:val="single" w:color="auto"/>
                <w:lang w:val="en-US" w:eastAsia="zh-CN"/>
              </w:rPr>
            </w:pPr>
            <w:r>
              <w:rPr>
                <w:rFonts w:hint="eastAsia" w:ascii="宋体" w:hAnsi="宋体" w:cs="宋体"/>
                <w:color w:val="FF0000"/>
                <w:kern w:val="0"/>
                <w:sz w:val="24"/>
                <w:szCs w:val="24"/>
                <w:u w:val="single" w:color="auto"/>
                <w:lang w:val="en-US" w:eastAsia="zh-CN"/>
              </w:rPr>
              <w:t>项目位于湘阴县工业园属湘阴高新技术产业区范围，属于二类工业用地，项目属于橡胶和塑料制品业，符合湘阴县省轻工产业园以轻工机械、环保设备、食品加工设备、照明及照明器具、家具、光机电一体化、</w:t>
            </w:r>
            <w:r>
              <w:rPr>
                <w:rFonts w:hint="eastAsia" w:ascii="宋体" w:hAnsi="宋体" w:cs="宋体"/>
                <w:b/>
                <w:bCs/>
                <w:color w:val="FF0000"/>
                <w:kern w:val="0"/>
                <w:sz w:val="24"/>
                <w:szCs w:val="24"/>
                <w:u w:val="single" w:color="auto"/>
                <w:lang w:val="en-US" w:eastAsia="zh-CN"/>
              </w:rPr>
              <w:t>塑料加工</w:t>
            </w:r>
            <w:r>
              <w:rPr>
                <w:rFonts w:hint="eastAsia" w:ascii="宋体" w:hAnsi="宋体" w:cs="宋体"/>
                <w:color w:val="FF0000"/>
                <w:kern w:val="0"/>
                <w:sz w:val="24"/>
                <w:szCs w:val="24"/>
                <w:u w:val="single" w:color="auto"/>
                <w:lang w:val="en-US" w:eastAsia="zh-CN"/>
              </w:rPr>
              <w:t>、新材料、生物工程和环保工业等为主导的总体规划要求，同时，根据项目建设用地规划许可证，本项目所在地规划为二类工业用地，本项目为塑料加工项目，符合省轻工产业园用地规划；评价区域内空气、纳污水体环境质量、声环境质量基本能满足相应功能区要求，有一定的环境容量；项目技术成熟先进，产品市场畅销；本项目投产后可以为当地村民创造更多的就业机会，带动当地经济发展；该项目技术优势明显，环保设备能达标并稳定运行，项目投产后对周围环境的符合相关标准要求。</w:t>
            </w:r>
          </w:p>
          <w:p>
            <w:pPr>
              <w:numPr>
                <w:ilvl w:val="0"/>
                <w:numId w:val="0"/>
              </w:numPr>
              <w:bidi w:val="0"/>
              <w:spacing w:line="360" w:lineRule="auto"/>
              <w:ind w:firstLine="480" w:firstLineChars="200"/>
              <w:rPr>
                <w:rFonts w:hint="eastAsia" w:ascii="宋体" w:hAnsi="宋体" w:cs="宋体"/>
                <w:color w:val="FF0000"/>
                <w:kern w:val="0"/>
                <w:sz w:val="24"/>
                <w:szCs w:val="24"/>
                <w:u w:val="single" w:color="auto"/>
                <w:lang w:val="en-US" w:eastAsia="zh-CN"/>
              </w:rPr>
            </w:pPr>
            <w:r>
              <w:rPr>
                <w:rFonts w:hint="eastAsia" w:ascii="宋体" w:hAnsi="宋体" w:cs="宋体"/>
                <w:color w:val="FF0000"/>
                <w:kern w:val="0"/>
                <w:sz w:val="24"/>
                <w:szCs w:val="24"/>
                <w:u w:val="single" w:color="auto"/>
                <w:lang w:val="en-US" w:eastAsia="zh-CN"/>
              </w:rPr>
              <w:t>综上所述，本项目的区位优势明显，符合规划、环保等方面的相关要求，选址合理。</w:t>
            </w:r>
          </w:p>
          <w:p>
            <w:pPr>
              <w:numPr>
                <w:ilvl w:val="0"/>
                <w:numId w:val="0"/>
              </w:numPr>
              <w:bidi w:val="0"/>
              <w:spacing w:line="360" w:lineRule="auto"/>
              <w:rPr>
                <w:rFonts w:hint="default" w:ascii="宋体" w:hAnsi="宋体" w:cs="宋体"/>
                <w:b/>
                <w:bCs/>
                <w:color w:val="FF0000"/>
                <w:kern w:val="0"/>
                <w:sz w:val="24"/>
                <w:szCs w:val="24"/>
                <w:u w:val="single" w:color="auto"/>
                <w:lang w:val="en-US" w:eastAsia="zh-CN"/>
              </w:rPr>
            </w:pPr>
            <w:r>
              <w:rPr>
                <w:rFonts w:hint="eastAsia" w:ascii="宋体" w:hAnsi="宋体" w:cs="宋体"/>
                <w:b/>
                <w:bCs/>
                <w:color w:val="FF0000"/>
                <w:kern w:val="0"/>
                <w:sz w:val="24"/>
                <w:szCs w:val="24"/>
                <w:u w:val="single" w:color="auto"/>
                <w:lang w:val="en-US" w:eastAsia="zh-CN"/>
              </w:rPr>
              <w:t>7、平面布置合理性分析</w:t>
            </w:r>
          </w:p>
          <w:p>
            <w:pPr>
              <w:numPr>
                <w:ilvl w:val="0"/>
                <w:numId w:val="0"/>
              </w:numPr>
              <w:bidi w:val="0"/>
              <w:spacing w:line="360" w:lineRule="auto"/>
              <w:ind w:firstLine="480" w:firstLineChars="200"/>
              <w:rPr>
                <w:rFonts w:hint="eastAsia" w:ascii="宋体" w:hAnsi="宋体" w:eastAsia="宋体" w:cs="宋体"/>
                <w:color w:val="FF0000"/>
                <w:kern w:val="0"/>
                <w:sz w:val="24"/>
                <w:szCs w:val="24"/>
                <w:u w:val="single" w:color="auto"/>
                <w:lang w:val="en-US" w:eastAsia="zh-CN"/>
              </w:rPr>
            </w:pPr>
            <w:r>
              <w:rPr>
                <w:rFonts w:hint="eastAsia" w:ascii="宋体" w:hAnsi="宋体" w:cs="宋体"/>
                <w:color w:val="FF0000"/>
                <w:kern w:val="0"/>
                <w:sz w:val="24"/>
                <w:szCs w:val="24"/>
                <w:u w:val="single" w:color="auto"/>
                <w:lang w:val="en-US" w:eastAsia="zh-CN"/>
              </w:rPr>
              <w:t>项目依托</w:t>
            </w:r>
            <w:r>
              <w:rPr>
                <w:rFonts w:hint="eastAsia" w:ascii="宋体" w:hAnsi="宋体" w:cs="宋体"/>
                <w:color w:val="FF0000"/>
                <w:sz w:val="24"/>
                <w:szCs w:val="24"/>
                <w:u w:val="single" w:color="auto"/>
                <w:lang w:val="en-US" w:eastAsia="zh-CN"/>
              </w:rPr>
              <w:t>湖南定宇新材料科技有限公司</w:t>
            </w:r>
            <w:r>
              <w:rPr>
                <w:rFonts w:hint="eastAsia" w:ascii="宋体" w:hAnsi="宋体" w:eastAsia="宋体" w:cs="宋体"/>
                <w:color w:val="FF0000"/>
                <w:kern w:val="0"/>
                <w:sz w:val="24"/>
                <w:szCs w:val="24"/>
                <w:u w:val="single" w:color="auto"/>
                <w:lang w:val="en-US" w:eastAsia="zh-CN"/>
              </w:rPr>
              <w:t>现有厂房，</w:t>
            </w:r>
            <w:r>
              <w:rPr>
                <w:rFonts w:hint="eastAsia" w:ascii="宋体" w:hAnsi="宋体" w:cs="宋体"/>
                <w:color w:val="FF0000"/>
                <w:kern w:val="0"/>
                <w:sz w:val="24"/>
                <w:szCs w:val="24"/>
                <w:u w:val="single" w:color="auto"/>
                <w:lang w:val="en-US" w:eastAsia="zh-CN"/>
              </w:rPr>
              <w:t>车间南部为办公室，北部为成品仓库，在车间中部设置过道将车间中部划分成东西两个部分，东侧由北往南依次为熔融成型区（吹塑区、拌料区）、原材料仓库，西侧由北往南依次为成品打包区、待检区、粉碎料暂存区、原材料仓库。车间外南部建设有独立的空压机房、循环水泵组以及循环水池。</w:t>
            </w:r>
            <w:r>
              <w:rPr>
                <w:rFonts w:hint="eastAsia" w:ascii="宋体" w:hAnsi="宋体" w:eastAsia="宋体" w:cs="宋体"/>
                <w:color w:val="FF0000"/>
                <w:kern w:val="0"/>
                <w:sz w:val="24"/>
                <w:szCs w:val="24"/>
                <w:u w:val="single" w:color="auto"/>
                <w:lang w:val="en-US" w:eastAsia="zh-CN"/>
              </w:rPr>
              <w:t>平面布置考虑了生产的特点，工艺顺畅，各工序衔接紧凑，利于生产活动，功能分区明确，环保设施齐全，将其活动对外界环境的影响降低到最小程度。</w:t>
            </w:r>
            <w:r>
              <w:rPr>
                <w:rFonts w:hint="eastAsia" w:ascii="宋体" w:hAnsi="宋体" w:cs="宋体"/>
                <w:color w:val="FF0000"/>
                <w:kern w:val="0"/>
                <w:sz w:val="24"/>
                <w:szCs w:val="24"/>
                <w:u w:val="single" w:color="auto"/>
                <w:lang w:val="en-US" w:eastAsia="zh-CN"/>
              </w:rPr>
              <w:t>西</w:t>
            </w:r>
            <w:r>
              <w:rPr>
                <w:rFonts w:hint="eastAsia" w:ascii="宋体" w:hAnsi="宋体" w:eastAsia="宋体" w:cs="宋体"/>
                <w:color w:val="FF0000"/>
                <w:kern w:val="0"/>
                <w:sz w:val="24"/>
                <w:szCs w:val="24"/>
                <w:u w:val="single" w:color="auto"/>
                <w:lang w:val="en-US" w:eastAsia="zh-CN"/>
              </w:rPr>
              <w:t>面和</w:t>
            </w:r>
            <w:r>
              <w:rPr>
                <w:rFonts w:hint="eastAsia" w:ascii="宋体" w:hAnsi="宋体" w:cs="宋体"/>
                <w:color w:val="FF0000"/>
                <w:kern w:val="0"/>
                <w:sz w:val="24"/>
                <w:szCs w:val="24"/>
                <w:u w:val="single" w:color="auto"/>
                <w:lang w:val="en-US" w:eastAsia="zh-CN"/>
              </w:rPr>
              <w:t>南</w:t>
            </w:r>
            <w:r>
              <w:rPr>
                <w:rFonts w:hint="eastAsia" w:ascii="宋体" w:hAnsi="宋体" w:eastAsia="宋体" w:cs="宋体"/>
                <w:color w:val="FF0000"/>
                <w:kern w:val="0"/>
                <w:sz w:val="24"/>
                <w:szCs w:val="24"/>
                <w:u w:val="single" w:color="auto"/>
                <w:lang w:val="en-US" w:eastAsia="zh-CN"/>
              </w:rPr>
              <w:t>面两侧临近道路，设置进出口，方便人流物流通畅。</w:t>
            </w:r>
          </w:p>
          <w:p>
            <w:pPr>
              <w:numPr>
                <w:ilvl w:val="0"/>
                <w:numId w:val="0"/>
              </w:numPr>
              <w:bidi w:val="0"/>
              <w:spacing w:line="360" w:lineRule="auto"/>
              <w:ind w:firstLine="480" w:firstLineChars="200"/>
              <w:rPr>
                <w:rFonts w:hint="eastAsia" w:ascii="宋体" w:hAnsi="宋体" w:eastAsia="宋体" w:cs="宋体"/>
                <w:kern w:val="0"/>
                <w:sz w:val="24"/>
                <w:szCs w:val="24"/>
                <w:u w:val="single" w:color="auto"/>
                <w:lang w:val="en-US" w:eastAsia="zh-CN"/>
              </w:rPr>
            </w:pPr>
            <w:r>
              <w:rPr>
                <w:rFonts w:hint="eastAsia" w:ascii="宋体" w:hAnsi="宋体" w:eastAsia="宋体" w:cs="宋体"/>
                <w:color w:val="FF0000"/>
                <w:kern w:val="0"/>
                <w:sz w:val="24"/>
                <w:szCs w:val="24"/>
                <w:u w:val="single" w:color="auto"/>
                <w:lang w:val="en-US" w:eastAsia="zh-CN"/>
              </w:rPr>
              <w:t>综上所述，本项目总体布局和功能分区充分考虑了位置、朝向等各个因素，各类污染防治措施布置合理可行，保证了污染物的达标排放及合理处置。</w:t>
            </w:r>
          </w:p>
        </w:tc>
      </w:tr>
    </w:tbl>
    <w:p>
      <w:pPr>
        <w:spacing w:line="360" w:lineRule="auto"/>
        <w:outlineLvl w:val="0"/>
        <w:rPr>
          <w:rFonts w:eastAsia="黑体"/>
          <w:sz w:val="30"/>
          <w:u w:val="single" w:color="auto"/>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12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6" w:type="dxa"/>
            <w:vAlign w:val="center"/>
          </w:tcPr>
          <w:p>
            <w:pPr>
              <w:pStyle w:val="2"/>
              <w:ind w:left="0" w:leftChars="0" w:firstLine="0" w:firstLineChars="0"/>
              <w:jc w:val="both"/>
              <w:rPr>
                <w:rFonts w:hint="default" w:eastAsia="宋体"/>
                <w:u w:val="single" w:color="auto"/>
                <w:vertAlign w:val="baseline"/>
                <w:lang w:val="en-US" w:eastAsia="zh-CN"/>
              </w:rPr>
            </w:pPr>
            <w:r>
              <w:rPr>
                <w:rFonts w:hint="eastAsia"/>
                <w:u w:val="single" w:color="auto"/>
                <w:vertAlign w:val="baseline"/>
                <w:lang w:val="en-US" w:eastAsia="zh-CN"/>
              </w:rPr>
              <w:t>其他符合性分析</w:t>
            </w:r>
          </w:p>
        </w:tc>
        <w:tc>
          <w:tcPr>
            <w:tcW w:w="12886" w:type="dxa"/>
            <w:vAlign w:val="center"/>
          </w:tcPr>
          <w:p>
            <w:pPr>
              <w:autoSpaceDE w:val="0"/>
              <w:autoSpaceDN w:val="0"/>
              <w:adjustRightInd w:val="0"/>
              <w:snapToGrid w:val="0"/>
              <w:spacing w:line="360" w:lineRule="auto"/>
              <w:rPr>
                <w:rFonts w:hint="eastAsia" w:ascii="宋体" w:hAnsi="宋体" w:eastAsia="宋体" w:cs="宋体"/>
                <w:b/>
                <w:bCs/>
                <w:color w:val="FF0000"/>
                <w:kern w:val="0"/>
                <w:sz w:val="24"/>
                <w:szCs w:val="24"/>
                <w:u w:val="single" w:color="auto"/>
                <w:lang w:val="en-US" w:eastAsia="zh-CN"/>
              </w:rPr>
            </w:pPr>
            <w:r>
              <w:rPr>
                <w:rFonts w:hint="eastAsia" w:ascii="宋体" w:hAnsi="宋体" w:cs="宋体"/>
                <w:b/>
                <w:bCs/>
                <w:color w:val="FF0000"/>
                <w:kern w:val="0"/>
                <w:sz w:val="24"/>
                <w:szCs w:val="24"/>
                <w:u w:val="single" w:color="auto"/>
                <w:lang w:val="en-US" w:eastAsia="zh-CN"/>
              </w:rPr>
              <w:t>8</w:t>
            </w:r>
            <w:r>
              <w:rPr>
                <w:rFonts w:hint="eastAsia" w:ascii="宋体" w:hAnsi="宋体" w:eastAsia="宋体" w:cs="宋体"/>
                <w:b/>
                <w:bCs/>
                <w:color w:val="FF0000"/>
                <w:kern w:val="0"/>
                <w:sz w:val="24"/>
                <w:szCs w:val="24"/>
                <w:u w:val="single" w:color="auto"/>
                <w:lang w:val="en-US" w:eastAsia="zh-CN"/>
              </w:rPr>
              <w:t>、</w:t>
            </w:r>
            <w:r>
              <w:rPr>
                <w:rFonts w:hint="default" w:ascii="宋体" w:hAnsi="宋体" w:eastAsia="宋体" w:cs="宋体"/>
                <w:b/>
                <w:bCs/>
                <w:color w:val="FF0000"/>
                <w:kern w:val="0"/>
                <w:sz w:val="24"/>
                <w:szCs w:val="24"/>
                <w:u w:val="single" w:color="auto"/>
                <w:lang w:val="en-US" w:eastAsia="zh-CN"/>
              </w:rPr>
              <w:t>与</w:t>
            </w:r>
            <w:r>
              <w:rPr>
                <w:rFonts w:hint="eastAsia" w:ascii="宋体" w:hAnsi="宋体" w:eastAsia="宋体" w:cs="宋体"/>
                <w:b/>
                <w:bCs/>
                <w:color w:val="FF0000"/>
                <w:kern w:val="0"/>
                <w:sz w:val="24"/>
                <w:szCs w:val="24"/>
                <w:u w:val="single" w:color="auto"/>
                <w:lang w:val="en-US" w:eastAsia="zh-CN"/>
              </w:rPr>
              <w:t>湘阴县文星镇</w:t>
            </w:r>
            <w:r>
              <w:rPr>
                <w:rFonts w:hint="default" w:ascii="宋体" w:hAnsi="宋体" w:eastAsia="宋体" w:cs="宋体"/>
                <w:b/>
                <w:bCs/>
                <w:color w:val="FF0000"/>
                <w:kern w:val="0"/>
                <w:sz w:val="24"/>
                <w:szCs w:val="24"/>
                <w:u w:val="single" w:color="auto"/>
                <w:lang w:val="en-US" w:eastAsia="zh-CN"/>
              </w:rPr>
              <w:t>“三线一单”生态环境分区管控要求的符合性分析</w:t>
            </w:r>
          </w:p>
          <w:p>
            <w:pPr>
              <w:bidi w:val="0"/>
              <w:spacing w:line="360" w:lineRule="auto"/>
              <w:ind w:firstLine="480" w:firstLineChars="200"/>
              <w:rPr>
                <w:rFonts w:hint="eastAsia"/>
                <w:color w:val="FF0000"/>
                <w:sz w:val="24"/>
                <w:szCs w:val="24"/>
                <w:u w:val="single" w:color="auto"/>
                <w:lang w:val="en-US" w:eastAsia="zh-CN"/>
              </w:rPr>
            </w:pPr>
            <w:r>
              <w:rPr>
                <w:rFonts w:hint="eastAsia"/>
                <w:color w:val="FF0000"/>
                <w:sz w:val="24"/>
                <w:szCs w:val="24"/>
                <w:u w:val="single" w:color="auto"/>
                <w:lang w:val="en-US" w:eastAsia="zh-CN"/>
              </w:rPr>
              <w:t>根据《岳阳市人民政府关于实施岳阳市“三线一单”生态环境分区管控的意见》（岳政发[2021]2号），文星镇环境管控单元概况及本项目与文星镇“三线一单”生态环境分区管控要求符合性分析分别详见表1-3和表1-4。</w:t>
            </w:r>
          </w:p>
          <w:p>
            <w:pPr>
              <w:bidi w:val="0"/>
              <w:spacing w:line="360" w:lineRule="auto"/>
              <w:jc w:val="center"/>
              <w:rPr>
                <w:rFonts w:hint="eastAsia"/>
                <w:b/>
                <w:bCs/>
                <w:color w:val="FF0000"/>
                <w:sz w:val="24"/>
                <w:szCs w:val="24"/>
                <w:u w:val="single" w:color="auto"/>
                <w:lang w:val="en-US" w:eastAsia="zh-CN"/>
              </w:rPr>
            </w:pPr>
            <w:r>
              <w:rPr>
                <w:rFonts w:hint="eastAsia"/>
                <w:b/>
                <w:bCs/>
                <w:color w:val="FF0000"/>
                <w:sz w:val="24"/>
                <w:szCs w:val="24"/>
                <w:u w:val="single" w:color="auto"/>
                <w:lang w:val="en-US" w:eastAsia="zh-CN"/>
              </w:rPr>
              <w:t>表1-3  文星镇环境管控单元概况一览表</w:t>
            </w:r>
          </w:p>
          <w:tbl>
            <w:tblPr>
              <w:tblStyle w:val="15"/>
              <w:tblW w:w="4998"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867"/>
              <w:gridCol w:w="427"/>
              <w:gridCol w:w="427"/>
              <w:gridCol w:w="427"/>
              <w:gridCol w:w="511"/>
              <w:gridCol w:w="998"/>
              <w:gridCol w:w="910"/>
              <w:gridCol w:w="836"/>
              <w:gridCol w:w="3245"/>
              <w:gridCol w:w="23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99" w:type="pct"/>
                  <w:vMerge w:val="restart"/>
                  <w:tcBorders>
                    <w:tl2br w:val="nil"/>
                    <w:tr2bl w:val="nil"/>
                  </w:tcBorders>
                  <w:vAlign w:val="center"/>
                </w:tcPr>
                <w:p>
                  <w:pPr>
                    <w:bidi w:val="0"/>
                    <w:spacing w:line="240" w:lineRule="auto"/>
                    <w:jc w:val="center"/>
                    <w:rPr>
                      <w:rFonts w:hint="default"/>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环境管控单元编码</w:t>
                  </w:r>
                </w:p>
              </w:tc>
              <w:tc>
                <w:tcPr>
                  <w:tcW w:w="375" w:type="pct"/>
                  <w:vMerge w:val="restart"/>
                  <w:tcBorders>
                    <w:tl2br w:val="nil"/>
                    <w:tr2bl w:val="nil"/>
                  </w:tcBorders>
                  <w:vAlign w:val="center"/>
                </w:tcPr>
                <w:p>
                  <w:pPr>
                    <w:bidi w:val="0"/>
                    <w:spacing w:line="240" w:lineRule="auto"/>
                    <w:jc w:val="center"/>
                    <w:rPr>
                      <w:rFonts w:hint="eastAsia"/>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单元</w:t>
                  </w:r>
                </w:p>
                <w:p>
                  <w:pPr>
                    <w:bidi w:val="0"/>
                    <w:spacing w:line="240" w:lineRule="auto"/>
                    <w:jc w:val="center"/>
                    <w:rPr>
                      <w:rFonts w:hint="default"/>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名称</w:t>
                  </w:r>
                </w:p>
              </w:tc>
              <w:tc>
                <w:tcPr>
                  <w:tcW w:w="554" w:type="pct"/>
                  <w:gridSpan w:val="3"/>
                  <w:tcBorders>
                    <w:tl2br w:val="nil"/>
                    <w:tr2bl w:val="nil"/>
                  </w:tcBorders>
                  <w:vAlign w:val="center"/>
                </w:tcPr>
                <w:p>
                  <w:pPr>
                    <w:bidi w:val="0"/>
                    <w:spacing w:line="240" w:lineRule="auto"/>
                    <w:jc w:val="center"/>
                    <w:rPr>
                      <w:rFonts w:hint="eastAsia"/>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行政区划</w:t>
                  </w:r>
                </w:p>
              </w:tc>
              <w:tc>
                <w:tcPr>
                  <w:tcW w:w="282" w:type="pct"/>
                  <w:vMerge w:val="restart"/>
                  <w:tcBorders>
                    <w:tl2br w:val="nil"/>
                    <w:tr2bl w:val="nil"/>
                  </w:tcBorders>
                  <w:vAlign w:val="center"/>
                </w:tcPr>
                <w:p>
                  <w:pPr>
                    <w:bidi w:val="0"/>
                    <w:spacing w:line="240" w:lineRule="auto"/>
                    <w:jc w:val="center"/>
                    <w:rPr>
                      <w:rFonts w:hint="default"/>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单元分类</w:t>
                  </w:r>
                </w:p>
              </w:tc>
              <w:tc>
                <w:tcPr>
                  <w:tcW w:w="363" w:type="pct"/>
                  <w:vMerge w:val="restart"/>
                  <w:tcBorders>
                    <w:tl2br w:val="nil"/>
                    <w:tr2bl w:val="nil"/>
                  </w:tcBorders>
                  <w:vAlign w:val="center"/>
                </w:tcPr>
                <w:p>
                  <w:pPr>
                    <w:bidi w:val="0"/>
                    <w:spacing w:line="240" w:lineRule="auto"/>
                    <w:jc w:val="center"/>
                    <w:rPr>
                      <w:rFonts w:hint="eastAsia"/>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单元</w:t>
                  </w:r>
                </w:p>
                <w:p>
                  <w:pPr>
                    <w:bidi w:val="0"/>
                    <w:spacing w:line="240" w:lineRule="auto"/>
                    <w:jc w:val="center"/>
                    <w:rPr>
                      <w:rFonts w:hint="default"/>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面积（km</w:t>
                  </w:r>
                  <w:r>
                    <w:rPr>
                      <w:rFonts w:hint="eastAsia"/>
                      <w:b/>
                      <w:bCs/>
                      <w:color w:val="FF0000"/>
                      <w:sz w:val="21"/>
                      <w:szCs w:val="21"/>
                      <w:u w:val="single" w:color="auto"/>
                      <w:vertAlign w:val="superscript"/>
                      <w:lang w:val="en-US" w:eastAsia="zh-CN"/>
                    </w:rPr>
                    <w:t>2</w:t>
                  </w:r>
                  <w:r>
                    <w:rPr>
                      <w:rFonts w:hint="eastAsia"/>
                      <w:b/>
                      <w:bCs/>
                      <w:color w:val="FF0000"/>
                      <w:sz w:val="21"/>
                      <w:szCs w:val="21"/>
                      <w:u w:val="single" w:color="auto"/>
                      <w:vertAlign w:val="baseline"/>
                      <w:lang w:val="en-US" w:eastAsia="zh-CN"/>
                    </w:rPr>
                    <w:t>）</w:t>
                  </w:r>
                </w:p>
              </w:tc>
              <w:tc>
                <w:tcPr>
                  <w:tcW w:w="392" w:type="pct"/>
                  <w:vMerge w:val="restart"/>
                  <w:tcBorders>
                    <w:tl2br w:val="nil"/>
                    <w:tr2bl w:val="nil"/>
                  </w:tcBorders>
                  <w:vAlign w:val="center"/>
                </w:tcPr>
                <w:p>
                  <w:pPr>
                    <w:bidi w:val="0"/>
                    <w:spacing w:line="240" w:lineRule="auto"/>
                    <w:jc w:val="center"/>
                    <w:rPr>
                      <w:rFonts w:hint="eastAsia"/>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涉及</w:t>
                  </w:r>
                </w:p>
                <w:p>
                  <w:pPr>
                    <w:bidi w:val="0"/>
                    <w:spacing w:line="240" w:lineRule="auto"/>
                    <w:jc w:val="center"/>
                    <w:rPr>
                      <w:rFonts w:hint="eastAsia"/>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乡镇</w:t>
                  </w:r>
                </w:p>
                <w:p>
                  <w:pPr>
                    <w:bidi w:val="0"/>
                    <w:spacing w:line="240" w:lineRule="auto"/>
                    <w:jc w:val="center"/>
                    <w:rPr>
                      <w:rFonts w:hint="default"/>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（街道）</w:t>
                  </w:r>
                </w:p>
              </w:tc>
              <w:tc>
                <w:tcPr>
                  <w:tcW w:w="363" w:type="pct"/>
                  <w:vMerge w:val="restart"/>
                  <w:tcBorders>
                    <w:tl2br w:val="nil"/>
                    <w:tr2bl w:val="nil"/>
                  </w:tcBorders>
                  <w:vAlign w:val="center"/>
                </w:tcPr>
                <w:p>
                  <w:pPr>
                    <w:bidi w:val="0"/>
                    <w:spacing w:line="240" w:lineRule="auto"/>
                    <w:jc w:val="center"/>
                    <w:rPr>
                      <w:rFonts w:hint="default"/>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主体功能定位</w:t>
                  </w:r>
                </w:p>
              </w:tc>
              <w:tc>
                <w:tcPr>
                  <w:tcW w:w="1316" w:type="pct"/>
                  <w:vMerge w:val="restart"/>
                  <w:tcBorders>
                    <w:tl2br w:val="nil"/>
                    <w:tr2bl w:val="nil"/>
                  </w:tcBorders>
                  <w:vAlign w:val="center"/>
                </w:tcPr>
                <w:p>
                  <w:pPr>
                    <w:bidi w:val="0"/>
                    <w:spacing w:line="240" w:lineRule="auto"/>
                    <w:jc w:val="center"/>
                    <w:rPr>
                      <w:rFonts w:hint="default"/>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经济产业布局</w:t>
                  </w:r>
                </w:p>
              </w:tc>
              <w:tc>
                <w:tcPr>
                  <w:tcW w:w="950" w:type="pct"/>
                  <w:vMerge w:val="restart"/>
                  <w:tcBorders>
                    <w:tl2br w:val="nil"/>
                    <w:tr2bl w:val="nil"/>
                  </w:tcBorders>
                  <w:vAlign w:val="center"/>
                </w:tcPr>
                <w:p>
                  <w:pPr>
                    <w:bidi w:val="0"/>
                    <w:spacing w:line="240" w:lineRule="auto"/>
                    <w:jc w:val="center"/>
                    <w:rPr>
                      <w:rFonts w:hint="default"/>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主要环境问题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99" w:type="pct"/>
                  <w:vMerge w:val="continue"/>
                  <w:tcBorders>
                    <w:tl2br w:val="nil"/>
                    <w:tr2bl w:val="nil"/>
                  </w:tcBorders>
                  <w:vAlign w:val="center"/>
                </w:tcPr>
                <w:p>
                  <w:pPr>
                    <w:bidi w:val="0"/>
                    <w:spacing w:line="240" w:lineRule="auto"/>
                    <w:jc w:val="center"/>
                    <w:rPr>
                      <w:rFonts w:hint="eastAsia"/>
                      <w:color w:val="FF0000"/>
                      <w:sz w:val="21"/>
                      <w:szCs w:val="21"/>
                      <w:u w:val="single" w:color="auto"/>
                      <w:vertAlign w:val="baseline"/>
                      <w:lang w:val="en-US" w:eastAsia="zh-CN"/>
                    </w:rPr>
                  </w:pPr>
                </w:p>
              </w:tc>
              <w:tc>
                <w:tcPr>
                  <w:tcW w:w="375" w:type="pct"/>
                  <w:vMerge w:val="continue"/>
                  <w:tcBorders>
                    <w:tl2br w:val="nil"/>
                    <w:tr2bl w:val="nil"/>
                  </w:tcBorders>
                  <w:vAlign w:val="center"/>
                </w:tcPr>
                <w:p>
                  <w:pPr>
                    <w:bidi w:val="0"/>
                    <w:spacing w:line="240" w:lineRule="auto"/>
                    <w:jc w:val="center"/>
                    <w:rPr>
                      <w:rFonts w:hint="eastAsia"/>
                      <w:color w:val="FF0000"/>
                      <w:sz w:val="21"/>
                      <w:szCs w:val="21"/>
                      <w:u w:val="single" w:color="auto"/>
                      <w:vertAlign w:val="baseline"/>
                      <w:lang w:val="en-US" w:eastAsia="zh-CN"/>
                    </w:rPr>
                  </w:pPr>
                </w:p>
              </w:tc>
              <w:tc>
                <w:tcPr>
                  <w:tcW w:w="184" w:type="pct"/>
                  <w:tcBorders>
                    <w:tl2br w:val="nil"/>
                    <w:tr2bl w:val="nil"/>
                  </w:tcBorders>
                  <w:vAlign w:val="center"/>
                </w:tcPr>
                <w:p>
                  <w:pPr>
                    <w:bidi w:val="0"/>
                    <w:spacing w:line="240" w:lineRule="auto"/>
                    <w:jc w:val="center"/>
                    <w:rPr>
                      <w:rFonts w:hint="default"/>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省</w:t>
                  </w:r>
                </w:p>
              </w:tc>
              <w:tc>
                <w:tcPr>
                  <w:tcW w:w="184" w:type="pct"/>
                  <w:tcBorders>
                    <w:tl2br w:val="nil"/>
                    <w:tr2bl w:val="nil"/>
                  </w:tcBorders>
                  <w:vAlign w:val="center"/>
                </w:tcPr>
                <w:p>
                  <w:pPr>
                    <w:bidi w:val="0"/>
                    <w:spacing w:line="240" w:lineRule="auto"/>
                    <w:jc w:val="center"/>
                    <w:rPr>
                      <w:rFonts w:hint="default"/>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市</w:t>
                  </w:r>
                </w:p>
              </w:tc>
              <w:tc>
                <w:tcPr>
                  <w:tcW w:w="184" w:type="pct"/>
                  <w:tcBorders>
                    <w:tl2br w:val="nil"/>
                    <w:tr2bl w:val="nil"/>
                  </w:tcBorders>
                  <w:vAlign w:val="center"/>
                </w:tcPr>
                <w:p>
                  <w:pPr>
                    <w:bidi w:val="0"/>
                    <w:spacing w:line="240" w:lineRule="auto"/>
                    <w:jc w:val="center"/>
                    <w:rPr>
                      <w:rFonts w:hint="default"/>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县</w:t>
                  </w:r>
                </w:p>
              </w:tc>
              <w:tc>
                <w:tcPr>
                  <w:tcW w:w="282" w:type="pct"/>
                  <w:vMerge w:val="continue"/>
                  <w:tcBorders>
                    <w:tl2br w:val="nil"/>
                    <w:tr2bl w:val="nil"/>
                  </w:tcBorders>
                  <w:vAlign w:val="center"/>
                </w:tcPr>
                <w:p>
                  <w:pPr>
                    <w:bidi w:val="0"/>
                    <w:spacing w:line="240" w:lineRule="auto"/>
                    <w:jc w:val="center"/>
                    <w:rPr>
                      <w:rFonts w:hint="eastAsia"/>
                      <w:color w:val="FF0000"/>
                      <w:sz w:val="21"/>
                      <w:szCs w:val="21"/>
                      <w:u w:val="single" w:color="auto"/>
                      <w:vertAlign w:val="baseline"/>
                      <w:lang w:val="en-US" w:eastAsia="zh-CN"/>
                    </w:rPr>
                  </w:pPr>
                </w:p>
              </w:tc>
              <w:tc>
                <w:tcPr>
                  <w:tcW w:w="363" w:type="pct"/>
                  <w:vMerge w:val="continue"/>
                  <w:tcBorders>
                    <w:tl2br w:val="nil"/>
                    <w:tr2bl w:val="nil"/>
                  </w:tcBorders>
                  <w:vAlign w:val="center"/>
                </w:tcPr>
                <w:p>
                  <w:pPr>
                    <w:bidi w:val="0"/>
                    <w:spacing w:line="240" w:lineRule="auto"/>
                    <w:jc w:val="center"/>
                    <w:rPr>
                      <w:rFonts w:hint="eastAsia"/>
                      <w:color w:val="FF0000"/>
                      <w:sz w:val="21"/>
                      <w:szCs w:val="21"/>
                      <w:u w:val="single" w:color="auto"/>
                      <w:vertAlign w:val="baseline"/>
                      <w:lang w:val="en-US" w:eastAsia="zh-CN"/>
                    </w:rPr>
                  </w:pPr>
                </w:p>
              </w:tc>
              <w:tc>
                <w:tcPr>
                  <w:tcW w:w="392" w:type="pct"/>
                  <w:vMerge w:val="continue"/>
                  <w:tcBorders>
                    <w:tl2br w:val="nil"/>
                    <w:tr2bl w:val="nil"/>
                  </w:tcBorders>
                  <w:vAlign w:val="center"/>
                </w:tcPr>
                <w:p>
                  <w:pPr>
                    <w:bidi w:val="0"/>
                    <w:spacing w:line="240" w:lineRule="auto"/>
                    <w:jc w:val="center"/>
                    <w:rPr>
                      <w:rFonts w:hint="eastAsia"/>
                      <w:color w:val="FF0000"/>
                      <w:sz w:val="21"/>
                      <w:szCs w:val="21"/>
                      <w:u w:val="single" w:color="auto"/>
                      <w:vertAlign w:val="baseline"/>
                      <w:lang w:val="en-US" w:eastAsia="zh-CN"/>
                    </w:rPr>
                  </w:pPr>
                </w:p>
              </w:tc>
              <w:tc>
                <w:tcPr>
                  <w:tcW w:w="363" w:type="pct"/>
                  <w:vMerge w:val="continue"/>
                  <w:tcBorders>
                    <w:tl2br w:val="nil"/>
                    <w:tr2bl w:val="nil"/>
                  </w:tcBorders>
                  <w:vAlign w:val="center"/>
                </w:tcPr>
                <w:p>
                  <w:pPr>
                    <w:bidi w:val="0"/>
                    <w:spacing w:line="240" w:lineRule="auto"/>
                    <w:jc w:val="center"/>
                    <w:rPr>
                      <w:rFonts w:hint="eastAsia"/>
                      <w:color w:val="FF0000"/>
                      <w:sz w:val="21"/>
                      <w:szCs w:val="21"/>
                      <w:u w:val="single" w:color="auto"/>
                      <w:vertAlign w:val="baseline"/>
                      <w:lang w:val="en-US" w:eastAsia="zh-CN"/>
                    </w:rPr>
                  </w:pPr>
                </w:p>
              </w:tc>
              <w:tc>
                <w:tcPr>
                  <w:tcW w:w="1316" w:type="pct"/>
                  <w:vMerge w:val="continue"/>
                  <w:tcBorders>
                    <w:tl2br w:val="nil"/>
                    <w:tr2bl w:val="nil"/>
                  </w:tcBorders>
                  <w:vAlign w:val="center"/>
                </w:tcPr>
                <w:p>
                  <w:pPr>
                    <w:bidi w:val="0"/>
                    <w:spacing w:line="240" w:lineRule="auto"/>
                    <w:jc w:val="center"/>
                    <w:rPr>
                      <w:rFonts w:hint="eastAsia"/>
                      <w:color w:val="FF0000"/>
                      <w:sz w:val="21"/>
                      <w:szCs w:val="21"/>
                      <w:u w:val="single" w:color="auto"/>
                      <w:vertAlign w:val="baseline"/>
                      <w:lang w:val="en-US" w:eastAsia="zh-CN"/>
                    </w:rPr>
                  </w:pPr>
                </w:p>
              </w:tc>
              <w:tc>
                <w:tcPr>
                  <w:tcW w:w="950" w:type="pct"/>
                  <w:vMerge w:val="continue"/>
                  <w:tcBorders>
                    <w:tl2br w:val="nil"/>
                    <w:tr2bl w:val="nil"/>
                  </w:tcBorders>
                  <w:vAlign w:val="center"/>
                </w:tcPr>
                <w:p>
                  <w:pPr>
                    <w:bidi w:val="0"/>
                    <w:spacing w:line="240" w:lineRule="auto"/>
                    <w:jc w:val="center"/>
                    <w:rPr>
                      <w:rFonts w:hint="eastAsia"/>
                      <w:color w:val="FF0000"/>
                      <w:sz w:val="21"/>
                      <w:szCs w:val="21"/>
                      <w:u w:val="single" w:color="auto"/>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99" w:type="pct"/>
                  <w:tcBorders>
                    <w:tl2br w:val="nil"/>
                    <w:tr2bl w:val="nil"/>
                  </w:tcBorders>
                  <w:vAlign w:val="center"/>
                </w:tcPr>
                <w:p>
                  <w:pPr>
                    <w:bidi w:val="0"/>
                    <w:spacing w:line="240" w:lineRule="auto"/>
                    <w:jc w:val="center"/>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ZH43062420001</w:t>
                  </w:r>
                </w:p>
              </w:tc>
              <w:tc>
                <w:tcPr>
                  <w:tcW w:w="375" w:type="pct"/>
                  <w:tcBorders>
                    <w:tl2br w:val="nil"/>
                    <w:tr2bl w:val="nil"/>
                  </w:tcBorders>
                  <w:vAlign w:val="center"/>
                </w:tcPr>
                <w:p>
                  <w:pPr>
                    <w:bidi w:val="0"/>
                    <w:spacing w:line="240" w:lineRule="auto"/>
                    <w:jc w:val="center"/>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鹤龙湖镇/文星镇</w:t>
                  </w:r>
                </w:p>
              </w:tc>
              <w:tc>
                <w:tcPr>
                  <w:tcW w:w="184" w:type="pct"/>
                  <w:tcBorders>
                    <w:tl2br w:val="nil"/>
                    <w:tr2bl w:val="nil"/>
                  </w:tcBorders>
                  <w:vAlign w:val="center"/>
                </w:tcPr>
                <w:p>
                  <w:pPr>
                    <w:bidi w:val="0"/>
                    <w:spacing w:line="240" w:lineRule="auto"/>
                    <w:jc w:val="center"/>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湖南省</w:t>
                  </w:r>
                </w:p>
              </w:tc>
              <w:tc>
                <w:tcPr>
                  <w:tcW w:w="184" w:type="pct"/>
                  <w:tcBorders>
                    <w:tl2br w:val="nil"/>
                    <w:tr2bl w:val="nil"/>
                  </w:tcBorders>
                  <w:vAlign w:val="center"/>
                </w:tcPr>
                <w:p>
                  <w:pPr>
                    <w:bidi w:val="0"/>
                    <w:spacing w:line="240" w:lineRule="auto"/>
                    <w:jc w:val="center"/>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岳阳市</w:t>
                  </w:r>
                </w:p>
              </w:tc>
              <w:tc>
                <w:tcPr>
                  <w:tcW w:w="184" w:type="pct"/>
                  <w:tcBorders>
                    <w:tl2br w:val="nil"/>
                    <w:tr2bl w:val="nil"/>
                  </w:tcBorders>
                  <w:vAlign w:val="center"/>
                </w:tcPr>
                <w:p>
                  <w:pPr>
                    <w:bidi w:val="0"/>
                    <w:spacing w:line="240" w:lineRule="auto"/>
                    <w:jc w:val="center"/>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湘阴县</w:t>
                  </w:r>
                </w:p>
              </w:tc>
              <w:tc>
                <w:tcPr>
                  <w:tcW w:w="282" w:type="pct"/>
                  <w:tcBorders>
                    <w:tl2br w:val="nil"/>
                    <w:tr2bl w:val="nil"/>
                  </w:tcBorders>
                  <w:vAlign w:val="center"/>
                </w:tcPr>
                <w:p>
                  <w:pPr>
                    <w:bidi w:val="0"/>
                    <w:spacing w:line="240" w:lineRule="auto"/>
                    <w:jc w:val="center"/>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重点管控单元</w:t>
                  </w:r>
                </w:p>
              </w:tc>
              <w:tc>
                <w:tcPr>
                  <w:tcW w:w="363" w:type="pct"/>
                  <w:tcBorders>
                    <w:tl2br w:val="nil"/>
                    <w:tr2bl w:val="nil"/>
                  </w:tcBorders>
                  <w:vAlign w:val="center"/>
                </w:tcPr>
                <w:p>
                  <w:pPr>
                    <w:bidi w:val="0"/>
                    <w:spacing w:line="240" w:lineRule="auto"/>
                    <w:jc w:val="center"/>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186.29</w:t>
                  </w:r>
                </w:p>
              </w:tc>
              <w:tc>
                <w:tcPr>
                  <w:tcW w:w="392" w:type="pct"/>
                  <w:tcBorders>
                    <w:tl2br w:val="nil"/>
                    <w:tr2bl w:val="nil"/>
                  </w:tcBorders>
                  <w:vAlign w:val="center"/>
                </w:tcPr>
                <w:p>
                  <w:pPr>
                    <w:keepNext w:val="0"/>
                    <w:keepLines w:val="0"/>
                    <w:widowControl/>
                    <w:suppressLineNumbers w:val="0"/>
                    <w:jc w:val="left"/>
                    <w:rPr>
                      <w:rFonts w:hint="default"/>
                      <w:color w:val="FF0000"/>
                      <w:sz w:val="21"/>
                      <w:szCs w:val="21"/>
                      <w:u w:val="single" w:color="auto"/>
                      <w:vertAlign w:val="baseline"/>
                      <w:lang w:val="en-US" w:eastAsia="zh-CN"/>
                    </w:rPr>
                  </w:pPr>
                  <w:r>
                    <w:rPr>
                      <w:rFonts w:hint="eastAsia" w:ascii="宋体" w:hAnsi="宋体" w:eastAsia="宋体" w:cs="宋体"/>
                      <w:color w:val="FF0000"/>
                      <w:kern w:val="0"/>
                      <w:sz w:val="21"/>
                      <w:szCs w:val="21"/>
                      <w:u w:val="single" w:color="auto"/>
                      <w:lang w:val="en-US" w:eastAsia="zh-CN" w:bidi="ar"/>
                    </w:rPr>
                    <w:t>鹤龙湖镇/岭北镇/文星镇</w:t>
                  </w:r>
                </w:p>
              </w:tc>
              <w:tc>
                <w:tcPr>
                  <w:tcW w:w="363" w:type="pct"/>
                  <w:tcBorders>
                    <w:tl2br w:val="nil"/>
                    <w:tr2bl w:val="nil"/>
                  </w:tcBorders>
                  <w:vAlign w:val="center"/>
                </w:tcPr>
                <w:p>
                  <w:pPr>
                    <w:bidi w:val="0"/>
                    <w:spacing w:line="240" w:lineRule="auto"/>
                    <w:jc w:val="center"/>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省级层面重点生态功能区</w:t>
                  </w:r>
                </w:p>
              </w:tc>
              <w:tc>
                <w:tcPr>
                  <w:tcW w:w="1316" w:type="pct"/>
                  <w:tcBorders>
                    <w:tl2br w:val="nil"/>
                    <w:tr2bl w:val="nil"/>
                  </w:tcBorders>
                  <w:vAlign w:val="center"/>
                </w:tcPr>
                <w:p>
                  <w:pPr>
                    <w:keepNext w:val="0"/>
                    <w:keepLines w:val="0"/>
                    <w:widowControl/>
                    <w:suppressLineNumbers w:val="0"/>
                    <w:jc w:val="left"/>
                    <w:rPr>
                      <w:rFonts w:hint="default" w:ascii="宋体" w:hAnsi="宋体" w:eastAsia="宋体" w:cs="宋体"/>
                      <w:color w:val="FF0000"/>
                      <w:kern w:val="0"/>
                      <w:sz w:val="21"/>
                      <w:szCs w:val="21"/>
                      <w:u w:val="single" w:color="auto"/>
                      <w:lang w:val="en-US" w:eastAsia="zh-CN" w:bidi="ar"/>
                    </w:rPr>
                  </w:pPr>
                  <w:r>
                    <w:rPr>
                      <w:rFonts w:hint="eastAsia" w:ascii="宋体" w:hAnsi="宋体" w:eastAsia="宋体" w:cs="宋体"/>
                      <w:b/>
                      <w:bCs/>
                      <w:color w:val="FF0000"/>
                      <w:kern w:val="0"/>
                      <w:sz w:val="21"/>
                      <w:szCs w:val="21"/>
                      <w:u w:val="single" w:color="auto"/>
                      <w:lang w:val="en-US" w:eastAsia="zh-CN" w:bidi="ar"/>
                    </w:rPr>
                    <w:t>文星镇：</w:t>
                  </w:r>
                  <w:r>
                    <w:rPr>
                      <w:rFonts w:hint="eastAsia" w:ascii="宋体" w:hAnsi="宋体" w:eastAsia="宋体" w:cs="宋体"/>
                      <w:b w:val="0"/>
                      <w:bCs w:val="0"/>
                      <w:color w:val="FF0000"/>
                      <w:kern w:val="0"/>
                      <w:sz w:val="21"/>
                      <w:szCs w:val="21"/>
                      <w:u w:val="single" w:color="auto"/>
                      <w:lang w:val="en-US" w:eastAsia="zh-CN" w:bidi="ar"/>
                    </w:rPr>
                    <w:t>省会卫星城、县域中心；以绿色建材、新能源汽车为主导产业，辅以公共服务、商贸物流、滨湖旅游和食品加工等产业</w:t>
                  </w:r>
                </w:p>
                <w:p>
                  <w:pPr>
                    <w:keepNext w:val="0"/>
                    <w:keepLines w:val="0"/>
                    <w:widowControl/>
                    <w:suppressLineNumbers w:val="0"/>
                    <w:jc w:val="left"/>
                    <w:rPr>
                      <w:rFonts w:hint="eastAsia"/>
                      <w:color w:val="FF0000"/>
                      <w:sz w:val="21"/>
                      <w:szCs w:val="21"/>
                      <w:u w:val="single" w:color="auto"/>
                      <w:vertAlign w:val="baseline"/>
                      <w:lang w:val="en-US" w:eastAsia="zh-CN"/>
                    </w:rPr>
                  </w:pPr>
                  <w:r>
                    <w:rPr>
                      <w:rFonts w:hint="eastAsia" w:ascii="宋体" w:hAnsi="宋体" w:eastAsia="宋体" w:cs="宋体"/>
                      <w:b/>
                      <w:bCs/>
                      <w:color w:val="FF0000"/>
                      <w:kern w:val="0"/>
                      <w:sz w:val="21"/>
                      <w:szCs w:val="21"/>
                      <w:u w:val="single" w:color="auto"/>
                      <w:lang w:val="en-US" w:eastAsia="zh-CN" w:bidi="ar"/>
                    </w:rPr>
                    <w:t>鹤龙湖镇：</w:t>
                  </w:r>
                  <w:r>
                    <w:rPr>
                      <w:rFonts w:hint="eastAsia" w:ascii="宋体" w:hAnsi="宋体" w:eastAsia="宋体" w:cs="宋体"/>
                      <w:color w:val="FF0000"/>
                      <w:kern w:val="0"/>
                      <w:sz w:val="21"/>
                      <w:szCs w:val="21"/>
                      <w:u w:val="single" w:color="auto"/>
                      <w:lang w:val="en-US" w:eastAsia="zh-CN" w:bidi="ar"/>
                    </w:rPr>
                    <w:t>以特色农业、农旅休闲为主导的蟹虾特色小镇</w:t>
                  </w:r>
                </w:p>
              </w:tc>
              <w:tc>
                <w:tcPr>
                  <w:tcW w:w="950" w:type="pct"/>
                  <w:tcBorders>
                    <w:tl2br w:val="nil"/>
                    <w:tr2bl w:val="nil"/>
                  </w:tcBorders>
                  <w:vAlign w:val="center"/>
                </w:tcPr>
                <w:p>
                  <w:pPr>
                    <w:keepNext w:val="0"/>
                    <w:keepLines w:val="0"/>
                    <w:widowControl/>
                    <w:suppressLineNumbers w:val="0"/>
                    <w:jc w:val="left"/>
                    <w:rPr>
                      <w:rFonts w:hint="default" w:ascii="宋体" w:hAnsi="宋体" w:eastAsia="宋体" w:cs="宋体"/>
                      <w:color w:val="FF0000"/>
                      <w:kern w:val="0"/>
                      <w:sz w:val="21"/>
                      <w:szCs w:val="21"/>
                      <w:u w:val="single" w:color="auto"/>
                      <w:lang w:val="en-US" w:eastAsia="zh-CN" w:bidi="ar"/>
                    </w:rPr>
                  </w:pPr>
                  <w:r>
                    <w:rPr>
                      <w:rFonts w:hint="eastAsia" w:ascii="宋体" w:hAnsi="宋体" w:eastAsia="宋体" w:cs="宋体"/>
                      <w:b/>
                      <w:bCs/>
                      <w:color w:val="FF0000"/>
                      <w:kern w:val="0"/>
                      <w:sz w:val="21"/>
                      <w:szCs w:val="21"/>
                      <w:u w:val="single" w:color="auto"/>
                      <w:lang w:val="en-US" w:eastAsia="zh-CN" w:bidi="ar"/>
                    </w:rPr>
                    <w:t>文星镇：</w:t>
                  </w:r>
                  <w:r>
                    <w:rPr>
                      <w:rFonts w:hint="eastAsia" w:ascii="宋体" w:hAnsi="宋体" w:eastAsia="宋体" w:cs="宋体"/>
                      <w:b w:val="0"/>
                      <w:bCs w:val="0"/>
                      <w:color w:val="FF0000"/>
                      <w:kern w:val="0"/>
                      <w:sz w:val="21"/>
                      <w:szCs w:val="21"/>
                      <w:u w:val="single" w:color="auto"/>
                      <w:lang w:val="en-US" w:eastAsia="zh-CN" w:bidi="ar"/>
                    </w:rPr>
                    <w:t>畜禽养殖等农业面源污染</w:t>
                  </w:r>
                </w:p>
                <w:p>
                  <w:pPr>
                    <w:keepNext w:val="0"/>
                    <w:keepLines w:val="0"/>
                    <w:widowControl/>
                    <w:suppressLineNumbers w:val="0"/>
                    <w:jc w:val="left"/>
                    <w:rPr>
                      <w:rFonts w:hint="eastAsia"/>
                      <w:color w:val="FF0000"/>
                      <w:sz w:val="21"/>
                      <w:szCs w:val="21"/>
                      <w:u w:val="single" w:color="auto"/>
                      <w:vertAlign w:val="baseline"/>
                      <w:lang w:val="en-US" w:eastAsia="zh-CN"/>
                    </w:rPr>
                  </w:pPr>
                  <w:r>
                    <w:rPr>
                      <w:rFonts w:hint="eastAsia" w:ascii="宋体" w:hAnsi="宋体" w:eastAsia="宋体" w:cs="宋体"/>
                      <w:b/>
                      <w:bCs/>
                      <w:color w:val="FF0000"/>
                      <w:kern w:val="0"/>
                      <w:sz w:val="21"/>
                      <w:szCs w:val="21"/>
                      <w:u w:val="single" w:color="auto"/>
                      <w:lang w:val="en-US" w:eastAsia="zh-CN" w:bidi="ar"/>
                    </w:rPr>
                    <w:t>鹤龙湖镇：</w:t>
                  </w:r>
                  <w:r>
                    <w:rPr>
                      <w:rFonts w:hint="eastAsia" w:ascii="宋体" w:hAnsi="宋体" w:eastAsia="宋体" w:cs="宋体"/>
                      <w:color w:val="FF0000"/>
                      <w:kern w:val="0"/>
                      <w:sz w:val="21"/>
                      <w:szCs w:val="21"/>
                      <w:u w:val="single" w:color="auto"/>
                      <w:lang w:val="en-US" w:eastAsia="zh-CN" w:bidi="ar"/>
                    </w:rPr>
                    <w:t>垃圾中转站渗滤液未规范处置；工业企业施工运营过程产生扬尘较大；畜禽养殖等农业面源污染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99" w:type="pct"/>
                  <w:tcBorders>
                    <w:tl2br w:val="nil"/>
                    <w:tr2bl w:val="nil"/>
                  </w:tcBorders>
                  <w:vAlign w:val="center"/>
                </w:tcPr>
                <w:p>
                  <w:pPr>
                    <w:bidi w:val="0"/>
                    <w:spacing w:line="240" w:lineRule="auto"/>
                    <w:jc w:val="center"/>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主要</w:t>
                  </w:r>
                </w:p>
                <w:p>
                  <w:pPr>
                    <w:bidi w:val="0"/>
                    <w:spacing w:line="240" w:lineRule="auto"/>
                    <w:jc w:val="center"/>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属性</w:t>
                  </w:r>
                </w:p>
              </w:tc>
              <w:tc>
                <w:tcPr>
                  <w:tcW w:w="4600" w:type="pct"/>
                  <w:gridSpan w:val="10"/>
                  <w:tcBorders>
                    <w:tl2br w:val="nil"/>
                    <w:tr2bl w:val="nil"/>
                  </w:tcBorders>
                  <w:vAlign w:val="center"/>
                </w:tcPr>
                <w:p>
                  <w:pPr>
                    <w:keepNext w:val="0"/>
                    <w:keepLines w:val="0"/>
                    <w:widowControl/>
                    <w:suppressLineNumbers w:val="0"/>
                    <w:jc w:val="left"/>
                    <w:rPr>
                      <w:rFonts w:hint="eastAsia" w:ascii="宋体" w:hAnsi="宋体" w:eastAsia="宋体" w:cs="宋体"/>
                      <w:color w:val="FF0000"/>
                      <w:kern w:val="0"/>
                      <w:sz w:val="21"/>
                      <w:szCs w:val="21"/>
                      <w:u w:val="single" w:color="auto"/>
                      <w:lang w:val="en-US" w:eastAsia="zh-CN" w:bidi="ar"/>
                    </w:rPr>
                  </w:pPr>
                  <w:r>
                    <w:rPr>
                      <w:rFonts w:hint="eastAsia" w:ascii="宋体" w:hAnsi="宋体" w:eastAsia="宋体" w:cs="宋体"/>
                      <w:b/>
                      <w:bCs/>
                      <w:color w:val="FF0000"/>
                      <w:kern w:val="0"/>
                      <w:sz w:val="21"/>
                      <w:szCs w:val="21"/>
                      <w:u w:val="single" w:color="auto"/>
                      <w:lang w:val="en-US" w:eastAsia="zh-CN" w:bidi="ar"/>
                    </w:rPr>
                    <w:t>文星镇：</w:t>
                  </w:r>
                  <w:r>
                    <w:rPr>
                      <w:rFonts w:hint="eastAsia" w:ascii="宋体" w:hAnsi="宋体" w:eastAsia="宋体" w:cs="宋体"/>
                      <w:color w:val="FF0000"/>
                      <w:kern w:val="0"/>
                      <w:sz w:val="21"/>
                      <w:szCs w:val="21"/>
                      <w:u w:val="single" w:color="auto"/>
                      <w:lang w:val="en-US" w:eastAsia="zh-CN" w:bidi="ar"/>
                    </w:rPr>
                    <w:t>生态保护红线/一般生态空间/湖南湘阴横岭湖自然保护区/湘阴洋沙湖东湖国家湿地公园/湘阴县高新产业开发临港产业园（漕溪 港）/湘阴县高新产业开发临港产业园（虞公港）/湘阴县高新产业开发区（洋沙湖工业园）/湘阴县污水厂/湘阴东湖超标断面/虞公庙超标断面/</w:t>
                  </w:r>
                </w:p>
                <w:p>
                  <w:pPr>
                    <w:keepNext w:val="0"/>
                    <w:keepLines w:val="0"/>
                    <w:widowControl/>
                    <w:suppressLineNumbers w:val="0"/>
                    <w:jc w:val="left"/>
                    <w:rPr>
                      <w:color w:val="FF0000"/>
                      <w:u w:val="single" w:color="auto"/>
                    </w:rPr>
                  </w:pPr>
                  <w:r>
                    <w:rPr>
                      <w:rFonts w:hint="eastAsia" w:ascii="宋体" w:hAnsi="宋体" w:eastAsia="宋体" w:cs="宋体"/>
                      <w:color w:val="FF0000"/>
                      <w:kern w:val="0"/>
                      <w:sz w:val="21"/>
                      <w:szCs w:val="21"/>
                      <w:u w:val="single" w:color="auto"/>
                      <w:lang w:val="en-US" w:eastAsia="zh-CN" w:bidi="ar"/>
                    </w:rPr>
                    <w:t>大气环境优先保护区/大气环境高排放重点管控区/大气环境受体敏感重点管控区/大气环境布局敏感重点管控区/土壤一般管控区/农用地 污染风险重点管控区/农用地优先保护区/其他土壤重点管控区</w:t>
                  </w:r>
                </w:p>
                <w:p>
                  <w:pPr>
                    <w:keepNext w:val="0"/>
                    <w:keepLines w:val="0"/>
                    <w:widowControl/>
                    <w:suppressLineNumbers w:val="0"/>
                    <w:jc w:val="left"/>
                    <w:rPr>
                      <w:rFonts w:hint="eastAsia"/>
                      <w:color w:val="FF0000"/>
                      <w:sz w:val="21"/>
                      <w:szCs w:val="21"/>
                      <w:u w:val="single" w:color="auto"/>
                      <w:vertAlign w:val="baseline"/>
                      <w:lang w:val="en-US" w:eastAsia="zh-CN"/>
                    </w:rPr>
                  </w:pPr>
                  <w:r>
                    <w:rPr>
                      <w:rFonts w:hint="eastAsia" w:ascii="宋体" w:hAnsi="宋体" w:eastAsia="宋体" w:cs="宋体"/>
                      <w:b/>
                      <w:bCs/>
                      <w:color w:val="FF0000"/>
                      <w:kern w:val="0"/>
                      <w:sz w:val="21"/>
                      <w:szCs w:val="21"/>
                      <w:u w:val="single" w:color="auto"/>
                      <w:lang w:val="en-US" w:eastAsia="zh-CN" w:bidi="ar"/>
                    </w:rPr>
                    <w:t>鹤龙湖镇：</w:t>
                  </w:r>
                  <w:r>
                    <w:rPr>
                      <w:rFonts w:hint="eastAsia" w:ascii="宋体" w:hAnsi="宋体" w:eastAsia="宋体" w:cs="宋体"/>
                      <w:color w:val="FF0000"/>
                      <w:kern w:val="0"/>
                      <w:sz w:val="21"/>
                      <w:szCs w:val="21"/>
                      <w:u w:val="single" w:color="auto"/>
                      <w:lang w:val="en-US" w:eastAsia="zh-CN" w:bidi="ar"/>
                    </w:rPr>
                    <w:t>生态保护红线/一般生态空间/湖南湘阴横岭湖自然保护区/岳阳市湘阴县湘江洋沙湖段饮用水水源保护区/湘阴洋沙湖国家湿地 公园/虞公庙超标断面/鹤龙湖超标断面/大气环境优先保护区/大气环境布局敏感重点管控区/土壤一般管控区/农用地污染风险重点管控区 /农用地优先保护区</w:t>
                  </w:r>
                </w:p>
              </w:tc>
            </w:tr>
          </w:tbl>
          <w:p>
            <w:pPr>
              <w:bidi w:val="0"/>
              <w:spacing w:line="360" w:lineRule="auto"/>
              <w:ind w:firstLine="480" w:firstLineChars="200"/>
              <w:rPr>
                <w:rFonts w:hint="eastAsia"/>
                <w:color w:val="FF0000"/>
                <w:sz w:val="24"/>
                <w:szCs w:val="24"/>
                <w:u w:val="single" w:color="auto"/>
                <w:lang w:val="en-US" w:eastAsia="zh-CN"/>
              </w:rPr>
            </w:pPr>
            <w:r>
              <w:rPr>
                <w:rFonts w:hint="eastAsia"/>
                <w:color w:val="FF0000"/>
                <w:sz w:val="24"/>
                <w:szCs w:val="24"/>
                <w:u w:val="single" w:color="auto"/>
                <w:lang w:val="en-US" w:eastAsia="zh-CN"/>
              </w:rPr>
              <w:t>由上表可知：文星镇的经济产业布局是以绿色建材、新能源汽车为主导产业，辅以公共服务、商贸物流、滨湖旅游和食品加工等产业；本项目主要建设内容为：年产40万个水面光伏浮体建设项目。主要产品为水面光伏浮体，符合文星镇的经济产业布局要求。</w:t>
            </w:r>
          </w:p>
          <w:p>
            <w:pPr>
              <w:bidi w:val="0"/>
              <w:spacing w:line="360" w:lineRule="auto"/>
              <w:jc w:val="center"/>
              <w:rPr>
                <w:rFonts w:hint="eastAsia"/>
                <w:b/>
                <w:bCs/>
                <w:color w:val="FF0000"/>
                <w:sz w:val="24"/>
                <w:szCs w:val="24"/>
                <w:u w:val="single" w:color="auto"/>
                <w:lang w:val="en-US" w:eastAsia="zh-CN"/>
              </w:rPr>
            </w:pPr>
            <w:r>
              <w:rPr>
                <w:rFonts w:hint="eastAsia"/>
                <w:b/>
                <w:bCs/>
                <w:color w:val="FF0000"/>
                <w:sz w:val="24"/>
                <w:szCs w:val="24"/>
                <w:u w:val="single" w:color="auto"/>
                <w:lang w:val="en-US" w:eastAsia="zh-CN"/>
              </w:rPr>
              <w:t>表1-4  本项目与文星镇“三线一单”生态环境分区管控要求符合性分析一览表</w:t>
            </w:r>
          </w:p>
          <w:tbl>
            <w:tblPr>
              <w:tblStyle w:val="15"/>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21"/>
              <w:gridCol w:w="7511"/>
              <w:gridCol w:w="3572"/>
              <w:gridCol w:w="8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0" w:type="dxa"/>
                  <w:tcBorders>
                    <w:tl2br w:val="nil"/>
                    <w:tr2bl w:val="nil"/>
                  </w:tcBorders>
                  <w:vAlign w:val="center"/>
                </w:tcPr>
                <w:p>
                  <w:pPr>
                    <w:bidi w:val="0"/>
                    <w:spacing w:line="240" w:lineRule="auto"/>
                    <w:jc w:val="center"/>
                    <w:rPr>
                      <w:rFonts w:hint="default"/>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管控维度</w:t>
                  </w:r>
                </w:p>
              </w:tc>
              <w:tc>
                <w:tcPr>
                  <w:tcW w:w="7718" w:type="dxa"/>
                  <w:tcBorders>
                    <w:tl2br w:val="nil"/>
                    <w:tr2bl w:val="nil"/>
                  </w:tcBorders>
                  <w:vAlign w:val="center"/>
                </w:tcPr>
                <w:p>
                  <w:pPr>
                    <w:bidi w:val="0"/>
                    <w:spacing w:line="240" w:lineRule="auto"/>
                    <w:jc w:val="center"/>
                    <w:rPr>
                      <w:rFonts w:hint="default"/>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管控要求</w:t>
                  </w:r>
                </w:p>
              </w:tc>
              <w:tc>
                <w:tcPr>
                  <w:tcW w:w="3653" w:type="dxa"/>
                  <w:tcBorders>
                    <w:tl2br w:val="nil"/>
                    <w:tr2bl w:val="nil"/>
                  </w:tcBorders>
                  <w:vAlign w:val="center"/>
                </w:tcPr>
                <w:p>
                  <w:pPr>
                    <w:bidi w:val="0"/>
                    <w:spacing w:line="240" w:lineRule="auto"/>
                    <w:jc w:val="center"/>
                    <w:rPr>
                      <w:rFonts w:hint="default"/>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本项目情况</w:t>
                  </w:r>
                </w:p>
              </w:tc>
              <w:tc>
                <w:tcPr>
                  <w:tcW w:w="849" w:type="dxa"/>
                  <w:tcBorders>
                    <w:tl2br w:val="nil"/>
                    <w:tr2bl w:val="nil"/>
                  </w:tcBorders>
                  <w:vAlign w:val="center"/>
                </w:tcPr>
                <w:p>
                  <w:pPr>
                    <w:bidi w:val="0"/>
                    <w:spacing w:line="240" w:lineRule="auto"/>
                    <w:jc w:val="center"/>
                    <w:rPr>
                      <w:rFonts w:hint="default"/>
                      <w:b/>
                      <w:bCs/>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符合性分析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0" w:type="dxa"/>
                  <w:tcBorders>
                    <w:tl2br w:val="nil"/>
                    <w:tr2bl w:val="nil"/>
                  </w:tcBorders>
                  <w:vAlign w:val="center"/>
                </w:tcPr>
                <w:p>
                  <w:pPr>
                    <w:bidi w:val="0"/>
                    <w:spacing w:line="240" w:lineRule="auto"/>
                    <w:jc w:val="center"/>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空间布局约束</w:t>
                  </w:r>
                </w:p>
              </w:tc>
              <w:tc>
                <w:tcPr>
                  <w:tcW w:w="7718" w:type="dxa"/>
                  <w:tcBorders>
                    <w:tl2br w:val="nil"/>
                    <w:tr2bl w:val="nil"/>
                  </w:tcBorders>
                  <w:vAlign w:val="center"/>
                </w:tcPr>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1.1严格执行养殖业禁养区、限养区、适养区的划分规定，严格把关养殖项目审批，不得在禁养区、限养区新批任何畜禽养殖项目</w:t>
                  </w:r>
                </w:p>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1.2禁止露天焚烧垃圾和垃圾填埋，全面推行农村垃圾分类收集处理，逐步实现农村生活垃圾处理减量化、处置无害化、废物资源化</w:t>
                  </w:r>
                </w:p>
              </w:tc>
              <w:tc>
                <w:tcPr>
                  <w:tcW w:w="3653" w:type="dxa"/>
                  <w:tcBorders>
                    <w:tl2br w:val="nil"/>
                    <w:tr2bl w:val="nil"/>
                  </w:tcBorders>
                  <w:vAlign w:val="center"/>
                </w:tcPr>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1.1本项目不为畜禽养殖项目。</w:t>
                  </w:r>
                </w:p>
                <w:p>
                  <w:pPr>
                    <w:bidi w:val="0"/>
                    <w:spacing w:line="240" w:lineRule="auto"/>
                    <w:jc w:val="both"/>
                    <w:rPr>
                      <w:rFonts w:hint="default"/>
                      <w:sz w:val="21"/>
                      <w:szCs w:val="21"/>
                      <w:u w:val="single" w:color="auto"/>
                      <w:vertAlign w:val="baseline"/>
                      <w:lang w:val="en-US" w:eastAsia="zh-CN"/>
                    </w:rPr>
                  </w:pPr>
                  <w:r>
                    <w:rPr>
                      <w:rFonts w:hint="eastAsia"/>
                      <w:color w:val="FF0000"/>
                      <w:sz w:val="21"/>
                      <w:szCs w:val="21"/>
                      <w:u w:val="single" w:color="auto"/>
                      <w:vertAlign w:val="baseline"/>
                      <w:lang w:val="en-US" w:eastAsia="zh-CN"/>
                    </w:rPr>
                    <w:t>1.2本项目生活垃圾由当地环卫部门统一清运处理，不露天焚烧垃圾和垃圾填埋。</w:t>
                  </w:r>
                </w:p>
              </w:tc>
              <w:tc>
                <w:tcPr>
                  <w:tcW w:w="849" w:type="dxa"/>
                  <w:tcBorders>
                    <w:tl2br w:val="nil"/>
                    <w:tr2bl w:val="nil"/>
                  </w:tcBorders>
                  <w:vAlign w:val="center"/>
                </w:tcPr>
                <w:p>
                  <w:pPr>
                    <w:bidi w:val="0"/>
                    <w:spacing w:line="240" w:lineRule="auto"/>
                    <w:jc w:val="center"/>
                    <w:rPr>
                      <w:rFonts w:hint="default"/>
                      <w:sz w:val="21"/>
                      <w:szCs w:val="21"/>
                      <w:u w:val="single" w:color="auto"/>
                      <w:vertAlign w:val="baseline"/>
                      <w:lang w:val="en-US" w:eastAsia="zh-CN"/>
                    </w:rPr>
                  </w:pPr>
                  <w:r>
                    <w:rPr>
                      <w:rFonts w:hint="eastAsia"/>
                      <w:color w:val="FF0000"/>
                      <w:sz w:val="21"/>
                      <w:szCs w:val="21"/>
                      <w:u w:val="single" w:color="auto"/>
                      <w:vertAlign w:val="baseli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0" w:type="dxa"/>
                  <w:tcBorders>
                    <w:tl2br w:val="nil"/>
                    <w:tr2bl w:val="nil"/>
                  </w:tcBorders>
                  <w:vAlign w:val="center"/>
                </w:tcPr>
                <w:p>
                  <w:pPr>
                    <w:bidi w:val="0"/>
                    <w:spacing w:line="240" w:lineRule="auto"/>
                    <w:jc w:val="center"/>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污染物排放管控</w:t>
                  </w:r>
                </w:p>
              </w:tc>
              <w:tc>
                <w:tcPr>
                  <w:tcW w:w="7718" w:type="dxa"/>
                  <w:tcBorders>
                    <w:tl2br w:val="nil"/>
                    <w:tr2bl w:val="nil"/>
                  </w:tcBorders>
                  <w:vAlign w:val="center"/>
                </w:tcPr>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2.1加强化肥、农药、农膜污染防治，引导农民减少化肥、农药使用量，积极推广有机肥使用、生物农药、振频杀虫、诱蛾灯杀虫等生态农业技术，控制农业面源污染</w:t>
                  </w:r>
                </w:p>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2.2禁止秸秆焚烧，加强秸秆综合利用，鼓励农村采用清洁能源、可再生能源，从源头控制农村空气污染</w:t>
                  </w:r>
                </w:p>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2.3强化配套，加快完善乡村两级垃圾处理基础设施，建设村（社区）垃圾定点收集池、垃圾堆积池、垃圾危险废物专用房屋（池）等基础设施，配备好垃圾车、保洁车等垃圾运输工具，农户配齐垃圾分类桶</w:t>
                  </w:r>
                </w:p>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2.4畜禽养殖适养区以户为单位，采取雨污分流、粪污干湿分离、沼气（沉淀）综合选用等方式进行养殖污染治理</w:t>
                  </w:r>
                </w:p>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2.5严格规范兽药、饲料及饲料添加剂的生产和使用，从源头防止兽药、饲料添加剂中的有害成分通过畜禽养殖废弃物还田对土壤造成的污染</w:t>
                  </w:r>
                </w:p>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2.6畜禽粪污污染整治应按照“干湿分离+雨污分流”的要求，采用干清粪工艺和粪污生物发酵处理利用模式处理粪污，须配套建设堆粪场、粪污水贮存池和铺设排污管道。干粪运至堆粪场好氧发酵，粪渣、尿、污水通过排污管道排入粪污水贮存池（或沼气池）厌氧发酵，贮存池内的粪污水不得向外排放，应就地或转运至其他农用地消纳，并签订粪污消纳协议</w:t>
                  </w:r>
                </w:p>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2.7加强房屋建筑与市政工程施工现场扬尘环境监管，积极推进绿色施工，建设工程施工现场必须全封闭设置围挡墙，严禁敞开式作业，施工现场道路、作业区、生活区必须进行地面硬化。将施工扬尘污染控制情况纳入建筑企业信用管理系统，作为招投标的重要依据。渣土运输车辆全部采取密闭措施，对重点建筑施工现场安装视频，实施在线监管。推行道路机械化清扫等低尘作业方式。各种煤堆、料堆应实现封闭储存或建设防风抑尘设施</w:t>
                  </w:r>
                </w:p>
              </w:tc>
              <w:tc>
                <w:tcPr>
                  <w:tcW w:w="3653" w:type="dxa"/>
                  <w:tcBorders>
                    <w:tl2br w:val="nil"/>
                    <w:tr2bl w:val="nil"/>
                  </w:tcBorders>
                  <w:vAlign w:val="center"/>
                </w:tcPr>
                <w:p>
                  <w:pPr>
                    <w:bidi w:val="0"/>
                    <w:spacing w:line="240" w:lineRule="auto"/>
                    <w:jc w:val="both"/>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2.1本项目不涉及农业面源污染。</w:t>
                  </w:r>
                </w:p>
                <w:p>
                  <w:pPr>
                    <w:bidi w:val="0"/>
                    <w:spacing w:line="240" w:lineRule="auto"/>
                    <w:jc w:val="both"/>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2.2本项目能源利用主要为水、电，依托已建成市政管网供给。</w:t>
                  </w:r>
                </w:p>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2.3本项目生活垃圾由当地环卫部门统一清运处理，不露天焚烧垃圾和垃圾填埋。</w:t>
                  </w:r>
                </w:p>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2.4本项目不涉及畜禽养殖。</w:t>
                  </w:r>
                </w:p>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lang w:val="en-US" w:eastAsia="zh-CN"/>
                    </w:rPr>
                    <w:t>2.5</w:t>
                  </w:r>
                  <w:r>
                    <w:rPr>
                      <w:rFonts w:hint="eastAsia"/>
                      <w:color w:val="FF0000"/>
                      <w:sz w:val="21"/>
                      <w:szCs w:val="21"/>
                      <w:u w:val="single" w:color="auto"/>
                      <w:vertAlign w:val="baseline"/>
                      <w:lang w:val="en-US" w:eastAsia="zh-CN"/>
                    </w:rPr>
                    <w:t>本项目不涉及兽药、饲料及饲料添加剂的生产和使用</w:t>
                  </w:r>
                </w:p>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2.6本项目不涉及畜禽养殖，无畜禽粪污污染</w:t>
                  </w:r>
                </w:p>
                <w:p>
                  <w:pPr>
                    <w:bidi w:val="0"/>
                    <w:spacing w:line="240" w:lineRule="auto"/>
                    <w:jc w:val="both"/>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2.7项目依托湖南定宇新材料科技有限公司已建成厂房，项目建设主要为生产设备的安装，不涉及土地开挖，无扬尘污染和渣土运输。施工现场道路、作业区、生活区已地面硬化无各种煤堆、料堆</w:t>
                  </w:r>
                </w:p>
              </w:tc>
              <w:tc>
                <w:tcPr>
                  <w:tcW w:w="849" w:type="dxa"/>
                  <w:tcBorders>
                    <w:tl2br w:val="nil"/>
                    <w:tr2bl w:val="nil"/>
                  </w:tcBorders>
                  <w:vAlign w:val="center"/>
                </w:tcPr>
                <w:p>
                  <w:pPr>
                    <w:bidi w:val="0"/>
                    <w:spacing w:line="240" w:lineRule="auto"/>
                    <w:jc w:val="center"/>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0" w:type="dxa"/>
                  <w:tcBorders>
                    <w:tl2br w:val="nil"/>
                    <w:tr2bl w:val="nil"/>
                  </w:tcBorders>
                  <w:vAlign w:val="center"/>
                </w:tcPr>
                <w:p>
                  <w:pPr>
                    <w:bidi w:val="0"/>
                    <w:spacing w:line="240" w:lineRule="auto"/>
                    <w:jc w:val="center"/>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环境风险管控</w:t>
                  </w:r>
                </w:p>
              </w:tc>
              <w:tc>
                <w:tcPr>
                  <w:tcW w:w="7718" w:type="dxa"/>
                  <w:tcBorders>
                    <w:tl2br w:val="nil"/>
                    <w:tr2bl w:val="nil"/>
                  </w:tcBorders>
                  <w:vAlign w:val="center"/>
                </w:tcPr>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3.1加强农业投入品监管工作。建立农业投入品购买索证索票、经营台账制度，建立农药包装废弃物收集处理体系，对全县26种高毒农药定点经营单位实行全方位监控</w:t>
                  </w:r>
                </w:p>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3.2制定实施受污染耕地安全利用方案，明确农艺调控、化学阻控、替代种植等安全利用的技术途径、技术要求、实施目标等主要内容，降低农产品重金属超标风险</w:t>
                  </w:r>
                </w:p>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3.3定期开展土壤、地表水、地下水和空气环境监测；存在潜在污染扩散风险的场地，责令相关责任方制定环境风险管控方案；发现污染扩散的，及时采取污染物隔离、阻断等环境风险管控措施</w:t>
                  </w:r>
                </w:p>
              </w:tc>
              <w:tc>
                <w:tcPr>
                  <w:tcW w:w="3653" w:type="dxa"/>
                  <w:tcBorders>
                    <w:tl2br w:val="nil"/>
                    <w:tr2bl w:val="nil"/>
                  </w:tcBorders>
                  <w:vAlign w:val="center"/>
                </w:tcPr>
                <w:p>
                  <w:pPr>
                    <w:bidi w:val="0"/>
                    <w:spacing w:line="240" w:lineRule="auto"/>
                    <w:jc w:val="both"/>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3.1项目不涉及农业投入品</w:t>
                  </w:r>
                </w:p>
                <w:p>
                  <w:pPr>
                    <w:bidi w:val="0"/>
                    <w:spacing w:line="240" w:lineRule="auto"/>
                    <w:jc w:val="both"/>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3.2项目依托湖南定宇新材料科技有限公司已建成厂房，项目建设主要为生产设备的安装，不涉及土地开挖，无扬尘污染和渣土运输。不涉及受污染耕地安全利用</w:t>
                  </w:r>
                </w:p>
                <w:p>
                  <w:pPr>
                    <w:bidi w:val="0"/>
                    <w:spacing w:line="240" w:lineRule="auto"/>
                    <w:jc w:val="both"/>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3.3本项目设置地表水、空气环境监测计划</w:t>
                  </w:r>
                </w:p>
              </w:tc>
              <w:tc>
                <w:tcPr>
                  <w:tcW w:w="849" w:type="dxa"/>
                  <w:tcBorders>
                    <w:tl2br w:val="nil"/>
                    <w:tr2bl w:val="nil"/>
                  </w:tcBorders>
                  <w:vAlign w:val="center"/>
                </w:tcPr>
                <w:p>
                  <w:pPr>
                    <w:bidi w:val="0"/>
                    <w:spacing w:line="240" w:lineRule="auto"/>
                    <w:jc w:val="center"/>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0" w:type="dxa"/>
                  <w:tcBorders>
                    <w:tl2br w:val="nil"/>
                    <w:tr2bl w:val="nil"/>
                  </w:tcBorders>
                  <w:vAlign w:val="center"/>
                </w:tcPr>
                <w:p>
                  <w:pPr>
                    <w:bidi w:val="0"/>
                    <w:spacing w:line="240" w:lineRule="auto"/>
                    <w:jc w:val="center"/>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资源开发效率要求</w:t>
                  </w:r>
                </w:p>
              </w:tc>
              <w:tc>
                <w:tcPr>
                  <w:tcW w:w="7718" w:type="dxa"/>
                  <w:tcBorders>
                    <w:tl2br w:val="nil"/>
                    <w:tr2bl w:val="nil"/>
                  </w:tcBorders>
                  <w:vAlign w:val="center"/>
                </w:tcPr>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4.1水资源：2020年，湘阴县万元国内生产总值用水量75m</w:t>
                  </w:r>
                  <w:r>
                    <w:rPr>
                      <w:rFonts w:hint="eastAsia"/>
                      <w:color w:val="FF0000"/>
                      <w:sz w:val="21"/>
                      <w:szCs w:val="21"/>
                      <w:u w:val="single" w:color="auto"/>
                      <w:vertAlign w:val="superscript"/>
                      <w:lang w:val="en-US" w:eastAsia="zh-CN"/>
                    </w:rPr>
                    <w:t>3</w:t>
                  </w:r>
                  <w:r>
                    <w:rPr>
                      <w:rFonts w:hint="eastAsia"/>
                      <w:color w:val="FF0000"/>
                      <w:sz w:val="21"/>
                      <w:szCs w:val="21"/>
                      <w:u w:val="single" w:color="auto"/>
                      <w:vertAlign w:val="baseline"/>
                      <w:lang w:val="en-US" w:eastAsia="zh-CN"/>
                    </w:rPr>
                    <w:t>/万元，万元工业增加值用水量28m</w:t>
                  </w:r>
                  <w:r>
                    <w:rPr>
                      <w:rFonts w:hint="eastAsia"/>
                      <w:color w:val="FF0000"/>
                      <w:sz w:val="21"/>
                      <w:szCs w:val="21"/>
                      <w:u w:val="single" w:color="auto"/>
                      <w:vertAlign w:val="superscript"/>
                      <w:lang w:val="en-US" w:eastAsia="zh-CN"/>
                    </w:rPr>
                    <w:t>3</w:t>
                  </w:r>
                  <w:r>
                    <w:rPr>
                      <w:rFonts w:hint="eastAsia"/>
                      <w:color w:val="FF0000"/>
                      <w:sz w:val="21"/>
                      <w:szCs w:val="21"/>
                      <w:u w:val="single" w:color="auto"/>
                      <w:vertAlign w:val="baseline"/>
                      <w:lang w:val="en-US" w:eastAsia="zh-CN"/>
                    </w:rPr>
                    <w:t>/万元，农田灌溉水有效利用系数0.53</w:t>
                  </w:r>
                </w:p>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4.2能源：湘阴县“十三五”能耗强度降低目标18.5%，“十三五”能耗控制目标20万吨标准煤。积极引导生活用燃煤的居民改用天然气、液化石油气等清洁能源，鼓励秸秆资源化、能源化利用</w:t>
                  </w:r>
                </w:p>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4.3土地资源：</w:t>
                  </w:r>
                </w:p>
                <w:p>
                  <w:pPr>
                    <w:bidi w:val="0"/>
                    <w:spacing w:line="240" w:lineRule="auto"/>
                    <w:jc w:val="both"/>
                    <w:rPr>
                      <w:rFonts w:hint="eastAsia"/>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文星镇：</w:t>
                  </w:r>
                  <w:r>
                    <w:rPr>
                      <w:rFonts w:hint="eastAsia"/>
                      <w:color w:val="FF0000"/>
                      <w:sz w:val="21"/>
                      <w:szCs w:val="21"/>
                      <w:u w:val="single" w:color="auto"/>
                      <w:vertAlign w:val="baseline"/>
                      <w:lang w:val="en-US" w:eastAsia="zh-CN"/>
                    </w:rPr>
                    <w:t>到2020年耕地保有量不低于4377.00公顷，基本农田保护面积不低于 3624公顷；城乡建设用地规模控制在4160.66公顷以内，城镇工矿用地规模控制在3375.74以内</w:t>
                  </w:r>
                </w:p>
                <w:p>
                  <w:pPr>
                    <w:bidi w:val="0"/>
                    <w:spacing w:line="240" w:lineRule="auto"/>
                    <w:jc w:val="both"/>
                    <w:rPr>
                      <w:rFonts w:hint="eastAsia"/>
                      <w:color w:val="FF0000"/>
                      <w:sz w:val="21"/>
                      <w:szCs w:val="21"/>
                      <w:u w:val="single" w:color="auto"/>
                      <w:vertAlign w:val="baseline"/>
                      <w:lang w:val="en-US" w:eastAsia="zh-CN"/>
                    </w:rPr>
                  </w:pPr>
                  <w:r>
                    <w:rPr>
                      <w:rFonts w:hint="eastAsia"/>
                      <w:b/>
                      <w:bCs/>
                      <w:color w:val="FF0000"/>
                      <w:sz w:val="21"/>
                      <w:szCs w:val="21"/>
                      <w:u w:val="single" w:color="auto"/>
                      <w:vertAlign w:val="baseline"/>
                      <w:lang w:val="en-US" w:eastAsia="zh-CN"/>
                    </w:rPr>
                    <w:t>鹤龙湖镇：</w:t>
                  </w:r>
                  <w:r>
                    <w:rPr>
                      <w:rFonts w:hint="eastAsia"/>
                      <w:color w:val="FF0000"/>
                      <w:sz w:val="21"/>
                      <w:szCs w:val="21"/>
                      <w:u w:val="single" w:color="auto"/>
                      <w:vertAlign w:val="baseline"/>
                      <w:lang w:val="en-US" w:eastAsia="zh-CN"/>
                    </w:rPr>
                    <w:t>到2020年耕地保有量不低于4710公顷，基本农田保护面积不低于 4547公顷；城乡建设用地规模控制在700.33公顷以内，城镇工矿用地规模控制在89.63以内</w:t>
                  </w:r>
                </w:p>
              </w:tc>
              <w:tc>
                <w:tcPr>
                  <w:tcW w:w="3653" w:type="dxa"/>
                  <w:tcBorders>
                    <w:tl2br w:val="nil"/>
                    <w:tr2bl w:val="nil"/>
                  </w:tcBorders>
                  <w:vAlign w:val="center"/>
                </w:tcPr>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4.1水资源：本项目用水主要为生活用水，用水量为</w:t>
                  </w:r>
                  <w:r>
                    <w:rPr>
                      <w:rFonts w:hint="eastAsia"/>
                      <w:color w:val="FF0000"/>
                      <w:u w:val="single"/>
                      <w:lang w:val="en-US" w:eastAsia="zh-CN"/>
                    </w:rPr>
                    <w:t>1050</w:t>
                  </w:r>
                  <w:r>
                    <w:rPr>
                      <w:rFonts w:hint="eastAsia"/>
                      <w:color w:val="FF0000"/>
                      <w:sz w:val="21"/>
                      <w:szCs w:val="21"/>
                      <w:u w:val="single" w:color="auto"/>
                      <w:vertAlign w:val="baseline"/>
                      <w:lang w:val="en-US" w:eastAsia="zh-CN"/>
                    </w:rPr>
                    <w:t>m</w:t>
                  </w:r>
                  <w:r>
                    <w:rPr>
                      <w:rFonts w:hint="eastAsia"/>
                      <w:color w:val="FF0000"/>
                      <w:sz w:val="21"/>
                      <w:szCs w:val="21"/>
                      <w:u w:val="single" w:color="auto"/>
                      <w:vertAlign w:val="superscript"/>
                      <w:lang w:val="en-US" w:eastAsia="zh-CN"/>
                    </w:rPr>
                    <w:t>3</w:t>
                  </w:r>
                  <w:r>
                    <w:rPr>
                      <w:rFonts w:hint="eastAsia"/>
                      <w:color w:val="FF0000"/>
                      <w:sz w:val="21"/>
                      <w:szCs w:val="21"/>
                      <w:u w:val="single" w:color="auto"/>
                      <w:vertAlign w:val="baseline"/>
                      <w:lang w:val="en-US" w:eastAsia="zh-CN"/>
                    </w:rPr>
                    <w:t>/a</w:t>
                  </w:r>
                </w:p>
                <w:p>
                  <w:pPr>
                    <w:bidi w:val="0"/>
                    <w:spacing w:line="240" w:lineRule="auto"/>
                    <w:jc w:val="both"/>
                    <w:rPr>
                      <w:rFonts w:hint="eastAsia"/>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4.2能源：本项目使用电能，由园区市政供电</w:t>
                  </w:r>
                </w:p>
                <w:p>
                  <w:pPr>
                    <w:bidi w:val="0"/>
                    <w:spacing w:line="240" w:lineRule="auto"/>
                    <w:jc w:val="both"/>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4.3土地资源：本项目位于文星镇依托湖南定宇新材料科技有限公司已建成厂房，项目建设主要为生产设备的安装，不涉及土地开挖，</w:t>
                  </w:r>
                </w:p>
              </w:tc>
              <w:tc>
                <w:tcPr>
                  <w:tcW w:w="849" w:type="dxa"/>
                  <w:tcBorders>
                    <w:tl2br w:val="nil"/>
                    <w:tr2bl w:val="nil"/>
                  </w:tcBorders>
                  <w:vAlign w:val="center"/>
                </w:tcPr>
                <w:p>
                  <w:pPr>
                    <w:bidi w:val="0"/>
                    <w:spacing w:line="240" w:lineRule="auto"/>
                    <w:jc w:val="center"/>
                    <w:rPr>
                      <w:rFonts w:hint="default"/>
                      <w:color w:val="FF0000"/>
                      <w:sz w:val="21"/>
                      <w:szCs w:val="21"/>
                      <w:u w:val="single" w:color="auto"/>
                      <w:vertAlign w:val="baseline"/>
                      <w:lang w:val="en-US" w:eastAsia="zh-CN"/>
                    </w:rPr>
                  </w:pPr>
                  <w:r>
                    <w:rPr>
                      <w:rFonts w:hint="eastAsia"/>
                      <w:color w:val="FF0000"/>
                      <w:sz w:val="21"/>
                      <w:szCs w:val="21"/>
                      <w:u w:val="single" w:color="auto"/>
                      <w:vertAlign w:val="baseline"/>
                      <w:lang w:val="en-US" w:eastAsia="zh-CN"/>
                    </w:rPr>
                    <w:t>符合</w:t>
                  </w:r>
                </w:p>
              </w:tc>
            </w:tr>
          </w:tbl>
          <w:p>
            <w:pPr>
              <w:pStyle w:val="2"/>
              <w:jc w:val="both"/>
              <w:rPr>
                <w:u w:val="single" w:color="auto"/>
                <w:vertAlign w:val="baseline"/>
              </w:rPr>
            </w:pPr>
            <w:r>
              <w:rPr>
                <w:rFonts w:hint="eastAsia"/>
                <w:color w:val="FF0000"/>
                <w:sz w:val="24"/>
                <w:szCs w:val="24"/>
                <w:u w:val="single" w:color="auto"/>
                <w:lang w:val="en-US" w:eastAsia="zh-CN"/>
              </w:rPr>
              <w:t>根据上表分析结果可知，本项目建设符合文星镇“三线一单”生态环境分区管控要求。</w:t>
            </w:r>
          </w:p>
        </w:tc>
      </w:tr>
    </w:tbl>
    <w:p>
      <w:pPr>
        <w:pStyle w:val="2"/>
        <w:ind w:left="0" w:leftChars="0" w:firstLine="0" w:firstLineChars="0"/>
        <w:sectPr>
          <w:pgSz w:w="16838" w:h="11906" w:orient="landscape"/>
          <w:pgMar w:top="1531" w:right="1701" w:bottom="1531" w:left="1701" w:header="851" w:footer="1077" w:gutter="0"/>
          <w:pgBorders>
            <w:top w:val="none" w:sz="0" w:space="0"/>
            <w:left w:val="none" w:sz="0" w:space="0"/>
            <w:bottom w:val="none" w:sz="0" w:space="0"/>
            <w:right w:val="none" w:sz="0" w:space="0"/>
          </w:pgBorders>
          <w:cols w:space="720" w:num="1"/>
          <w:docGrid w:linePitch="312" w:charSpace="0"/>
        </w:sectPr>
      </w:pPr>
    </w:p>
    <w:p>
      <w:pPr>
        <w:pStyle w:val="12"/>
        <w:jc w:val="center"/>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860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92" w:hRule="atLeast"/>
          <w:jc w:val="center"/>
        </w:trPr>
        <w:tc>
          <w:tcPr>
            <w:tcW w:w="504" w:type="dxa"/>
            <w:noWrap w:val="0"/>
            <w:vAlign w:val="center"/>
          </w:tcPr>
          <w:p>
            <w:pPr>
              <w:pStyle w:val="12"/>
              <w:adjustRightInd w:val="0"/>
              <w:snapToGrid w:val="0"/>
              <w:spacing w:before="0" w:beforeAutospacing="0" w:after="0" w:afterAutospacing="0"/>
              <w:jc w:val="center"/>
              <w:rPr>
                <w:rFonts w:cs="宋体"/>
                <w:sz w:val="24"/>
                <w:szCs w:val="24"/>
              </w:rPr>
            </w:pPr>
            <w:r>
              <w:rPr>
                <w:rFonts w:hint="eastAsia" w:cs="宋体"/>
                <w:sz w:val="24"/>
                <w:szCs w:val="24"/>
              </w:rPr>
              <w:t>建设内容</w:t>
            </w:r>
          </w:p>
        </w:tc>
        <w:tc>
          <w:tcPr>
            <w:tcW w:w="8556" w:type="dxa"/>
            <w:noWrap w:val="0"/>
            <w:vAlign w:val="top"/>
          </w:tcPr>
          <w:p>
            <w:pPr>
              <w:adjustRightInd w:val="0"/>
              <w:snapToGrid w:val="0"/>
              <w:spacing w:line="360" w:lineRule="auto"/>
              <w:jc w:val="both"/>
              <w:rPr>
                <w:rFonts w:hint="default" w:ascii="宋体" w:hAnsi="宋体" w:cs="宋体"/>
                <w:b/>
                <w:bCs w:val="0"/>
                <w:sz w:val="24"/>
                <w:szCs w:val="24"/>
                <w:lang w:val="en-US" w:eastAsia="zh-CN"/>
              </w:rPr>
            </w:pPr>
            <w:r>
              <w:rPr>
                <w:rFonts w:hint="eastAsia" w:ascii="宋体" w:hAnsi="宋体" w:cs="宋体"/>
                <w:b/>
                <w:bCs w:val="0"/>
                <w:sz w:val="24"/>
                <w:szCs w:val="24"/>
                <w:lang w:val="en-US" w:eastAsia="zh-CN"/>
              </w:rPr>
              <w:t>1.项目建设背景及项目由来</w:t>
            </w:r>
          </w:p>
          <w:p>
            <w:pPr>
              <w:adjustRightInd w:val="0"/>
              <w:snapToGrid w:val="0"/>
              <w:spacing w:line="360" w:lineRule="auto"/>
              <w:ind w:firstLine="480" w:firstLineChars="200"/>
              <w:jc w:val="both"/>
              <w:rPr>
                <w:rFonts w:hint="eastAsia" w:ascii="宋体" w:hAnsi="宋体" w:cs="宋体"/>
                <w:sz w:val="24"/>
                <w:szCs w:val="24"/>
                <w:lang w:val="en-US" w:eastAsia="zh-CN"/>
              </w:rPr>
            </w:pPr>
            <w:r>
              <w:rPr>
                <w:rFonts w:hint="eastAsia" w:ascii="宋体" w:hAnsi="宋体" w:cs="宋体"/>
                <w:b w:val="0"/>
                <w:bCs/>
                <w:color w:val="000000" w:themeColor="text1"/>
                <w:sz w:val="24"/>
                <w:szCs w:val="24"/>
                <w:lang w:eastAsia="zh-CN"/>
                <w14:textFill>
                  <w14:solidFill>
                    <w14:schemeClr w14:val="tx1"/>
                  </w14:solidFill>
                </w14:textFill>
              </w:rPr>
              <w:t>湖南乾阳新能源科技有限公司</w:t>
            </w:r>
            <w:r>
              <w:rPr>
                <w:rFonts w:hint="eastAsia" w:ascii="宋体" w:hAnsi="宋体" w:cs="宋体"/>
                <w:b w:val="0"/>
                <w:bCs/>
                <w:color w:val="000000" w:themeColor="text1"/>
                <w:sz w:val="24"/>
                <w:szCs w:val="24"/>
                <w14:textFill>
                  <w14:solidFill>
                    <w14:schemeClr w14:val="tx1"/>
                  </w14:solidFill>
                </w14:textFill>
              </w:rPr>
              <w:t>成立于</w:t>
            </w:r>
            <w:r>
              <w:rPr>
                <w:rFonts w:hint="eastAsia" w:ascii="宋体" w:hAnsi="宋体" w:cs="宋体"/>
                <w:b w:val="0"/>
                <w:bCs/>
                <w:color w:val="000000" w:themeColor="text1"/>
                <w:sz w:val="24"/>
                <w:szCs w:val="24"/>
                <w:lang w:val="en-US" w:eastAsia="zh-CN"/>
                <w14:textFill>
                  <w14:solidFill>
                    <w14:schemeClr w14:val="tx1"/>
                  </w14:solidFill>
                </w14:textFill>
              </w:rPr>
              <w:t>2021年3月16日</w:t>
            </w:r>
            <w:r>
              <w:rPr>
                <w:rFonts w:hint="eastAsia" w:ascii="宋体" w:hAnsi="宋体" w:cs="宋体"/>
                <w:b w:val="0"/>
                <w:bCs/>
                <w:color w:val="000000" w:themeColor="text1"/>
                <w:sz w:val="24"/>
                <w:szCs w:val="24"/>
                <w14:textFill>
                  <w14:solidFill>
                    <w14:schemeClr w14:val="tx1"/>
                  </w14:solidFill>
                </w14:textFill>
              </w:rPr>
              <w:t>，</w:t>
            </w:r>
            <w:r>
              <w:rPr>
                <w:rFonts w:hint="eastAsia" w:ascii="宋体" w:hAnsi="宋体" w:cs="宋体"/>
                <w:b w:val="0"/>
                <w:bCs/>
                <w:color w:val="000000" w:themeColor="text1"/>
                <w:sz w:val="24"/>
                <w:szCs w:val="24"/>
                <w:lang w:val="en-US" w:eastAsia="zh-CN"/>
                <w14:textFill>
                  <w14:solidFill>
                    <w14:schemeClr w14:val="tx1"/>
                  </w14:solidFill>
                </w14:textFill>
              </w:rPr>
              <w:t>企业主要从事太阳能发电；高分子材料及其制品、光伏设备及元件、塑料制品的研发；光伏设备及元器件、塑料加工专用设备的制造；塑料制品业；塑料制品的销售；塑料加工专用设备、配件、耗材的销售；货物或技术进出口（国家禁止或涉及行政审批的货物和技术进出口除外）。现在根据市场行情</w:t>
            </w:r>
            <w:r>
              <w:rPr>
                <w:rFonts w:hint="eastAsia" w:ascii="宋体" w:hAnsi="宋体" w:cs="宋体"/>
                <w:b w:val="0"/>
                <w:bCs/>
                <w:color w:val="000000" w:themeColor="text1"/>
                <w:sz w:val="24"/>
                <w:szCs w:val="24"/>
                <w14:textFill>
                  <w14:solidFill>
                    <w14:schemeClr w14:val="tx1"/>
                  </w14:solidFill>
                </w14:textFill>
              </w:rPr>
              <w:t>，</w:t>
            </w:r>
            <w:r>
              <w:rPr>
                <w:rFonts w:hint="eastAsia" w:ascii="宋体" w:hAnsi="宋体" w:cs="宋体"/>
                <w:bCs/>
                <w:sz w:val="24"/>
                <w:szCs w:val="24"/>
                <w:lang w:val="en-US" w:eastAsia="zh-CN"/>
              </w:rPr>
              <w:t>现在租赁</w:t>
            </w:r>
            <w:r>
              <w:rPr>
                <w:rFonts w:hint="eastAsia" w:ascii="宋体" w:hAnsi="宋体" w:cs="宋体"/>
                <w:color w:val="auto"/>
                <w:sz w:val="24"/>
                <w:szCs w:val="24"/>
                <w:u w:val="none"/>
                <w:lang w:val="en-US" w:eastAsia="zh-CN"/>
              </w:rPr>
              <w:t>湖南定宇新材料科技有限公司闲置厂房，进行规模为年产40万个浮体的</w:t>
            </w:r>
            <w:r>
              <w:rPr>
                <w:rFonts w:hint="eastAsia" w:ascii="宋体" w:hAnsi="宋体" w:cs="宋体"/>
                <w:sz w:val="24"/>
                <w:szCs w:val="24"/>
                <w:lang w:val="en-US" w:eastAsia="zh-CN"/>
              </w:rPr>
              <w:t>年产40万个水面光伏浮体建设项目建设。</w:t>
            </w:r>
          </w:p>
          <w:p>
            <w:pPr>
              <w:adjustRightInd w:val="0"/>
              <w:snapToGrid w:val="0"/>
              <w:spacing w:line="360" w:lineRule="auto"/>
              <w:ind w:firstLine="480" w:firstLineChars="200"/>
              <w:jc w:val="both"/>
              <w:rPr>
                <w:rFonts w:hint="eastAsia" w:ascii="宋体" w:hAnsi="宋体" w:cs="宋体"/>
                <w:sz w:val="24"/>
                <w:szCs w:val="24"/>
                <w:lang w:val="en-US" w:eastAsia="zh-CN"/>
              </w:rPr>
            </w:pPr>
            <w:r>
              <w:rPr>
                <w:rFonts w:hint="eastAsia" w:ascii="宋体" w:hAnsi="宋体" w:cs="宋体"/>
                <w:sz w:val="24"/>
                <w:szCs w:val="24"/>
                <w:lang w:val="en-US" w:eastAsia="zh-CN"/>
              </w:rPr>
              <w:t>依据《中华人民共和国环境保护法》、《中华人民共和国环境影响评价法》、国务院令第682号《建设项目环境保护管理条例》以及《建设项目环境影响评价分类管理名录》（2021）中“二十六、橡胶和塑料制品业 29塑料制品业292 ”，因此须编制环境影响报告表类型。</w:t>
            </w:r>
            <w:r>
              <w:rPr>
                <w:rFonts w:hint="eastAsia" w:ascii="宋体" w:hAnsi="宋体" w:cs="宋体"/>
                <w:bCs/>
                <w:sz w:val="24"/>
                <w:szCs w:val="24"/>
                <w:lang w:eastAsia="zh-CN"/>
              </w:rPr>
              <w:t>湖南乾阳新能源科技有限公司</w:t>
            </w:r>
            <w:r>
              <w:rPr>
                <w:rFonts w:hint="eastAsia" w:ascii="宋体" w:hAnsi="宋体" w:cs="宋体"/>
                <w:sz w:val="24"/>
                <w:szCs w:val="24"/>
                <w:lang w:val="en-US" w:eastAsia="zh-CN"/>
              </w:rPr>
              <w:t>委托湖南汇青环保科技有限公司（以下简称“我公司”）承担本项目的环境影响评价工作。我公司在接受委托后，对建设地进行了现场踏勘、调查，收集了有关该项目的资料，结合建设项目的具体内容，根据国家环保法规、标准和环境影响评价技术导则编制了本项目环境影响报告表。</w:t>
            </w:r>
          </w:p>
          <w:p>
            <w:pPr>
              <w:numPr>
                <w:ilvl w:val="0"/>
                <w:numId w:val="0"/>
              </w:numPr>
              <w:adjustRightInd w:val="0"/>
              <w:snapToGrid w:val="0"/>
              <w:spacing w:line="360" w:lineRule="auto"/>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2.项目概况</w:t>
            </w:r>
          </w:p>
          <w:p>
            <w:pPr>
              <w:numPr>
                <w:ilvl w:val="0"/>
                <w:numId w:val="0"/>
              </w:numPr>
              <w:adjustRightInd w:val="0"/>
              <w:snapToGrid w:val="0"/>
              <w:spacing w:line="360" w:lineRule="auto"/>
              <w:ind w:firstLine="480" w:firstLineChars="200"/>
              <w:jc w:val="both"/>
              <w:rPr>
                <w:rFonts w:hint="eastAsia" w:ascii="宋体" w:hAnsi="宋体" w:cs="宋体"/>
                <w:sz w:val="24"/>
                <w:szCs w:val="24"/>
                <w:lang w:val="en-US" w:eastAsia="zh-CN"/>
              </w:rPr>
            </w:pPr>
            <w:r>
              <w:rPr>
                <w:rFonts w:hint="eastAsia" w:ascii="宋体" w:hAnsi="宋体" w:cs="宋体"/>
                <w:sz w:val="24"/>
                <w:szCs w:val="24"/>
                <w:lang w:val="en-US" w:eastAsia="zh-CN"/>
              </w:rPr>
              <w:t>1）项目名称：年产40万个水面光伏浮体建设项目</w:t>
            </w:r>
          </w:p>
          <w:p>
            <w:pPr>
              <w:numPr>
                <w:ilvl w:val="0"/>
                <w:numId w:val="0"/>
              </w:numPr>
              <w:adjustRightInd w:val="0"/>
              <w:snapToGrid w:val="0"/>
              <w:spacing w:line="360" w:lineRule="auto"/>
              <w:ind w:firstLine="480" w:firstLineChars="200"/>
              <w:jc w:val="both"/>
              <w:rPr>
                <w:rFonts w:hint="default" w:ascii="宋体" w:hAnsi="宋体" w:cs="宋体"/>
                <w:sz w:val="24"/>
                <w:szCs w:val="24"/>
                <w:lang w:val="en-US" w:eastAsia="zh-CN"/>
              </w:rPr>
            </w:pPr>
            <w:r>
              <w:rPr>
                <w:rFonts w:hint="eastAsia" w:ascii="宋体" w:hAnsi="宋体" w:cs="宋体"/>
                <w:sz w:val="24"/>
                <w:szCs w:val="24"/>
                <w:lang w:val="en-US" w:eastAsia="zh-CN"/>
              </w:rPr>
              <w:t>2）项目性质：新建</w:t>
            </w:r>
          </w:p>
          <w:p>
            <w:pPr>
              <w:numPr>
                <w:ilvl w:val="0"/>
                <w:numId w:val="0"/>
              </w:numPr>
              <w:adjustRightInd w:val="0"/>
              <w:snapToGrid w:val="0"/>
              <w:spacing w:line="360" w:lineRule="auto"/>
              <w:ind w:firstLine="480" w:firstLineChars="200"/>
              <w:jc w:val="both"/>
              <w:rPr>
                <w:rFonts w:hint="default" w:ascii="宋体" w:hAnsi="宋体" w:cs="宋体"/>
                <w:sz w:val="24"/>
                <w:szCs w:val="24"/>
                <w:lang w:val="en-US" w:eastAsia="zh-CN"/>
              </w:rPr>
            </w:pPr>
            <w:r>
              <w:rPr>
                <w:rFonts w:hint="eastAsia" w:ascii="宋体" w:hAnsi="宋体" w:cs="宋体"/>
                <w:sz w:val="24"/>
                <w:szCs w:val="24"/>
                <w:lang w:val="en-US" w:eastAsia="zh-CN"/>
              </w:rPr>
              <w:t>3）项目总投资：5000万元</w:t>
            </w:r>
          </w:p>
          <w:p>
            <w:pPr>
              <w:numPr>
                <w:ilvl w:val="0"/>
                <w:numId w:val="0"/>
              </w:numPr>
              <w:adjustRightInd w:val="0"/>
              <w:snapToGrid w:val="0"/>
              <w:spacing w:line="360" w:lineRule="auto"/>
              <w:ind w:firstLine="480" w:firstLineChars="200"/>
              <w:jc w:val="both"/>
              <w:rPr>
                <w:rFonts w:hint="eastAsia" w:ascii="宋体" w:hAnsi="宋体" w:cs="宋体"/>
                <w:sz w:val="24"/>
                <w:szCs w:val="24"/>
                <w:lang w:val="en-US" w:eastAsia="zh-CN"/>
              </w:rPr>
            </w:pPr>
            <w:r>
              <w:rPr>
                <w:rFonts w:hint="eastAsia" w:ascii="宋体" w:hAnsi="宋体" w:cs="宋体"/>
                <w:sz w:val="24"/>
                <w:szCs w:val="24"/>
                <w:lang w:val="en-US" w:eastAsia="zh-CN"/>
              </w:rPr>
              <w:t>4）项目位置：湖南省岳阳市湘阴县工业园区顺天大道以南（湖南定宇新材料科技有限公司已建成闲置厂房），中心位置：112度54分30.281秒，28度37分43.254秒；详见</w:t>
            </w:r>
            <w:r>
              <w:rPr>
                <w:rFonts w:hint="eastAsia" w:ascii="宋体" w:hAnsi="宋体" w:cs="宋体"/>
                <w:color w:val="000000" w:themeColor="text1"/>
                <w:sz w:val="24"/>
                <w:szCs w:val="24"/>
                <w:lang w:val="en-US" w:eastAsia="zh-CN"/>
                <w14:textFill>
                  <w14:solidFill>
                    <w14:schemeClr w14:val="tx1"/>
                  </w14:solidFill>
                </w14:textFill>
              </w:rPr>
              <w:t>附图1。</w:t>
            </w:r>
          </w:p>
          <w:p>
            <w:pPr>
              <w:numPr>
                <w:ilvl w:val="0"/>
                <w:numId w:val="0"/>
              </w:numPr>
              <w:adjustRightInd w:val="0"/>
              <w:snapToGrid w:val="0"/>
              <w:spacing w:line="360" w:lineRule="auto"/>
              <w:jc w:val="both"/>
              <w:rPr>
                <w:rFonts w:hint="default" w:ascii="宋体" w:hAnsi="宋体" w:cs="宋体"/>
                <w:b/>
                <w:bCs/>
                <w:sz w:val="24"/>
                <w:szCs w:val="24"/>
                <w:lang w:val="en-US" w:eastAsia="zh-CN"/>
              </w:rPr>
            </w:pPr>
            <w:r>
              <w:rPr>
                <w:rFonts w:hint="eastAsia" w:ascii="宋体" w:hAnsi="宋体" w:cs="宋体"/>
                <w:b/>
                <w:bCs/>
                <w:sz w:val="24"/>
                <w:szCs w:val="24"/>
                <w:lang w:val="en-US" w:eastAsia="zh-CN"/>
              </w:rPr>
              <w:t>3.工程内容和规模</w:t>
            </w:r>
          </w:p>
          <w:p>
            <w:pPr>
              <w:numPr>
                <w:ilvl w:val="0"/>
                <w:numId w:val="0"/>
              </w:numPr>
              <w:adjustRightInd w:val="0"/>
              <w:snapToGrid w:val="0"/>
              <w:spacing w:line="360" w:lineRule="auto"/>
              <w:ind w:firstLine="480" w:firstLineChars="200"/>
              <w:jc w:val="both"/>
              <w:rPr>
                <w:rFonts w:hint="eastAsia" w:ascii="宋体" w:hAnsi="宋体" w:cs="宋体"/>
                <w:sz w:val="24"/>
                <w:szCs w:val="24"/>
                <w:lang w:val="en-US" w:eastAsia="zh-CN"/>
              </w:rPr>
            </w:pPr>
            <w:r>
              <w:rPr>
                <w:rFonts w:hint="eastAsia" w:ascii="宋体" w:hAnsi="宋体" w:cs="宋体"/>
                <w:sz w:val="24"/>
                <w:szCs w:val="24"/>
                <w:lang w:val="en-US" w:eastAsia="zh-CN"/>
              </w:rPr>
              <w:t>本项目总用地面积7000m</w:t>
            </w:r>
            <w:r>
              <w:rPr>
                <w:rFonts w:hint="eastAsia" w:ascii="宋体" w:hAnsi="宋体" w:cs="宋体"/>
                <w:sz w:val="24"/>
                <w:szCs w:val="24"/>
                <w:vertAlign w:val="superscript"/>
                <w:lang w:val="en-US" w:eastAsia="zh-CN"/>
              </w:rPr>
              <w:t>2</w:t>
            </w:r>
            <w:r>
              <w:rPr>
                <w:rFonts w:hint="eastAsia" w:ascii="宋体" w:hAnsi="宋体" w:cs="宋体"/>
                <w:sz w:val="24"/>
                <w:szCs w:val="24"/>
                <w:lang w:val="en-US" w:eastAsia="zh-CN"/>
              </w:rPr>
              <w:t>，主要建设内容为办公室、成品仓库、熔融成型区（吹塑区、拌料区）、破碎区、原材料仓库、成品打包区、待检区、粉碎料暂存区空压机房、循环水泵组以及循环水池。生产规模为年产40万个浮体。</w:t>
            </w:r>
          </w:p>
          <w:p>
            <w:pPr>
              <w:numPr>
                <w:ilvl w:val="0"/>
                <w:numId w:val="0"/>
              </w:numPr>
              <w:adjustRightInd w:val="0"/>
              <w:snapToGrid w:val="0"/>
              <w:spacing w:line="360" w:lineRule="auto"/>
              <w:jc w:val="center"/>
              <w:rPr>
                <w:rFonts w:hint="default" w:ascii="宋体" w:hAnsi="宋体" w:cs="宋体"/>
                <w:b/>
                <w:bCs/>
                <w:sz w:val="24"/>
                <w:szCs w:val="24"/>
                <w:lang w:val="en-US" w:eastAsia="zh-CN"/>
              </w:rPr>
            </w:pPr>
            <w:r>
              <w:rPr>
                <w:rFonts w:hint="eastAsia" w:ascii="宋体" w:hAnsi="宋体" w:cs="宋体"/>
                <w:b/>
                <w:bCs/>
                <w:sz w:val="24"/>
                <w:szCs w:val="24"/>
                <w:lang w:val="en-US" w:eastAsia="zh-CN"/>
              </w:rPr>
              <w:t>表2-1  工程建设内容一览表</w:t>
            </w:r>
          </w:p>
          <w:tbl>
            <w:tblPr>
              <w:tblStyle w:val="14"/>
              <w:tblW w:w="4995" w:type="pct"/>
              <w:tblInd w:w="-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87"/>
              <w:gridCol w:w="1203"/>
              <w:gridCol w:w="1537"/>
              <w:gridCol w:w="3504"/>
              <w:gridCol w:w="14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1" w:type="pct"/>
                  <w:tcBorders>
                    <w:tl2br w:val="nil"/>
                    <w:tr2bl w:val="nil"/>
                  </w:tcBorders>
                  <w:noWrap w:val="0"/>
                  <w:vAlign w:val="center"/>
                </w:tcPr>
                <w:p>
                  <w:pPr>
                    <w:adjustRightInd w:val="0"/>
                    <w:snapToGrid w:val="0"/>
                    <w:jc w:val="center"/>
                    <w:rPr>
                      <w:b/>
                      <w:bCs/>
                      <w:sz w:val="21"/>
                      <w:szCs w:val="21"/>
                    </w:rPr>
                  </w:pPr>
                  <w:r>
                    <w:rPr>
                      <w:b/>
                      <w:bCs/>
                      <w:sz w:val="21"/>
                      <w:szCs w:val="21"/>
                    </w:rPr>
                    <w:t>分类</w:t>
                  </w:r>
                </w:p>
              </w:tc>
              <w:tc>
                <w:tcPr>
                  <w:tcW w:w="720" w:type="pct"/>
                  <w:tcBorders>
                    <w:tl2br w:val="nil"/>
                    <w:tr2bl w:val="nil"/>
                  </w:tcBorders>
                  <w:noWrap w:val="0"/>
                  <w:vAlign w:val="center"/>
                </w:tcPr>
                <w:p>
                  <w:pPr>
                    <w:adjustRightInd w:val="0"/>
                    <w:snapToGrid w:val="0"/>
                    <w:jc w:val="center"/>
                    <w:rPr>
                      <w:b/>
                      <w:bCs/>
                      <w:sz w:val="21"/>
                      <w:szCs w:val="21"/>
                    </w:rPr>
                  </w:pPr>
                  <w:r>
                    <w:rPr>
                      <w:b/>
                      <w:bCs/>
                      <w:sz w:val="21"/>
                      <w:szCs w:val="21"/>
                    </w:rPr>
                    <w:t>项目组成</w:t>
                  </w:r>
                </w:p>
              </w:tc>
              <w:tc>
                <w:tcPr>
                  <w:tcW w:w="3017" w:type="pct"/>
                  <w:gridSpan w:val="2"/>
                  <w:tcBorders>
                    <w:tl2br w:val="nil"/>
                    <w:tr2bl w:val="nil"/>
                  </w:tcBorders>
                  <w:noWrap w:val="0"/>
                  <w:vAlign w:val="center"/>
                </w:tcPr>
                <w:p>
                  <w:pPr>
                    <w:adjustRightInd w:val="0"/>
                    <w:snapToGrid w:val="0"/>
                    <w:jc w:val="center"/>
                    <w:rPr>
                      <w:b/>
                      <w:bCs/>
                      <w:sz w:val="21"/>
                      <w:szCs w:val="21"/>
                    </w:rPr>
                  </w:pPr>
                  <w:r>
                    <w:rPr>
                      <w:b/>
                      <w:bCs/>
                      <w:sz w:val="21"/>
                      <w:szCs w:val="21"/>
                    </w:rPr>
                    <w:t>建设内容和规模</w:t>
                  </w:r>
                </w:p>
              </w:tc>
              <w:tc>
                <w:tcPr>
                  <w:tcW w:w="850" w:type="pct"/>
                  <w:tcBorders>
                    <w:tl2br w:val="nil"/>
                    <w:tr2bl w:val="nil"/>
                  </w:tcBorders>
                  <w:noWrap w:val="0"/>
                  <w:vAlign w:val="center"/>
                </w:tcPr>
                <w:p>
                  <w:pPr>
                    <w:adjustRightInd w:val="0"/>
                    <w:snapToGrid w:val="0"/>
                    <w:jc w:val="center"/>
                    <w:rPr>
                      <w:b/>
                      <w:bCs/>
                      <w:sz w:val="21"/>
                      <w:szCs w:val="21"/>
                    </w:rPr>
                  </w:pPr>
                  <w:r>
                    <w:rPr>
                      <w:b/>
                      <w:bCs/>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1" w:type="pct"/>
                  <w:vMerge w:val="restart"/>
                  <w:tcBorders>
                    <w:tl2br w:val="nil"/>
                    <w:tr2bl w:val="nil"/>
                  </w:tcBorders>
                  <w:noWrap w:val="0"/>
                  <w:vAlign w:val="center"/>
                </w:tcPr>
                <w:p>
                  <w:pPr>
                    <w:adjustRightInd w:val="0"/>
                    <w:snapToGrid w:val="0"/>
                    <w:jc w:val="center"/>
                    <w:rPr>
                      <w:sz w:val="21"/>
                      <w:szCs w:val="21"/>
                    </w:rPr>
                  </w:pPr>
                  <w:r>
                    <w:rPr>
                      <w:sz w:val="21"/>
                      <w:szCs w:val="21"/>
                    </w:rPr>
                    <w:t>主体工程</w:t>
                  </w:r>
                </w:p>
              </w:tc>
              <w:tc>
                <w:tcPr>
                  <w:tcW w:w="720" w:type="pct"/>
                  <w:tcBorders>
                    <w:tl2br w:val="nil"/>
                    <w:tr2bl w:val="nil"/>
                  </w:tcBorders>
                  <w:noWrap w:val="0"/>
                  <w:vAlign w:val="center"/>
                </w:tcPr>
                <w:p>
                  <w:pPr>
                    <w:adjustRightInd w:val="0"/>
                    <w:snapToGrid w:val="0"/>
                    <w:jc w:val="center"/>
                    <w:rPr>
                      <w:sz w:val="21"/>
                      <w:szCs w:val="21"/>
                    </w:rPr>
                  </w:pPr>
                  <w:r>
                    <w:rPr>
                      <w:sz w:val="21"/>
                      <w:szCs w:val="21"/>
                    </w:rPr>
                    <w:t>生产车间</w:t>
                  </w:r>
                </w:p>
              </w:tc>
              <w:tc>
                <w:tcPr>
                  <w:tcW w:w="3017" w:type="pct"/>
                  <w:gridSpan w:val="2"/>
                  <w:tcBorders>
                    <w:tl2br w:val="nil"/>
                    <w:tr2bl w:val="nil"/>
                  </w:tcBorders>
                  <w:noWrap w:val="0"/>
                  <w:vAlign w:val="center"/>
                </w:tcPr>
                <w:p>
                  <w:pPr>
                    <w:adjustRightInd w:val="0"/>
                    <w:snapToGrid w:val="0"/>
                    <w:jc w:val="center"/>
                    <w:rPr>
                      <w:sz w:val="21"/>
                      <w:szCs w:val="21"/>
                      <w:highlight w:val="none"/>
                    </w:rPr>
                  </w:pPr>
                  <w:r>
                    <w:rPr>
                      <w:sz w:val="21"/>
                      <w:szCs w:val="21"/>
                      <w:highlight w:val="none"/>
                    </w:rPr>
                    <w:t>包括</w:t>
                  </w:r>
                  <w:r>
                    <w:rPr>
                      <w:rFonts w:hint="eastAsia"/>
                      <w:sz w:val="21"/>
                      <w:szCs w:val="21"/>
                      <w:highlight w:val="none"/>
                      <w:lang w:val="en-US" w:eastAsia="zh-CN"/>
                    </w:rPr>
                    <w:t>熔融成型区（</w:t>
                  </w:r>
                  <w:r>
                    <w:rPr>
                      <w:rFonts w:hint="eastAsia"/>
                      <w:sz w:val="21"/>
                      <w:szCs w:val="21"/>
                      <w:highlight w:val="none"/>
                    </w:rPr>
                    <w:t>吹塑区、拌料区</w:t>
                  </w:r>
                  <w:r>
                    <w:rPr>
                      <w:rFonts w:hint="eastAsia"/>
                      <w:sz w:val="21"/>
                      <w:szCs w:val="21"/>
                      <w:highlight w:val="none"/>
                      <w:lang w:val="en-US" w:eastAsia="zh-CN"/>
                    </w:rPr>
                    <w:t>）、破碎区</w:t>
                  </w:r>
                  <w:r>
                    <w:rPr>
                      <w:sz w:val="21"/>
                      <w:szCs w:val="21"/>
                      <w:highlight w:val="none"/>
                    </w:rPr>
                    <w:t>等，建筑面积约</w:t>
                  </w:r>
                  <w:r>
                    <w:rPr>
                      <w:rFonts w:hint="eastAsia"/>
                      <w:sz w:val="21"/>
                      <w:szCs w:val="21"/>
                      <w:highlight w:val="none"/>
                      <w:lang w:val="en-US" w:eastAsia="zh-CN"/>
                    </w:rPr>
                    <w:t>2100</w:t>
                  </w:r>
                  <w:r>
                    <w:rPr>
                      <w:sz w:val="21"/>
                      <w:szCs w:val="21"/>
                      <w:highlight w:val="none"/>
                    </w:rPr>
                    <w:t>m</w:t>
                  </w:r>
                  <w:r>
                    <w:rPr>
                      <w:sz w:val="21"/>
                      <w:szCs w:val="21"/>
                      <w:highlight w:val="none"/>
                      <w:vertAlign w:val="superscript"/>
                    </w:rPr>
                    <w:t>2</w:t>
                  </w:r>
                </w:p>
              </w:tc>
              <w:tc>
                <w:tcPr>
                  <w:tcW w:w="850" w:type="pct"/>
                  <w:vMerge w:val="restart"/>
                  <w:tcBorders>
                    <w:tl2br w:val="nil"/>
                    <w:tr2bl w:val="nil"/>
                  </w:tcBorders>
                  <w:noWrap w:val="0"/>
                  <w:vAlign w:val="center"/>
                </w:tcPr>
                <w:p>
                  <w:pPr>
                    <w:adjustRightInd w:val="0"/>
                    <w:snapToGrid w:val="0"/>
                    <w:jc w:val="center"/>
                    <w:rPr>
                      <w:sz w:val="21"/>
                      <w:szCs w:val="21"/>
                    </w:rPr>
                  </w:pPr>
                  <w:r>
                    <w:rPr>
                      <w:sz w:val="21"/>
                      <w:szCs w:val="21"/>
                    </w:rPr>
                    <w:t>租赁</w:t>
                  </w:r>
                  <w:r>
                    <w:rPr>
                      <w:rFonts w:hint="eastAsia"/>
                      <w:sz w:val="21"/>
                      <w:szCs w:val="21"/>
                    </w:rPr>
                    <w:t>湖南定宇新材料科技有限公司</w:t>
                  </w:r>
                  <w:r>
                    <w:rPr>
                      <w:sz w:val="21"/>
                      <w:szCs w:val="21"/>
                    </w:rPr>
                    <w:t>现有厂房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1" w:type="pct"/>
                  <w:vMerge w:val="continue"/>
                  <w:tcBorders>
                    <w:tl2br w:val="nil"/>
                    <w:tr2bl w:val="nil"/>
                  </w:tcBorders>
                  <w:noWrap w:val="0"/>
                  <w:vAlign w:val="center"/>
                </w:tcPr>
                <w:p>
                  <w:pPr>
                    <w:adjustRightInd w:val="0"/>
                    <w:snapToGrid w:val="0"/>
                    <w:jc w:val="center"/>
                    <w:rPr>
                      <w:sz w:val="21"/>
                      <w:szCs w:val="21"/>
                    </w:rPr>
                  </w:pPr>
                </w:p>
              </w:tc>
              <w:tc>
                <w:tcPr>
                  <w:tcW w:w="720" w:type="pct"/>
                  <w:tcBorders>
                    <w:tl2br w:val="nil"/>
                    <w:tr2bl w:val="nil"/>
                  </w:tcBorders>
                  <w:noWrap w:val="0"/>
                  <w:vAlign w:val="center"/>
                </w:tcPr>
                <w:p>
                  <w:pPr>
                    <w:adjustRightInd w:val="0"/>
                    <w:snapToGrid w:val="0"/>
                    <w:jc w:val="center"/>
                    <w:rPr>
                      <w:sz w:val="21"/>
                      <w:szCs w:val="21"/>
                    </w:rPr>
                  </w:pPr>
                  <w:r>
                    <w:rPr>
                      <w:sz w:val="21"/>
                      <w:szCs w:val="21"/>
                    </w:rPr>
                    <w:t>原料区</w:t>
                  </w:r>
                </w:p>
              </w:tc>
              <w:tc>
                <w:tcPr>
                  <w:tcW w:w="3017" w:type="pct"/>
                  <w:gridSpan w:val="2"/>
                  <w:tcBorders>
                    <w:tl2br w:val="nil"/>
                    <w:tr2bl w:val="nil"/>
                  </w:tcBorders>
                  <w:noWrap w:val="0"/>
                  <w:vAlign w:val="center"/>
                </w:tcPr>
                <w:p>
                  <w:pPr>
                    <w:adjustRightInd w:val="0"/>
                    <w:snapToGrid w:val="0"/>
                    <w:jc w:val="center"/>
                    <w:rPr>
                      <w:sz w:val="21"/>
                      <w:szCs w:val="21"/>
                      <w:highlight w:val="none"/>
                    </w:rPr>
                  </w:pPr>
                  <w:r>
                    <w:rPr>
                      <w:rFonts w:hint="eastAsia"/>
                      <w:sz w:val="21"/>
                      <w:szCs w:val="21"/>
                      <w:highlight w:val="none"/>
                      <w:lang w:val="en-US" w:eastAsia="zh-CN"/>
                    </w:rPr>
                    <w:t>2个原料仓库</w:t>
                  </w:r>
                  <w:r>
                    <w:rPr>
                      <w:rFonts w:hint="eastAsia"/>
                      <w:sz w:val="21"/>
                      <w:szCs w:val="21"/>
                      <w:highlight w:val="none"/>
                      <w:lang w:eastAsia="zh-CN"/>
                    </w:rPr>
                    <w:t>，</w:t>
                  </w:r>
                  <w:r>
                    <w:rPr>
                      <w:sz w:val="21"/>
                      <w:szCs w:val="21"/>
                      <w:highlight w:val="none"/>
                    </w:rPr>
                    <w:t>建筑面积</w:t>
                  </w:r>
                  <w:r>
                    <w:rPr>
                      <w:rFonts w:hint="eastAsia"/>
                      <w:sz w:val="21"/>
                      <w:szCs w:val="21"/>
                      <w:highlight w:val="none"/>
                      <w:lang w:val="en-US" w:eastAsia="zh-CN"/>
                    </w:rPr>
                    <w:t>1165</w:t>
                  </w:r>
                  <w:r>
                    <w:rPr>
                      <w:sz w:val="21"/>
                      <w:szCs w:val="21"/>
                      <w:highlight w:val="none"/>
                    </w:rPr>
                    <w:t>m</w:t>
                  </w:r>
                  <w:r>
                    <w:rPr>
                      <w:sz w:val="21"/>
                      <w:szCs w:val="21"/>
                      <w:highlight w:val="none"/>
                      <w:vertAlign w:val="superscript"/>
                    </w:rPr>
                    <w:t>2</w:t>
                  </w:r>
                </w:p>
              </w:tc>
              <w:tc>
                <w:tcPr>
                  <w:tcW w:w="850" w:type="pct"/>
                  <w:vMerge w:val="continue"/>
                  <w:tcBorders>
                    <w:tl2br w:val="nil"/>
                    <w:tr2bl w:val="nil"/>
                  </w:tcBorders>
                  <w:noWrap w:val="0"/>
                  <w:vAlign w:val="center"/>
                </w:tcPr>
                <w:p>
                  <w:pPr>
                    <w:adjustRightInd w:val="0"/>
                    <w:snapToGrid w:val="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1" w:type="pct"/>
                  <w:vMerge w:val="continue"/>
                  <w:tcBorders>
                    <w:tl2br w:val="nil"/>
                    <w:tr2bl w:val="nil"/>
                  </w:tcBorders>
                  <w:noWrap w:val="0"/>
                  <w:vAlign w:val="center"/>
                </w:tcPr>
                <w:p>
                  <w:pPr>
                    <w:adjustRightInd w:val="0"/>
                    <w:snapToGrid w:val="0"/>
                    <w:jc w:val="center"/>
                    <w:rPr>
                      <w:sz w:val="21"/>
                      <w:szCs w:val="21"/>
                    </w:rPr>
                  </w:pPr>
                </w:p>
              </w:tc>
              <w:tc>
                <w:tcPr>
                  <w:tcW w:w="720" w:type="pct"/>
                  <w:tcBorders>
                    <w:tl2br w:val="nil"/>
                    <w:tr2bl w:val="nil"/>
                  </w:tcBorders>
                  <w:noWrap w:val="0"/>
                  <w:vAlign w:val="center"/>
                </w:tcPr>
                <w:p>
                  <w:pPr>
                    <w:adjustRightInd w:val="0"/>
                    <w:snapToGrid w:val="0"/>
                    <w:jc w:val="center"/>
                    <w:rPr>
                      <w:sz w:val="21"/>
                      <w:szCs w:val="21"/>
                    </w:rPr>
                  </w:pPr>
                  <w:r>
                    <w:rPr>
                      <w:sz w:val="21"/>
                      <w:szCs w:val="21"/>
                    </w:rPr>
                    <w:t>成品区</w:t>
                  </w:r>
                </w:p>
              </w:tc>
              <w:tc>
                <w:tcPr>
                  <w:tcW w:w="3017" w:type="pct"/>
                  <w:gridSpan w:val="2"/>
                  <w:tcBorders>
                    <w:tl2br w:val="nil"/>
                    <w:tr2bl w:val="nil"/>
                  </w:tcBorders>
                  <w:noWrap w:val="0"/>
                  <w:vAlign w:val="center"/>
                </w:tcPr>
                <w:p>
                  <w:pPr>
                    <w:adjustRightInd w:val="0"/>
                    <w:snapToGrid w:val="0"/>
                    <w:jc w:val="center"/>
                    <w:rPr>
                      <w:sz w:val="21"/>
                      <w:szCs w:val="21"/>
                      <w:highlight w:val="none"/>
                    </w:rPr>
                  </w:pPr>
                  <w:r>
                    <w:rPr>
                      <w:rFonts w:hint="eastAsia"/>
                      <w:sz w:val="21"/>
                      <w:szCs w:val="21"/>
                      <w:highlight w:val="none"/>
                      <w:lang w:val="en-US" w:eastAsia="zh-CN"/>
                    </w:rPr>
                    <w:t>成品打包区、成品仓库，</w:t>
                  </w:r>
                  <w:r>
                    <w:rPr>
                      <w:sz w:val="21"/>
                      <w:szCs w:val="21"/>
                      <w:highlight w:val="none"/>
                    </w:rPr>
                    <w:t>建筑面积</w:t>
                  </w:r>
                  <w:r>
                    <w:rPr>
                      <w:rFonts w:hint="eastAsia"/>
                      <w:sz w:val="21"/>
                      <w:szCs w:val="21"/>
                      <w:highlight w:val="none"/>
                      <w:lang w:val="en-US" w:eastAsia="zh-CN"/>
                    </w:rPr>
                    <w:t>2310</w:t>
                  </w:r>
                  <w:r>
                    <w:rPr>
                      <w:sz w:val="21"/>
                      <w:szCs w:val="21"/>
                      <w:highlight w:val="none"/>
                    </w:rPr>
                    <w:t>m</w:t>
                  </w:r>
                  <w:r>
                    <w:rPr>
                      <w:sz w:val="21"/>
                      <w:szCs w:val="21"/>
                      <w:highlight w:val="none"/>
                      <w:vertAlign w:val="superscript"/>
                    </w:rPr>
                    <w:t>2</w:t>
                  </w:r>
                </w:p>
              </w:tc>
              <w:tc>
                <w:tcPr>
                  <w:tcW w:w="850" w:type="pct"/>
                  <w:vMerge w:val="continue"/>
                  <w:tcBorders>
                    <w:tl2br w:val="nil"/>
                    <w:tr2bl w:val="nil"/>
                  </w:tcBorders>
                  <w:noWrap w:val="0"/>
                  <w:vAlign w:val="center"/>
                </w:tcPr>
                <w:p>
                  <w:pPr>
                    <w:adjustRightInd w:val="0"/>
                    <w:snapToGrid w:val="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rPr>
              <w:tc>
                <w:tcPr>
                  <w:tcW w:w="411" w:type="pct"/>
                  <w:vMerge w:val="restart"/>
                  <w:tcBorders>
                    <w:tl2br w:val="nil"/>
                    <w:tr2bl w:val="nil"/>
                  </w:tcBorders>
                  <w:noWrap w:val="0"/>
                  <w:vAlign w:val="center"/>
                </w:tcPr>
                <w:p>
                  <w:pPr>
                    <w:adjustRightInd w:val="0"/>
                    <w:snapToGrid w:val="0"/>
                    <w:jc w:val="center"/>
                    <w:rPr>
                      <w:sz w:val="21"/>
                      <w:szCs w:val="21"/>
                    </w:rPr>
                  </w:pPr>
                  <w:r>
                    <w:rPr>
                      <w:sz w:val="21"/>
                      <w:szCs w:val="21"/>
                    </w:rPr>
                    <w:t>辅助工程</w:t>
                  </w:r>
                </w:p>
              </w:tc>
              <w:tc>
                <w:tcPr>
                  <w:tcW w:w="720" w:type="pct"/>
                  <w:tcBorders>
                    <w:tl2br w:val="nil"/>
                    <w:tr2bl w:val="nil"/>
                  </w:tcBorders>
                  <w:noWrap w:val="0"/>
                  <w:vAlign w:val="center"/>
                </w:tcPr>
                <w:p>
                  <w:pPr>
                    <w:adjustRightInd w:val="0"/>
                    <w:snapToGrid w:val="0"/>
                    <w:jc w:val="center"/>
                    <w:rPr>
                      <w:sz w:val="21"/>
                      <w:szCs w:val="21"/>
                    </w:rPr>
                  </w:pPr>
                  <w:r>
                    <w:rPr>
                      <w:sz w:val="21"/>
                      <w:szCs w:val="21"/>
                    </w:rPr>
                    <w:t>办公室</w:t>
                  </w:r>
                </w:p>
              </w:tc>
              <w:tc>
                <w:tcPr>
                  <w:tcW w:w="3017" w:type="pct"/>
                  <w:gridSpan w:val="2"/>
                  <w:tcBorders>
                    <w:tl2br w:val="nil"/>
                    <w:tr2bl w:val="nil"/>
                  </w:tcBorders>
                  <w:noWrap w:val="0"/>
                  <w:vAlign w:val="center"/>
                </w:tcPr>
                <w:p>
                  <w:pPr>
                    <w:adjustRightInd w:val="0"/>
                    <w:snapToGrid w:val="0"/>
                    <w:jc w:val="center"/>
                    <w:rPr>
                      <w:sz w:val="21"/>
                      <w:szCs w:val="21"/>
                      <w:highlight w:val="none"/>
                    </w:rPr>
                  </w:pPr>
                  <w:r>
                    <w:rPr>
                      <w:sz w:val="21"/>
                      <w:szCs w:val="21"/>
                      <w:highlight w:val="none"/>
                    </w:rPr>
                    <w:t>建筑面积</w:t>
                  </w:r>
                  <w:r>
                    <w:rPr>
                      <w:rFonts w:hint="eastAsia"/>
                      <w:sz w:val="21"/>
                      <w:szCs w:val="21"/>
                      <w:highlight w:val="none"/>
                      <w:lang w:val="en-US" w:eastAsia="zh-CN"/>
                    </w:rPr>
                    <w:t>210</w:t>
                  </w:r>
                  <w:r>
                    <w:rPr>
                      <w:sz w:val="21"/>
                      <w:szCs w:val="21"/>
                      <w:highlight w:val="none"/>
                    </w:rPr>
                    <w:t>m</w:t>
                  </w:r>
                  <w:r>
                    <w:rPr>
                      <w:sz w:val="21"/>
                      <w:szCs w:val="21"/>
                      <w:highlight w:val="none"/>
                      <w:vertAlign w:val="superscript"/>
                    </w:rPr>
                    <w:t>2</w:t>
                  </w:r>
                </w:p>
              </w:tc>
              <w:tc>
                <w:tcPr>
                  <w:tcW w:w="850" w:type="pct"/>
                  <w:vMerge w:val="continue"/>
                  <w:tcBorders>
                    <w:tl2br w:val="nil"/>
                    <w:tr2bl w:val="nil"/>
                  </w:tcBorders>
                  <w:noWrap w:val="0"/>
                  <w:vAlign w:val="center"/>
                </w:tcPr>
                <w:p>
                  <w:pPr>
                    <w:adjustRightInd w:val="0"/>
                    <w:snapToGrid w:val="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1" w:type="pct"/>
                  <w:vMerge w:val="continue"/>
                  <w:tcBorders>
                    <w:tl2br w:val="nil"/>
                    <w:tr2bl w:val="nil"/>
                  </w:tcBorders>
                  <w:noWrap w:val="0"/>
                  <w:vAlign w:val="center"/>
                </w:tcPr>
                <w:p>
                  <w:pPr>
                    <w:adjustRightInd w:val="0"/>
                    <w:snapToGrid w:val="0"/>
                    <w:jc w:val="center"/>
                    <w:rPr>
                      <w:sz w:val="21"/>
                      <w:szCs w:val="21"/>
                    </w:rPr>
                  </w:pPr>
                </w:p>
              </w:tc>
              <w:tc>
                <w:tcPr>
                  <w:tcW w:w="720" w:type="pct"/>
                  <w:tcBorders>
                    <w:tl2br w:val="nil"/>
                    <w:tr2bl w:val="nil"/>
                  </w:tcBorders>
                  <w:noWrap w:val="0"/>
                  <w:vAlign w:val="center"/>
                </w:tcPr>
                <w:p>
                  <w:pPr>
                    <w:adjustRightInd w:val="0"/>
                    <w:snapToGrid w:val="0"/>
                    <w:jc w:val="center"/>
                    <w:rPr>
                      <w:rFonts w:hint="eastAsia" w:eastAsia="宋体"/>
                      <w:sz w:val="21"/>
                      <w:szCs w:val="21"/>
                      <w:lang w:val="en-US" w:eastAsia="zh-CN"/>
                    </w:rPr>
                  </w:pPr>
                  <w:r>
                    <w:rPr>
                      <w:rFonts w:hint="eastAsia"/>
                      <w:sz w:val="21"/>
                      <w:szCs w:val="21"/>
                      <w:lang w:val="en-US" w:eastAsia="zh-CN"/>
                    </w:rPr>
                    <w:t>其他</w:t>
                  </w:r>
                </w:p>
              </w:tc>
              <w:tc>
                <w:tcPr>
                  <w:tcW w:w="3017" w:type="pct"/>
                  <w:gridSpan w:val="2"/>
                  <w:tcBorders>
                    <w:tl2br w:val="nil"/>
                    <w:tr2bl w:val="nil"/>
                  </w:tcBorders>
                  <w:noWrap w:val="0"/>
                  <w:vAlign w:val="center"/>
                </w:tcPr>
                <w:p>
                  <w:pPr>
                    <w:adjustRightInd w:val="0"/>
                    <w:snapToGrid w:val="0"/>
                    <w:jc w:val="center"/>
                    <w:rPr>
                      <w:sz w:val="21"/>
                      <w:szCs w:val="21"/>
                    </w:rPr>
                  </w:pPr>
                  <w:r>
                    <w:rPr>
                      <w:rFonts w:hint="eastAsia" w:ascii="宋体" w:hAnsi="宋体" w:cs="宋体"/>
                      <w:sz w:val="21"/>
                      <w:szCs w:val="21"/>
                      <w:lang w:val="en-US" w:eastAsia="zh-CN"/>
                    </w:rPr>
                    <w:t>空压机房、循环水泵组以及循环水池</w:t>
                  </w:r>
                </w:p>
              </w:tc>
              <w:tc>
                <w:tcPr>
                  <w:tcW w:w="850" w:type="pct"/>
                  <w:tcBorders>
                    <w:tl2br w:val="nil"/>
                    <w:tr2bl w:val="nil"/>
                  </w:tcBorders>
                  <w:noWrap w:val="0"/>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1" w:type="pct"/>
                  <w:vMerge w:val="restart"/>
                  <w:tcBorders>
                    <w:tl2br w:val="nil"/>
                    <w:tr2bl w:val="nil"/>
                  </w:tcBorders>
                  <w:shd w:val="clear" w:color="auto" w:fill="auto"/>
                  <w:noWrap w:val="0"/>
                  <w:vAlign w:val="center"/>
                </w:tcPr>
                <w:p>
                  <w:pPr>
                    <w:adjustRightInd w:val="0"/>
                    <w:snapToGrid w:val="0"/>
                    <w:jc w:val="center"/>
                    <w:rPr>
                      <w:sz w:val="21"/>
                      <w:szCs w:val="21"/>
                    </w:rPr>
                  </w:pPr>
                  <w:r>
                    <w:rPr>
                      <w:sz w:val="21"/>
                      <w:szCs w:val="21"/>
                    </w:rPr>
                    <w:t>公用工程</w:t>
                  </w:r>
                </w:p>
              </w:tc>
              <w:tc>
                <w:tcPr>
                  <w:tcW w:w="720" w:type="pct"/>
                  <w:tcBorders>
                    <w:tl2br w:val="nil"/>
                    <w:tr2bl w:val="nil"/>
                  </w:tcBorders>
                  <w:shd w:val="clear" w:color="auto" w:fill="auto"/>
                  <w:noWrap w:val="0"/>
                  <w:vAlign w:val="center"/>
                </w:tcPr>
                <w:p>
                  <w:pPr>
                    <w:adjustRightInd w:val="0"/>
                    <w:snapToGrid w:val="0"/>
                    <w:jc w:val="center"/>
                    <w:rPr>
                      <w:sz w:val="21"/>
                      <w:szCs w:val="21"/>
                    </w:rPr>
                  </w:pPr>
                  <w:r>
                    <w:rPr>
                      <w:sz w:val="21"/>
                      <w:szCs w:val="21"/>
                    </w:rPr>
                    <w:t>供电</w:t>
                  </w:r>
                </w:p>
              </w:tc>
              <w:tc>
                <w:tcPr>
                  <w:tcW w:w="3017" w:type="pct"/>
                  <w:gridSpan w:val="2"/>
                  <w:tcBorders>
                    <w:tl2br w:val="nil"/>
                    <w:tr2bl w:val="nil"/>
                  </w:tcBorders>
                  <w:shd w:val="clear" w:color="auto" w:fill="auto"/>
                  <w:noWrap w:val="0"/>
                  <w:vAlign w:val="center"/>
                </w:tcPr>
                <w:p>
                  <w:pPr>
                    <w:adjustRightInd w:val="0"/>
                    <w:snapToGrid w:val="0"/>
                    <w:jc w:val="center"/>
                    <w:rPr>
                      <w:sz w:val="21"/>
                      <w:szCs w:val="21"/>
                    </w:rPr>
                  </w:pPr>
                  <w:r>
                    <w:rPr>
                      <w:sz w:val="21"/>
                      <w:szCs w:val="21"/>
                    </w:rPr>
                    <w:t>由市政供电电网接入</w:t>
                  </w:r>
                </w:p>
              </w:tc>
              <w:tc>
                <w:tcPr>
                  <w:tcW w:w="850" w:type="pct"/>
                  <w:tcBorders>
                    <w:tl2br w:val="nil"/>
                    <w:tr2bl w:val="nil"/>
                  </w:tcBorders>
                  <w:shd w:val="clear" w:color="auto" w:fill="auto"/>
                  <w:noWrap w:val="0"/>
                  <w:vAlign w:val="center"/>
                </w:tcPr>
                <w:p>
                  <w:pPr>
                    <w:adjustRightInd w:val="0"/>
                    <w:snapToGrid w:val="0"/>
                    <w:jc w:val="center"/>
                    <w:rPr>
                      <w:sz w:val="21"/>
                      <w:szCs w:val="21"/>
                    </w:rPr>
                  </w:pPr>
                  <w:r>
                    <w:rPr>
                      <w:sz w:val="21"/>
                      <w:szCs w:val="21"/>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1" w:type="pct"/>
                  <w:vMerge w:val="continue"/>
                  <w:tcBorders>
                    <w:tl2br w:val="nil"/>
                    <w:tr2bl w:val="nil"/>
                  </w:tcBorders>
                  <w:shd w:val="clear" w:color="auto" w:fill="auto"/>
                  <w:noWrap w:val="0"/>
                  <w:vAlign w:val="center"/>
                </w:tcPr>
                <w:p>
                  <w:pPr>
                    <w:adjustRightInd w:val="0"/>
                    <w:snapToGrid w:val="0"/>
                    <w:jc w:val="center"/>
                    <w:rPr>
                      <w:sz w:val="21"/>
                      <w:szCs w:val="21"/>
                    </w:rPr>
                  </w:pPr>
                </w:p>
              </w:tc>
              <w:tc>
                <w:tcPr>
                  <w:tcW w:w="720" w:type="pct"/>
                  <w:tcBorders>
                    <w:tl2br w:val="nil"/>
                    <w:tr2bl w:val="nil"/>
                  </w:tcBorders>
                  <w:shd w:val="clear" w:color="auto" w:fill="auto"/>
                  <w:noWrap w:val="0"/>
                  <w:vAlign w:val="center"/>
                </w:tcPr>
                <w:p>
                  <w:pPr>
                    <w:adjustRightInd w:val="0"/>
                    <w:snapToGrid w:val="0"/>
                    <w:jc w:val="center"/>
                    <w:rPr>
                      <w:sz w:val="21"/>
                      <w:szCs w:val="21"/>
                    </w:rPr>
                  </w:pPr>
                  <w:r>
                    <w:rPr>
                      <w:sz w:val="21"/>
                      <w:szCs w:val="21"/>
                    </w:rPr>
                    <w:t>供水</w:t>
                  </w:r>
                </w:p>
              </w:tc>
              <w:tc>
                <w:tcPr>
                  <w:tcW w:w="3017" w:type="pct"/>
                  <w:gridSpan w:val="2"/>
                  <w:tcBorders>
                    <w:tl2br w:val="nil"/>
                    <w:tr2bl w:val="nil"/>
                  </w:tcBorders>
                  <w:shd w:val="clear" w:color="auto" w:fill="auto"/>
                  <w:noWrap w:val="0"/>
                  <w:vAlign w:val="center"/>
                </w:tcPr>
                <w:p>
                  <w:pPr>
                    <w:adjustRightInd w:val="0"/>
                    <w:snapToGrid w:val="0"/>
                    <w:jc w:val="center"/>
                    <w:rPr>
                      <w:sz w:val="21"/>
                      <w:szCs w:val="21"/>
                    </w:rPr>
                  </w:pPr>
                  <w:r>
                    <w:rPr>
                      <w:sz w:val="21"/>
                      <w:szCs w:val="21"/>
                    </w:rPr>
                    <w:t>由市政自来水管网供给</w:t>
                  </w:r>
                </w:p>
              </w:tc>
              <w:tc>
                <w:tcPr>
                  <w:tcW w:w="850" w:type="pct"/>
                  <w:tcBorders>
                    <w:tl2br w:val="nil"/>
                    <w:tr2bl w:val="nil"/>
                  </w:tcBorders>
                  <w:shd w:val="clear" w:color="auto" w:fill="auto"/>
                  <w:noWrap w:val="0"/>
                  <w:vAlign w:val="center"/>
                </w:tcPr>
                <w:p>
                  <w:pPr>
                    <w:adjustRightInd w:val="0"/>
                    <w:snapToGrid w:val="0"/>
                    <w:jc w:val="center"/>
                    <w:rPr>
                      <w:sz w:val="21"/>
                      <w:szCs w:val="21"/>
                    </w:rPr>
                  </w:pPr>
                  <w:r>
                    <w:rPr>
                      <w:sz w:val="21"/>
                      <w:szCs w:val="21"/>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1" w:type="pct"/>
                  <w:vMerge w:val="restart"/>
                  <w:tcBorders>
                    <w:tl2br w:val="nil"/>
                    <w:tr2bl w:val="nil"/>
                  </w:tcBorders>
                  <w:shd w:val="clear" w:color="auto" w:fill="auto"/>
                  <w:noWrap w:val="0"/>
                  <w:vAlign w:val="center"/>
                </w:tcPr>
                <w:p>
                  <w:pPr>
                    <w:adjustRightInd w:val="0"/>
                    <w:snapToGrid w:val="0"/>
                    <w:jc w:val="center"/>
                    <w:rPr>
                      <w:sz w:val="21"/>
                      <w:szCs w:val="21"/>
                    </w:rPr>
                  </w:pPr>
                  <w:r>
                    <w:rPr>
                      <w:sz w:val="21"/>
                      <w:szCs w:val="21"/>
                    </w:rPr>
                    <w:t>环</w:t>
                  </w:r>
                </w:p>
                <w:p>
                  <w:pPr>
                    <w:adjustRightInd w:val="0"/>
                    <w:snapToGrid w:val="0"/>
                    <w:jc w:val="center"/>
                    <w:rPr>
                      <w:sz w:val="21"/>
                      <w:szCs w:val="21"/>
                    </w:rPr>
                  </w:pPr>
                  <w:r>
                    <w:rPr>
                      <w:sz w:val="21"/>
                      <w:szCs w:val="21"/>
                    </w:rPr>
                    <w:t>保</w:t>
                  </w:r>
                </w:p>
                <w:p>
                  <w:pPr>
                    <w:adjustRightInd w:val="0"/>
                    <w:snapToGrid w:val="0"/>
                    <w:jc w:val="center"/>
                    <w:rPr>
                      <w:sz w:val="21"/>
                      <w:szCs w:val="21"/>
                    </w:rPr>
                  </w:pPr>
                  <w:r>
                    <w:rPr>
                      <w:sz w:val="21"/>
                      <w:szCs w:val="21"/>
                    </w:rPr>
                    <w:t>工</w:t>
                  </w:r>
                </w:p>
                <w:p>
                  <w:pPr>
                    <w:adjustRightInd w:val="0"/>
                    <w:snapToGrid w:val="0"/>
                    <w:jc w:val="center"/>
                    <w:rPr>
                      <w:sz w:val="21"/>
                      <w:szCs w:val="21"/>
                    </w:rPr>
                  </w:pPr>
                  <w:r>
                    <w:rPr>
                      <w:sz w:val="21"/>
                      <w:szCs w:val="21"/>
                    </w:rPr>
                    <w:t>程</w:t>
                  </w:r>
                </w:p>
              </w:tc>
              <w:tc>
                <w:tcPr>
                  <w:tcW w:w="720" w:type="pct"/>
                  <w:vMerge w:val="restart"/>
                  <w:tcBorders>
                    <w:tl2br w:val="nil"/>
                    <w:tr2bl w:val="nil"/>
                  </w:tcBorders>
                  <w:shd w:val="clear" w:color="auto" w:fill="auto"/>
                  <w:noWrap w:val="0"/>
                  <w:vAlign w:val="center"/>
                </w:tcPr>
                <w:p>
                  <w:pPr>
                    <w:adjustRightInd w:val="0"/>
                    <w:snapToGrid w:val="0"/>
                    <w:jc w:val="center"/>
                    <w:rPr>
                      <w:sz w:val="21"/>
                      <w:szCs w:val="21"/>
                    </w:rPr>
                  </w:pPr>
                  <w:r>
                    <w:rPr>
                      <w:sz w:val="21"/>
                      <w:szCs w:val="21"/>
                    </w:rPr>
                    <w:t>废水</w:t>
                  </w:r>
                </w:p>
              </w:tc>
              <w:tc>
                <w:tcPr>
                  <w:tcW w:w="920" w:type="pct"/>
                  <w:tcBorders>
                    <w:tl2br w:val="nil"/>
                    <w:tr2bl w:val="nil"/>
                  </w:tcBorders>
                  <w:shd w:val="clear" w:color="auto" w:fill="auto"/>
                  <w:noWrap w:val="0"/>
                  <w:vAlign w:val="center"/>
                </w:tcPr>
                <w:p>
                  <w:pPr>
                    <w:adjustRightInd w:val="0"/>
                    <w:snapToGrid w:val="0"/>
                    <w:jc w:val="center"/>
                    <w:rPr>
                      <w:color w:val="auto"/>
                      <w:sz w:val="21"/>
                      <w:szCs w:val="21"/>
                      <w:u w:val="none"/>
                    </w:rPr>
                  </w:pPr>
                  <w:r>
                    <w:rPr>
                      <w:color w:val="auto"/>
                      <w:sz w:val="21"/>
                      <w:szCs w:val="21"/>
                      <w:u w:val="none"/>
                    </w:rPr>
                    <w:t xml:space="preserve">生活污水 </w:t>
                  </w:r>
                </w:p>
              </w:tc>
              <w:tc>
                <w:tcPr>
                  <w:tcW w:w="2097" w:type="pct"/>
                  <w:tcBorders>
                    <w:tl2br w:val="nil"/>
                    <w:tr2bl w:val="nil"/>
                  </w:tcBorders>
                  <w:shd w:val="clear" w:color="auto" w:fill="auto"/>
                  <w:noWrap w:val="0"/>
                  <w:vAlign w:val="center"/>
                </w:tcPr>
                <w:p>
                  <w:pPr>
                    <w:adjustRightInd w:val="0"/>
                    <w:snapToGrid w:val="0"/>
                    <w:jc w:val="center"/>
                    <w:rPr>
                      <w:rFonts w:hint="default" w:eastAsia="宋体"/>
                      <w:color w:val="auto"/>
                      <w:sz w:val="21"/>
                      <w:szCs w:val="21"/>
                      <w:u w:val="none"/>
                      <w:lang w:val="en-US" w:eastAsia="zh-CN"/>
                    </w:rPr>
                  </w:pPr>
                  <w:r>
                    <w:rPr>
                      <w:rFonts w:hint="eastAsia"/>
                      <w:color w:val="auto"/>
                      <w:sz w:val="21"/>
                      <w:szCs w:val="21"/>
                      <w:u w:val="none"/>
                      <w:lang w:val="en-US" w:eastAsia="zh-CN"/>
                    </w:rPr>
                    <w:t>依托</w:t>
                  </w:r>
                  <w:r>
                    <w:rPr>
                      <w:rFonts w:hint="eastAsia"/>
                      <w:color w:val="auto"/>
                      <w:sz w:val="21"/>
                      <w:szCs w:val="21"/>
                      <w:u w:val="none"/>
                    </w:rPr>
                    <w:t>湖南定宇新材料科技有限公司</w:t>
                  </w:r>
                  <w:r>
                    <w:rPr>
                      <w:rFonts w:hint="eastAsia"/>
                      <w:color w:val="auto"/>
                      <w:sz w:val="21"/>
                      <w:szCs w:val="21"/>
                      <w:u w:val="none"/>
                      <w:lang w:val="en-US" w:eastAsia="zh-CN"/>
                    </w:rPr>
                    <w:t>已建成</w:t>
                  </w:r>
                  <w:r>
                    <w:rPr>
                      <w:color w:val="auto"/>
                      <w:sz w:val="21"/>
                      <w:szCs w:val="21"/>
                      <w:u w:val="none"/>
                    </w:rPr>
                    <w:t>化粪池处理</w:t>
                  </w:r>
                  <w:r>
                    <w:rPr>
                      <w:rFonts w:hint="eastAsia"/>
                      <w:color w:val="auto"/>
                      <w:sz w:val="21"/>
                      <w:szCs w:val="21"/>
                      <w:u w:val="none"/>
                      <w:lang w:val="en-US" w:eastAsia="zh-CN"/>
                    </w:rPr>
                    <w:t>后，排入园区市政污水管网</w:t>
                  </w:r>
                </w:p>
              </w:tc>
              <w:tc>
                <w:tcPr>
                  <w:tcW w:w="850" w:type="pct"/>
                  <w:tcBorders>
                    <w:tl2br w:val="nil"/>
                    <w:tr2bl w:val="nil"/>
                  </w:tcBorders>
                  <w:shd w:val="clear" w:color="auto" w:fill="auto"/>
                  <w:noWrap w:val="0"/>
                  <w:vAlign w:val="center"/>
                </w:tcPr>
                <w:p>
                  <w:pPr>
                    <w:adjustRightInd w:val="0"/>
                    <w:snapToGrid w:val="0"/>
                    <w:jc w:val="center"/>
                    <w:rPr>
                      <w:sz w:val="21"/>
                      <w:szCs w:val="21"/>
                    </w:rPr>
                  </w:pPr>
                  <w:r>
                    <w:rPr>
                      <w:sz w:val="21"/>
                      <w:szCs w:val="21"/>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1" w:type="pct"/>
                  <w:vMerge w:val="continue"/>
                  <w:tcBorders>
                    <w:tl2br w:val="nil"/>
                    <w:tr2bl w:val="nil"/>
                  </w:tcBorders>
                  <w:shd w:val="clear" w:color="auto" w:fill="auto"/>
                  <w:noWrap w:val="0"/>
                  <w:vAlign w:val="center"/>
                </w:tcPr>
                <w:p>
                  <w:pPr>
                    <w:adjustRightInd w:val="0"/>
                    <w:snapToGrid w:val="0"/>
                    <w:jc w:val="center"/>
                    <w:rPr>
                      <w:sz w:val="21"/>
                      <w:szCs w:val="21"/>
                    </w:rPr>
                  </w:pPr>
                </w:p>
              </w:tc>
              <w:tc>
                <w:tcPr>
                  <w:tcW w:w="720" w:type="pct"/>
                  <w:vMerge w:val="continue"/>
                  <w:tcBorders>
                    <w:tl2br w:val="nil"/>
                    <w:tr2bl w:val="nil"/>
                  </w:tcBorders>
                  <w:shd w:val="clear" w:color="auto" w:fill="auto"/>
                  <w:noWrap w:val="0"/>
                  <w:vAlign w:val="center"/>
                </w:tcPr>
                <w:p>
                  <w:pPr>
                    <w:adjustRightInd w:val="0"/>
                    <w:snapToGrid w:val="0"/>
                    <w:jc w:val="center"/>
                    <w:rPr>
                      <w:sz w:val="21"/>
                      <w:szCs w:val="21"/>
                    </w:rPr>
                  </w:pPr>
                </w:p>
              </w:tc>
              <w:tc>
                <w:tcPr>
                  <w:tcW w:w="920" w:type="pct"/>
                  <w:tcBorders>
                    <w:tl2br w:val="nil"/>
                    <w:tr2bl w:val="nil"/>
                  </w:tcBorders>
                  <w:shd w:val="clear" w:color="auto" w:fill="auto"/>
                  <w:noWrap w:val="0"/>
                  <w:vAlign w:val="center"/>
                </w:tcPr>
                <w:p>
                  <w:pPr>
                    <w:adjustRightInd w:val="0"/>
                    <w:snapToGrid w:val="0"/>
                    <w:jc w:val="center"/>
                    <w:rPr>
                      <w:rFonts w:hint="eastAsia" w:eastAsia="宋体"/>
                      <w:color w:val="auto"/>
                      <w:sz w:val="21"/>
                      <w:szCs w:val="21"/>
                      <w:u w:val="none"/>
                      <w:lang w:val="en-US" w:eastAsia="zh-CN"/>
                    </w:rPr>
                  </w:pPr>
                  <w:r>
                    <w:rPr>
                      <w:rFonts w:hint="eastAsia"/>
                      <w:color w:val="auto"/>
                      <w:sz w:val="21"/>
                      <w:szCs w:val="21"/>
                      <w:u w:val="none"/>
                      <w:lang w:val="en-US" w:eastAsia="zh-CN"/>
                    </w:rPr>
                    <w:t>冷却水</w:t>
                  </w:r>
                </w:p>
              </w:tc>
              <w:tc>
                <w:tcPr>
                  <w:tcW w:w="2097" w:type="pct"/>
                  <w:tcBorders>
                    <w:tl2br w:val="nil"/>
                    <w:tr2bl w:val="nil"/>
                  </w:tcBorders>
                  <w:shd w:val="clear" w:color="auto" w:fill="auto"/>
                  <w:noWrap w:val="0"/>
                  <w:vAlign w:val="center"/>
                </w:tcPr>
                <w:p>
                  <w:pPr>
                    <w:adjustRightInd w:val="0"/>
                    <w:snapToGrid w:val="0"/>
                    <w:jc w:val="center"/>
                    <w:rPr>
                      <w:rFonts w:hint="default"/>
                      <w:color w:val="auto"/>
                      <w:sz w:val="21"/>
                      <w:szCs w:val="21"/>
                      <w:u w:val="none"/>
                      <w:lang w:val="en-US" w:eastAsia="zh-CN"/>
                    </w:rPr>
                  </w:pPr>
                  <w:r>
                    <w:rPr>
                      <w:rFonts w:hint="eastAsia"/>
                      <w:color w:val="auto"/>
                      <w:sz w:val="21"/>
                      <w:szCs w:val="21"/>
                      <w:u w:val="none"/>
                      <w:lang w:val="en-US" w:eastAsia="zh-CN"/>
                    </w:rPr>
                    <w:t>冷却水循环使用，定期补水</w:t>
                  </w:r>
                </w:p>
              </w:tc>
              <w:tc>
                <w:tcPr>
                  <w:tcW w:w="850" w:type="pct"/>
                  <w:tcBorders>
                    <w:tl2br w:val="nil"/>
                    <w:tr2bl w:val="nil"/>
                  </w:tcBorders>
                  <w:shd w:val="clear" w:color="auto" w:fill="auto"/>
                  <w:noWrap w:val="0"/>
                  <w:vAlign w:val="center"/>
                </w:tcPr>
                <w:p>
                  <w:pPr>
                    <w:adjustRightInd w:val="0"/>
                    <w:snapToGrid w:val="0"/>
                    <w:jc w:val="center"/>
                    <w:rPr>
                      <w:rFonts w:hint="eastAsia" w:eastAsia="宋体"/>
                      <w:sz w:val="21"/>
                      <w:szCs w:val="21"/>
                      <w:lang w:val="en-US" w:eastAsia="zh-CN"/>
                    </w:rPr>
                  </w:pPr>
                  <w:r>
                    <w:rPr>
                      <w:rFonts w:hint="eastAsia"/>
                      <w:sz w:val="21"/>
                      <w:szCs w:val="21"/>
                      <w:lang w:val="en-US"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59" w:hRule="atLeast"/>
              </w:trPr>
              <w:tc>
                <w:tcPr>
                  <w:tcW w:w="411" w:type="pct"/>
                  <w:vMerge w:val="continue"/>
                  <w:tcBorders>
                    <w:tl2br w:val="nil"/>
                    <w:tr2bl w:val="nil"/>
                  </w:tcBorders>
                  <w:shd w:val="clear" w:color="auto" w:fill="auto"/>
                  <w:noWrap w:val="0"/>
                  <w:vAlign w:val="center"/>
                </w:tcPr>
                <w:p>
                  <w:pPr>
                    <w:adjustRightInd w:val="0"/>
                    <w:snapToGrid w:val="0"/>
                    <w:jc w:val="center"/>
                    <w:rPr>
                      <w:sz w:val="21"/>
                      <w:szCs w:val="21"/>
                    </w:rPr>
                  </w:pPr>
                </w:p>
              </w:tc>
              <w:tc>
                <w:tcPr>
                  <w:tcW w:w="720" w:type="pct"/>
                  <w:vMerge w:val="restart"/>
                  <w:tcBorders>
                    <w:tl2br w:val="nil"/>
                    <w:tr2bl w:val="nil"/>
                  </w:tcBorders>
                  <w:shd w:val="clear" w:color="auto" w:fill="auto"/>
                  <w:noWrap w:val="0"/>
                  <w:vAlign w:val="center"/>
                </w:tcPr>
                <w:p>
                  <w:pPr>
                    <w:adjustRightInd w:val="0"/>
                    <w:snapToGrid w:val="0"/>
                    <w:jc w:val="center"/>
                    <w:rPr>
                      <w:sz w:val="21"/>
                      <w:szCs w:val="21"/>
                    </w:rPr>
                  </w:pPr>
                  <w:r>
                    <w:rPr>
                      <w:sz w:val="21"/>
                      <w:szCs w:val="21"/>
                    </w:rPr>
                    <w:t>废气</w:t>
                  </w:r>
                </w:p>
              </w:tc>
              <w:tc>
                <w:tcPr>
                  <w:tcW w:w="920" w:type="pct"/>
                  <w:tcBorders>
                    <w:tl2br w:val="nil"/>
                    <w:tr2bl w:val="nil"/>
                  </w:tcBorders>
                  <w:shd w:val="clear" w:color="auto" w:fill="auto"/>
                  <w:noWrap w:val="0"/>
                  <w:vAlign w:val="center"/>
                </w:tcPr>
                <w:p>
                  <w:pPr>
                    <w:adjustRightInd w:val="0"/>
                    <w:snapToGrid w:val="0"/>
                    <w:jc w:val="center"/>
                    <w:rPr>
                      <w:rFonts w:hint="default"/>
                      <w:sz w:val="21"/>
                      <w:szCs w:val="21"/>
                      <w:lang w:val="en-US" w:eastAsia="zh-CN"/>
                    </w:rPr>
                  </w:pPr>
                  <w:r>
                    <w:rPr>
                      <w:rFonts w:hint="eastAsia"/>
                      <w:sz w:val="21"/>
                      <w:szCs w:val="21"/>
                      <w:lang w:val="en-US" w:eastAsia="zh-CN"/>
                    </w:rPr>
                    <w:t>破碎粉尘</w:t>
                  </w:r>
                </w:p>
              </w:tc>
              <w:tc>
                <w:tcPr>
                  <w:tcW w:w="2097" w:type="pct"/>
                  <w:tcBorders>
                    <w:tl2br w:val="nil"/>
                    <w:tr2bl w:val="nil"/>
                  </w:tcBorders>
                  <w:shd w:val="clear" w:color="auto" w:fill="auto"/>
                  <w:noWrap w:val="0"/>
                  <w:vAlign w:val="center"/>
                </w:tcPr>
                <w:p>
                  <w:pPr>
                    <w:adjustRightInd w:val="0"/>
                    <w:snapToGrid w:val="0"/>
                    <w:jc w:val="center"/>
                    <w:rPr>
                      <w:rFonts w:hint="eastAsia"/>
                      <w:sz w:val="21"/>
                      <w:szCs w:val="21"/>
                      <w:lang w:val="en-US" w:eastAsia="zh-CN"/>
                    </w:rPr>
                  </w:pPr>
                  <w:r>
                    <w:rPr>
                      <w:rFonts w:hint="eastAsia"/>
                      <w:color w:val="auto"/>
                      <w:sz w:val="21"/>
                      <w:szCs w:val="21"/>
                      <w:u w:val="none"/>
                      <w:lang w:val="en-US" w:eastAsia="zh-CN"/>
                    </w:rPr>
                    <w:t>集气罩收集后经袋式除尘处理后，由15m高排气筒（TA001）排放</w:t>
                  </w:r>
                </w:p>
              </w:tc>
              <w:tc>
                <w:tcPr>
                  <w:tcW w:w="850" w:type="pct"/>
                  <w:tcBorders>
                    <w:tl2br w:val="nil"/>
                    <w:tr2bl w:val="nil"/>
                  </w:tcBorders>
                  <w:shd w:val="clear" w:color="auto" w:fill="auto"/>
                  <w:noWrap w:val="0"/>
                  <w:vAlign w:val="center"/>
                </w:tcPr>
                <w:p>
                  <w:pPr>
                    <w:adjustRightInd w:val="0"/>
                    <w:snapToGrid w:val="0"/>
                    <w:jc w:val="center"/>
                    <w:rPr>
                      <w:rFonts w:hint="eastAsia" w:eastAsia="宋体"/>
                      <w:sz w:val="21"/>
                      <w:szCs w:val="21"/>
                      <w:lang w:val="en-US" w:eastAsia="zh-CN"/>
                    </w:rPr>
                  </w:pPr>
                  <w:r>
                    <w:rPr>
                      <w:rFonts w:hint="eastAsia"/>
                      <w:sz w:val="21"/>
                      <w:szCs w:val="21"/>
                      <w:lang w:val="en-US" w:eastAsia="zh-CN"/>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59" w:hRule="atLeast"/>
              </w:trPr>
              <w:tc>
                <w:tcPr>
                  <w:tcW w:w="411" w:type="pct"/>
                  <w:vMerge w:val="continue"/>
                  <w:tcBorders>
                    <w:tl2br w:val="nil"/>
                    <w:tr2bl w:val="nil"/>
                  </w:tcBorders>
                  <w:shd w:val="clear" w:color="auto" w:fill="auto"/>
                  <w:noWrap w:val="0"/>
                  <w:vAlign w:val="center"/>
                </w:tcPr>
                <w:p>
                  <w:pPr>
                    <w:adjustRightInd w:val="0"/>
                    <w:snapToGrid w:val="0"/>
                    <w:jc w:val="center"/>
                    <w:rPr>
                      <w:sz w:val="21"/>
                      <w:szCs w:val="21"/>
                    </w:rPr>
                  </w:pPr>
                </w:p>
              </w:tc>
              <w:tc>
                <w:tcPr>
                  <w:tcW w:w="720" w:type="pct"/>
                  <w:vMerge w:val="continue"/>
                  <w:tcBorders>
                    <w:tl2br w:val="nil"/>
                    <w:tr2bl w:val="nil"/>
                  </w:tcBorders>
                  <w:shd w:val="clear" w:color="auto" w:fill="auto"/>
                  <w:noWrap w:val="0"/>
                  <w:vAlign w:val="center"/>
                </w:tcPr>
                <w:p>
                  <w:pPr>
                    <w:adjustRightInd w:val="0"/>
                    <w:snapToGrid w:val="0"/>
                    <w:jc w:val="center"/>
                    <w:rPr>
                      <w:sz w:val="21"/>
                      <w:szCs w:val="21"/>
                    </w:rPr>
                  </w:pPr>
                </w:p>
              </w:tc>
              <w:tc>
                <w:tcPr>
                  <w:tcW w:w="920" w:type="pct"/>
                  <w:tcBorders>
                    <w:tl2br w:val="nil"/>
                    <w:tr2bl w:val="nil"/>
                  </w:tcBorders>
                  <w:shd w:val="clear" w:color="auto" w:fill="auto"/>
                  <w:noWrap w:val="0"/>
                  <w:vAlign w:val="center"/>
                </w:tcPr>
                <w:p>
                  <w:pPr>
                    <w:adjustRightInd w:val="0"/>
                    <w:snapToGrid w:val="0"/>
                    <w:jc w:val="center"/>
                    <w:rPr>
                      <w:rFonts w:hint="eastAsia" w:eastAsia="宋体"/>
                      <w:sz w:val="21"/>
                      <w:szCs w:val="21"/>
                      <w:lang w:eastAsia="zh-CN"/>
                    </w:rPr>
                  </w:pPr>
                  <w:r>
                    <w:rPr>
                      <w:rFonts w:hint="eastAsia"/>
                      <w:sz w:val="21"/>
                      <w:szCs w:val="21"/>
                      <w:lang w:val="en-US" w:eastAsia="zh-CN"/>
                    </w:rPr>
                    <w:t>挥发性有机物</w:t>
                  </w:r>
                </w:p>
              </w:tc>
              <w:tc>
                <w:tcPr>
                  <w:tcW w:w="2097" w:type="pct"/>
                  <w:tcBorders>
                    <w:tl2br w:val="nil"/>
                    <w:tr2bl w:val="nil"/>
                  </w:tcBorders>
                  <w:shd w:val="clear" w:color="auto" w:fill="auto"/>
                  <w:noWrap w:val="0"/>
                  <w:vAlign w:val="center"/>
                </w:tcPr>
                <w:p>
                  <w:pPr>
                    <w:adjustRightInd w:val="0"/>
                    <w:snapToGrid w:val="0"/>
                    <w:jc w:val="center"/>
                    <w:rPr>
                      <w:sz w:val="21"/>
                      <w:szCs w:val="21"/>
                    </w:rPr>
                  </w:pPr>
                  <w:r>
                    <w:rPr>
                      <w:rFonts w:hint="eastAsia"/>
                      <w:sz w:val="21"/>
                      <w:szCs w:val="21"/>
                      <w:lang w:val="en-US" w:eastAsia="zh-CN"/>
                    </w:rPr>
                    <w:t>熔融成型工序中产生的挥发性有机物</w:t>
                  </w:r>
                  <w:r>
                    <w:rPr>
                      <w:rFonts w:hint="eastAsia"/>
                      <w:color w:val="000000" w:themeColor="text1"/>
                      <w:sz w:val="21"/>
                      <w:szCs w:val="21"/>
                      <w:lang w:val="en-US" w:eastAsia="zh-CN"/>
                      <w14:textFill>
                        <w14:solidFill>
                          <w14:schemeClr w14:val="tx1"/>
                        </w14:solidFill>
                      </w14:textFill>
                    </w:rPr>
                    <w:t>由集气管道收集后统一由“UV光解催化氧化+活性炭”处理再经过15m高排气筒（TA002）排放。</w:t>
                  </w:r>
                </w:p>
              </w:tc>
              <w:tc>
                <w:tcPr>
                  <w:tcW w:w="850" w:type="pct"/>
                  <w:tcBorders>
                    <w:tl2br w:val="nil"/>
                    <w:tr2bl w:val="nil"/>
                  </w:tcBorders>
                  <w:shd w:val="clear" w:color="auto" w:fill="auto"/>
                  <w:noWrap w:val="0"/>
                  <w:vAlign w:val="center"/>
                </w:tcPr>
                <w:p>
                  <w:pPr>
                    <w:adjustRightInd w:val="0"/>
                    <w:snapToGrid w:val="0"/>
                    <w:jc w:val="center"/>
                    <w:rPr>
                      <w:sz w:val="21"/>
                      <w:szCs w:val="21"/>
                    </w:rPr>
                  </w:pPr>
                  <w:r>
                    <w:rPr>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1" w:type="pct"/>
                  <w:vMerge w:val="continue"/>
                  <w:tcBorders>
                    <w:tl2br w:val="nil"/>
                    <w:tr2bl w:val="nil"/>
                  </w:tcBorders>
                  <w:noWrap w:val="0"/>
                  <w:vAlign w:val="center"/>
                </w:tcPr>
                <w:p>
                  <w:pPr>
                    <w:adjustRightInd w:val="0"/>
                    <w:snapToGrid w:val="0"/>
                    <w:jc w:val="center"/>
                    <w:rPr>
                      <w:sz w:val="21"/>
                      <w:szCs w:val="21"/>
                    </w:rPr>
                  </w:pPr>
                </w:p>
              </w:tc>
              <w:tc>
                <w:tcPr>
                  <w:tcW w:w="720" w:type="pct"/>
                  <w:vMerge w:val="restart"/>
                  <w:tcBorders>
                    <w:tl2br w:val="nil"/>
                    <w:tr2bl w:val="nil"/>
                  </w:tcBorders>
                  <w:noWrap w:val="0"/>
                  <w:vAlign w:val="center"/>
                </w:tcPr>
                <w:p>
                  <w:pPr>
                    <w:adjustRightInd w:val="0"/>
                    <w:snapToGrid w:val="0"/>
                    <w:jc w:val="center"/>
                    <w:rPr>
                      <w:sz w:val="21"/>
                      <w:szCs w:val="21"/>
                    </w:rPr>
                  </w:pPr>
                  <w:r>
                    <w:rPr>
                      <w:sz w:val="21"/>
                      <w:szCs w:val="21"/>
                    </w:rPr>
                    <w:t>固废</w:t>
                  </w:r>
                </w:p>
              </w:tc>
              <w:tc>
                <w:tcPr>
                  <w:tcW w:w="920" w:type="pct"/>
                  <w:tcBorders>
                    <w:tl2br w:val="nil"/>
                    <w:tr2bl w:val="nil"/>
                  </w:tcBorders>
                  <w:noWrap w:val="0"/>
                  <w:vAlign w:val="center"/>
                </w:tcPr>
                <w:p>
                  <w:pPr>
                    <w:adjustRightInd w:val="0"/>
                    <w:snapToGrid w:val="0"/>
                    <w:jc w:val="center"/>
                    <w:rPr>
                      <w:sz w:val="21"/>
                      <w:szCs w:val="21"/>
                    </w:rPr>
                  </w:pPr>
                  <w:r>
                    <w:rPr>
                      <w:sz w:val="21"/>
                      <w:szCs w:val="21"/>
                    </w:rPr>
                    <w:t>生活垃圾</w:t>
                  </w:r>
                </w:p>
              </w:tc>
              <w:tc>
                <w:tcPr>
                  <w:tcW w:w="2097" w:type="pct"/>
                  <w:tcBorders>
                    <w:tl2br w:val="nil"/>
                    <w:tr2bl w:val="nil"/>
                  </w:tcBorders>
                  <w:noWrap w:val="0"/>
                  <w:vAlign w:val="center"/>
                </w:tcPr>
                <w:p>
                  <w:pPr>
                    <w:adjustRightInd w:val="0"/>
                    <w:snapToGrid w:val="0"/>
                    <w:jc w:val="center"/>
                    <w:rPr>
                      <w:sz w:val="21"/>
                      <w:szCs w:val="21"/>
                    </w:rPr>
                  </w:pPr>
                  <w:r>
                    <w:rPr>
                      <w:sz w:val="21"/>
                      <w:szCs w:val="21"/>
                    </w:rPr>
                    <w:t>环卫部门统一清运</w:t>
                  </w:r>
                </w:p>
              </w:tc>
              <w:tc>
                <w:tcPr>
                  <w:tcW w:w="850" w:type="pct"/>
                  <w:tcBorders>
                    <w:tl2br w:val="nil"/>
                    <w:tr2bl w:val="nil"/>
                  </w:tcBorders>
                  <w:noWrap w:val="0"/>
                  <w:vAlign w:val="center"/>
                </w:tcPr>
                <w:p>
                  <w:pPr>
                    <w:adjustRightInd w:val="0"/>
                    <w:snapToGrid w:val="0"/>
                    <w:jc w:val="center"/>
                    <w:rPr>
                      <w:sz w:val="21"/>
                      <w:szCs w:val="21"/>
                    </w:rPr>
                  </w:pPr>
                  <w:r>
                    <w:rPr>
                      <w:sz w:val="21"/>
                      <w:szCs w:val="21"/>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1" w:type="pct"/>
                  <w:vMerge w:val="continue"/>
                  <w:tcBorders>
                    <w:tl2br w:val="nil"/>
                    <w:tr2bl w:val="nil"/>
                  </w:tcBorders>
                  <w:noWrap w:val="0"/>
                  <w:vAlign w:val="center"/>
                </w:tcPr>
                <w:p>
                  <w:pPr>
                    <w:adjustRightInd w:val="0"/>
                    <w:snapToGrid w:val="0"/>
                    <w:jc w:val="center"/>
                    <w:rPr>
                      <w:sz w:val="21"/>
                      <w:szCs w:val="21"/>
                    </w:rPr>
                  </w:pPr>
                </w:p>
              </w:tc>
              <w:tc>
                <w:tcPr>
                  <w:tcW w:w="720" w:type="pct"/>
                  <w:vMerge w:val="continue"/>
                  <w:tcBorders>
                    <w:tl2br w:val="nil"/>
                    <w:tr2bl w:val="nil"/>
                  </w:tcBorders>
                  <w:noWrap w:val="0"/>
                  <w:vAlign w:val="center"/>
                </w:tcPr>
                <w:p>
                  <w:pPr>
                    <w:adjustRightInd w:val="0"/>
                    <w:snapToGrid w:val="0"/>
                    <w:jc w:val="center"/>
                    <w:rPr>
                      <w:sz w:val="21"/>
                      <w:szCs w:val="21"/>
                    </w:rPr>
                  </w:pPr>
                </w:p>
              </w:tc>
              <w:tc>
                <w:tcPr>
                  <w:tcW w:w="920" w:type="pct"/>
                  <w:tcBorders>
                    <w:tl2br w:val="nil"/>
                    <w:tr2bl w:val="nil"/>
                  </w:tcBorders>
                  <w:noWrap w:val="0"/>
                  <w:vAlign w:val="center"/>
                </w:tcPr>
                <w:p>
                  <w:pPr>
                    <w:adjustRightInd w:val="0"/>
                    <w:snapToGrid w:val="0"/>
                    <w:jc w:val="center"/>
                    <w:rPr>
                      <w:sz w:val="21"/>
                      <w:szCs w:val="21"/>
                    </w:rPr>
                  </w:pPr>
                  <w:r>
                    <w:rPr>
                      <w:sz w:val="21"/>
                      <w:szCs w:val="21"/>
                    </w:rPr>
                    <w:t>一般固体废物</w:t>
                  </w:r>
                </w:p>
              </w:tc>
              <w:tc>
                <w:tcPr>
                  <w:tcW w:w="2097" w:type="pct"/>
                  <w:tcBorders>
                    <w:tl2br w:val="nil"/>
                    <w:tr2bl w:val="nil"/>
                  </w:tcBorders>
                  <w:noWrap w:val="0"/>
                  <w:vAlign w:val="center"/>
                </w:tcPr>
                <w:p>
                  <w:pPr>
                    <w:adjustRightInd w:val="0"/>
                    <w:snapToGrid w:val="0"/>
                    <w:jc w:val="center"/>
                    <w:rPr>
                      <w:sz w:val="21"/>
                      <w:szCs w:val="21"/>
                    </w:rPr>
                  </w:pPr>
                  <w:r>
                    <w:rPr>
                      <w:sz w:val="21"/>
                      <w:szCs w:val="21"/>
                    </w:rPr>
                    <w:t>集中收集后外售综合利用</w:t>
                  </w:r>
                </w:p>
              </w:tc>
              <w:tc>
                <w:tcPr>
                  <w:tcW w:w="850" w:type="pct"/>
                  <w:tcBorders>
                    <w:tl2br w:val="nil"/>
                    <w:tr2bl w:val="nil"/>
                  </w:tcBorders>
                  <w:noWrap w:val="0"/>
                  <w:vAlign w:val="center"/>
                </w:tcPr>
                <w:p>
                  <w:pPr>
                    <w:adjustRightInd w:val="0"/>
                    <w:snapToGrid w:val="0"/>
                    <w:jc w:val="center"/>
                    <w:rPr>
                      <w:sz w:val="21"/>
                      <w:szCs w:val="21"/>
                    </w:rPr>
                  </w:pPr>
                  <w:r>
                    <w:rPr>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1" w:type="pct"/>
                  <w:vMerge w:val="continue"/>
                  <w:tcBorders>
                    <w:tl2br w:val="nil"/>
                    <w:tr2bl w:val="nil"/>
                  </w:tcBorders>
                  <w:noWrap w:val="0"/>
                  <w:vAlign w:val="center"/>
                </w:tcPr>
                <w:p>
                  <w:pPr>
                    <w:adjustRightInd w:val="0"/>
                    <w:snapToGrid w:val="0"/>
                    <w:jc w:val="center"/>
                    <w:rPr>
                      <w:sz w:val="21"/>
                      <w:szCs w:val="21"/>
                    </w:rPr>
                  </w:pPr>
                </w:p>
              </w:tc>
              <w:tc>
                <w:tcPr>
                  <w:tcW w:w="720" w:type="pct"/>
                  <w:vMerge w:val="continue"/>
                  <w:tcBorders>
                    <w:tl2br w:val="nil"/>
                    <w:tr2bl w:val="nil"/>
                  </w:tcBorders>
                  <w:noWrap w:val="0"/>
                  <w:vAlign w:val="center"/>
                </w:tcPr>
                <w:p>
                  <w:pPr>
                    <w:adjustRightInd w:val="0"/>
                    <w:snapToGrid w:val="0"/>
                    <w:jc w:val="center"/>
                    <w:rPr>
                      <w:sz w:val="21"/>
                      <w:szCs w:val="21"/>
                    </w:rPr>
                  </w:pPr>
                </w:p>
              </w:tc>
              <w:tc>
                <w:tcPr>
                  <w:tcW w:w="1537" w:type="dxa"/>
                  <w:tcBorders>
                    <w:tl2br w:val="nil"/>
                    <w:tr2bl w:val="nil"/>
                  </w:tcBorders>
                  <w:noWrap w:val="0"/>
                  <w:vAlign w:val="center"/>
                </w:tcPr>
                <w:p>
                  <w:pPr>
                    <w:adjustRightInd w:val="0"/>
                    <w:snapToGrid w:val="0"/>
                    <w:jc w:val="center"/>
                    <w:rPr>
                      <w:sz w:val="21"/>
                      <w:szCs w:val="21"/>
                    </w:rPr>
                  </w:pPr>
                  <w:r>
                    <w:rPr>
                      <w:sz w:val="21"/>
                      <w:szCs w:val="21"/>
                    </w:rPr>
                    <w:t>危险废物</w:t>
                  </w:r>
                </w:p>
              </w:tc>
              <w:tc>
                <w:tcPr>
                  <w:tcW w:w="3504" w:type="dxa"/>
                  <w:tcBorders>
                    <w:tl2br w:val="nil"/>
                    <w:tr2bl w:val="nil"/>
                  </w:tcBorders>
                  <w:noWrap w:val="0"/>
                  <w:vAlign w:val="center"/>
                </w:tcPr>
                <w:p>
                  <w:pPr>
                    <w:adjustRightInd w:val="0"/>
                    <w:snapToGrid w:val="0"/>
                    <w:jc w:val="center"/>
                    <w:rPr>
                      <w:sz w:val="21"/>
                      <w:szCs w:val="21"/>
                    </w:rPr>
                  </w:pPr>
                  <w:r>
                    <w:rPr>
                      <w:sz w:val="21"/>
                      <w:szCs w:val="21"/>
                      <w:highlight w:val="none"/>
                    </w:rPr>
                    <w:t>危废暂存间暂存（</w:t>
                  </w:r>
                  <w:r>
                    <w:rPr>
                      <w:rFonts w:hint="eastAsia"/>
                      <w:sz w:val="21"/>
                      <w:szCs w:val="21"/>
                      <w:highlight w:val="none"/>
                      <w:lang w:val="en-US" w:eastAsia="zh-CN"/>
                    </w:rPr>
                    <w:t>15</w:t>
                  </w:r>
                  <w:r>
                    <w:rPr>
                      <w:sz w:val="21"/>
                      <w:szCs w:val="21"/>
                      <w:highlight w:val="none"/>
                    </w:rPr>
                    <w:t>m</w:t>
                  </w:r>
                  <w:r>
                    <w:rPr>
                      <w:sz w:val="21"/>
                      <w:szCs w:val="21"/>
                      <w:highlight w:val="none"/>
                      <w:vertAlign w:val="superscript"/>
                    </w:rPr>
                    <w:t>2</w:t>
                  </w:r>
                  <w:r>
                    <w:rPr>
                      <w:sz w:val="21"/>
                      <w:szCs w:val="21"/>
                      <w:highlight w:val="none"/>
                    </w:rPr>
                    <w:t>），</w:t>
                  </w:r>
                  <w:r>
                    <w:rPr>
                      <w:sz w:val="21"/>
                      <w:szCs w:val="21"/>
                    </w:rPr>
                    <w:t>委托有资质的单位处理</w:t>
                  </w:r>
                </w:p>
              </w:tc>
              <w:tc>
                <w:tcPr>
                  <w:tcW w:w="1421" w:type="dxa"/>
                  <w:tcBorders>
                    <w:tl2br w:val="nil"/>
                    <w:tr2bl w:val="nil"/>
                  </w:tcBorders>
                  <w:noWrap w:val="0"/>
                  <w:vAlign w:val="center"/>
                </w:tcPr>
                <w:p>
                  <w:pPr>
                    <w:adjustRightInd w:val="0"/>
                    <w:snapToGrid w:val="0"/>
                    <w:jc w:val="center"/>
                    <w:rPr>
                      <w:sz w:val="21"/>
                      <w:szCs w:val="21"/>
                    </w:rPr>
                  </w:pPr>
                  <w:r>
                    <w:rPr>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1" w:type="pct"/>
                  <w:vMerge w:val="continue"/>
                  <w:tcBorders>
                    <w:tl2br w:val="nil"/>
                    <w:tr2bl w:val="nil"/>
                  </w:tcBorders>
                  <w:noWrap w:val="0"/>
                  <w:vAlign w:val="center"/>
                </w:tcPr>
                <w:p>
                  <w:pPr>
                    <w:adjustRightInd w:val="0"/>
                    <w:snapToGrid w:val="0"/>
                    <w:jc w:val="center"/>
                    <w:rPr>
                      <w:sz w:val="21"/>
                      <w:szCs w:val="21"/>
                    </w:rPr>
                  </w:pPr>
                </w:p>
              </w:tc>
              <w:tc>
                <w:tcPr>
                  <w:tcW w:w="720" w:type="pct"/>
                  <w:tcBorders>
                    <w:tl2br w:val="nil"/>
                    <w:tr2bl w:val="nil"/>
                  </w:tcBorders>
                  <w:noWrap w:val="0"/>
                  <w:vAlign w:val="center"/>
                </w:tcPr>
                <w:p>
                  <w:pPr>
                    <w:adjustRightInd w:val="0"/>
                    <w:snapToGrid w:val="0"/>
                    <w:jc w:val="center"/>
                    <w:rPr>
                      <w:sz w:val="21"/>
                      <w:szCs w:val="21"/>
                    </w:rPr>
                  </w:pPr>
                  <w:r>
                    <w:rPr>
                      <w:sz w:val="21"/>
                      <w:szCs w:val="21"/>
                    </w:rPr>
                    <w:t>噪声</w:t>
                  </w:r>
                </w:p>
              </w:tc>
              <w:tc>
                <w:tcPr>
                  <w:tcW w:w="3017" w:type="pct"/>
                  <w:gridSpan w:val="2"/>
                  <w:tcBorders>
                    <w:tl2br w:val="nil"/>
                    <w:tr2bl w:val="nil"/>
                  </w:tcBorders>
                  <w:noWrap w:val="0"/>
                  <w:vAlign w:val="center"/>
                </w:tcPr>
                <w:p>
                  <w:pPr>
                    <w:adjustRightInd w:val="0"/>
                    <w:snapToGrid w:val="0"/>
                    <w:jc w:val="center"/>
                    <w:rPr>
                      <w:sz w:val="21"/>
                      <w:szCs w:val="21"/>
                    </w:rPr>
                  </w:pPr>
                  <w:r>
                    <w:rPr>
                      <w:sz w:val="21"/>
                      <w:szCs w:val="21"/>
                    </w:rPr>
                    <w:t>合理布局，设备采取基础减振、隔声等措施；加强设备维护和保养</w:t>
                  </w:r>
                </w:p>
              </w:tc>
              <w:tc>
                <w:tcPr>
                  <w:tcW w:w="850" w:type="pct"/>
                  <w:tcBorders>
                    <w:tl2br w:val="nil"/>
                    <w:tr2bl w:val="nil"/>
                  </w:tcBorders>
                  <w:noWrap w:val="0"/>
                  <w:vAlign w:val="center"/>
                </w:tcPr>
                <w:p>
                  <w:pPr>
                    <w:adjustRightInd w:val="0"/>
                    <w:snapToGrid w:val="0"/>
                    <w:jc w:val="center"/>
                    <w:rPr>
                      <w:sz w:val="21"/>
                      <w:szCs w:val="21"/>
                    </w:rPr>
                  </w:pPr>
                  <w:r>
                    <w:rPr>
                      <w:sz w:val="21"/>
                      <w:szCs w:val="21"/>
                    </w:rPr>
                    <w:t>新建</w:t>
                  </w:r>
                </w:p>
              </w:tc>
            </w:tr>
          </w:tbl>
          <w:p>
            <w:pPr>
              <w:numPr>
                <w:ilvl w:val="0"/>
                <w:numId w:val="0"/>
              </w:numPr>
              <w:adjustRightInd w:val="0"/>
              <w:snapToGrid w:val="0"/>
              <w:spacing w:line="360" w:lineRule="auto"/>
              <w:jc w:val="both"/>
              <w:rPr>
                <w:rFonts w:hint="default" w:ascii="宋体" w:hAnsi="宋体" w:cs="宋体"/>
                <w:b/>
                <w:bCs/>
                <w:sz w:val="24"/>
                <w:szCs w:val="24"/>
                <w:lang w:val="en-US" w:eastAsia="zh-CN"/>
              </w:rPr>
            </w:pPr>
            <w:r>
              <w:rPr>
                <w:rFonts w:hint="eastAsia" w:ascii="宋体" w:hAnsi="宋体" w:cs="宋体"/>
                <w:b/>
                <w:bCs/>
                <w:sz w:val="24"/>
                <w:szCs w:val="24"/>
                <w:lang w:val="en-US" w:eastAsia="zh-CN"/>
              </w:rPr>
              <w:t>4.原辅材料种类及消耗</w:t>
            </w:r>
          </w:p>
          <w:p>
            <w:pPr>
              <w:numPr>
                <w:ilvl w:val="0"/>
                <w:numId w:val="0"/>
              </w:numPr>
              <w:adjustRightInd w:val="0"/>
              <w:snapToGrid w:val="0"/>
              <w:spacing w:line="360" w:lineRule="auto"/>
              <w:ind w:firstLine="480" w:firstLineChars="200"/>
              <w:jc w:val="both"/>
              <w:rPr>
                <w:rFonts w:hint="eastAsia" w:ascii="宋体" w:hAnsi="宋体" w:cs="宋体"/>
                <w:sz w:val="24"/>
                <w:szCs w:val="24"/>
                <w:lang w:val="en-US" w:eastAsia="zh-CN"/>
              </w:rPr>
            </w:pPr>
            <w:r>
              <w:rPr>
                <w:rFonts w:hint="eastAsia" w:ascii="宋体" w:hAnsi="宋体" w:cs="宋体"/>
                <w:sz w:val="24"/>
                <w:szCs w:val="24"/>
                <w:lang w:val="en-US" w:eastAsia="zh-CN"/>
              </w:rPr>
              <w:t>根据建设方提供的相关资料，项目主要原辅材料消耗情况见下表2-2。</w:t>
            </w:r>
          </w:p>
          <w:p>
            <w:pPr>
              <w:numPr>
                <w:ilvl w:val="0"/>
                <w:numId w:val="0"/>
              </w:numPr>
              <w:adjustRightInd w:val="0"/>
              <w:snapToGrid w:val="0"/>
              <w:spacing w:line="360" w:lineRule="auto"/>
              <w:jc w:val="center"/>
              <w:rPr>
                <w:rFonts w:hint="default" w:ascii="宋体" w:hAnsi="宋体" w:cs="宋体"/>
                <w:color w:val="FF0000"/>
                <w:sz w:val="24"/>
                <w:szCs w:val="24"/>
                <w:u w:val="single"/>
                <w:lang w:val="en-US" w:eastAsia="zh-CN"/>
              </w:rPr>
            </w:pPr>
            <w:r>
              <w:rPr>
                <w:rFonts w:hint="eastAsia" w:ascii="宋体" w:hAnsi="宋体" w:cs="宋体"/>
                <w:b/>
                <w:bCs/>
                <w:color w:val="FF0000"/>
                <w:sz w:val="24"/>
                <w:szCs w:val="24"/>
                <w:u w:val="single"/>
                <w:lang w:val="en-US" w:eastAsia="zh-CN"/>
              </w:rPr>
              <w:t>表2-2  项目主要原辅材料及消耗一览表</w:t>
            </w:r>
          </w:p>
          <w:tbl>
            <w:tblPr>
              <w:tblStyle w:val="14"/>
              <w:tblW w:w="4995" w:type="pct"/>
              <w:tblInd w:w="-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63"/>
              <w:gridCol w:w="2036"/>
              <w:gridCol w:w="1234"/>
              <w:gridCol w:w="1483"/>
              <w:gridCol w:w="726"/>
              <w:gridCol w:w="21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7" w:type="pct"/>
                  <w:tcBorders>
                    <w:tl2br w:val="nil"/>
                    <w:tr2bl w:val="nil"/>
                  </w:tcBorders>
                  <w:noWrap w:val="0"/>
                  <w:vAlign w:val="center"/>
                </w:tcPr>
                <w:p>
                  <w:pPr>
                    <w:adjustRightInd w:val="0"/>
                    <w:snapToGrid w:val="0"/>
                    <w:jc w:val="center"/>
                    <w:rPr>
                      <w:color w:val="FF0000"/>
                      <w:sz w:val="24"/>
                      <w:szCs w:val="24"/>
                      <w:u w:val="single"/>
                    </w:rPr>
                  </w:pPr>
                  <w:r>
                    <w:rPr>
                      <w:color w:val="FF0000"/>
                      <w:sz w:val="24"/>
                      <w:szCs w:val="24"/>
                      <w:u w:val="single"/>
                    </w:rPr>
                    <w:t>序号</w:t>
                  </w:r>
                </w:p>
              </w:tc>
              <w:tc>
                <w:tcPr>
                  <w:tcW w:w="1218" w:type="pct"/>
                  <w:tcBorders>
                    <w:tl2br w:val="nil"/>
                    <w:tr2bl w:val="nil"/>
                  </w:tcBorders>
                  <w:noWrap w:val="0"/>
                  <w:vAlign w:val="center"/>
                </w:tcPr>
                <w:p>
                  <w:pPr>
                    <w:adjustRightInd w:val="0"/>
                    <w:snapToGrid w:val="0"/>
                    <w:jc w:val="center"/>
                    <w:rPr>
                      <w:color w:val="FF0000"/>
                      <w:sz w:val="24"/>
                      <w:szCs w:val="24"/>
                      <w:u w:val="single"/>
                    </w:rPr>
                  </w:pPr>
                  <w:r>
                    <w:rPr>
                      <w:color w:val="FF0000"/>
                      <w:sz w:val="24"/>
                      <w:szCs w:val="24"/>
                      <w:u w:val="single"/>
                    </w:rPr>
                    <w:t>原料名称</w:t>
                  </w:r>
                </w:p>
              </w:tc>
              <w:tc>
                <w:tcPr>
                  <w:tcW w:w="738" w:type="pct"/>
                  <w:tcBorders>
                    <w:tl2br w:val="nil"/>
                    <w:tr2bl w:val="nil"/>
                  </w:tcBorders>
                  <w:noWrap w:val="0"/>
                  <w:vAlign w:val="center"/>
                </w:tcPr>
                <w:p>
                  <w:pPr>
                    <w:adjustRightInd w:val="0"/>
                    <w:snapToGrid w:val="0"/>
                    <w:jc w:val="center"/>
                    <w:rPr>
                      <w:color w:val="FF0000"/>
                      <w:sz w:val="24"/>
                      <w:szCs w:val="24"/>
                      <w:u w:val="single"/>
                    </w:rPr>
                  </w:pPr>
                  <w:r>
                    <w:rPr>
                      <w:color w:val="FF0000"/>
                      <w:sz w:val="24"/>
                      <w:szCs w:val="24"/>
                      <w:u w:val="single"/>
                    </w:rPr>
                    <w:t>年消耗量</w:t>
                  </w:r>
                </w:p>
              </w:tc>
              <w:tc>
                <w:tcPr>
                  <w:tcW w:w="887" w:type="pct"/>
                  <w:tcBorders>
                    <w:tl2br w:val="nil"/>
                    <w:tr2bl w:val="nil"/>
                  </w:tcBorders>
                  <w:noWrap w:val="0"/>
                  <w:vAlign w:val="center"/>
                </w:tcPr>
                <w:p>
                  <w:pPr>
                    <w:adjustRightInd w:val="0"/>
                    <w:snapToGrid w:val="0"/>
                    <w:jc w:val="center"/>
                    <w:rPr>
                      <w:color w:val="FF0000"/>
                      <w:sz w:val="24"/>
                      <w:szCs w:val="24"/>
                      <w:u w:val="single"/>
                    </w:rPr>
                  </w:pPr>
                  <w:r>
                    <w:rPr>
                      <w:color w:val="FF0000"/>
                      <w:sz w:val="24"/>
                      <w:szCs w:val="24"/>
                      <w:u w:val="single"/>
                    </w:rPr>
                    <w:t>最大储存量</w:t>
                  </w:r>
                </w:p>
              </w:tc>
              <w:tc>
                <w:tcPr>
                  <w:tcW w:w="434" w:type="pct"/>
                  <w:tcBorders>
                    <w:tl2br w:val="nil"/>
                    <w:tr2bl w:val="nil"/>
                  </w:tcBorders>
                  <w:noWrap w:val="0"/>
                  <w:vAlign w:val="center"/>
                </w:tcPr>
                <w:p>
                  <w:pPr>
                    <w:adjustRightInd w:val="0"/>
                    <w:snapToGrid w:val="0"/>
                    <w:jc w:val="center"/>
                    <w:rPr>
                      <w:color w:val="FF0000"/>
                      <w:sz w:val="24"/>
                      <w:szCs w:val="24"/>
                      <w:u w:val="single"/>
                    </w:rPr>
                  </w:pPr>
                  <w:r>
                    <w:rPr>
                      <w:color w:val="FF0000"/>
                      <w:sz w:val="24"/>
                      <w:szCs w:val="24"/>
                      <w:u w:val="single"/>
                    </w:rPr>
                    <w:t>单位</w:t>
                  </w:r>
                </w:p>
              </w:tc>
              <w:tc>
                <w:tcPr>
                  <w:tcW w:w="1262" w:type="pct"/>
                  <w:tcBorders>
                    <w:tl2br w:val="nil"/>
                    <w:tr2bl w:val="nil"/>
                  </w:tcBorders>
                  <w:noWrap w:val="0"/>
                  <w:vAlign w:val="center"/>
                </w:tcPr>
                <w:p>
                  <w:pPr>
                    <w:adjustRightInd w:val="0"/>
                    <w:snapToGrid w:val="0"/>
                    <w:jc w:val="center"/>
                    <w:rPr>
                      <w:color w:val="FF0000"/>
                      <w:sz w:val="24"/>
                      <w:szCs w:val="24"/>
                      <w:u w:val="single"/>
                    </w:rPr>
                  </w:pPr>
                  <w:r>
                    <w:rPr>
                      <w:color w:val="FF0000"/>
                      <w:sz w:val="24"/>
                      <w:szCs w:val="24"/>
                      <w:u w:val="single"/>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7" w:type="pct"/>
                  <w:tcBorders>
                    <w:tl2br w:val="nil"/>
                    <w:tr2bl w:val="nil"/>
                  </w:tcBorders>
                  <w:noWrap w:val="0"/>
                  <w:vAlign w:val="center"/>
                </w:tcPr>
                <w:p>
                  <w:pPr>
                    <w:adjustRightInd w:val="0"/>
                    <w:snapToGrid w:val="0"/>
                    <w:jc w:val="center"/>
                    <w:rPr>
                      <w:color w:val="FF0000"/>
                      <w:sz w:val="24"/>
                      <w:szCs w:val="24"/>
                      <w:u w:val="single"/>
                    </w:rPr>
                  </w:pPr>
                  <w:r>
                    <w:rPr>
                      <w:color w:val="FF0000"/>
                      <w:sz w:val="24"/>
                      <w:szCs w:val="24"/>
                      <w:u w:val="single"/>
                    </w:rPr>
                    <w:t>1</w:t>
                  </w:r>
                </w:p>
              </w:tc>
              <w:tc>
                <w:tcPr>
                  <w:tcW w:w="1218" w:type="pct"/>
                  <w:tcBorders>
                    <w:tl2br w:val="nil"/>
                    <w:tr2bl w:val="nil"/>
                  </w:tcBorders>
                  <w:noWrap w:val="0"/>
                  <w:vAlign w:val="center"/>
                </w:tcPr>
                <w:p>
                  <w:pPr>
                    <w:adjustRightInd w:val="0"/>
                    <w:snapToGrid w:val="0"/>
                    <w:jc w:val="center"/>
                    <w:rPr>
                      <w:color w:val="FF0000"/>
                      <w:sz w:val="24"/>
                      <w:szCs w:val="24"/>
                      <w:u w:val="single"/>
                    </w:rPr>
                  </w:pPr>
                  <w:r>
                    <w:rPr>
                      <w:rFonts w:hint="eastAsia"/>
                      <w:color w:val="FF0000"/>
                      <w:sz w:val="24"/>
                      <w:szCs w:val="24"/>
                      <w:u w:val="single"/>
                    </w:rPr>
                    <w:t>高密度聚乙烯</w:t>
                  </w:r>
                </w:p>
              </w:tc>
              <w:tc>
                <w:tcPr>
                  <w:tcW w:w="738" w:type="pct"/>
                  <w:tcBorders>
                    <w:tl2br w:val="nil"/>
                    <w:tr2bl w:val="nil"/>
                  </w:tcBorders>
                  <w:noWrap w:val="0"/>
                  <w:vAlign w:val="center"/>
                </w:tcPr>
                <w:p>
                  <w:pPr>
                    <w:adjustRightInd w:val="0"/>
                    <w:snapToGrid w:val="0"/>
                    <w:jc w:val="center"/>
                    <w:rPr>
                      <w:rFonts w:hint="default" w:eastAsia="宋体"/>
                      <w:color w:val="FF0000"/>
                      <w:sz w:val="24"/>
                      <w:szCs w:val="24"/>
                      <w:u w:val="single"/>
                      <w:lang w:val="en-US" w:eastAsia="zh-CN"/>
                    </w:rPr>
                  </w:pPr>
                  <w:r>
                    <w:rPr>
                      <w:rFonts w:hint="eastAsia"/>
                      <w:color w:val="FF0000"/>
                      <w:sz w:val="24"/>
                      <w:szCs w:val="24"/>
                      <w:u w:val="single"/>
                      <w:lang w:val="en-US" w:eastAsia="zh-CN"/>
                    </w:rPr>
                    <w:t>5000</w:t>
                  </w:r>
                </w:p>
              </w:tc>
              <w:tc>
                <w:tcPr>
                  <w:tcW w:w="887" w:type="pct"/>
                  <w:tcBorders>
                    <w:tl2br w:val="nil"/>
                    <w:tr2bl w:val="nil"/>
                  </w:tcBorders>
                  <w:noWrap w:val="0"/>
                  <w:vAlign w:val="center"/>
                </w:tcPr>
                <w:p>
                  <w:pPr>
                    <w:adjustRightInd w:val="0"/>
                    <w:snapToGrid w:val="0"/>
                    <w:jc w:val="center"/>
                    <w:rPr>
                      <w:rFonts w:hint="default" w:eastAsia="宋体"/>
                      <w:color w:val="FF0000"/>
                      <w:sz w:val="24"/>
                      <w:szCs w:val="24"/>
                      <w:u w:val="single"/>
                      <w:lang w:val="en-US" w:eastAsia="zh-CN"/>
                    </w:rPr>
                  </w:pPr>
                  <w:r>
                    <w:rPr>
                      <w:rFonts w:hint="eastAsia"/>
                      <w:color w:val="FF0000"/>
                      <w:sz w:val="24"/>
                      <w:szCs w:val="24"/>
                      <w:u w:val="single"/>
                      <w:lang w:val="en-US" w:eastAsia="zh-CN"/>
                    </w:rPr>
                    <w:t>3000</w:t>
                  </w:r>
                </w:p>
              </w:tc>
              <w:tc>
                <w:tcPr>
                  <w:tcW w:w="434" w:type="pct"/>
                  <w:tcBorders>
                    <w:tl2br w:val="nil"/>
                    <w:tr2bl w:val="nil"/>
                  </w:tcBorders>
                  <w:noWrap w:val="0"/>
                  <w:vAlign w:val="center"/>
                </w:tcPr>
                <w:p>
                  <w:pPr>
                    <w:adjustRightInd w:val="0"/>
                    <w:snapToGrid w:val="0"/>
                    <w:jc w:val="center"/>
                    <w:rPr>
                      <w:rFonts w:hint="eastAsia" w:eastAsia="宋体"/>
                      <w:color w:val="FF0000"/>
                      <w:sz w:val="24"/>
                      <w:szCs w:val="24"/>
                      <w:u w:val="single"/>
                      <w:lang w:eastAsia="zh-CN"/>
                    </w:rPr>
                  </w:pPr>
                  <w:r>
                    <w:rPr>
                      <w:rFonts w:hint="eastAsia"/>
                      <w:color w:val="FF0000"/>
                      <w:sz w:val="24"/>
                      <w:szCs w:val="24"/>
                      <w:u w:val="single"/>
                      <w:lang w:val="en-US" w:eastAsia="zh-CN"/>
                    </w:rPr>
                    <w:t>t</w:t>
                  </w:r>
                </w:p>
              </w:tc>
              <w:tc>
                <w:tcPr>
                  <w:tcW w:w="1262" w:type="pct"/>
                  <w:tcBorders>
                    <w:tl2br w:val="nil"/>
                    <w:tr2bl w:val="nil"/>
                  </w:tcBorders>
                  <w:noWrap w:val="0"/>
                  <w:vAlign w:val="center"/>
                </w:tcPr>
                <w:p>
                  <w:pPr>
                    <w:adjustRightInd w:val="0"/>
                    <w:snapToGrid w:val="0"/>
                    <w:jc w:val="center"/>
                    <w:rPr>
                      <w:rFonts w:hint="default" w:eastAsia="宋体"/>
                      <w:color w:val="FF0000"/>
                      <w:sz w:val="24"/>
                      <w:szCs w:val="24"/>
                      <w:u w:val="single"/>
                      <w:lang w:val="en-US" w:eastAsia="zh-CN"/>
                    </w:rPr>
                  </w:pPr>
                  <w:r>
                    <w:rPr>
                      <w:rFonts w:hint="eastAsia"/>
                      <w:color w:val="FF0000"/>
                      <w:sz w:val="24"/>
                      <w:szCs w:val="24"/>
                      <w:u w:val="single"/>
                      <w:lang w:val="en-US" w:eastAsia="zh-CN"/>
                    </w:rPr>
                    <w:t>原料暂存区暂存、基料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7" w:type="pct"/>
                  <w:tcBorders>
                    <w:tl2br w:val="nil"/>
                    <w:tr2bl w:val="nil"/>
                  </w:tcBorders>
                  <w:noWrap w:val="0"/>
                  <w:vAlign w:val="center"/>
                </w:tcPr>
                <w:p>
                  <w:pPr>
                    <w:adjustRightInd w:val="0"/>
                    <w:snapToGrid w:val="0"/>
                    <w:jc w:val="center"/>
                    <w:rPr>
                      <w:rFonts w:hint="default"/>
                      <w:color w:val="FF0000"/>
                      <w:sz w:val="24"/>
                      <w:szCs w:val="24"/>
                      <w:u w:val="single"/>
                      <w:lang w:val="en-US" w:eastAsia="zh-CN"/>
                    </w:rPr>
                  </w:pPr>
                  <w:r>
                    <w:rPr>
                      <w:rFonts w:hint="eastAsia"/>
                      <w:color w:val="FF0000"/>
                      <w:sz w:val="24"/>
                      <w:szCs w:val="24"/>
                      <w:u w:val="single"/>
                      <w:lang w:val="en-US" w:eastAsia="zh-CN"/>
                    </w:rPr>
                    <w:t>3</w:t>
                  </w:r>
                </w:p>
              </w:tc>
              <w:tc>
                <w:tcPr>
                  <w:tcW w:w="1218" w:type="pct"/>
                  <w:tcBorders>
                    <w:tl2br w:val="nil"/>
                    <w:tr2bl w:val="nil"/>
                  </w:tcBorders>
                  <w:noWrap w:val="0"/>
                  <w:vAlign w:val="center"/>
                </w:tcPr>
                <w:p>
                  <w:pPr>
                    <w:adjustRightInd w:val="0"/>
                    <w:snapToGrid w:val="0"/>
                    <w:jc w:val="center"/>
                    <w:rPr>
                      <w:rFonts w:hint="default"/>
                      <w:color w:val="FF0000"/>
                      <w:sz w:val="24"/>
                      <w:szCs w:val="24"/>
                      <w:u w:val="single"/>
                      <w:lang w:val="en-US" w:eastAsia="zh-CN"/>
                    </w:rPr>
                  </w:pPr>
                  <w:r>
                    <w:rPr>
                      <w:rFonts w:hint="eastAsia"/>
                      <w:color w:val="FF0000"/>
                      <w:sz w:val="24"/>
                      <w:szCs w:val="24"/>
                      <w:u w:val="single"/>
                      <w:lang w:val="en-US" w:eastAsia="zh-CN"/>
                    </w:rPr>
                    <w:t>功能性耐候母料</w:t>
                  </w:r>
                </w:p>
              </w:tc>
              <w:tc>
                <w:tcPr>
                  <w:tcW w:w="738" w:type="pct"/>
                  <w:tcBorders>
                    <w:tl2br w:val="nil"/>
                    <w:tr2bl w:val="nil"/>
                  </w:tcBorders>
                  <w:noWrap w:val="0"/>
                  <w:vAlign w:val="center"/>
                </w:tcPr>
                <w:p>
                  <w:pPr>
                    <w:adjustRightInd w:val="0"/>
                    <w:snapToGrid w:val="0"/>
                    <w:jc w:val="center"/>
                    <w:rPr>
                      <w:rFonts w:hint="default"/>
                      <w:color w:val="FF0000"/>
                      <w:sz w:val="24"/>
                      <w:szCs w:val="24"/>
                      <w:u w:val="single"/>
                      <w:lang w:val="en-US" w:eastAsia="zh-CN"/>
                    </w:rPr>
                  </w:pPr>
                  <w:r>
                    <w:rPr>
                      <w:rFonts w:hint="eastAsia"/>
                      <w:color w:val="FF0000"/>
                      <w:sz w:val="24"/>
                      <w:szCs w:val="24"/>
                      <w:u w:val="single"/>
                      <w:lang w:val="en-US" w:eastAsia="zh-CN"/>
                    </w:rPr>
                    <w:t>300</w:t>
                  </w:r>
                </w:p>
              </w:tc>
              <w:tc>
                <w:tcPr>
                  <w:tcW w:w="887" w:type="pct"/>
                  <w:tcBorders>
                    <w:tl2br w:val="nil"/>
                    <w:tr2bl w:val="nil"/>
                  </w:tcBorders>
                  <w:noWrap w:val="0"/>
                  <w:vAlign w:val="center"/>
                </w:tcPr>
                <w:p>
                  <w:pPr>
                    <w:adjustRightInd w:val="0"/>
                    <w:snapToGrid w:val="0"/>
                    <w:jc w:val="center"/>
                    <w:rPr>
                      <w:rFonts w:hint="default"/>
                      <w:color w:val="FF0000"/>
                      <w:sz w:val="24"/>
                      <w:szCs w:val="24"/>
                      <w:u w:val="single"/>
                      <w:lang w:val="en-US" w:eastAsia="zh-CN"/>
                    </w:rPr>
                  </w:pPr>
                  <w:r>
                    <w:rPr>
                      <w:rFonts w:hint="eastAsia"/>
                      <w:color w:val="FF0000"/>
                      <w:sz w:val="24"/>
                      <w:szCs w:val="24"/>
                      <w:u w:val="single"/>
                      <w:lang w:val="en-US" w:eastAsia="zh-CN"/>
                    </w:rPr>
                    <w:t>37.5</w:t>
                  </w:r>
                </w:p>
              </w:tc>
              <w:tc>
                <w:tcPr>
                  <w:tcW w:w="434" w:type="pct"/>
                  <w:tcBorders>
                    <w:tl2br w:val="nil"/>
                    <w:tr2bl w:val="nil"/>
                  </w:tcBorders>
                  <w:noWrap w:val="0"/>
                  <w:vAlign w:val="center"/>
                </w:tcPr>
                <w:p>
                  <w:pPr>
                    <w:adjustRightInd w:val="0"/>
                    <w:snapToGrid w:val="0"/>
                    <w:jc w:val="center"/>
                    <w:rPr>
                      <w:rFonts w:hint="default"/>
                      <w:color w:val="FF0000"/>
                      <w:sz w:val="24"/>
                      <w:szCs w:val="24"/>
                      <w:u w:val="single"/>
                      <w:lang w:val="en-US" w:eastAsia="zh-CN"/>
                    </w:rPr>
                  </w:pPr>
                  <w:r>
                    <w:rPr>
                      <w:rFonts w:hint="eastAsia"/>
                      <w:color w:val="FF0000"/>
                      <w:sz w:val="24"/>
                      <w:szCs w:val="24"/>
                      <w:u w:val="single"/>
                      <w:lang w:val="en-US" w:eastAsia="zh-CN"/>
                    </w:rPr>
                    <w:t>t</w:t>
                  </w:r>
                </w:p>
              </w:tc>
              <w:tc>
                <w:tcPr>
                  <w:tcW w:w="1262" w:type="pct"/>
                  <w:tcBorders>
                    <w:tl2br w:val="nil"/>
                    <w:tr2bl w:val="nil"/>
                  </w:tcBorders>
                  <w:noWrap w:val="0"/>
                  <w:vAlign w:val="center"/>
                </w:tcPr>
                <w:p>
                  <w:pPr>
                    <w:adjustRightInd w:val="0"/>
                    <w:snapToGrid w:val="0"/>
                    <w:jc w:val="center"/>
                    <w:rPr>
                      <w:rFonts w:hint="default"/>
                      <w:color w:val="FF0000"/>
                      <w:sz w:val="24"/>
                      <w:szCs w:val="24"/>
                      <w:u w:val="single"/>
                      <w:lang w:val="en-US" w:eastAsia="zh-CN"/>
                    </w:rPr>
                  </w:pPr>
                  <w:r>
                    <w:rPr>
                      <w:rFonts w:hint="eastAsia"/>
                      <w:color w:val="FF0000"/>
                      <w:sz w:val="24"/>
                      <w:szCs w:val="24"/>
                      <w:u w:val="single"/>
                      <w:lang w:val="en-US" w:eastAsia="zh-CN"/>
                    </w:rPr>
                    <w:t>母料、色母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7" w:type="pct"/>
                  <w:tcBorders>
                    <w:tl2br w:val="nil"/>
                    <w:tr2bl w:val="nil"/>
                  </w:tcBorders>
                  <w:noWrap w:val="0"/>
                  <w:vAlign w:val="center"/>
                </w:tcPr>
                <w:p>
                  <w:pPr>
                    <w:adjustRightInd w:val="0"/>
                    <w:snapToGrid w:val="0"/>
                    <w:jc w:val="center"/>
                    <w:rPr>
                      <w:rFonts w:hint="default" w:eastAsia="宋体"/>
                      <w:color w:val="FF0000"/>
                      <w:sz w:val="24"/>
                      <w:szCs w:val="24"/>
                      <w:u w:val="single"/>
                      <w:lang w:val="en-US" w:eastAsia="zh-CN"/>
                    </w:rPr>
                  </w:pPr>
                  <w:r>
                    <w:rPr>
                      <w:rFonts w:hint="eastAsia"/>
                      <w:color w:val="FF0000"/>
                      <w:sz w:val="24"/>
                      <w:szCs w:val="24"/>
                      <w:u w:val="single"/>
                      <w:lang w:val="en-US" w:eastAsia="zh-CN"/>
                    </w:rPr>
                    <w:t>4</w:t>
                  </w:r>
                </w:p>
              </w:tc>
              <w:tc>
                <w:tcPr>
                  <w:tcW w:w="1218" w:type="pct"/>
                  <w:tcBorders>
                    <w:tl2br w:val="nil"/>
                    <w:tr2bl w:val="nil"/>
                  </w:tcBorders>
                  <w:noWrap w:val="0"/>
                  <w:vAlign w:val="center"/>
                </w:tcPr>
                <w:p>
                  <w:pPr>
                    <w:adjustRightInd w:val="0"/>
                    <w:snapToGrid w:val="0"/>
                    <w:jc w:val="center"/>
                    <w:rPr>
                      <w:rFonts w:hint="eastAsia" w:eastAsia="宋体"/>
                      <w:color w:val="FF0000"/>
                      <w:sz w:val="24"/>
                      <w:szCs w:val="24"/>
                      <w:u w:val="single"/>
                      <w:lang w:val="en-US" w:eastAsia="zh-CN"/>
                    </w:rPr>
                  </w:pPr>
                  <w:r>
                    <w:rPr>
                      <w:rFonts w:hint="eastAsia"/>
                      <w:color w:val="FF0000"/>
                      <w:sz w:val="24"/>
                      <w:szCs w:val="24"/>
                      <w:u w:val="single"/>
                      <w:lang w:val="en-US" w:eastAsia="zh-CN"/>
                    </w:rPr>
                    <w:t>水</w:t>
                  </w:r>
                </w:p>
              </w:tc>
              <w:tc>
                <w:tcPr>
                  <w:tcW w:w="738" w:type="pct"/>
                  <w:tcBorders>
                    <w:tl2br w:val="nil"/>
                    <w:tr2bl w:val="nil"/>
                  </w:tcBorders>
                  <w:noWrap w:val="0"/>
                  <w:vAlign w:val="center"/>
                </w:tcPr>
                <w:p>
                  <w:pPr>
                    <w:adjustRightInd w:val="0"/>
                    <w:snapToGrid w:val="0"/>
                    <w:jc w:val="center"/>
                    <w:rPr>
                      <w:rFonts w:hint="default"/>
                      <w:color w:val="FF0000"/>
                      <w:sz w:val="24"/>
                      <w:szCs w:val="24"/>
                      <w:u w:val="single"/>
                      <w:lang w:val="en-US" w:eastAsia="zh-CN"/>
                    </w:rPr>
                  </w:pPr>
                  <w:r>
                    <w:rPr>
                      <w:rFonts w:hint="eastAsia"/>
                      <w:color w:val="FF0000"/>
                      <w:sz w:val="24"/>
                      <w:szCs w:val="24"/>
                      <w:u w:val="single"/>
                      <w:lang w:val="en-US" w:eastAsia="zh-CN"/>
                    </w:rPr>
                    <w:t>1050</w:t>
                  </w:r>
                </w:p>
              </w:tc>
              <w:tc>
                <w:tcPr>
                  <w:tcW w:w="887" w:type="pct"/>
                  <w:tcBorders>
                    <w:tl2br w:val="nil"/>
                    <w:tr2bl w:val="nil"/>
                  </w:tcBorders>
                  <w:noWrap w:val="0"/>
                  <w:vAlign w:val="center"/>
                </w:tcPr>
                <w:p>
                  <w:pPr>
                    <w:adjustRightInd w:val="0"/>
                    <w:snapToGrid w:val="0"/>
                    <w:jc w:val="center"/>
                    <w:rPr>
                      <w:rFonts w:hint="default"/>
                      <w:color w:val="FF0000"/>
                      <w:sz w:val="24"/>
                      <w:szCs w:val="24"/>
                      <w:u w:val="single"/>
                      <w:lang w:val="en-US" w:eastAsia="zh-CN"/>
                    </w:rPr>
                  </w:pPr>
                  <w:r>
                    <w:rPr>
                      <w:rFonts w:hint="eastAsia"/>
                      <w:color w:val="FF0000"/>
                      <w:sz w:val="24"/>
                      <w:szCs w:val="24"/>
                      <w:u w:val="single"/>
                      <w:lang w:val="en-US" w:eastAsia="zh-CN"/>
                    </w:rPr>
                    <w:t>/</w:t>
                  </w:r>
                </w:p>
              </w:tc>
              <w:tc>
                <w:tcPr>
                  <w:tcW w:w="434" w:type="pct"/>
                  <w:tcBorders>
                    <w:tl2br w:val="nil"/>
                    <w:tr2bl w:val="nil"/>
                  </w:tcBorders>
                  <w:noWrap w:val="0"/>
                  <w:vAlign w:val="center"/>
                </w:tcPr>
                <w:p>
                  <w:pPr>
                    <w:adjustRightInd w:val="0"/>
                    <w:snapToGrid w:val="0"/>
                    <w:jc w:val="center"/>
                    <w:rPr>
                      <w:rFonts w:hint="default"/>
                      <w:color w:val="FF0000"/>
                      <w:sz w:val="24"/>
                      <w:szCs w:val="24"/>
                      <w:u w:val="single"/>
                      <w:lang w:val="en-US" w:eastAsia="zh-CN"/>
                    </w:rPr>
                  </w:pPr>
                  <w:r>
                    <w:rPr>
                      <w:rFonts w:hint="eastAsia"/>
                      <w:color w:val="FF0000"/>
                      <w:sz w:val="24"/>
                      <w:szCs w:val="24"/>
                      <w:u w:val="single"/>
                      <w:lang w:val="en-US" w:eastAsia="zh-CN"/>
                    </w:rPr>
                    <w:t>t</w:t>
                  </w:r>
                </w:p>
              </w:tc>
              <w:tc>
                <w:tcPr>
                  <w:tcW w:w="1262" w:type="pct"/>
                  <w:tcBorders>
                    <w:tl2br w:val="nil"/>
                    <w:tr2bl w:val="nil"/>
                  </w:tcBorders>
                  <w:noWrap w:val="0"/>
                  <w:vAlign w:val="center"/>
                </w:tcPr>
                <w:p>
                  <w:pPr>
                    <w:adjustRightInd w:val="0"/>
                    <w:snapToGrid w:val="0"/>
                    <w:jc w:val="center"/>
                    <w:rPr>
                      <w:rFonts w:hint="default"/>
                      <w:color w:val="FF0000"/>
                      <w:sz w:val="24"/>
                      <w:szCs w:val="24"/>
                      <w:u w:val="single"/>
                      <w:lang w:val="en-US" w:eastAsia="zh-CN"/>
                    </w:rPr>
                  </w:pPr>
                  <w:r>
                    <w:rPr>
                      <w:rFonts w:hint="eastAsia"/>
                      <w:color w:val="FF0000"/>
                      <w:sz w:val="24"/>
                      <w:szCs w:val="24"/>
                      <w:u w:val="single"/>
                      <w:lang w:val="en-US" w:eastAsia="zh-CN"/>
                    </w:rPr>
                    <w:t>市政供水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7" w:type="pct"/>
                  <w:tcBorders>
                    <w:tl2br w:val="nil"/>
                    <w:tr2bl w:val="nil"/>
                  </w:tcBorders>
                  <w:noWrap w:val="0"/>
                  <w:vAlign w:val="center"/>
                </w:tcPr>
                <w:p>
                  <w:pPr>
                    <w:adjustRightInd w:val="0"/>
                    <w:snapToGrid w:val="0"/>
                    <w:jc w:val="center"/>
                    <w:rPr>
                      <w:rFonts w:hint="default" w:eastAsia="宋体"/>
                      <w:color w:val="FF0000"/>
                      <w:sz w:val="24"/>
                      <w:szCs w:val="24"/>
                      <w:u w:val="single"/>
                      <w:lang w:val="en-US" w:eastAsia="zh-CN"/>
                    </w:rPr>
                  </w:pPr>
                  <w:r>
                    <w:rPr>
                      <w:rFonts w:hint="eastAsia"/>
                      <w:color w:val="FF0000"/>
                      <w:sz w:val="24"/>
                      <w:szCs w:val="24"/>
                      <w:u w:val="single"/>
                      <w:lang w:val="en-US" w:eastAsia="zh-CN"/>
                    </w:rPr>
                    <w:t>5</w:t>
                  </w:r>
                </w:p>
              </w:tc>
              <w:tc>
                <w:tcPr>
                  <w:tcW w:w="1218" w:type="pct"/>
                  <w:tcBorders>
                    <w:tl2br w:val="nil"/>
                    <w:tr2bl w:val="nil"/>
                  </w:tcBorders>
                  <w:noWrap w:val="0"/>
                  <w:vAlign w:val="center"/>
                </w:tcPr>
                <w:p>
                  <w:pPr>
                    <w:adjustRightInd w:val="0"/>
                    <w:snapToGrid w:val="0"/>
                    <w:jc w:val="center"/>
                    <w:rPr>
                      <w:rFonts w:hint="eastAsia" w:eastAsia="宋体"/>
                      <w:color w:val="FF0000"/>
                      <w:sz w:val="24"/>
                      <w:szCs w:val="24"/>
                      <w:u w:val="single"/>
                      <w:lang w:val="en-US" w:eastAsia="zh-CN"/>
                    </w:rPr>
                  </w:pPr>
                  <w:r>
                    <w:rPr>
                      <w:rFonts w:hint="eastAsia"/>
                      <w:color w:val="FF0000"/>
                      <w:sz w:val="24"/>
                      <w:szCs w:val="24"/>
                      <w:u w:val="single"/>
                      <w:lang w:val="en-US" w:eastAsia="zh-CN"/>
                    </w:rPr>
                    <w:t>电</w:t>
                  </w:r>
                </w:p>
              </w:tc>
              <w:tc>
                <w:tcPr>
                  <w:tcW w:w="738" w:type="pct"/>
                  <w:tcBorders>
                    <w:tl2br w:val="nil"/>
                    <w:tr2bl w:val="nil"/>
                  </w:tcBorders>
                  <w:noWrap w:val="0"/>
                  <w:vAlign w:val="center"/>
                </w:tcPr>
                <w:p>
                  <w:pPr>
                    <w:adjustRightInd w:val="0"/>
                    <w:snapToGrid w:val="0"/>
                    <w:jc w:val="center"/>
                    <w:rPr>
                      <w:rFonts w:hint="default"/>
                      <w:color w:val="FF0000"/>
                      <w:sz w:val="24"/>
                      <w:szCs w:val="24"/>
                      <w:u w:val="single"/>
                      <w:lang w:val="en-US" w:eastAsia="zh-CN"/>
                    </w:rPr>
                  </w:pPr>
                  <w:r>
                    <w:rPr>
                      <w:rFonts w:hint="eastAsia"/>
                      <w:color w:val="FF0000"/>
                      <w:sz w:val="24"/>
                      <w:szCs w:val="24"/>
                      <w:u w:val="single"/>
                      <w:lang w:val="en-US" w:eastAsia="zh-CN"/>
                    </w:rPr>
                    <w:t>8</w:t>
                  </w:r>
                </w:p>
              </w:tc>
              <w:tc>
                <w:tcPr>
                  <w:tcW w:w="887" w:type="pct"/>
                  <w:tcBorders>
                    <w:tl2br w:val="nil"/>
                    <w:tr2bl w:val="nil"/>
                  </w:tcBorders>
                  <w:noWrap w:val="0"/>
                  <w:vAlign w:val="center"/>
                </w:tcPr>
                <w:p>
                  <w:pPr>
                    <w:adjustRightInd w:val="0"/>
                    <w:snapToGrid w:val="0"/>
                    <w:jc w:val="center"/>
                    <w:rPr>
                      <w:rFonts w:hint="default"/>
                      <w:color w:val="FF0000"/>
                      <w:sz w:val="24"/>
                      <w:szCs w:val="24"/>
                      <w:u w:val="single"/>
                      <w:lang w:val="en-US" w:eastAsia="zh-CN"/>
                    </w:rPr>
                  </w:pPr>
                  <w:r>
                    <w:rPr>
                      <w:rFonts w:hint="eastAsia"/>
                      <w:color w:val="FF0000"/>
                      <w:sz w:val="24"/>
                      <w:szCs w:val="24"/>
                      <w:u w:val="single"/>
                      <w:lang w:val="en-US" w:eastAsia="zh-CN"/>
                    </w:rPr>
                    <w:t>/</w:t>
                  </w:r>
                </w:p>
              </w:tc>
              <w:tc>
                <w:tcPr>
                  <w:tcW w:w="434" w:type="pct"/>
                  <w:tcBorders>
                    <w:tl2br w:val="nil"/>
                    <w:tr2bl w:val="nil"/>
                  </w:tcBorders>
                  <w:noWrap w:val="0"/>
                  <w:vAlign w:val="center"/>
                </w:tcPr>
                <w:p>
                  <w:pPr>
                    <w:adjustRightInd w:val="0"/>
                    <w:snapToGrid w:val="0"/>
                    <w:jc w:val="center"/>
                    <w:rPr>
                      <w:rFonts w:hint="default"/>
                      <w:color w:val="FF0000"/>
                      <w:sz w:val="24"/>
                      <w:szCs w:val="24"/>
                      <w:u w:val="single"/>
                      <w:lang w:val="en-US" w:eastAsia="zh-CN"/>
                    </w:rPr>
                  </w:pPr>
                  <w:r>
                    <w:rPr>
                      <w:rFonts w:hint="eastAsia"/>
                      <w:color w:val="FF0000"/>
                      <w:sz w:val="24"/>
                      <w:szCs w:val="24"/>
                      <w:u w:val="single"/>
                      <w:lang w:val="en-US" w:eastAsia="zh-CN"/>
                    </w:rPr>
                    <w:t>万度</w:t>
                  </w:r>
                </w:p>
              </w:tc>
              <w:tc>
                <w:tcPr>
                  <w:tcW w:w="1262" w:type="pct"/>
                  <w:tcBorders>
                    <w:tl2br w:val="nil"/>
                    <w:tr2bl w:val="nil"/>
                  </w:tcBorders>
                  <w:noWrap w:val="0"/>
                  <w:vAlign w:val="center"/>
                </w:tcPr>
                <w:p>
                  <w:pPr>
                    <w:adjustRightInd w:val="0"/>
                    <w:snapToGrid w:val="0"/>
                    <w:jc w:val="center"/>
                    <w:rPr>
                      <w:rFonts w:hint="default"/>
                      <w:color w:val="FF0000"/>
                      <w:sz w:val="24"/>
                      <w:szCs w:val="24"/>
                      <w:u w:val="single"/>
                      <w:lang w:val="en-US" w:eastAsia="zh-CN"/>
                    </w:rPr>
                  </w:pPr>
                  <w:r>
                    <w:rPr>
                      <w:rFonts w:hint="eastAsia"/>
                      <w:color w:val="FF0000"/>
                      <w:sz w:val="24"/>
                      <w:szCs w:val="24"/>
                      <w:u w:val="single"/>
                      <w:lang w:val="en-US" w:eastAsia="zh-CN"/>
                    </w:rPr>
                    <w:t>市政供电</w:t>
                  </w:r>
                </w:p>
              </w:tc>
            </w:tr>
          </w:tbl>
          <w:p>
            <w:pPr>
              <w:numPr>
                <w:ilvl w:val="0"/>
                <w:numId w:val="0"/>
              </w:numPr>
              <w:adjustRightInd w:val="0"/>
              <w:snapToGrid w:val="0"/>
              <w:spacing w:line="360" w:lineRule="auto"/>
              <w:ind w:firstLine="420" w:firstLineChars="200"/>
              <w:jc w:val="both"/>
              <w:rPr>
                <w:rFonts w:hint="default" w:ascii="宋体" w:hAnsi="宋体" w:cs="宋体"/>
                <w:color w:val="FF0000"/>
                <w:sz w:val="21"/>
                <w:szCs w:val="21"/>
                <w:u w:val="single"/>
                <w:lang w:val="en-US" w:eastAsia="zh-CN"/>
              </w:rPr>
            </w:pPr>
            <w:r>
              <w:rPr>
                <w:rFonts w:hint="eastAsia" w:ascii="宋体" w:hAnsi="宋体" w:cs="宋体"/>
                <w:color w:val="FF0000"/>
                <w:sz w:val="21"/>
                <w:szCs w:val="21"/>
                <w:u w:val="single"/>
                <w:lang w:val="en-US" w:eastAsia="zh-CN"/>
              </w:rPr>
              <w:t>注：项目生产过程中不使用再生塑料作为原材料，项目不合格产品破碎后回用于生产不属于再生塑料。</w:t>
            </w:r>
          </w:p>
          <w:p>
            <w:pPr>
              <w:numPr>
                <w:ilvl w:val="0"/>
                <w:numId w:val="0"/>
              </w:numPr>
              <w:adjustRightInd w:val="0"/>
              <w:snapToGrid w:val="0"/>
              <w:spacing w:line="360" w:lineRule="auto"/>
              <w:ind w:firstLine="480" w:firstLineChars="200"/>
              <w:jc w:val="both"/>
              <w:rPr>
                <w:rFonts w:hint="eastAsia" w:ascii="宋体" w:hAnsi="宋体" w:cs="宋体"/>
                <w:sz w:val="24"/>
                <w:szCs w:val="24"/>
                <w:lang w:val="en-US" w:eastAsia="zh-CN"/>
              </w:rPr>
            </w:pPr>
            <w:r>
              <w:rPr>
                <w:rFonts w:hint="eastAsia" w:ascii="宋体" w:hAnsi="宋体" w:cs="宋体"/>
                <w:sz w:val="24"/>
                <w:szCs w:val="24"/>
                <w:lang w:val="en-US" w:eastAsia="zh-CN"/>
              </w:rPr>
              <w:t>主要原辅材料理化性质：</w:t>
            </w:r>
          </w:p>
          <w:p>
            <w:pPr>
              <w:numPr>
                <w:ilvl w:val="0"/>
                <w:numId w:val="0"/>
              </w:numPr>
              <w:adjustRightInd w:val="0"/>
              <w:snapToGrid w:val="0"/>
              <w:spacing w:line="360" w:lineRule="auto"/>
              <w:ind w:firstLine="480" w:firstLineChars="200"/>
              <w:jc w:val="both"/>
              <w:rPr>
                <w:rFonts w:hint="default" w:ascii="宋体" w:hAnsi="宋体" w:cs="宋体"/>
                <w:sz w:val="24"/>
                <w:szCs w:val="24"/>
                <w:lang w:val="en-US" w:eastAsia="zh-CN"/>
              </w:rPr>
            </w:pPr>
            <w:r>
              <w:rPr>
                <w:rFonts w:hint="eastAsia" w:ascii="宋体" w:hAnsi="宋体" w:cs="宋体"/>
                <w:sz w:val="24"/>
                <w:szCs w:val="24"/>
                <w:lang w:val="en-US" w:eastAsia="zh-CN"/>
              </w:rPr>
              <w:t>高密度聚乙烯:（简称为“HDPE”）又称低压聚乙烯，是一种结晶度高、非极性面呈一定程度的半透明状。PE具有优良的耐大多数生活和工业用化学品的特性。HDPE是一种结晶度高、非极性的热塑性树脂。高密度聚乙烯是种白色粉末颗粒状产品，无毒、无味，密度在0.940~0.976g/cm</w:t>
            </w:r>
            <w:r>
              <w:rPr>
                <w:rFonts w:hint="eastAsia" w:ascii="宋体" w:hAnsi="宋体" w:cs="宋体"/>
                <w:sz w:val="24"/>
                <w:szCs w:val="24"/>
                <w:vertAlign w:val="superscript"/>
                <w:lang w:val="en-US" w:eastAsia="zh-CN"/>
              </w:rPr>
              <w:t>3</w:t>
            </w:r>
            <w:r>
              <w:rPr>
                <w:rFonts w:hint="eastAsia" w:ascii="宋体" w:hAnsi="宋体" w:cs="宋体"/>
                <w:sz w:val="24"/>
                <w:szCs w:val="24"/>
                <w:lang w:val="en-US" w:eastAsia="zh-CN"/>
              </w:rPr>
              <w:t>范围内；聚乙烯熔化温度100~130℃，成型温度140~220℃，分解温度为335℃左右，具有良好的耐热性和耐寒性，化学稳定性好，还具有较高的刚性和韧性，机械强度好。介电性能，耐环境应力开裂性亦较好。硬度、拉伸强度和蠕变性优于低密度聚乙烯；耐磨性、电绝缘性、韧性及耐寒性均较好，但与低密度绝缘性比较略差些；化学稳定性好，在室温条件下，不溶于任何有机溶剂，耐酸、碱和各种盐类的腐蚀；薄膜对水蒸气和空气的渗透性小、吸水性低；耐老化性能差，耐环境开裂性不如低密度聚乙烯，特别是热氧化作用会使其性能下降，所以，树脂需加入抗氧剂和紫外线吸收剂等来提高改善这方面的不足。</w:t>
            </w:r>
          </w:p>
          <w:p>
            <w:pPr>
              <w:numPr>
                <w:ilvl w:val="0"/>
                <w:numId w:val="0"/>
              </w:numPr>
              <w:adjustRightInd w:val="0"/>
              <w:snapToGrid w:val="0"/>
              <w:spacing w:line="360" w:lineRule="auto"/>
              <w:jc w:val="both"/>
              <w:rPr>
                <w:rFonts w:hint="default" w:ascii="宋体" w:hAnsi="宋体" w:cs="宋体"/>
                <w:b/>
                <w:bCs/>
                <w:color w:val="auto"/>
                <w:sz w:val="24"/>
                <w:szCs w:val="24"/>
                <w:lang w:val="en-US" w:eastAsia="zh-CN"/>
              </w:rPr>
            </w:pPr>
            <w:r>
              <w:rPr>
                <w:rFonts w:hint="eastAsia" w:ascii="宋体" w:hAnsi="宋体" w:cs="宋体"/>
                <w:b/>
                <w:bCs/>
                <w:color w:val="auto"/>
                <w:sz w:val="24"/>
                <w:szCs w:val="24"/>
                <w:lang w:val="en-US" w:eastAsia="zh-CN"/>
              </w:rPr>
              <w:t>5.生产设备</w:t>
            </w:r>
          </w:p>
          <w:p>
            <w:pPr>
              <w:numPr>
                <w:ilvl w:val="0"/>
                <w:numId w:val="0"/>
              </w:numPr>
              <w:adjustRightInd w:val="0"/>
              <w:snapToGrid w:val="0"/>
              <w:spacing w:line="360" w:lineRule="auto"/>
              <w:ind w:firstLine="480" w:firstLineChars="200"/>
              <w:jc w:val="both"/>
              <w:rPr>
                <w:rFonts w:hint="eastAsia" w:ascii="宋体" w:hAnsi="宋体" w:cs="宋体"/>
                <w:sz w:val="24"/>
                <w:szCs w:val="24"/>
                <w:lang w:val="en-US" w:eastAsia="zh-CN"/>
              </w:rPr>
            </w:pPr>
            <w:r>
              <w:rPr>
                <w:rFonts w:hint="eastAsia" w:ascii="宋体" w:hAnsi="宋体" w:cs="宋体"/>
                <w:sz w:val="24"/>
                <w:szCs w:val="24"/>
                <w:lang w:val="en-US" w:eastAsia="zh-CN"/>
              </w:rPr>
              <w:t>项目所需生产设备见下表2-3。</w:t>
            </w:r>
          </w:p>
          <w:p>
            <w:pPr>
              <w:numPr>
                <w:ilvl w:val="0"/>
                <w:numId w:val="0"/>
              </w:numPr>
              <w:adjustRightInd w:val="0"/>
              <w:snapToGrid w:val="0"/>
              <w:spacing w:line="360" w:lineRule="auto"/>
              <w:jc w:val="center"/>
              <w:rPr>
                <w:rFonts w:hint="default" w:ascii="宋体" w:hAnsi="宋体" w:cs="宋体"/>
                <w:b/>
                <w:bCs/>
                <w:color w:val="auto"/>
                <w:sz w:val="24"/>
                <w:szCs w:val="24"/>
                <w:highlight w:val="none"/>
                <w:lang w:val="en-US" w:eastAsia="zh-CN"/>
              </w:rPr>
            </w:pPr>
            <w:r>
              <w:rPr>
                <w:rFonts w:hint="eastAsia" w:ascii="宋体" w:hAnsi="宋体" w:cs="宋体"/>
                <w:b/>
                <w:bCs/>
                <w:sz w:val="24"/>
                <w:szCs w:val="24"/>
                <w:highlight w:val="none"/>
                <w:lang w:val="en-US" w:eastAsia="zh-CN"/>
              </w:rPr>
              <w:t>表2-3  项目生产设备一览表</w:t>
            </w:r>
          </w:p>
          <w:tbl>
            <w:tblPr>
              <w:tblStyle w:val="14"/>
              <w:tblW w:w="4998"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581"/>
              <w:gridCol w:w="1865"/>
              <w:gridCol w:w="1157"/>
              <w:gridCol w:w="855"/>
              <w:gridCol w:w="2009"/>
              <w:gridCol w:w="1890"/>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48" w:type="pct"/>
                  <w:noWrap w:val="0"/>
                  <w:vAlign w:val="center"/>
                </w:tcPr>
                <w:p>
                  <w:pPr>
                    <w:jc w:val="center"/>
                    <w:rPr>
                      <w:sz w:val="24"/>
                      <w:szCs w:val="24"/>
                      <w:highlight w:val="none"/>
                    </w:rPr>
                  </w:pPr>
                  <w:r>
                    <w:rPr>
                      <w:sz w:val="24"/>
                      <w:szCs w:val="24"/>
                      <w:highlight w:val="none"/>
                    </w:rPr>
                    <w:t>序号</w:t>
                  </w:r>
                </w:p>
              </w:tc>
              <w:tc>
                <w:tcPr>
                  <w:tcW w:w="1115" w:type="pct"/>
                  <w:noWrap w:val="0"/>
                  <w:vAlign w:val="center"/>
                </w:tcPr>
                <w:p>
                  <w:pPr>
                    <w:jc w:val="center"/>
                    <w:rPr>
                      <w:sz w:val="24"/>
                      <w:szCs w:val="24"/>
                      <w:highlight w:val="none"/>
                    </w:rPr>
                  </w:pPr>
                  <w:r>
                    <w:rPr>
                      <w:rFonts w:hint="eastAsia"/>
                      <w:sz w:val="24"/>
                      <w:szCs w:val="24"/>
                      <w:highlight w:val="none"/>
                      <w:lang w:val="en-US" w:eastAsia="zh-CN"/>
                    </w:rPr>
                    <w:t>设备</w:t>
                  </w:r>
                  <w:r>
                    <w:rPr>
                      <w:sz w:val="24"/>
                      <w:szCs w:val="24"/>
                      <w:highlight w:val="none"/>
                    </w:rPr>
                    <w:t>名称</w:t>
                  </w:r>
                </w:p>
              </w:tc>
              <w:tc>
                <w:tcPr>
                  <w:tcW w:w="692" w:type="pct"/>
                  <w:noWrap w:val="0"/>
                  <w:vAlign w:val="center"/>
                </w:tcPr>
                <w:p>
                  <w:pPr>
                    <w:jc w:val="center"/>
                    <w:rPr>
                      <w:sz w:val="24"/>
                      <w:szCs w:val="24"/>
                      <w:highlight w:val="none"/>
                    </w:rPr>
                  </w:pPr>
                  <w:r>
                    <w:rPr>
                      <w:sz w:val="24"/>
                      <w:szCs w:val="24"/>
                      <w:highlight w:val="none"/>
                    </w:rPr>
                    <w:t>单位</w:t>
                  </w:r>
                </w:p>
              </w:tc>
              <w:tc>
                <w:tcPr>
                  <w:tcW w:w="511" w:type="pct"/>
                  <w:noWrap w:val="0"/>
                  <w:vAlign w:val="center"/>
                </w:tcPr>
                <w:p>
                  <w:pPr>
                    <w:jc w:val="center"/>
                    <w:rPr>
                      <w:rFonts w:hint="eastAsia" w:eastAsia="宋体"/>
                      <w:sz w:val="24"/>
                      <w:szCs w:val="24"/>
                      <w:highlight w:val="none"/>
                      <w:lang w:eastAsia="zh-CN"/>
                    </w:rPr>
                  </w:pPr>
                  <w:r>
                    <w:rPr>
                      <w:rFonts w:hint="eastAsia"/>
                      <w:sz w:val="24"/>
                      <w:szCs w:val="24"/>
                      <w:highlight w:val="none"/>
                      <w:lang w:val="en-US" w:eastAsia="zh-CN"/>
                    </w:rPr>
                    <w:t>数量</w:t>
                  </w:r>
                </w:p>
              </w:tc>
              <w:tc>
                <w:tcPr>
                  <w:tcW w:w="1201" w:type="pct"/>
                  <w:noWrap w:val="0"/>
                  <w:vAlign w:val="center"/>
                </w:tcPr>
                <w:p>
                  <w:pPr>
                    <w:jc w:val="center"/>
                    <w:rPr>
                      <w:rFonts w:hint="eastAsia" w:eastAsia="宋体"/>
                      <w:sz w:val="24"/>
                      <w:szCs w:val="24"/>
                      <w:highlight w:val="none"/>
                      <w:lang w:eastAsia="zh-CN"/>
                    </w:rPr>
                  </w:pPr>
                  <w:r>
                    <w:rPr>
                      <w:rFonts w:hint="eastAsia"/>
                      <w:sz w:val="24"/>
                      <w:szCs w:val="24"/>
                      <w:highlight w:val="none"/>
                      <w:lang w:val="en-US" w:eastAsia="zh-CN"/>
                    </w:rPr>
                    <w:t>型号</w:t>
                  </w:r>
                </w:p>
              </w:tc>
              <w:tc>
                <w:tcPr>
                  <w:tcW w:w="1130"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48" w:type="pct"/>
                  <w:noWrap w:val="0"/>
                  <w:vAlign w:val="center"/>
                </w:tcPr>
                <w:p>
                  <w:pPr>
                    <w:jc w:val="center"/>
                    <w:rPr>
                      <w:sz w:val="24"/>
                      <w:szCs w:val="24"/>
                      <w:highlight w:val="none"/>
                    </w:rPr>
                  </w:pPr>
                  <w:r>
                    <w:rPr>
                      <w:sz w:val="24"/>
                      <w:szCs w:val="24"/>
                      <w:highlight w:val="none"/>
                    </w:rPr>
                    <w:t>1</w:t>
                  </w:r>
                </w:p>
              </w:tc>
              <w:tc>
                <w:tcPr>
                  <w:tcW w:w="1115" w:type="pct"/>
                  <w:noWrap w:val="0"/>
                  <w:vAlign w:val="center"/>
                </w:tcPr>
                <w:p>
                  <w:pPr>
                    <w:jc w:val="center"/>
                    <w:rPr>
                      <w:rFonts w:hint="eastAsia" w:eastAsia="宋体"/>
                      <w:sz w:val="24"/>
                      <w:szCs w:val="24"/>
                      <w:highlight w:val="none"/>
                      <w:lang w:val="en-US" w:eastAsia="zh-CN"/>
                    </w:rPr>
                  </w:pPr>
                  <w:r>
                    <w:rPr>
                      <w:rFonts w:hint="eastAsia"/>
                      <w:sz w:val="24"/>
                      <w:szCs w:val="24"/>
                      <w:highlight w:val="none"/>
                      <w:lang w:val="en-US" w:eastAsia="zh-CN"/>
                    </w:rPr>
                    <w:t>吹塑机</w:t>
                  </w:r>
                </w:p>
              </w:tc>
              <w:tc>
                <w:tcPr>
                  <w:tcW w:w="692" w:type="pct"/>
                  <w:noWrap w:val="0"/>
                  <w:vAlign w:val="center"/>
                </w:tcPr>
                <w:p>
                  <w:pPr>
                    <w:jc w:val="center"/>
                    <w:rPr>
                      <w:rFonts w:hint="eastAsia" w:eastAsia="宋体"/>
                      <w:sz w:val="24"/>
                      <w:szCs w:val="24"/>
                      <w:highlight w:val="none"/>
                      <w:lang w:eastAsia="zh-CN"/>
                    </w:rPr>
                  </w:pPr>
                  <w:r>
                    <w:rPr>
                      <w:rFonts w:hint="eastAsia"/>
                      <w:sz w:val="24"/>
                      <w:szCs w:val="24"/>
                      <w:highlight w:val="none"/>
                      <w:lang w:val="en-US" w:eastAsia="zh-CN"/>
                    </w:rPr>
                    <w:t>台</w:t>
                  </w:r>
                </w:p>
              </w:tc>
              <w:tc>
                <w:tcPr>
                  <w:tcW w:w="511" w:type="pct"/>
                  <w:noWrap w:val="0"/>
                  <w:vAlign w:val="center"/>
                </w:tcPr>
                <w:p>
                  <w:pPr>
                    <w:jc w:val="center"/>
                    <w:rPr>
                      <w:rFonts w:hint="default" w:eastAsia="宋体"/>
                      <w:sz w:val="24"/>
                      <w:szCs w:val="24"/>
                      <w:highlight w:val="none"/>
                      <w:lang w:val="en-US" w:eastAsia="zh-CN"/>
                    </w:rPr>
                  </w:pPr>
                  <w:r>
                    <w:rPr>
                      <w:rFonts w:hint="eastAsia"/>
                      <w:sz w:val="24"/>
                      <w:szCs w:val="24"/>
                      <w:highlight w:val="none"/>
                      <w:lang w:val="en-US" w:eastAsia="zh-CN"/>
                    </w:rPr>
                    <w:t>4</w:t>
                  </w:r>
                </w:p>
              </w:tc>
              <w:tc>
                <w:tcPr>
                  <w:tcW w:w="1201"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TJ-HB160L/SP</w:t>
                  </w:r>
                </w:p>
              </w:tc>
              <w:tc>
                <w:tcPr>
                  <w:tcW w:w="1130"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山东</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48" w:type="pct"/>
                  <w:noWrap w:val="0"/>
                  <w:vAlign w:val="center"/>
                </w:tcPr>
                <w:p>
                  <w:pPr>
                    <w:jc w:val="center"/>
                    <w:rPr>
                      <w:rFonts w:hint="eastAsia" w:eastAsia="宋体"/>
                      <w:sz w:val="24"/>
                      <w:szCs w:val="24"/>
                      <w:highlight w:val="none"/>
                      <w:lang w:val="en-US" w:eastAsia="zh-CN"/>
                    </w:rPr>
                  </w:pPr>
                  <w:r>
                    <w:rPr>
                      <w:rFonts w:hint="eastAsia"/>
                      <w:sz w:val="24"/>
                      <w:szCs w:val="24"/>
                      <w:highlight w:val="none"/>
                      <w:lang w:val="en-US" w:eastAsia="zh-CN"/>
                    </w:rPr>
                    <w:t>2</w:t>
                  </w:r>
                </w:p>
              </w:tc>
              <w:tc>
                <w:tcPr>
                  <w:tcW w:w="1115" w:type="pct"/>
                  <w:noWrap w:val="0"/>
                  <w:vAlign w:val="center"/>
                </w:tcPr>
                <w:p>
                  <w:pPr>
                    <w:jc w:val="center"/>
                    <w:rPr>
                      <w:rFonts w:hint="eastAsia" w:eastAsia="宋体"/>
                      <w:sz w:val="24"/>
                      <w:szCs w:val="24"/>
                      <w:highlight w:val="none"/>
                      <w:lang w:val="en-US" w:eastAsia="zh-CN"/>
                    </w:rPr>
                  </w:pPr>
                  <w:r>
                    <w:rPr>
                      <w:rFonts w:hint="eastAsia"/>
                      <w:sz w:val="24"/>
                      <w:szCs w:val="24"/>
                      <w:highlight w:val="none"/>
                      <w:lang w:val="en-US" w:eastAsia="zh-CN"/>
                    </w:rPr>
                    <w:t>空压机</w:t>
                  </w:r>
                </w:p>
              </w:tc>
              <w:tc>
                <w:tcPr>
                  <w:tcW w:w="692"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台</w:t>
                  </w:r>
                </w:p>
              </w:tc>
              <w:tc>
                <w:tcPr>
                  <w:tcW w:w="511"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4</w:t>
                  </w:r>
                </w:p>
              </w:tc>
              <w:tc>
                <w:tcPr>
                  <w:tcW w:w="1201" w:type="pct"/>
                  <w:noWrap w:val="0"/>
                  <w:vAlign w:val="center"/>
                </w:tcPr>
                <w:p>
                  <w:pPr>
                    <w:jc w:val="center"/>
                    <w:rPr>
                      <w:rFonts w:hint="eastAsia"/>
                      <w:sz w:val="24"/>
                      <w:szCs w:val="24"/>
                      <w:highlight w:val="none"/>
                      <w:lang w:val="en-US" w:eastAsia="zh-CN"/>
                    </w:rPr>
                  </w:pPr>
                  <w:r>
                    <w:rPr>
                      <w:rFonts w:hint="eastAsia"/>
                      <w:sz w:val="24"/>
                      <w:szCs w:val="24"/>
                      <w:highlight w:val="none"/>
                      <w:lang w:val="en-US" w:eastAsia="zh-CN"/>
                    </w:rPr>
                    <w:t>8立方/分钟</w:t>
                  </w:r>
                </w:p>
              </w:tc>
              <w:tc>
                <w:tcPr>
                  <w:tcW w:w="1130"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48"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3</w:t>
                  </w:r>
                </w:p>
              </w:tc>
              <w:tc>
                <w:tcPr>
                  <w:tcW w:w="1115"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撕碎机</w:t>
                  </w:r>
                </w:p>
              </w:tc>
              <w:tc>
                <w:tcPr>
                  <w:tcW w:w="692"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台</w:t>
                  </w:r>
                </w:p>
              </w:tc>
              <w:tc>
                <w:tcPr>
                  <w:tcW w:w="511"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1</w:t>
                  </w:r>
                </w:p>
              </w:tc>
              <w:tc>
                <w:tcPr>
                  <w:tcW w:w="1201"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1吨/小时</w:t>
                  </w:r>
                </w:p>
              </w:tc>
              <w:tc>
                <w:tcPr>
                  <w:tcW w:w="1130"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48"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4</w:t>
                  </w:r>
                </w:p>
              </w:tc>
              <w:tc>
                <w:tcPr>
                  <w:tcW w:w="1115"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粉碎机</w:t>
                  </w:r>
                </w:p>
              </w:tc>
              <w:tc>
                <w:tcPr>
                  <w:tcW w:w="692"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台</w:t>
                  </w:r>
                </w:p>
              </w:tc>
              <w:tc>
                <w:tcPr>
                  <w:tcW w:w="511"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2</w:t>
                  </w:r>
                </w:p>
              </w:tc>
              <w:tc>
                <w:tcPr>
                  <w:tcW w:w="1201"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JW-820E</w:t>
                  </w:r>
                </w:p>
              </w:tc>
              <w:tc>
                <w:tcPr>
                  <w:tcW w:w="1130"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48" w:type="pct"/>
                  <w:noWrap w:val="0"/>
                  <w:vAlign w:val="center"/>
                </w:tcPr>
                <w:p>
                  <w:pPr>
                    <w:jc w:val="center"/>
                    <w:rPr>
                      <w:rFonts w:hint="default" w:eastAsia="宋体"/>
                      <w:sz w:val="24"/>
                      <w:szCs w:val="24"/>
                      <w:highlight w:val="none"/>
                      <w:lang w:val="en-US" w:eastAsia="zh-CN"/>
                    </w:rPr>
                  </w:pPr>
                  <w:r>
                    <w:rPr>
                      <w:rFonts w:hint="eastAsia"/>
                      <w:sz w:val="24"/>
                      <w:szCs w:val="24"/>
                      <w:highlight w:val="none"/>
                      <w:lang w:val="en-US" w:eastAsia="zh-CN"/>
                    </w:rPr>
                    <w:t>5</w:t>
                  </w:r>
                </w:p>
              </w:tc>
              <w:tc>
                <w:tcPr>
                  <w:tcW w:w="1115" w:type="pct"/>
                  <w:noWrap w:val="0"/>
                  <w:vAlign w:val="center"/>
                </w:tcPr>
                <w:p>
                  <w:pPr>
                    <w:jc w:val="center"/>
                    <w:rPr>
                      <w:rFonts w:hint="eastAsia"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储气罐</w:t>
                  </w:r>
                </w:p>
              </w:tc>
              <w:tc>
                <w:tcPr>
                  <w:tcW w:w="692"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台</w:t>
                  </w:r>
                </w:p>
              </w:tc>
              <w:tc>
                <w:tcPr>
                  <w:tcW w:w="511"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4</w:t>
                  </w:r>
                </w:p>
              </w:tc>
              <w:tc>
                <w:tcPr>
                  <w:tcW w:w="1201" w:type="pct"/>
                  <w:noWrap w:val="0"/>
                  <w:vAlign w:val="center"/>
                </w:tcPr>
                <w:p>
                  <w:pPr>
                    <w:jc w:val="center"/>
                    <w:rPr>
                      <w:rFonts w:hint="eastAsia"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0.84MPA，1000L</w:t>
                  </w:r>
                </w:p>
              </w:tc>
              <w:tc>
                <w:tcPr>
                  <w:tcW w:w="1130"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烟台、青岛</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48" w:type="pct"/>
                  <w:noWrap w:val="0"/>
                  <w:vAlign w:val="center"/>
                </w:tcPr>
                <w:p>
                  <w:pPr>
                    <w:jc w:val="center"/>
                    <w:rPr>
                      <w:rFonts w:hint="default" w:eastAsia="宋体"/>
                      <w:sz w:val="24"/>
                      <w:szCs w:val="24"/>
                      <w:highlight w:val="none"/>
                      <w:lang w:val="en-US" w:eastAsia="zh-CN"/>
                    </w:rPr>
                  </w:pPr>
                  <w:r>
                    <w:rPr>
                      <w:rFonts w:hint="eastAsia"/>
                      <w:sz w:val="24"/>
                      <w:szCs w:val="24"/>
                      <w:highlight w:val="none"/>
                      <w:lang w:val="en-US" w:eastAsia="zh-CN"/>
                    </w:rPr>
                    <w:t>6</w:t>
                  </w:r>
                </w:p>
              </w:tc>
              <w:tc>
                <w:tcPr>
                  <w:tcW w:w="1115" w:type="pct"/>
                  <w:noWrap w:val="0"/>
                  <w:vAlign w:val="center"/>
                </w:tcPr>
                <w:p>
                  <w:pPr>
                    <w:jc w:val="center"/>
                    <w:rPr>
                      <w:rFonts w:hint="eastAsia"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螺杆上料机</w:t>
                  </w:r>
                </w:p>
              </w:tc>
              <w:tc>
                <w:tcPr>
                  <w:tcW w:w="692"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台</w:t>
                  </w:r>
                </w:p>
              </w:tc>
              <w:tc>
                <w:tcPr>
                  <w:tcW w:w="511"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4</w:t>
                  </w:r>
                </w:p>
              </w:tc>
              <w:tc>
                <w:tcPr>
                  <w:tcW w:w="1201" w:type="pct"/>
                  <w:noWrap w:val="0"/>
                  <w:vAlign w:val="center"/>
                </w:tcPr>
                <w:p>
                  <w:pPr>
                    <w:jc w:val="center"/>
                    <w:rPr>
                      <w:rFonts w:hint="eastAsia"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300kg/h</w:t>
                  </w:r>
                </w:p>
              </w:tc>
              <w:tc>
                <w:tcPr>
                  <w:tcW w:w="1130"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48" w:type="pct"/>
                  <w:noWrap w:val="0"/>
                  <w:vAlign w:val="center"/>
                </w:tcPr>
                <w:p>
                  <w:pPr>
                    <w:jc w:val="center"/>
                    <w:rPr>
                      <w:rFonts w:hint="default" w:eastAsia="宋体"/>
                      <w:sz w:val="24"/>
                      <w:szCs w:val="24"/>
                      <w:highlight w:val="none"/>
                      <w:lang w:val="en-US" w:eastAsia="zh-CN"/>
                    </w:rPr>
                  </w:pPr>
                  <w:r>
                    <w:rPr>
                      <w:rFonts w:hint="eastAsia"/>
                      <w:sz w:val="24"/>
                      <w:szCs w:val="24"/>
                      <w:highlight w:val="none"/>
                      <w:lang w:val="en-US" w:eastAsia="zh-CN"/>
                    </w:rPr>
                    <w:t>7</w:t>
                  </w:r>
                </w:p>
              </w:tc>
              <w:tc>
                <w:tcPr>
                  <w:tcW w:w="1115"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冷却水系统</w:t>
                  </w:r>
                </w:p>
              </w:tc>
              <w:tc>
                <w:tcPr>
                  <w:tcW w:w="692"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台</w:t>
                  </w:r>
                </w:p>
              </w:tc>
              <w:tc>
                <w:tcPr>
                  <w:tcW w:w="511"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1</w:t>
                  </w:r>
                </w:p>
              </w:tc>
              <w:tc>
                <w:tcPr>
                  <w:tcW w:w="1201" w:type="pct"/>
                  <w:noWrap w:val="0"/>
                  <w:vAlign w:val="center"/>
                </w:tcPr>
                <w:p>
                  <w:pPr>
                    <w:jc w:val="center"/>
                    <w:rPr>
                      <w:rFonts w:hint="eastAsia"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300吨/小时</w:t>
                  </w:r>
                </w:p>
              </w:tc>
              <w:tc>
                <w:tcPr>
                  <w:tcW w:w="1130"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48" w:type="pct"/>
                  <w:noWrap w:val="0"/>
                  <w:vAlign w:val="center"/>
                </w:tcPr>
                <w:p>
                  <w:pPr>
                    <w:jc w:val="center"/>
                    <w:rPr>
                      <w:rFonts w:hint="default" w:eastAsia="宋体"/>
                      <w:sz w:val="24"/>
                      <w:szCs w:val="24"/>
                      <w:highlight w:val="none"/>
                      <w:lang w:val="en-US" w:eastAsia="zh-CN"/>
                    </w:rPr>
                  </w:pPr>
                  <w:r>
                    <w:rPr>
                      <w:rFonts w:hint="eastAsia"/>
                      <w:sz w:val="24"/>
                      <w:szCs w:val="24"/>
                      <w:highlight w:val="none"/>
                      <w:lang w:val="en-US" w:eastAsia="zh-CN"/>
                    </w:rPr>
                    <w:t>8</w:t>
                  </w:r>
                </w:p>
              </w:tc>
              <w:tc>
                <w:tcPr>
                  <w:tcW w:w="1115"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冷却塔</w:t>
                  </w:r>
                </w:p>
              </w:tc>
              <w:tc>
                <w:tcPr>
                  <w:tcW w:w="692"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台</w:t>
                  </w:r>
                </w:p>
              </w:tc>
              <w:tc>
                <w:tcPr>
                  <w:tcW w:w="511"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1</w:t>
                  </w:r>
                </w:p>
              </w:tc>
              <w:tc>
                <w:tcPr>
                  <w:tcW w:w="1201" w:type="pct"/>
                  <w:noWrap w:val="0"/>
                  <w:vAlign w:val="center"/>
                </w:tcPr>
                <w:p>
                  <w:pPr>
                    <w:jc w:val="center"/>
                    <w:rPr>
                      <w:rFonts w:hint="eastAsia"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300吨/小时</w:t>
                  </w:r>
                </w:p>
              </w:tc>
              <w:tc>
                <w:tcPr>
                  <w:tcW w:w="1130"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48"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9</w:t>
                  </w:r>
                </w:p>
              </w:tc>
              <w:tc>
                <w:tcPr>
                  <w:tcW w:w="1115"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搅拌机</w:t>
                  </w:r>
                </w:p>
              </w:tc>
              <w:tc>
                <w:tcPr>
                  <w:tcW w:w="692"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台</w:t>
                  </w:r>
                </w:p>
              </w:tc>
              <w:tc>
                <w:tcPr>
                  <w:tcW w:w="511"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2</w:t>
                  </w:r>
                </w:p>
              </w:tc>
              <w:tc>
                <w:tcPr>
                  <w:tcW w:w="1201" w:type="pct"/>
                  <w:noWrap w:val="0"/>
                  <w:vAlign w:val="center"/>
                </w:tcPr>
                <w:p>
                  <w:pPr>
                    <w:jc w:val="center"/>
                    <w:rPr>
                      <w:rFonts w:hint="eastAsia"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5吨</w:t>
                  </w:r>
                </w:p>
              </w:tc>
              <w:tc>
                <w:tcPr>
                  <w:tcW w:w="1130"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48" w:type="pct"/>
                  <w:noWrap w:val="0"/>
                  <w:vAlign w:val="center"/>
                </w:tcPr>
                <w:p>
                  <w:pPr>
                    <w:jc w:val="center"/>
                    <w:rPr>
                      <w:rFonts w:hint="default"/>
                      <w:sz w:val="24"/>
                      <w:szCs w:val="24"/>
                      <w:highlight w:val="none"/>
                      <w:lang w:val="en-US" w:eastAsia="zh-CN"/>
                    </w:rPr>
                  </w:pPr>
                  <w:r>
                    <w:rPr>
                      <w:rFonts w:hint="eastAsia"/>
                      <w:sz w:val="24"/>
                      <w:szCs w:val="24"/>
                      <w:highlight w:val="none"/>
                      <w:lang w:val="en-US" w:eastAsia="zh-CN"/>
                    </w:rPr>
                    <w:t>10</w:t>
                  </w:r>
                </w:p>
              </w:tc>
              <w:tc>
                <w:tcPr>
                  <w:tcW w:w="1115"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cs="Times New Roman"/>
                      <w:kern w:val="2"/>
                      <w:sz w:val="24"/>
                      <w:szCs w:val="24"/>
                      <w:highlight w:val="none"/>
                      <w:lang w:val="en-US" w:eastAsia="zh-CN" w:bidi="ar-SA"/>
                    </w:rPr>
                    <w:t>废气处理系统</w:t>
                  </w:r>
                </w:p>
              </w:tc>
              <w:tc>
                <w:tcPr>
                  <w:tcW w:w="692"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cs="Times New Roman"/>
                      <w:kern w:val="2"/>
                      <w:sz w:val="24"/>
                      <w:szCs w:val="24"/>
                      <w:highlight w:val="none"/>
                      <w:lang w:val="en-US" w:eastAsia="zh-CN" w:bidi="ar-SA"/>
                    </w:rPr>
                    <w:t>套</w:t>
                  </w:r>
                </w:p>
              </w:tc>
              <w:tc>
                <w:tcPr>
                  <w:tcW w:w="511"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cs="Times New Roman"/>
                      <w:kern w:val="2"/>
                      <w:sz w:val="24"/>
                      <w:szCs w:val="24"/>
                      <w:highlight w:val="none"/>
                      <w:lang w:val="en-US" w:eastAsia="zh-CN" w:bidi="ar-SA"/>
                    </w:rPr>
                    <w:t>2</w:t>
                  </w:r>
                </w:p>
              </w:tc>
              <w:tc>
                <w:tcPr>
                  <w:tcW w:w="1201"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cs="Times New Roman"/>
                      <w:kern w:val="2"/>
                      <w:sz w:val="24"/>
                      <w:szCs w:val="24"/>
                      <w:highlight w:val="none"/>
                      <w:lang w:val="en-US" w:eastAsia="zh-CN" w:bidi="ar-SA"/>
                    </w:rPr>
                    <w:t>/</w:t>
                  </w:r>
                </w:p>
              </w:tc>
              <w:tc>
                <w:tcPr>
                  <w:tcW w:w="1130" w:type="pct"/>
                  <w:noWrap w:val="0"/>
                  <w:vAlign w:val="center"/>
                </w:tcPr>
                <w:p>
                  <w:pPr>
                    <w:jc w:val="center"/>
                    <w:rPr>
                      <w:rFonts w:hint="default" w:ascii="Times New Roman" w:hAnsi="Times New Roman" w:eastAsia="宋体" w:cs="Times New Roman"/>
                      <w:kern w:val="2"/>
                      <w:sz w:val="24"/>
                      <w:szCs w:val="24"/>
                      <w:highlight w:val="none"/>
                      <w:lang w:val="en-US" w:eastAsia="zh-CN" w:bidi="ar-SA"/>
                    </w:rPr>
                  </w:pPr>
                  <w:r>
                    <w:rPr>
                      <w:rFonts w:hint="eastAsia" w:cs="Times New Roman"/>
                      <w:kern w:val="2"/>
                      <w:sz w:val="24"/>
                      <w:szCs w:val="24"/>
                      <w:highlight w:val="none"/>
                      <w:lang w:val="en-US" w:eastAsia="zh-CN" w:bidi="ar-SA"/>
                    </w:rPr>
                    <w:t>处理挥发性有机物、破碎粉尘</w:t>
                  </w:r>
                </w:p>
              </w:tc>
            </w:tr>
          </w:tbl>
          <w:p>
            <w:pPr>
              <w:numPr>
                <w:ilvl w:val="0"/>
                <w:numId w:val="0"/>
              </w:numPr>
              <w:adjustRightInd w:val="0"/>
              <w:snapToGrid w:val="0"/>
              <w:spacing w:line="240" w:lineRule="auto"/>
              <w:ind w:firstLine="422" w:firstLineChars="200"/>
              <w:jc w:val="both"/>
              <w:rPr>
                <w:rFonts w:hint="eastAsia" w:ascii="宋体" w:hAnsi="宋体" w:cs="宋体"/>
                <w:b/>
                <w:bCs/>
                <w:sz w:val="21"/>
                <w:szCs w:val="21"/>
                <w:lang w:val="en-US" w:eastAsia="zh-CN"/>
              </w:rPr>
            </w:pPr>
            <w:r>
              <w:rPr>
                <w:rFonts w:hint="eastAsia" w:ascii="宋体" w:hAnsi="宋体" w:cs="宋体"/>
                <w:b/>
                <w:bCs/>
                <w:sz w:val="21"/>
                <w:szCs w:val="21"/>
                <w:lang w:val="en-US" w:eastAsia="zh-CN"/>
              </w:rPr>
              <w:t>注：本项目的设备不属于国家发展和改革委员会令（第29号）《产业结构调整指导目录（2019年本）》、《工业和信息化部高耗能落后机电设备（产品）淘汰目录》、《部分工业行业淘汰落后生产工艺装备和产品指导目录》中淘汰及明令禁止使用的设备及工艺。</w:t>
            </w:r>
          </w:p>
          <w:p>
            <w:pPr>
              <w:numPr>
                <w:ilvl w:val="0"/>
                <w:numId w:val="0"/>
              </w:numPr>
              <w:adjustRightInd w:val="0"/>
              <w:snapToGrid w:val="0"/>
              <w:spacing w:line="360" w:lineRule="auto"/>
              <w:jc w:val="both"/>
              <w:rPr>
                <w:rFonts w:hint="eastAsia" w:ascii="宋体" w:hAnsi="宋体" w:cs="宋体"/>
                <w:b/>
                <w:bCs/>
                <w:color w:val="auto"/>
                <w:sz w:val="24"/>
                <w:szCs w:val="24"/>
                <w:lang w:val="en-US" w:eastAsia="zh-CN"/>
              </w:rPr>
            </w:pPr>
            <w:r>
              <w:rPr>
                <w:rFonts w:hint="eastAsia" w:ascii="宋体" w:hAnsi="宋体" w:cs="宋体"/>
                <w:b/>
                <w:bCs/>
                <w:color w:val="auto"/>
                <w:sz w:val="24"/>
                <w:szCs w:val="24"/>
                <w:lang w:val="en-US" w:eastAsia="zh-CN"/>
              </w:rPr>
              <w:t>6.产品方案及规模</w:t>
            </w:r>
          </w:p>
          <w:p>
            <w:pPr>
              <w:numPr>
                <w:ilvl w:val="0"/>
                <w:numId w:val="0"/>
              </w:numPr>
              <w:adjustRightInd w:val="0"/>
              <w:snapToGrid w:val="0"/>
              <w:spacing w:line="360" w:lineRule="auto"/>
              <w:ind w:firstLine="480" w:firstLineChars="200"/>
              <w:jc w:val="both"/>
              <w:rPr>
                <w:rFonts w:hint="default" w:ascii="宋体" w:hAnsi="宋体" w:cs="宋体"/>
                <w:sz w:val="24"/>
                <w:szCs w:val="24"/>
                <w:lang w:val="en-US" w:eastAsia="zh-CN"/>
              </w:rPr>
            </w:pPr>
            <w:r>
              <w:rPr>
                <w:rFonts w:hint="eastAsia" w:ascii="宋体" w:hAnsi="宋体" w:cs="宋体"/>
                <w:sz w:val="24"/>
                <w:szCs w:val="24"/>
                <w:lang w:val="en-US" w:eastAsia="zh-CN"/>
              </w:rPr>
              <w:t>项目产品方案和规模见下表2-4。</w:t>
            </w:r>
          </w:p>
          <w:p>
            <w:pPr>
              <w:numPr>
                <w:ilvl w:val="0"/>
                <w:numId w:val="0"/>
              </w:numPr>
              <w:adjustRightInd w:val="0"/>
              <w:snapToGrid w:val="0"/>
              <w:spacing w:line="360" w:lineRule="auto"/>
              <w:jc w:val="center"/>
              <w:rPr>
                <w:rFonts w:hint="default" w:ascii="宋体" w:hAnsi="宋体" w:cs="宋体"/>
                <w:b/>
                <w:bCs/>
                <w:sz w:val="24"/>
                <w:szCs w:val="24"/>
                <w:lang w:val="en-US" w:eastAsia="zh-CN"/>
              </w:rPr>
            </w:pPr>
            <w:r>
              <w:rPr>
                <w:rFonts w:hint="eastAsia" w:ascii="宋体" w:hAnsi="宋体" w:cs="宋体"/>
                <w:b/>
                <w:bCs/>
                <w:sz w:val="24"/>
                <w:szCs w:val="24"/>
                <w:lang w:val="en-US" w:eastAsia="zh-CN"/>
              </w:rPr>
              <w:t>表2-4  项目产品方案和规模一览表</w:t>
            </w:r>
          </w:p>
          <w:tbl>
            <w:tblPr>
              <w:tblStyle w:val="14"/>
              <w:tblW w:w="4998"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813"/>
              <w:gridCol w:w="2053"/>
              <w:gridCol w:w="834"/>
              <w:gridCol w:w="1455"/>
              <w:gridCol w:w="3202"/>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86" w:type="pct"/>
                  <w:noWrap w:val="0"/>
                  <w:vAlign w:val="center"/>
                </w:tcPr>
                <w:p>
                  <w:pPr>
                    <w:jc w:val="center"/>
                    <w:rPr>
                      <w:sz w:val="24"/>
                      <w:szCs w:val="24"/>
                    </w:rPr>
                  </w:pPr>
                  <w:r>
                    <w:rPr>
                      <w:sz w:val="24"/>
                      <w:szCs w:val="24"/>
                    </w:rPr>
                    <w:t>序号</w:t>
                  </w:r>
                </w:p>
              </w:tc>
              <w:tc>
                <w:tcPr>
                  <w:tcW w:w="1228" w:type="pct"/>
                  <w:noWrap w:val="0"/>
                  <w:vAlign w:val="center"/>
                </w:tcPr>
                <w:p>
                  <w:pPr>
                    <w:jc w:val="center"/>
                    <w:rPr>
                      <w:sz w:val="24"/>
                      <w:szCs w:val="24"/>
                    </w:rPr>
                  </w:pPr>
                  <w:r>
                    <w:rPr>
                      <w:sz w:val="24"/>
                      <w:szCs w:val="24"/>
                    </w:rPr>
                    <w:t>产品名称</w:t>
                  </w:r>
                </w:p>
              </w:tc>
              <w:tc>
                <w:tcPr>
                  <w:tcW w:w="499" w:type="pct"/>
                  <w:noWrap w:val="0"/>
                  <w:vAlign w:val="center"/>
                </w:tcPr>
                <w:p>
                  <w:pPr>
                    <w:jc w:val="center"/>
                    <w:rPr>
                      <w:sz w:val="24"/>
                      <w:szCs w:val="24"/>
                    </w:rPr>
                  </w:pPr>
                  <w:r>
                    <w:rPr>
                      <w:sz w:val="24"/>
                      <w:szCs w:val="24"/>
                    </w:rPr>
                    <w:t>单位</w:t>
                  </w:r>
                </w:p>
              </w:tc>
              <w:tc>
                <w:tcPr>
                  <w:tcW w:w="870" w:type="pct"/>
                  <w:noWrap w:val="0"/>
                  <w:vAlign w:val="center"/>
                </w:tcPr>
                <w:p>
                  <w:pPr>
                    <w:jc w:val="center"/>
                    <w:rPr>
                      <w:sz w:val="24"/>
                      <w:szCs w:val="24"/>
                    </w:rPr>
                  </w:pPr>
                  <w:r>
                    <w:rPr>
                      <w:sz w:val="24"/>
                      <w:szCs w:val="24"/>
                    </w:rPr>
                    <w:t>年产量</w:t>
                  </w:r>
                </w:p>
              </w:tc>
              <w:tc>
                <w:tcPr>
                  <w:tcW w:w="1915" w:type="pct"/>
                  <w:noWrap w:val="0"/>
                  <w:vAlign w:val="center"/>
                </w:tcPr>
                <w:p>
                  <w:pPr>
                    <w:jc w:val="center"/>
                    <w:rPr>
                      <w:sz w:val="24"/>
                      <w:szCs w:val="24"/>
                    </w:rPr>
                  </w:pPr>
                  <w:r>
                    <w:rPr>
                      <w:sz w:val="24"/>
                      <w:szCs w:val="24"/>
                    </w:rPr>
                    <w:t>规格</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86" w:type="pct"/>
                  <w:noWrap w:val="0"/>
                  <w:vAlign w:val="center"/>
                </w:tcPr>
                <w:p>
                  <w:pPr>
                    <w:jc w:val="center"/>
                    <w:rPr>
                      <w:sz w:val="24"/>
                      <w:szCs w:val="24"/>
                    </w:rPr>
                  </w:pPr>
                  <w:r>
                    <w:rPr>
                      <w:sz w:val="24"/>
                      <w:szCs w:val="24"/>
                    </w:rPr>
                    <w:t>1</w:t>
                  </w:r>
                </w:p>
              </w:tc>
              <w:tc>
                <w:tcPr>
                  <w:tcW w:w="1228" w:type="pct"/>
                  <w:noWrap w:val="0"/>
                  <w:vAlign w:val="center"/>
                </w:tcPr>
                <w:p>
                  <w:pPr>
                    <w:jc w:val="center"/>
                    <w:rPr>
                      <w:sz w:val="24"/>
                      <w:szCs w:val="24"/>
                    </w:rPr>
                  </w:pPr>
                  <w:r>
                    <w:rPr>
                      <w:rFonts w:hint="eastAsia"/>
                      <w:sz w:val="24"/>
                      <w:szCs w:val="24"/>
                    </w:rPr>
                    <w:t>浮体</w:t>
                  </w:r>
                </w:p>
              </w:tc>
              <w:tc>
                <w:tcPr>
                  <w:tcW w:w="499" w:type="pct"/>
                  <w:noWrap w:val="0"/>
                  <w:vAlign w:val="center"/>
                </w:tcPr>
                <w:p>
                  <w:pPr>
                    <w:jc w:val="center"/>
                    <w:rPr>
                      <w:rFonts w:hint="eastAsia" w:eastAsia="宋体"/>
                      <w:sz w:val="24"/>
                      <w:szCs w:val="24"/>
                      <w:lang w:eastAsia="zh-CN"/>
                    </w:rPr>
                  </w:pPr>
                  <w:r>
                    <w:rPr>
                      <w:rFonts w:hint="eastAsia"/>
                      <w:sz w:val="24"/>
                      <w:szCs w:val="24"/>
                      <w:lang w:val="en-US" w:eastAsia="zh-CN"/>
                    </w:rPr>
                    <w:t>个</w:t>
                  </w:r>
                </w:p>
              </w:tc>
              <w:tc>
                <w:tcPr>
                  <w:tcW w:w="870" w:type="pct"/>
                  <w:noWrap w:val="0"/>
                  <w:vAlign w:val="center"/>
                </w:tcPr>
                <w:p>
                  <w:pPr>
                    <w:jc w:val="center"/>
                    <w:rPr>
                      <w:rFonts w:hint="default" w:eastAsia="宋体"/>
                      <w:sz w:val="24"/>
                      <w:szCs w:val="24"/>
                      <w:lang w:val="en-US" w:eastAsia="zh-CN"/>
                    </w:rPr>
                  </w:pPr>
                  <w:r>
                    <w:rPr>
                      <w:rFonts w:hint="eastAsia"/>
                      <w:sz w:val="24"/>
                      <w:szCs w:val="24"/>
                      <w:lang w:val="en-US" w:eastAsia="zh-CN"/>
                    </w:rPr>
                    <w:t>40万</w:t>
                  </w:r>
                </w:p>
              </w:tc>
              <w:tc>
                <w:tcPr>
                  <w:tcW w:w="1915" w:type="pct"/>
                  <w:noWrap w:val="0"/>
                  <w:vAlign w:val="center"/>
                </w:tcPr>
                <w:p>
                  <w:pPr>
                    <w:jc w:val="center"/>
                    <w:rPr>
                      <w:rFonts w:hint="default" w:eastAsia="宋体"/>
                      <w:sz w:val="24"/>
                      <w:szCs w:val="24"/>
                      <w:lang w:val="en-US" w:eastAsia="zh-CN"/>
                    </w:rPr>
                  </w:pPr>
                  <w:r>
                    <w:rPr>
                      <w:rFonts w:hint="eastAsia"/>
                      <w:sz w:val="24"/>
                      <w:szCs w:val="24"/>
                      <w:lang w:val="en-US" w:eastAsia="zh-CN"/>
                    </w:rPr>
                    <w:t>根据订单需求，主要用于水面漂浮承载光伏组件</w:t>
                  </w:r>
                </w:p>
              </w:tc>
            </w:tr>
          </w:tbl>
          <w:p>
            <w:pPr>
              <w:numPr>
                <w:ilvl w:val="0"/>
                <w:numId w:val="0"/>
              </w:numPr>
              <w:adjustRightInd w:val="0"/>
              <w:snapToGrid w:val="0"/>
              <w:spacing w:line="360" w:lineRule="auto"/>
              <w:jc w:val="both"/>
              <w:rPr>
                <w:rFonts w:hint="default" w:ascii="宋体" w:hAnsi="宋体" w:cs="宋体"/>
                <w:b/>
                <w:bCs/>
                <w:color w:val="auto"/>
                <w:sz w:val="24"/>
                <w:szCs w:val="24"/>
                <w:lang w:val="en-US" w:eastAsia="zh-CN"/>
              </w:rPr>
            </w:pPr>
            <w:r>
              <w:rPr>
                <w:rFonts w:hint="eastAsia" w:ascii="宋体" w:hAnsi="宋体" w:cs="宋体"/>
                <w:b/>
                <w:bCs/>
                <w:color w:val="auto"/>
                <w:sz w:val="24"/>
                <w:szCs w:val="24"/>
                <w:lang w:val="en-US" w:eastAsia="zh-CN"/>
              </w:rPr>
              <w:t>7.平面布置</w:t>
            </w:r>
          </w:p>
          <w:p>
            <w:pPr>
              <w:numPr>
                <w:ilvl w:val="0"/>
                <w:numId w:val="0"/>
              </w:numPr>
              <w:adjustRightInd w:val="0"/>
              <w:snapToGrid w:val="0"/>
              <w:spacing w:line="360" w:lineRule="auto"/>
              <w:ind w:firstLine="480" w:firstLineChars="200"/>
              <w:jc w:val="both"/>
              <w:rPr>
                <w:rFonts w:hint="eastAsia" w:ascii="宋体" w:hAnsi="宋体" w:cs="宋体"/>
                <w:sz w:val="24"/>
                <w:szCs w:val="24"/>
                <w:lang w:val="en-US" w:eastAsia="zh-CN"/>
              </w:rPr>
            </w:pPr>
            <w:r>
              <w:rPr>
                <w:rFonts w:hint="eastAsia" w:ascii="宋体" w:hAnsi="宋体" w:cs="宋体"/>
                <w:color w:val="auto"/>
                <w:kern w:val="0"/>
                <w:sz w:val="24"/>
                <w:szCs w:val="24"/>
                <w:lang w:val="en-US" w:eastAsia="zh-CN"/>
              </w:rPr>
              <w:t>本项目依托</w:t>
            </w:r>
            <w:r>
              <w:rPr>
                <w:rFonts w:hint="eastAsia" w:ascii="宋体" w:hAnsi="宋体" w:cs="宋体"/>
                <w:color w:val="auto"/>
                <w:sz w:val="24"/>
                <w:szCs w:val="24"/>
                <w:u w:val="none"/>
                <w:lang w:val="en-US" w:eastAsia="zh-CN"/>
              </w:rPr>
              <w:t>湖南定宇新材料科技有限公司</w:t>
            </w:r>
            <w:r>
              <w:rPr>
                <w:rFonts w:hint="eastAsia" w:ascii="宋体" w:hAnsi="宋体" w:eastAsia="宋体" w:cs="宋体"/>
                <w:color w:val="auto"/>
                <w:kern w:val="0"/>
                <w:sz w:val="24"/>
                <w:szCs w:val="24"/>
                <w:lang w:val="en-US" w:eastAsia="zh-CN"/>
              </w:rPr>
              <w:t>现有厂房，</w:t>
            </w:r>
            <w:r>
              <w:rPr>
                <w:rFonts w:hint="eastAsia" w:ascii="宋体" w:hAnsi="宋体" w:cs="宋体"/>
                <w:color w:val="auto"/>
                <w:kern w:val="0"/>
                <w:sz w:val="24"/>
                <w:szCs w:val="24"/>
                <w:lang w:val="en-US" w:eastAsia="zh-CN"/>
              </w:rPr>
              <w:t>车间南部为办公室，北部为成品仓库，在车间中部设置过道将车间中部划分成东西两个部分，东侧由北往南依次为熔融成型区（吹塑区、拌料区）、破碎区、原材料仓库，西侧由北往南依次为成品打包区、待检区、粉碎料暂存区、原材料仓库。车间外南部建设有独立的空压机房、循环水泵组以及循环水池。</w:t>
            </w:r>
            <w:r>
              <w:rPr>
                <w:rFonts w:hint="eastAsia" w:ascii="宋体" w:hAnsi="宋体" w:cs="宋体"/>
                <w:color w:val="auto"/>
                <w:sz w:val="24"/>
                <w:szCs w:val="24"/>
                <w:lang w:val="en-US" w:eastAsia="zh-CN"/>
              </w:rPr>
              <w:t>厂区平面布置见附图3。</w:t>
            </w:r>
          </w:p>
          <w:p>
            <w:pPr>
              <w:numPr>
                <w:ilvl w:val="0"/>
                <w:numId w:val="0"/>
              </w:numPr>
              <w:adjustRightInd w:val="0"/>
              <w:snapToGrid w:val="0"/>
              <w:spacing w:line="360" w:lineRule="auto"/>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8.公用工程</w:t>
            </w:r>
          </w:p>
          <w:p>
            <w:pPr>
              <w:numPr>
                <w:ilvl w:val="0"/>
                <w:numId w:val="0"/>
              </w:numPr>
              <w:adjustRightInd w:val="0"/>
              <w:snapToGrid w:val="0"/>
              <w:spacing w:line="360" w:lineRule="auto"/>
              <w:ind w:firstLine="480" w:firstLineChars="200"/>
              <w:jc w:val="both"/>
              <w:rPr>
                <w:rFonts w:hint="default" w:ascii="宋体" w:hAnsi="宋体" w:cs="宋体"/>
                <w:sz w:val="24"/>
                <w:szCs w:val="24"/>
                <w:lang w:val="en-US" w:eastAsia="zh-CN"/>
              </w:rPr>
            </w:pPr>
            <w:r>
              <w:rPr>
                <w:rFonts w:hint="eastAsia" w:ascii="宋体" w:hAnsi="宋体" w:cs="宋体"/>
                <w:sz w:val="24"/>
                <w:szCs w:val="24"/>
                <w:lang w:val="en-US" w:eastAsia="zh-CN"/>
              </w:rPr>
              <w:t>（1）给水</w:t>
            </w:r>
          </w:p>
          <w:p>
            <w:pPr>
              <w:numPr>
                <w:ilvl w:val="0"/>
                <w:numId w:val="0"/>
              </w:numPr>
              <w:adjustRightInd w:val="0"/>
              <w:snapToGrid w:val="0"/>
              <w:spacing w:line="360" w:lineRule="auto"/>
              <w:ind w:firstLine="480" w:firstLineChars="200"/>
              <w:jc w:val="both"/>
              <w:rPr>
                <w:rFonts w:hint="eastAsia" w:ascii="宋体" w:hAnsi="宋体" w:cs="宋体"/>
                <w:sz w:val="24"/>
                <w:szCs w:val="24"/>
                <w:lang w:val="en-US" w:eastAsia="zh-CN"/>
              </w:rPr>
            </w:pPr>
            <w:r>
              <w:rPr>
                <w:rFonts w:hint="eastAsia" w:ascii="宋体" w:hAnsi="宋体" w:cs="宋体"/>
                <w:sz w:val="24"/>
                <w:szCs w:val="24"/>
                <w:lang w:val="en-US" w:eastAsia="zh-CN"/>
              </w:rPr>
              <w:t>根据建设方提供的资料，本项目用水主要为冷却循环用水和员工生活用水，供水采用自来水，管网依托现有厂房。</w:t>
            </w:r>
          </w:p>
          <w:p>
            <w:pPr>
              <w:numPr>
                <w:ilvl w:val="0"/>
                <w:numId w:val="0"/>
              </w:numPr>
              <w:adjustRightInd w:val="0"/>
              <w:snapToGrid w:val="0"/>
              <w:spacing w:line="360" w:lineRule="auto"/>
              <w:ind w:firstLine="480" w:firstLineChars="200"/>
              <w:jc w:val="both"/>
              <w:rPr>
                <w:rFonts w:hint="eastAsia" w:ascii="宋体" w:hAnsi="宋体" w:cs="宋体"/>
                <w:sz w:val="24"/>
                <w:szCs w:val="24"/>
                <w:lang w:val="en-US" w:eastAsia="zh-CN"/>
              </w:rPr>
            </w:pPr>
            <w:r>
              <w:rPr>
                <w:rFonts w:hint="eastAsia" w:ascii="宋体" w:hAnsi="宋体" w:cs="宋体"/>
                <w:sz w:val="24"/>
                <w:szCs w:val="24"/>
                <w:lang w:val="en-US" w:eastAsia="zh-CN"/>
              </w:rPr>
              <w:t>项目劳动定员60人，员工均不在厂区内食宿，参照《湖南省用水定额》（DB43/T388-2020）用水量为45L/人·d，年工作时间为300d，则生活用水量为2.7</w:t>
            </w:r>
            <w:r>
              <w:rPr>
                <w:spacing w:val="4"/>
                <w:sz w:val="24"/>
                <w:szCs w:val="24"/>
              </w:rPr>
              <w:t>m</w:t>
            </w:r>
            <w:r>
              <w:rPr>
                <w:spacing w:val="4"/>
                <w:sz w:val="24"/>
                <w:szCs w:val="24"/>
                <w:vertAlign w:val="superscript"/>
              </w:rPr>
              <w:t>3</w:t>
            </w:r>
            <w:r>
              <w:rPr>
                <w:spacing w:val="4"/>
                <w:sz w:val="24"/>
                <w:szCs w:val="24"/>
              </w:rPr>
              <w:t>/d</w:t>
            </w:r>
            <w:r>
              <w:rPr>
                <w:rFonts w:hint="eastAsia" w:ascii="宋体" w:hAnsi="宋体" w:cs="宋体"/>
                <w:sz w:val="24"/>
                <w:szCs w:val="24"/>
                <w:lang w:val="en-US" w:eastAsia="zh-CN"/>
              </w:rPr>
              <w:t>,810</w:t>
            </w:r>
            <w:r>
              <w:rPr>
                <w:spacing w:val="4"/>
                <w:sz w:val="24"/>
                <w:szCs w:val="24"/>
              </w:rPr>
              <w:t>m</w:t>
            </w:r>
            <w:r>
              <w:rPr>
                <w:spacing w:val="4"/>
                <w:sz w:val="24"/>
                <w:szCs w:val="24"/>
                <w:vertAlign w:val="superscript"/>
              </w:rPr>
              <w:t>3</w:t>
            </w:r>
            <w:r>
              <w:rPr>
                <w:spacing w:val="4"/>
                <w:sz w:val="24"/>
                <w:szCs w:val="24"/>
              </w:rPr>
              <w:t>/</w:t>
            </w:r>
            <w:r>
              <w:rPr>
                <w:rFonts w:hint="eastAsia"/>
                <w:spacing w:val="4"/>
                <w:sz w:val="24"/>
                <w:szCs w:val="24"/>
                <w:lang w:val="en-US" w:eastAsia="zh-CN"/>
              </w:rPr>
              <w:t>a</w:t>
            </w:r>
            <w:r>
              <w:rPr>
                <w:rFonts w:hint="eastAsia" w:ascii="宋体" w:hAnsi="宋体" w:cs="宋体"/>
                <w:sz w:val="24"/>
                <w:szCs w:val="24"/>
                <w:lang w:val="en-US" w:eastAsia="zh-CN"/>
              </w:rPr>
              <w:t>。</w:t>
            </w:r>
          </w:p>
          <w:p>
            <w:pPr>
              <w:numPr>
                <w:ilvl w:val="0"/>
                <w:numId w:val="0"/>
              </w:numPr>
              <w:adjustRightInd w:val="0"/>
              <w:snapToGrid w:val="0"/>
              <w:spacing w:line="360" w:lineRule="auto"/>
              <w:ind w:firstLine="480" w:firstLineChars="200"/>
              <w:jc w:val="both"/>
              <w:rPr>
                <w:rFonts w:hint="default" w:ascii="宋体" w:hAnsi="宋体" w:cs="宋体"/>
                <w:sz w:val="24"/>
                <w:szCs w:val="24"/>
                <w:lang w:val="en-US" w:eastAsia="zh-CN"/>
              </w:rPr>
            </w:pPr>
            <w:r>
              <w:rPr>
                <w:rFonts w:hint="eastAsia" w:ascii="宋体" w:hAnsi="宋体"/>
                <w:b w:val="0"/>
                <w:bCs/>
                <w:sz w:val="24"/>
                <w:szCs w:val="24"/>
                <w:highlight w:val="none"/>
                <w:lang w:val="en-US" w:eastAsia="zh-CN"/>
              </w:rPr>
              <w:t>项目产品成型后的塑料品需立即进行冷却，使产品降温。配套循环冷却水塔以保持设备良好运行。冷却水循环量1m</w:t>
            </w:r>
            <w:r>
              <w:rPr>
                <w:rFonts w:hint="eastAsia" w:ascii="宋体" w:hAnsi="宋体"/>
                <w:b w:val="0"/>
                <w:bCs/>
                <w:sz w:val="24"/>
                <w:szCs w:val="24"/>
                <w:highlight w:val="none"/>
                <w:vertAlign w:val="superscript"/>
                <w:lang w:val="en-US" w:eastAsia="zh-CN"/>
              </w:rPr>
              <w:t>3</w:t>
            </w:r>
            <w:r>
              <w:rPr>
                <w:rFonts w:hint="eastAsia" w:ascii="宋体" w:hAnsi="宋体"/>
                <w:b w:val="0"/>
                <w:bCs/>
                <w:sz w:val="24"/>
                <w:szCs w:val="24"/>
                <w:highlight w:val="none"/>
                <w:lang w:val="en-US" w:eastAsia="zh-CN"/>
              </w:rPr>
              <w:t>/h,则年循环冷却水用量为</w:t>
            </w:r>
            <w:r>
              <w:rPr>
                <w:rFonts w:hint="eastAsia" w:ascii="宋体" w:hAnsi="宋体" w:cs="宋体"/>
                <w:bCs/>
                <w:spacing w:val="-10"/>
                <w:sz w:val="24"/>
                <w:szCs w:val="24"/>
                <w:highlight w:val="none"/>
                <w:lang w:val="en-US" w:eastAsia="zh-CN"/>
              </w:rPr>
              <w:t>4800</w:t>
            </w:r>
            <w:r>
              <w:rPr>
                <w:spacing w:val="4"/>
                <w:sz w:val="24"/>
                <w:szCs w:val="24"/>
              </w:rPr>
              <w:t>m</w:t>
            </w:r>
            <w:r>
              <w:rPr>
                <w:spacing w:val="4"/>
                <w:sz w:val="24"/>
                <w:szCs w:val="24"/>
                <w:vertAlign w:val="superscript"/>
              </w:rPr>
              <w:t>3</w:t>
            </w:r>
            <w:r>
              <w:rPr>
                <w:rFonts w:hint="eastAsia" w:ascii="宋体" w:hAnsi="宋体"/>
                <w:b w:val="0"/>
                <w:bCs/>
                <w:sz w:val="24"/>
                <w:szCs w:val="24"/>
                <w:highlight w:val="none"/>
                <w:lang w:val="en-US" w:eastAsia="zh-CN"/>
              </w:rPr>
              <w:t>/a，蒸发损失水量按循环水量的5%计，则补充水量为240</w:t>
            </w:r>
            <w:r>
              <w:rPr>
                <w:spacing w:val="4"/>
                <w:sz w:val="24"/>
                <w:szCs w:val="24"/>
              </w:rPr>
              <w:t>m</w:t>
            </w:r>
            <w:r>
              <w:rPr>
                <w:spacing w:val="4"/>
                <w:sz w:val="24"/>
                <w:szCs w:val="24"/>
                <w:vertAlign w:val="superscript"/>
              </w:rPr>
              <w:t>3</w:t>
            </w:r>
            <w:r>
              <w:rPr>
                <w:rFonts w:hint="eastAsia" w:ascii="宋体" w:hAnsi="宋体"/>
                <w:b w:val="0"/>
                <w:bCs/>
                <w:sz w:val="24"/>
                <w:szCs w:val="24"/>
                <w:highlight w:val="none"/>
                <w:lang w:val="en-US" w:eastAsia="zh-CN"/>
              </w:rPr>
              <w:t>/a,无循环冷却水外排，随损耗定期添加。</w:t>
            </w:r>
          </w:p>
          <w:p>
            <w:pPr>
              <w:numPr>
                <w:ilvl w:val="0"/>
                <w:numId w:val="0"/>
              </w:numPr>
              <w:adjustRightInd w:val="0"/>
              <w:snapToGrid w:val="0"/>
              <w:spacing w:line="360" w:lineRule="auto"/>
              <w:ind w:firstLine="480" w:firstLineChars="200"/>
              <w:jc w:val="both"/>
              <w:rPr>
                <w:rFonts w:hint="eastAsia" w:ascii="宋体" w:hAnsi="宋体" w:cs="宋体"/>
                <w:sz w:val="24"/>
                <w:szCs w:val="24"/>
                <w:lang w:val="en-US" w:eastAsia="zh-CN"/>
              </w:rPr>
            </w:pPr>
            <w:r>
              <w:rPr>
                <w:rFonts w:hint="eastAsia" w:ascii="宋体" w:hAnsi="宋体" w:cs="宋体"/>
                <w:sz w:val="24"/>
                <w:szCs w:val="24"/>
                <w:lang w:val="en-US" w:eastAsia="zh-CN"/>
              </w:rPr>
              <w:t>（2）排水</w:t>
            </w:r>
          </w:p>
          <w:p>
            <w:pPr>
              <w:numPr>
                <w:ilvl w:val="0"/>
                <w:numId w:val="0"/>
              </w:numPr>
              <w:adjustRightInd w:val="0"/>
              <w:snapToGrid w:val="0"/>
              <w:spacing w:line="360" w:lineRule="auto"/>
              <w:ind w:firstLine="480" w:firstLineChars="200"/>
              <w:jc w:val="both"/>
              <w:rPr>
                <w:rFonts w:hint="default" w:ascii="宋体" w:hAnsi="宋体" w:cs="宋体"/>
                <w:sz w:val="24"/>
                <w:szCs w:val="24"/>
                <w:lang w:val="en-US" w:eastAsia="zh-CN"/>
              </w:rPr>
            </w:pPr>
            <w:r>
              <w:rPr>
                <w:rFonts w:hint="eastAsia" w:ascii="宋体" w:hAnsi="宋体" w:cs="宋体"/>
                <w:sz w:val="24"/>
                <w:szCs w:val="24"/>
                <w:lang w:val="en-US" w:eastAsia="zh-CN"/>
              </w:rPr>
              <w:t>项目排水实行雨污分流制，雨水设置雨水沟，进入园区雨水管网；生活污水量按照产污系数0.8计算，则生活污水量为2.16</w:t>
            </w:r>
            <w:r>
              <w:rPr>
                <w:spacing w:val="4"/>
                <w:sz w:val="24"/>
                <w:szCs w:val="24"/>
              </w:rPr>
              <w:t>m</w:t>
            </w:r>
            <w:r>
              <w:rPr>
                <w:spacing w:val="4"/>
                <w:sz w:val="24"/>
                <w:szCs w:val="24"/>
                <w:vertAlign w:val="superscript"/>
              </w:rPr>
              <w:t>3</w:t>
            </w:r>
            <w:r>
              <w:rPr>
                <w:spacing w:val="4"/>
                <w:sz w:val="24"/>
                <w:szCs w:val="24"/>
              </w:rPr>
              <w:t>/d</w:t>
            </w:r>
            <w:r>
              <w:rPr>
                <w:rFonts w:hint="eastAsia" w:ascii="宋体" w:hAnsi="宋体" w:cs="宋体"/>
                <w:sz w:val="24"/>
                <w:szCs w:val="24"/>
                <w:lang w:val="en-US" w:eastAsia="zh-CN"/>
              </w:rPr>
              <w:t>,648</w:t>
            </w:r>
            <w:r>
              <w:rPr>
                <w:spacing w:val="4"/>
                <w:sz w:val="24"/>
                <w:szCs w:val="24"/>
              </w:rPr>
              <w:t>m</w:t>
            </w:r>
            <w:r>
              <w:rPr>
                <w:spacing w:val="4"/>
                <w:sz w:val="24"/>
                <w:szCs w:val="24"/>
                <w:vertAlign w:val="superscript"/>
              </w:rPr>
              <w:t>3</w:t>
            </w:r>
            <w:r>
              <w:rPr>
                <w:spacing w:val="4"/>
                <w:sz w:val="24"/>
                <w:szCs w:val="24"/>
              </w:rPr>
              <w:t>/</w:t>
            </w:r>
            <w:r>
              <w:rPr>
                <w:rFonts w:hint="eastAsia"/>
                <w:spacing w:val="4"/>
                <w:sz w:val="24"/>
                <w:szCs w:val="24"/>
                <w:lang w:val="en-US" w:eastAsia="zh-CN"/>
              </w:rPr>
              <w:t>a</w:t>
            </w:r>
            <w:r>
              <w:rPr>
                <w:rFonts w:hint="eastAsia" w:ascii="宋体" w:hAnsi="宋体" w:cs="宋体"/>
                <w:sz w:val="24"/>
                <w:szCs w:val="24"/>
                <w:lang w:val="en-US" w:eastAsia="zh-CN"/>
              </w:rPr>
              <w:t>，经现有厂房化粪池处理达到《污水综合排放标准》（GB8978-1996）中三级标准后排入园区污水管网，再排入湘阴县第二污水处理厂进行处理。</w:t>
            </w:r>
          </w:p>
          <w:p>
            <w:pPr>
              <w:numPr>
                <w:ilvl w:val="0"/>
                <w:numId w:val="0"/>
              </w:numPr>
              <w:adjustRightInd w:val="0"/>
              <w:snapToGrid w:val="0"/>
              <w:spacing w:line="360" w:lineRule="auto"/>
              <w:ind w:firstLine="480" w:firstLineChars="200"/>
              <w:jc w:val="both"/>
              <w:rPr>
                <w:rFonts w:hint="eastAsia" w:ascii="宋体" w:hAnsi="宋体" w:cs="宋体"/>
                <w:color w:val="FF0000"/>
                <w:sz w:val="24"/>
                <w:szCs w:val="24"/>
                <w:u w:val="single"/>
                <w:lang w:val="en-US" w:eastAsia="zh-CN"/>
              </w:rPr>
            </w:pPr>
            <w:r>
              <w:rPr>
                <w:rFonts w:hint="eastAsia" w:ascii="宋体" w:hAnsi="宋体" w:cs="宋体"/>
                <w:color w:val="FF0000"/>
                <w:sz w:val="24"/>
                <w:szCs w:val="24"/>
                <w:u w:val="single"/>
                <w:lang w:val="en-US" w:eastAsia="zh-CN"/>
              </w:rPr>
              <w:t>（3）供电</w:t>
            </w:r>
          </w:p>
          <w:p>
            <w:pPr>
              <w:numPr>
                <w:ilvl w:val="0"/>
                <w:numId w:val="0"/>
              </w:numPr>
              <w:adjustRightInd w:val="0"/>
              <w:snapToGrid w:val="0"/>
              <w:spacing w:line="360" w:lineRule="auto"/>
              <w:ind w:firstLine="480" w:firstLineChars="200"/>
              <w:jc w:val="both"/>
              <w:rPr>
                <w:rFonts w:hint="eastAsia" w:ascii="宋体" w:hAnsi="宋体" w:cs="宋体"/>
                <w:color w:val="FF0000"/>
                <w:sz w:val="24"/>
                <w:szCs w:val="24"/>
                <w:u w:val="single"/>
                <w:lang w:val="en-US" w:eastAsia="zh-CN"/>
              </w:rPr>
            </w:pPr>
            <w:r>
              <w:rPr>
                <w:rFonts w:hint="eastAsia" w:ascii="宋体" w:hAnsi="宋体" w:cs="宋体"/>
                <w:color w:val="FF0000"/>
                <w:sz w:val="24"/>
                <w:szCs w:val="24"/>
                <w:u w:val="single"/>
                <w:lang w:val="en-US" w:eastAsia="zh-CN"/>
              </w:rPr>
              <w:t>项目用电由湘阴县电力局供应。</w:t>
            </w:r>
          </w:p>
          <w:p>
            <w:pPr>
              <w:numPr>
                <w:ilvl w:val="0"/>
                <w:numId w:val="0"/>
              </w:numPr>
              <w:adjustRightInd w:val="0"/>
              <w:snapToGrid w:val="0"/>
              <w:spacing w:line="360" w:lineRule="auto"/>
              <w:jc w:val="center"/>
              <w:rPr>
                <w:rFonts w:hint="default" w:ascii="宋体" w:hAnsi="宋体" w:cs="宋体"/>
                <w:b/>
                <w:bCs/>
                <w:color w:val="FF0000"/>
                <w:sz w:val="24"/>
                <w:szCs w:val="24"/>
                <w:u w:val="single"/>
                <w:lang w:val="en-US" w:eastAsia="zh-CN"/>
              </w:rPr>
            </w:pPr>
            <w:r>
              <w:rPr>
                <w:rFonts w:hint="eastAsia" w:ascii="宋体" w:hAnsi="宋体" w:cs="宋体"/>
                <w:b/>
                <w:bCs/>
                <w:color w:val="FF0000"/>
                <w:sz w:val="24"/>
                <w:szCs w:val="24"/>
                <w:u w:val="single"/>
                <w:lang w:val="en-US" w:eastAsia="zh-CN"/>
              </w:rPr>
              <w:t>表2-5  项目用水、排水情况一览表</w:t>
            </w:r>
          </w:p>
          <w:tbl>
            <w:tblPr>
              <w:tblStyle w:val="15"/>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30"/>
              <w:gridCol w:w="2782"/>
              <w:gridCol w:w="1755"/>
              <w:gridCol w:w="20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35" w:type="pc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用水项目</w:t>
                  </w:r>
                </w:p>
              </w:tc>
              <w:tc>
                <w:tcPr>
                  <w:tcW w:w="1664" w:type="pc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用水定额参数</w:t>
                  </w:r>
                </w:p>
              </w:tc>
              <w:tc>
                <w:tcPr>
                  <w:tcW w:w="1050" w:type="pc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用水量（t/a）</w:t>
                  </w:r>
                </w:p>
              </w:tc>
              <w:tc>
                <w:tcPr>
                  <w:tcW w:w="1250" w:type="pc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排水量（t/a）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35" w:type="pc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生活用水</w:t>
                  </w:r>
                </w:p>
              </w:tc>
              <w:tc>
                <w:tcPr>
                  <w:tcW w:w="1664" w:type="pc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45L/人·d，排污系数0.8</w:t>
                  </w:r>
                </w:p>
              </w:tc>
              <w:tc>
                <w:tcPr>
                  <w:tcW w:w="1050" w:type="pc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810</w:t>
                  </w:r>
                </w:p>
              </w:tc>
              <w:tc>
                <w:tcPr>
                  <w:tcW w:w="1250" w:type="pc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648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35" w:type="pc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冷却循环用水</w:t>
                  </w:r>
                </w:p>
              </w:tc>
              <w:tc>
                <w:tcPr>
                  <w:tcW w:w="1664" w:type="pct"/>
                  <w:tcBorders>
                    <w:tl2br w:val="nil"/>
                    <w:tr2bl w:val="nil"/>
                  </w:tcBorders>
                  <w:vAlign w:val="center"/>
                </w:tcPr>
                <w:p>
                  <w:pPr>
                    <w:bidi w:val="0"/>
                    <w:jc w:val="center"/>
                    <w:rPr>
                      <w:rFonts w:hint="eastAsia"/>
                      <w:color w:val="FF0000"/>
                      <w:u w:val="single"/>
                      <w:lang w:val="en-US" w:eastAsia="zh-CN"/>
                    </w:rPr>
                  </w:pPr>
                  <w:r>
                    <w:rPr>
                      <w:rFonts w:hint="eastAsia"/>
                      <w:color w:val="FF0000"/>
                      <w:u w:val="single"/>
                      <w:lang w:val="en-US" w:eastAsia="zh-CN"/>
                    </w:rPr>
                    <w:t>蒸发损失水量按循环水量的5%计</w:t>
                  </w:r>
                </w:p>
              </w:tc>
              <w:tc>
                <w:tcPr>
                  <w:tcW w:w="1050" w:type="pct"/>
                  <w:tcBorders>
                    <w:tl2br w:val="nil"/>
                    <w:tr2bl w:val="nil"/>
                  </w:tcBorders>
                  <w:vAlign w:val="center"/>
                </w:tcPr>
                <w:p>
                  <w:pPr>
                    <w:bidi w:val="0"/>
                    <w:jc w:val="center"/>
                    <w:rPr>
                      <w:rFonts w:hint="eastAsia"/>
                      <w:color w:val="FF0000"/>
                      <w:u w:val="single"/>
                      <w:lang w:val="en-US" w:eastAsia="zh-CN"/>
                    </w:rPr>
                  </w:pPr>
                  <w:r>
                    <w:rPr>
                      <w:rFonts w:hint="eastAsia"/>
                      <w:color w:val="FF0000"/>
                      <w:u w:val="single"/>
                      <w:lang w:val="en-US" w:eastAsia="zh-CN"/>
                    </w:rPr>
                    <w:t>240</w:t>
                  </w:r>
                </w:p>
              </w:tc>
              <w:tc>
                <w:tcPr>
                  <w:tcW w:w="1250" w:type="pc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35" w:type="pc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合计</w:t>
                  </w:r>
                </w:p>
              </w:tc>
              <w:tc>
                <w:tcPr>
                  <w:tcW w:w="1664" w:type="pc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w:t>
                  </w:r>
                </w:p>
              </w:tc>
              <w:tc>
                <w:tcPr>
                  <w:tcW w:w="1050" w:type="pc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1050</w:t>
                  </w:r>
                </w:p>
              </w:tc>
              <w:tc>
                <w:tcPr>
                  <w:tcW w:w="1250" w:type="pc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648</w:t>
                  </w:r>
                </w:p>
              </w:tc>
            </w:tr>
          </w:tbl>
          <w:p>
            <w:pPr>
              <w:numPr>
                <w:ilvl w:val="0"/>
                <w:numId w:val="0"/>
              </w:numPr>
              <w:adjustRightInd w:val="0"/>
              <w:snapToGrid w:val="0"/>
              <w:spacing w:line="360" w:lineRule="auto"/>
              <w:jc w:val="both"/>
              <w:rPr>
                <w:rFonts w:hint="eastAsia" w:ascii="宋体" w:hAnsi="宋体" w:cs="宋体"/>
                <w:color w:val="FF0000"/>
                <w:sz w:val="24"/>
                <w:szCs w:val="24"/>
                <w:u w:val="single"/>
                <w:lang w:val="en-US" w:eastAsia="zh-CN"/>
              </w:rPr>
            </w:pPr>
          </w:p>
          <w:p>
            <w:pPr>
              <w:numPr>
                <w:ilvl w:val="0"/>
                <w:numId w:val="0"/>
              </w:numPr>
              <w:adjustRightInd w:val="0"/>
              <w:snapToGrid w:val="0"/>
              <w:spacing w:line="360" w:lineRule="auto"/>
              <w:jc w:val="both"/>
              <w:rPr>
                <w:rFonts w:hint="eastAsia" w:ascii="宋体" w:hAnsi="宋体" w:cs="宋体"/>
                <w:color w:val="FF0000"/>
                <w:sz w:val="24"/>
                <w:szCs w:val="24"/>
                <w:u w:val="single"/>
                <w:lang w:val="en-US" w:eastAsia="zh-CN"/>
              </w:rPr>
            </w:pPr>
            <w:r>
              <w:rPr>
                <w:rFonts w:hint="eastAsia" w:ascii="宋体" w:hAnsi="宋体" w:cs="宋体"/>
                <w:color w:val="FF0000"/>
                <w:sz w:val="24"/>
                <w:szCs w:val="24"/>
                <w:u w:val="single"/>
                <w:lang w:val="en-US" w:eastAsia="zh-CN"/>
              </w:rPr>
              <w:drawing>
                <wp:inline distT="0" distB="0" distL="114300" distR="114300">
                  <wp:extent cx="5278120" cy="1462405"/>
                  <wp:effectExtent l="0" t="0" r="17780" b="4445"/>
                  <wp:docPr id="1" name="图片 1" descr="水平衡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水平衡图"/>
                          <pic:cNvPicPr>
                            <a:picLocks noChangeAspect="1"/>
                          </pic:cNvPicPr>
                        </pic:nvPicPr>
                        <pic:blipFill>
                          <a:blip r:embed="rId16"/>
                          <a:srcRect l="2687" r="1254" b="9172"/>
                          <a:stretch>
                            <a:fillRect/>
                          </a:stretch>
                        </pic:blipFill>
                        <pic:spPr>
                          <a:xfrm>
                            <a:off x="0" y="0"/>
                            <a:ext cx="5278120" cy="1462405"/>
                          </a:xfrm>
                          <a:prstGeom prst="rect">
                            <a:avLst/>
                          </a:prstGeom>
                        </pic:spPr>
                      </pic:pic>
                    </a:graphicData>
                  </a:graphic>
                </wp:inline>
              </w:drawing>
            </w:r>
          </w:p>
          <w:p>
            <w:pPr>
              <w:numPr>
                <w:ilvl w:val="0"/>
                <w:numId w:val="0"/>
              </w:numPr>
              <w:adjustRightInd w:val="0"/>
              <w:snapToGrid w:val="0"/>
              <w:spacing w:line="360" w:lineRule="auto"/>
              <w:jc w:val="center"/>
              <w:rPr>
                <w:rFonts w:hint="default" w:ascii="宋体" w:hAnsi="宋体" w:cs="宋体"/>
                <w:b/>
                <w:bCs/>
                <w:color w:val="FF0000"/>
                <w:sz w:val="24"/>
                <w:szCs w:val="24"/>
                <w:u w:val="single"/>
                <w:lang w:val="en-US" w:eastAsia="zh-CN"/>
              </w:rPr>
            </w:pPr>
            <w:r>
              <w:rPr>
                <w:rFonts w:hint="eastAsia" w:ascii="宋体" w:hAnsi="宋体" w:cs="宋体"/>
                <w:b/>
                <w:bCs/>
                <w:color w:val="FF0000"/>
                <w:sz w:val="24"/>
                <w:szCs w:val="24"/>
                <w:u w:val="single"/>
                <w:lang w:val="en-US" w:eastAsia="zh-CN"/>
              </w:rPr>
              <w:t>图2-1  项目水平衡图</w:t>
            </w:r>
          </w:p>
          <w:p>
            <w:pPr>
              <w:numPr>
                <w:ilvl w:val="0"/>
                <w:numId w:val="0"/>
              </w:numPr>
              <w:adjustRightInd w:val="0"/>
              <w:snapToGrid w:val="0"/>
              <w:spacing w:line="360" w:lineRule="auto"/>
              <w:jc w:val="both"/>
              <w:rPr>
                <w:rFonts w:hint="default" w:ascii="宋体" w:hAnsi="宋体" w:cs="宋体"/>
                <w:b/>
                <w:bCs/>
                <w:sz w:val="24"/>
                <w:szCs w:val="24"/>
                <w:lang w:val="en-US" w:eastAsia="zh-CN"/>
              </w:rPr>
            </w:pPr>
            <w:r>
              <w:rPr>
                <w:rFonts w:hint="eastAsia" w:ascii="宋体" w:hAnsi="宋体" w:cs="宋体"/>
                <w:b/>
                <w:bCs/>
                <w:sz w:val="24"/>
                <w:szCs w:val="24"/>
                <w:lang w:val="en-US" w:eastAsia="zh-CN"/>
              </w:rPr>
              <w:t>9.劳动定员</w:t>
            </w:r>
          </w:p>
          <w:p>
            <w:pPr>
              <w:numPr>
                <w:ilvl w:val="0"/>
                <w:numId w:val="0"/>
              </w:numPr>
              <w:adjustRightInd w:val="0"/>
              <w:snapToGrid w:val="0"/>
              <w:spacing w:line="360" w:lineRule="auto"/>
              <w:ind w:firstLine="480" w:firstLineChars="200"/>
              <w:jc w:val="both"/>
              <w:rPr>
                <w:rFonts w:hint="default" w:ascii="宋体" w:hAnsi="宋体" w:eastAsia="宋体" w:cs="宋体"/>
                <w:bCs/>
                <w:sz w:val="24"/>
                <w:szCs w:val="24"/>
                <w:lang w:val="en-US" w:eastAsia="zh-CN"/>
              </w:rPr>
            </w:pPr>
            <w:r>
              <w:rPr>
                <w:rFonts w:hint="eastAsia" w:ascii="宋体" w:hAnsi="宋体" w:cs="宋体"/>
                <w:sz w:val="24"/>
                <w:szCs w:val="24"/>
                <w:lang w:val="en-US" w:eastAsia="zh-CN"/>
              </w:rPr>
              <w:t>项目劳动定员60人，均不在厂区内食宿，项目年生产天数300天，1天2班，每班8小时，夜间不生产。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78" w:hRule="atLeast"/>
          <w:jc w:val="center"/>
        </w:trPr>
        <w:tc>
          <w:tcPr>
            <w:tcW w:w="504" w:type="dxa"/>
            <w:noWrap w:val="0"/>
            <w:vAlign w:val="center"/>
          </w:tcPr>
          <w:p>
            <w:pPr>
              <w:pStyle w:val="12"/>
              <w:adjustRightInd w:val="0"/>
              <w:snapToGrid w:val="0"/>
              <w:spacing w:before="0" w:beforeAutospacing="0" w:after="0" w:afterAutospacing="0"/>
              <w:jc w:val="center"/>
              <w:rPr>
                <w:rFonts w:cs="宋体"/>
                <w:sz w:val="24"/>
                <w:szCs w:val="24"/>
              </w:rPr>
            </w:pPr>
            <w:r>
              <w:rPr>
                <w:rFonts w:hint="eastAsia" w:cs="宋体"/>
                <w:sz w:val="24"/>
                <w:szCs w:val="24"/>
              </w:rPr>
              <w:t>工艺流程和产排污环节</w:t>
            </w:r>
          </w:p>
        </w:tc>
        <w:tc>
          <w:tcPr>
            <w:tcW w:w="8556" w:type="dxa"/>
            <w:noWrap w:val="0"/>
            <w:vAlign w:val="top"/>
          </w:tcPr>
          <w:p>
            <w:pPr>
              <w:adjustRightInd w:val="0"/>
              <w:snapToGrid w:val="0"/>
              <w:spacing w:line="360" w:lineRule="auto"/>
              <w:rPr>
                <w:rFonts w:hint="eastAsia" w:ascii="宋体" w:hAnsi="宋体"/>
                <w:b/>
                <w:bCs w:val="0"/>
                <w:sz w:val="24"/>
                <w:szCs w:val="24"/>
              </w:rPr>
            </w:pPr>
            <w:r>
              <w:rPr>
                <w:rFonts w:hint="eastAsia" w:ascii="宋体" w:hAnsi="宋体"/>
                <w:b/>
                <w:bCs w:val="0"/>
                <w:sz w:val="24"/>
                <w:szCs w:val="24"/>
              </w:rPr>
              <w:t>1</w:t>
            </w:r>
            <w:r>
              <w:rPr>
                <w:rFonts w:hint="eastAsia" w:ascii="宋体" w:hAnsi="宋体"/>
                <w:b/>
                <w:bCs w:val="0"/>
                <w:sz w:val="24"/>
                <w:szCs w:val="24"/>
                <w:lang w:val="en-US" w:eastAsia="zh-CN"/>
              </w:rPr>
              <w:t>.</w:t>
            </w:r>
            <w:r>
              <w:rPr>
                <w:rFonts w:hint="eastAsia" w:ascii="宋体" w:hAnsi="宋体"/>
                <w:b/>
                <w:bCs w:val="0"/>
                <w:sz w:val="24"/>
                <w:szCs w:val="24"/>
              </w:rPr>
              <w:t>施工期</w:t>
            </w:r>
          </w:p>
          <w:p>
            <w:pPr>
              <w:adjustRightInd w:val="0"/>
              <w:snapToGrid w:val="0"/>
              <w:spacing w:line="360" w:lineRule="auto"/>
              <w:ind w:firstLine="480" w:firstLineChars="200"/>
              <w:rPr>
                <w:rFonts w:hint="eastAsia" w:ascii="宋体" w:hAnsi="宋体"/>
                <w:bCs/>
                <w:sz w:val="24"/>
                <w:szCs w:val="24"/>
              </w:rPr>
            </w:pPr>
            <w:r>
              <w:rPr>
                <w:rFonts w:hint="eastAsia" w:ascii="宋体" w:hAnsi="宋体"/>
                <w:bCs/>
                <w:sz w:val="24"/>
                <w:szCs w:val="24"/>
              </w:rPr>
              <w:t>本项目租用</w:t>
            </w:r>
            <w:r>
              <w:rPr>
                <w:rFonts w:hint="eastAsia"/>
                <w:color w:val="auto"/>
                <w:sz w:val="24"/>
                <w:szCs w:val="24"/>
                <w:u w:val="none"/>
              </w:rPr>
              <w:t>湖南定宇新材料科技有限公司</w:t>
            </w:r>
            <w:r>
              <w:rPr>
                <w:rFonts w:hint="eastAsia" w:ascii="宋体" w:hAnsi="宋体"/>
                <w:bCs/>
                <w:sz w:val="24"/>
                <w:szCs w:val="24"/>
              </w:rPr>
              <w:t>已建成的工业厂房，装修期间将对周围环境产生一定的影响，主要问题是装修产生的噪声、装修垃圾、废水和装修粉尘，其影响是有时效性的，随着装修工程结束而消失，且施工期较短，因此不做详细分析。</w:t>
            </w:r>
          </w:p>
          <w:p>
            <w:pPr>
              <w:numPr>
                <w:ilvl w:val="0"/>
                <w:numId w:val="0"/>
              </w:numPr>
              <w:adjustRightInd w:val="0"/>
              <w:snapToGrid w:val="0"/>
              <w:spacing w:line="360" w:lineRule="auto"/>
              <w:rPr>
                <w:rFonts w:hint="eastAsia" w:ascii="宋体" w:hAnsi="宋体"/>
                <w:b/>
                <w:bCs w:val="0"/>
                <w:color w:val="FF0000"/>
                <w:sz w:val="24"/>
                <w:szCs w:val="24"/>
                <w:u w:val="single"/>
                <w:lang w:val="en-US" w:eastAsia="zh-CN"/>
              </w:rPr>
            </w:pPr>
            <w:r>
              <w:rPr>
                <w:rFonts w:hint="eastAsia" w:ascii="宋体" w:hAnsi="宋体"/>
                <w:b/>
                <w:bCs w:val="0"/>
                <w:sz w:val="24"/>
                <w:szCs w:val="24"/>
                <w:lang w:val="en-US" w:eastAsia="zh-CN"/>
              </w:rPr>
              <w:t>2.</w:t>
            </w:r>
            <w:r>
              <w:rPr>
                <w:rFonts w:hint="eastAsia" w:ascii="宋体" w:hAnsi="宋体"/>
                <w:b/>
                <w:bCs w:val="0"/>
                <w:color w:val="FF0000"/>
                <w:sz w:val="24"/>
                <w:szCs w:val="24"/>
                <w:u w:val="single"/>
                <w:lang w:val="en-US" w:eastAsia="zh-CN"/>
              </w:rPr>
              <w:t>营运期</w:t>
            </w:r>
          </w:p>
          <w:p>
            <w:pPr>
              <w:numPr>
                <w:ilvl w:val="0"/>
                <w:numId w:val="0"/>
              </w:numPr>
              <w:adjustRightInd w:val="0"/>
              <w:snapToGrid w:val="0"/>
              <w:spacing w:line="360" w:lineRule="auto"/>
              <w:ind w:firstLine="480" w:firstLineChars="200"/>
              <w:rPr>
                <w:rFonts w:hint="eastAsia" w:ascii="宋体" w:hAnsi="宋体"/>
                <w:b w:val="0"/>
                <w:bCs/>
                <w:color w:val="FF0000"/>
                <w:sz w:val="24"/>
                <w:szCs w:val="24"/>
                <w:u w:val="single"/>
                <w:lang w:val="en-US" w:eastAsia="zh-CN"/>
              </w:rPr>
            </w:pPr>
            <w:r>
              <w:rPr>
                <w:rFonts w:hint="eastAsia" w:ascii="宋体" w:hAnsi="宋体"/>
                <w:b w:val="0"/>
                <w:bCs/>
                <w:color w:val="FF0000"/>
                <w:sz w:val="24"/>
                <w:szCs w:val="24"/>
                <w:u w:val="single"/>
                <w:lang w:val="en-US" w:eastAsia="zh-CN"/>
              </w:rPr>
              <w:t>项目主要生产浮体，生产工艺流程见下图。</w:t>
            </w:r>
          </w:p>
          <w:p>
            <w:pPr>
              <w:numPr>
                <w:ilvl w:val="0"/>
                <w:numId w:val="0"/>
              </w:numPr>
              <w:adjustRightInd w:val="0"/>
              <w:snapToGrid w:val="0"/>
              <w:spacing w:line="360" w:lineRule="auto"/>
              <w:jc w:val="center"/>
              <w:rPr>
                <w:rFonts w:hint="eastAsia" w:ascii="宋体" w:hAnsi="宋体"/>
                <w:b w:val="0"/>
                <w:bCs/>
                <w:color w:val="FF0000"/>
                <w:sz w:val="24"/>
                <w:szCs w:val="24"/>
                <w:u w:val="single"/>
                <w:lang w:val="en-US" w:eastAsia="zh-CN"/>
              </w:rPr>
            </w:pPr>
            <w:r>
              <w:rPr>
                <w:rFonts w:hint="eastAsia" w:ascii="宋体" w:hAnsi="宋体"/>
                <w:b w:val="0"/>
                <w:bCs/>
                <w:color w:val="FF0000"/>
                <w:sz w:val="24"/>
                <w:szCs w:val="24"/>
                <w:u w:val="single"/>
                <w:lang w:val="en-US" w:eastAsia="zh-CN"/>
              </w:rPr>
              <w:drawing>
                <wp:inline distT="0" distB="0" distL="114300" distR="114300">
                  <wp:extent cx="5368925" cy="2792730"/>
                  <wp:effectExtent l="0" t="0" r="3175" b="7620"/>
                  <wp:docPr id="37" name="图片 37" descr="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工艺流程图"/>
                          <pic:cNvPicPr>
                            <a:picLocks noChangeAspect="1"/>
                          </pic:cNvPicPr>
                        </pic:nvPicPr>
                        <pic:blipFill>
                          <a:blip r:embed="rId17"/>
                          <a:stretch>
                            <a:fillRect/>
                          </a:stretch>
                        </pic:blipFill>
                        <pic:spPr>
                          <a:xfrm>
                            <a:off x="0" y="0"/>
                            <a:ext cx="5368925" cy="2792730"/>
                          </a:xfrm>
                          <a:prstGeom prst="rect">
                            <a:avLst/>
                          </a:prstGeom>
                        </pic:spPr>
                      </pic:pic>
                    </a:graphicData>
                  </a:graphic>
                </wp:inline>
              </w:drawing>
            </w:r>
          </w:p>
          <w:p>
            <w:pPr>
              <w:numPr>
                <w:ilvl w:val="0"/>
                <w:numId w:val="0"/>
              </w:numPr>
              <w:adjustRightInd w:val="0"/>
              <w:snapToGrid w:val="0"/>
              <w:spacing w:line="360" w:lineRule="auto"/>
              <w:jc w:val="center"/>
              <w:rPr>
                <w:rFonts w:hint="default" w:ascii="宋体" w:hAnsi="宋体"/>
                <w:b w:val="0"/>
                <w:bCs/>
                <w:color w:val="FF0000"/>
                <w:sz w:val="24"/>
                <w:szCs w:val="24"/>
                <w:u w:val="single"/>
                <w:lang w:val="en-US" w:eastAsia="zh-CN"/>
              </w:rPr>
            </w:pPr>
            <w:r>
              <w:rPr>
                <w:rFonts w:hint="eastAsia" w:ascii="宋体" w:hAnsi="宋体"/>
                <w:b/>
                <w:bCs w:val="0"/>
                <w:color w:val="FF0000"/>
                <w:sz w:val="24"/>
                <w:szCs w:val="24"/>
                <w:u w:val="single"/>
                <w:lang w:val="en-US" w:eastAsia="zh-CN"/>
              </w:rPr>
              <w:t>图2-2  项目工艺流程图</w:t>
            </w:r>
          </w:p>
          <w:p>
            <w:pPr>
              <w:numPr>
                <w:ilvl w:val="0"/>
                <w:numId w:val="0"/>
              </w:numPr>
              <w:adjustRightInd w:val="0"/>
              <w:snapToGrid w:val="0"/>
              <w:spacing w:line="360" w:lineRule="auto"/>
              <w:rPr>
                <w:rFonts w:hint="eastAsia" w:ascii="宋体" w:hAnsi="宋体"/>
                <w:b w:val="0"/>
                <w:bCs/>
                <w:color w:val="FF0000"/>
                <w:sz w:val="24"/>
                <w:szCs w:val="24"/>
                <w:u w:val="single"/>
                <w:lang w:val="en-US" w:eastAsia="zh-CN"/>
              </w:rPr>
            </w:pPr>
            <w:r>
              <w:rPr>
                <w:rFonts w:hint="eastAsia" w:ascii="宋体" w:hAnsi="宋体"/>
                <w:b/>
                <w:bCs w:val="0"/>
                <w:color w:val="FF0000"/>
                <w:sz w:val="24"/>
                <w:szCs w:val="24"/>
                <w:u w:val="single"/>
                <w:lang w:val="en-US" w:eastAsia="zh-CN"/>
              </w:rPr>
              <w:t>工艺流程说明：</w:t>
            </w:r>
          </w:p>
          <w:p>
            <w:pPr>
              <w:numPr>
                <w:ilvl w:val="0"/>
                <w:numId w:val="0"/>
              </w:numPr>
              <w:adjustRightInd w:val="0"/>
              <w:snapToGrid w:val="0"/>
              <w:spacing w:line="360" w:lineRule="auto"/>
              <w:ind w:firstLine="480" w:firstLineChars="200"/>
              <w:rPr>
                <w:rFonts w:hint="eastAsia" w:ascii="宋体" w:hAnsi="宋体"/>
                <w:b w:val="0"/>
                <w:bCs/>
                <w:color w:val="FF0000"/>
                <w:sz w:val="24"/>
                <w:szCs w:val="24"/>
                <w:u w:val="single"/>
                <w:lang w:val="en-US" w:eastAsia="zh-CN"/>
              </w:rPr>
            </w:pPr>
            <w:r>
              <w:rPr>
                <w:rFonts w:hint="eastAsia" w:ascii="宋体" w:hAnsi="宋体"/>
                <w:b w:val="0"/>
                <w:bCs/>
                <w:color w:val="FF0000"/>
                <w:sz w:val="24"/>
                <w:szCs w:val="24"/>
                <w:u w:val="single"/>
                <w:lang w:val="en-US" w:eastAsia="zh-CN"/>
              </w:rPr>
              <w:t>（1）投料：将塑料粒子通过人工上料加入到上料桶内，原料均为颗粒状无粉尘产生。此工序主要产生噪声污染；</w:t>
            </w:r>
          </w:p>
          <w:p>
            <w:pPr>
              <w:numPr>
                <w:ilvl w:val="0"/>
                <w:numId w:val="0"/>
              </w:numPr>
              <w:adjustRightInd w:val="0"/>
              <w:snapToGrid w:val="0"/>
              <w:spacing w:line="360" w:lineRule="auto"/>
              <w:ind w:firstLine="480" w:firstLineChars="200"/>
              <w:rPr>
                <w:rFonts w:hint="eastAsia" w:ascii="宋体" w:hAnsi="宋体"/>
                <w:b w:val="0"/>
                <w:bCs/>
                <w:color w:val="FF0000"/>
                <w:sz w:val="24"/>
                <w:szCs w:val="24"/>
                <w:u w:val="single"/>
                <w:lang w:val="en-US" w:eastAsia="zh-CN"/>
              </w:rPr>
            </w:pPr>
            <w:r>
              <w:rPr>
                <w:rFonts w:hint="eastAsia" w:ascii="宋体" w:hAnsi="宋体"/>
                <w:b w:val="0"/>
                <w:bCs/>
                <w:color w:val="FF0000"/>
                <w:sz w:val="24"/>
                <w:szCs w:val="24"/>
                <w:u w:val="single"/>
                <w:lang w:val="en-US" w:eastAsia="zh-CN"/>
              </w:rPr>
              <w:t>（2）熔融成型：塑料粒子在塑料中空成型机内熔融（温度为180~220℃），将熔融状态的塑料置于模具中，闭模后立即通入压缩空气，使塑料型坯吹胀而紧贴在模具内壁上，经冷却脱模，即得到主浮体、走道浮体。熔融过程主要产生挥发性有机物，设备运行产生噪声污染；</w:t>
            </w:r>
          </w:p>
          <w:p>
            <w:pPr>
              <w:numPr>
                <w:ilvl w:val="0"/>
                <w:numId w:val="0"/>
              </w:numPr>
              <w:adjustRightInd w:val="0"/>
              <w:snapToGrid w:val="0"/>
              <w:spacing w:line="360" w:lineRule="auto"/>
              <w:ind w:firstLine="480" w:firstLineChars="200"/>
              <w:rPr>
                <w:rFonts w:hint="eastAsia" w:ascii="宋体" w:hAnsi="宋体"/>
                <w:b w:val="0"/>
                <w:bCs/>
                <w:color w:val="FF0000"/>
                <w:sz w:val="24"/>
                <w:szCs w:val="24"/>
                <w:highlight w:val="none"/>
                <w:u w:val="single"/>
                <w:lang w:val="en-US" w:eastAsia="zh-CN"/>
              </w:rPr>
            </w:pPr>
            <w:r>
              <w:rPr>
                <w:rFonts w:hint="eastAsia" w:ascii="宋体" w:hAnsi="宋体"/>
                <w:b w:val="0"/>
                <w:bCs/>
                <w:color w:val="FF0000"/>
                <w:sz w:val="24"/>
                <w:szCs w:val="24"/>
                <w:highlight w:val="none"/>
                <w:u w:val="single"/>
                <w:lang w:val="en-US" w:eastAsia="zh-CN"/>
              </w:rPr>
              <w:t>（3）冷却：成型后的塑料品需立即进行冷却，冷却的方式采用冷却塔冷却（设备间接冷却），冷却水经过冷却塔后，循环使用，定期补充新鲜水，冷却塔位于生产厂房外南侧中部；</w:t>
            </w:r>
          </w:p>
          <w:p>
            <w:pPr>
              <w:numPr>
                <w:ilvl w:val="0"/>
                <w:numId w:val="0"/>
              </w:numPr>
              <w:adjustRightInd w:val="0"/>
              <w:snapToGrid w:val="0"/>
              <w:spacing w:line="360" w:lineRule="auto"/>
              <w:ind w:firstLine="480" w:firstLineChars="200"/>
              <w:rPr>
                <w:rFonts w:hint="eastAsia" w:ascii="宋体" w:hAnsi="宋体"/>
                <w:b w:val="0"/>
                <w:bCs/>
                <w:color w:val="FF0000"/>
                <w:sz w:val="24"/>
                <w:szCs w:val="24"/>
                <w:u w:val="single"/>
                <w:lang w:val="en-US" w:eastAsia="zh-CN"/>
              </w:rPr>
            </w:pPr>
            <w:r>
              <w:rPr>
                <w:rFonts w:hint="eastAsia" w:ascii="宋体" w:hAnsi="宋体"/>
                <w:b w:val="0"/>
                <w:bCs/>
                <w:color w:val="FF0000"/>
                <w:sz w:val="24"/>
                <w:szCs w:val="24"/>
                <w:u w:val="single"/>
                <w:lang w:val="en-US" w:eastAsia="zh-CN"/>
              </w:rPr>
              <w:t>（4）产品修边：吹塑成型的塑料配件根据产品尺寸、外观要求进行修边；</w:t>
            </w:r>
          </w:p>
          <w:p>
            <w:pPr>
              <w:numPr>
                <w:ilvl w:val="0"/>
                <w:numId w:val="0"/>
              </w:numPr>
              <w:adjustRightInd w:val="0"/>
              <w:snapToGrid w:val="0"/>
              <w:spacing w:line="360" w:lineRule="auto"/>
              <w:ind w:firstLine="480" w:firstLineChars="200"/>
              <w:rPr>
                <w:rFonts w:hint="eastAsia" w:ascii="宋体" w:hAnsi="宋体"/>
                <w:b w:val="0"/>
                <w:bCs/>
                <w:color w:val="FF0000"/>
                <w:sz w:val="24"/>
                <w:szCs w:val="24"/>
                <w:u w:val="single"/>
                <w:lang w:val="en-US" w:eastAsia="zh-CN"/>
              </w:rPr>
            </w:pPr>
            <w:r>
              <w:rPr>
                <w:rFonts w:hint="eastAsia" w:ascii="宋体" w:hAnsi="宋体"/>
                <w:b w:val="0"/>
                <w:bCs/>
                <w:color w:val="FF0000"/>
                <w:sz w:val="24"/>
                <w:szCs w:val="24"/>
                <w:u w:val="single"/>
                <w:lang w:val="en-US" w:eastAsia="zh-CN"/>
              </w:rPr>
              <w:t>（5）检验、入库：加工成型的主浮体、走道浮体经检验合格后包装入库，不合格品回用后外售。</w:t>
            </w:r>
          </w:p>
          <w:p>
            <w:pPr>
              <w:numPr>
                <w:ilvl w:val="0"/>
                <w:numId w:val="0"/>
              </w:numPr>
              <w:adjustRightInd w:val="0"/>
              <w:snapToGrid w:val="0"/>
              <w:spacing w:line="360" w:lineRule="auto"/>
              <w:ind w:firstLine="480" w:firstLineChars="200"/>
              <w:rPr>
                <w:rFonts w:hint="default" w:ascii="宋体" w:hAnsi="宋体"/>
                <w:b w:val="0"/>
                <w:bCs/>
                <w:color w:val="FF0000"/>
                <w:sz w:val="24"/>
                <w:szCs w:val="24"/>
                <w:u w:val="single"/>
                <w:lang w:val="en-US" w:eastAsia="zh-CN"/>
              </w:rPr>
            </w:pPr>
            <w:r>
              <w:rPr>
                <w:rFonts w:hint="eastAsia" w:ascii="宋体" w:hAnsi="宋体"/>
                <w:b w:val="0"/>
                <w:bCs/>
                <w:color w:val="FF0000"/>
                <w:sz w:val="24"/>
                <w:szCs w:val="24"/>
                <w:u w:val="single"/>
                <w:lang w:val="en-US" w:eastAsia="zh-CN"/>
              </w:rPr>
              <w:t>（6）破碎：利用破碎机将检验工序产生的不合格品进行破碎处理，破碎后的材料可重复利用，此工序产生噪声、破碎粉尘等污染物。</w:t>
            </w:r>
          </w:p>
          <w:p>
            <w:pPr>
              <w:numPr>
                <w:ilvl w:val="0"/>
                <w:numId w:val="0"/>
              </w:numPr>
              <w:adjustRightInd w:val="0"/>
              <w:snapToGrid w:val="0"/>
              <w:spacing w:line="360" w:lineRule="auto"/>
              <w:jc w:val="center"/>
              <w:rPr>
                <w:rFonts w:hint="default" w:ascii="宋体" w:hAnsi="宋体" w:eastAsia="宋体"/>
                <w:b/>
                <w:bCs w:val="0"/>
                <w:color w:val="FF0000"/>
                <w:sz w:val="24"/>
                <w:szCs w:val="24"/>
                <w:u w:val="single"/>
                <w:lang w:val="en-US" w:eastAsia="zh-CN"/>
              </w:rPr>
            </w:pPr>
            <w:r>
              <w:rPr>
                <w:rFonts w:hint="eastAsia" w:ascii="宋体" w:hAnsi="宋体"/>
                <w:b/>
                <w:bCs w:val="0"/>
                <w:color w:val="FF0000"/>
                <w:sz w:val="24"/>
                <w:szCs w:val="24"/>
                <w:u w:val="single"/>
                <w:lang w:val="en-US" w:eastAsia="zh-CN"/>
              </w:rPr>
              <w:t>表2-6  主要产物环节</w:t>
            </w:r>
          </w:p>
          <w:tbl>
            <w:tblPr>
              <w:tblStyle w:val="15"/>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44"/>
              <w:gridCol w:w="1038"/>
              <w:gridCol w:w="1750"/>
              <w:gridCol w:w="1719"/>
              <w:gridCol w:w="31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13" w:type="pct"/>
                  <w:gridSpan w:val="3"/>
                  <w:tcBorders>
                    <w:tl2br w:val="nil"/>
                    <w:tr2bl w:val="nil"/>
                  </w:tcBorders>
                  <w:vAlign w:val="center"/>
                </w:tcPr>
                <w:p>
                  <w:pPr>
                    <w:jc w:val="center"/>
                    <w:rPr>
                      <w:rFonts w:hint="default" w:eastAsia="宋体"/>
                      <w:b/>
                      <w:bCs/>
                      <w:color w:val="FF0000"/>
                      <w:sz w:val="24"/>
                      <w:szCs w:val="24"/>
                      <w:u w:val="single"/>
                      <w:vertAlign w:val="baseline"/>
                      <w:lang w:val="en-US" w:eastAsia="zh-CN"/>
                    </w:rPr>
                  </w:pPr>
                  <w:r>
                    <w:rPr>
                      <w:rFonts w:hint="eastAsia"/>
                      <w:b/>
                      <w:bCs/>
                      <w:color w:val="FF0000"/>
                      <w:sz w:val="24"/>
                      <w:szCs w:val="24"/>
                      <w:u w:val="single"/>
                      <w:vertAlign w:val="baseline"/>
                      <w:lang w:val="en-US" w:eastAsia="zh-CN"/>
                    </w:rPr>
                    <w:t>主要污染源</w:t>
                  </w:r>
                </w:p>
              </w:tc>
              <w:tc>
                <w:tcPr>
                  <w:tcW w:w="1028" w:type="pct"/>
                  <w:vMerge w:val="restart"/>
                  <w:tcBorders>
                    <w:tl2br w:val="nil"/>
                    <w:tr2bl w:val="nil"/>
                  </w:tcBorders>
                  <w:vAlign w:val="center"/>
                </w:tcPr>
                <w:p>
                  <w:pPr>
                    <w:jc w:val="center"/>
                    <w:rPr>
                      <w:rFonts w:hint="default" w:eastAsia="宋体"/>
                      <w:b/>
                      <w:bCs/>
                      <w:color w:val="FF0000"/>
                      <w:sz w:val="24"/>
                      <w:szCs w:val="24"/>
                      <w:u w:val="single"/>
                      <w:vertAlign w:val="baseline"/>
                      <w:lang w:val="en-US" w:eastAsia="zh-CN"/>
                    </w:rPr>
                  </w:pPr>
                  <w:r>
                    <w:rPr>
                      <w:rFonts w:hint="eastAsia"/>
                      <w:b/>
                      <w:bCs/>
                      <w:color w:val="FF0000"/>
                      <w:sz w:val="24"/>
                      <w:szCs w:val="24"/>
                      <w:u w:val="single"/>
                      <w:vertAlign w:val="baseline"/>
                      <w:lang w:val="en-US" w:eastAsia="zh-CN"/>
                    </w:rPr>
                    <w:t>污染物名称</w:t>
                  </w:r>
                </w:p>
              </w:tc>
              <w:tc>
                <w:tcPr>
                  <w:tcW w:w="1858" w:type="pct"/>
                  <w:vMerge w:val="restart"/>
                  <w:tcBorders>
                    <w:tl2br w:val="nil"/>
                    <w:tr2bl w:val="nil"/>
                  </w:tcBorders>
                  <w:vAlign w:val="center"/>
                </w:tcPr>
                <w:p>
                  <w:pPr>
                    <w:jc w:val="center"/>
                    <w:rPr>
                      <w:rFonts w:hint="default" w:eastAsia="宋体"/>
                      <w:b/>
                      <w:bCs/>
                      <w:color w:val="FF0000"/>
                      <w:sz w:val="24"/>
                      <w:szCs w:val="24"/>
                      <w:u w:val="single"/>
                      <w:vertAlign w:val="baseline"/>
                      <w:lang w:val="en-US" w:eastAsia="zh-CN"/>
                    </w:rPr>
                  </w:pPr>
                  <w:r>
                    <w:rPr>
                      <w:rFonts w:hint="eastAsia"/>
                      <w:b/>
                      <w:bCs/>
                      <w:color w:val="FF0000"/>
                      <w:sz w:val="24"/>
                      <w:szCs w:val="24"/>
                      <w:u w:val="single"/>
                      <w:vertAlign w:val="baseline"/>
                      <w:lang w:val="en-US" w:eastAsia="zh-CN"/>
                    </w:rPr>
                    <w:t>污染因子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5" w:type="pct"/>
                  <w:tcBorders>
                    <w:tl2br w:val="nil"/>
                    <w:tr2bl w:val="nil"/>
                  </w:tcBorders>
                  <w:vAlign w:val="center"/>
                </w:tcPr>
                <w:p>
                  <w:pPr>
                    <w:jc w:val="center"/>
                    <w:rPr>
                      <w:rFonts w:hint="default" w:eastAsia="宋体"/>
                      <w:b/>
                      <w:bCs/>
                      <w:color w:val="FF0000"/>
                      <w:sz w:val="24"/>
                      <w:szCs w:val="24"/>
                      <w:u w:val="single"/>
                      <w:vertAlign w:val="baseline"/>
                      <w:lang w:val="en-US" w:eastAsia="zh-CN"/>
                    </w:rPr>
                  </w:pPr>
                  <w:r>
                    <w:rPr>
                      <w:rFonts w:hint="eastAsia"/>
                      <w:b/>
                      <w:bCs/>
                      <w:color w:val="FF0000"/>
                      <w:sz w:val="24"/>
                      <w:szCs w:val="24"/>
                      <w:u w:val="single"/>
                      <w:vertAlign w:val="baseline"/>
                      <w:lang w:val="en-US" w:eastAsia="zh-CN"/>
                    </w:rPr>
                    <w:t>类别</w:t>
                  </w:r>
                </w:p>
              </w:tc>
              <w:tc>
                <w:tcPr>
                  <w:tcW w:w="621" w:type="pct"/>
                  <w:tcBorders>
                    <w:tl2br w:val="nil"/>
                    <w:tr2bl w:val="nil"/>
                  </w:tcBorders>
                  <w:vAlign w:val="center"/>
                </w:tcPr>
                <w:p>
                  <w:pPr>
                    <w:jc w:val="center"/>
                    <w:rPr>
                      <w:rFonts w:hint="default" w:eastAsia="宋体"/>
                      <w:b/>
                      <w:bCs/>
                      <w:color w:val="FF0000"/>
                      <w:sz w:val="24"/>
                      <w:szCs w:val="24"/>
                      <w:u w:val="single"/>
                      <w:vertAlign w:val="baseline"/>
                      <w:lang w:val="en-US" w:eastAsia="zh-CN"/>
                    </w:rPr>
                  </w:pPr>
                  <w:r>
                    <w:rPr>
                      <w:rFonts w:hint="eastAsia"/>
                      <w:b/>
                      <w:bCs/>
                      <w:color w:val="FF0000"/>
                      <w:sz w:val="24"/>
                      <w:szCs w:val="24"/>
                      <w:u w:val="single"/>
                      <w:vertAlign w:val="baseline"/>
                      <w:lang w:val="en-US" w:eastAsia="zh-CN"/>
                    </w:rPr>
                    <w:t>编号</w:t>
                  </w:r>
                </w:p>
              </w:tc>
              <w:tc>
                <w:tcPr>
                  <w:tcW w:w="1047" w:type="pct"/>
                  <w:tcBorders>
                    <w:tl2br w:val="nil"/>
                    <w:tr2bl w:val="nil"/>
                  </w:tcBorders>
                  <w:vAlign w:val="center"/>
                </w:tcPr>
                <w:p>
                  <w:pPr>
                    <w:jc w:val="center"/>
                    <w:rPr>
                      <w:rFonts w:hint="default" w:eastAsia="宋体"/>
                      <w:b/>
                      <w:bCs/>
                      <w:color w:val="FF0000"/>
                      <w:sz w:val="24"/>
                      <w:szCs w:val="24"/>
                      <w:u w:val="single"/>
                      <w:vertAlign w:val="baseline"/>
                      <w:lang w:val="en-US" w:eastAsia="zh-CN"/>
                    </w:rPr>
                  </w:pPr>
                  <w:r>
                    <w:rPr>
                      <w:rFonts w:hint="eastAsia"/>
                      <w:b/>
                      <w:bCs/>
                      <w:color w:val="FF0000"/>
                      <w:sz w:val="24"/>
                      <w:szCs w:val="24"/>
                      <w:u w:val="single"/>
                      <w:vertAlign w:val="baseline"/>
                      <w:lang w:val="en-US" w:eastAsia="zh-CN"/>
                    </w:rPr>
                    <w:t>污染源</w:t>
                  </w:r>
                </w:p>
              </w:tc>
              <w:tc>
                <w:tcPr>
                  <w:tcW w:w="1028" w:type="pct"/>
                  <w:vMerge w:val="continue"/>
                  <w:tcBorders>
                    <w:tl2br w:val="nil"/>
                    <w:tr2bl w:val="nil"/>
                  </w:tcBorders>
                  <w:vAlign w:val="center"/>
                </w:tcPr>
                <w:p>
                  <w:pPr>
                    <w:jc w:val="center"/>
                    <w:rPr>
                      <w:rFonts w:hint="default" w:eastAsia="宋体"/>
                      <w:color w:val="FF0000"/>
                      <w:sz w:val="24"/>
                      <w:szCs w:val="24"/>
                      <w:u w:val="single"/>
                      <w:vertAlign w:val="baseline"/>
                      <w:lang w:val="en-US" w:eastAsia="zh-CN"/>
                    </w:rPr>
                  </w:pPr>
                </w:p>
              </w:tc>
              <w:tc>
                <w:tcPr>
                  <w:tcW w:w="1858" w:type="pct"/>
                  <w:vMerge w:val="continue"/>
                  <w:tcBorders>
                    <w:tl2br w:val="nil"/>
                    <w:tr2bl w:val="nil"/>
                  </w:tcBorders>
                  <w:vAlign w:val="center"/>
                </w:tcPr>
                <w:p>
                  <w:pPr>
                    <w:jc w:val="center"/>
                    <w:rPr>
                      <w:rFonts w:hint="default" w:eastAsia="宋体"/>
                      <w:color w:val="FF0000"/>
                      <w:sz w:val="24"/>
                      <w:szCs w:val="24"/>
                      <w:u w:val="singl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5" w:type="pct"/>
                  <w:vMerge w:val="restart"/>
                  <w:tcBorders>
                    <w:tl2br w:val="nil"/>
                    <w:tr2bl w:val="nil"/>
                  </w:tcBorders>
                  <w:vAlign w:val="center"/>
                </w:tcPr>
                <w:p>
                  <w:pPr>
                    <w:jc w:val="center"/>
                    <w:rPr>
                      <w:rFonts w:hint="default" w:eastAsia="宋体"/>
                      <w:color w:val="FF0000"/>
                      <w:sz w:val="24"/>
                      <w:szCs w:val="24"/>
                      <w:u w:val="single"/>
                      <w:vertAlign w:val="baseline"/>
                      <w:lang w:val="en-US" w:eastAsia="zh-CN"/>
                    </w:rPr>
                  </w:pPr>
                  <w:r>
                    <w:rPr>
                      <w:rFonts w:hint="eastAsia"/>
                      <w:color w:val="FF0000"/>
                      <w:sz w:val="24"/>
                      <w:szCs w:val="24"/>
                      <w:u w:val="single"/>
                      <w:vertAlign w:val="baseline"/>
                      <w:lang w:val="en-US" w:eastAsia="zh-CN"/>
                    </w:rPr>
                    <w:t>废水</w:t>
                  </w:r>
                </w:p>
              </w:tc>
              <w:tc>
                <w:tcPr>
                  <w:tcW w:w="621" w:type="pct"/>
                  <w:tcBorders>
                    <w:tl2br w:val="nil"/>
                    <w:tr2bl w:val="nil"/>
                  </w:tcBorders>
                  <w:vAlign w:val="center"/>
                </w:tcPr>
                <w:p>
                  <w:pPr>
                    <w:jc w:val="center"/>
                    <w:rPr>
                      <w:rFonts w:hint="default"/>
                      <w:color w:val="FF0000"/>
                      <w:sz w:val="24"/>
                      <w:szCs w:val="24"/>
                      <w:u w:val="single"/>
                      <w:vertAlign w:val="baseline"/>
                      <w:lang w:val="en-US" w:eastAsia="zh-CN"/>
                    </w:rPr>
                  </w:pPr>
                  <w:r>
                    <w:rPr>
                      <w:rFonts w:hint="eastAsia"/>
                      <w:color w:val="FF0000"/>
                      <w:sz w:val="24"/>
                      <w:szCs w:val="24"/>
                      <w:u w:val="single"/>
                      <w:vertAlign w:val="baseline"/>
                      <w:lang w:val="en-US" w:eastAsia="zh-CN"/>
                    </w:rPr>
                    <w:t>W1</w:t>
                  </w:r>
                </w:p>
              </w:tc>
              <w:tc>
                <w:tcPr>
                  <w:tcW w:w="1047" w:type="pct"/>
                  <w:tcBorders>
                    <w:tl2br w:val="nil"/>
                    <w:tr2bl w:val="nil"/>
                  </w:tcBorders>
                  <w:vAlign w:val="center"/>
                </w:tcPr>
                <w:p>
                  <w:pPr>
                    <w:jc w:val="center"/>
                    <w:rPr>
                      <w:rFonts w:hint="default"/>
                      <w:color w:val="FF0000"/>
                      <w:sz w:val="24"/>
                      <w:szCs w:val="24"/>
                      <w:u w:val="single"/>
                      <w:vertAlign w:val="baseline"/>
                      <w:lang w:val="en-US" w:eastAsia="zh-CN"/>
                    </w:rPr>
                  </w:pPr>
                  <w:r>
                    <w:rPr>
                      <w:rFonts w:hint="eastAsia"/>
                      <w:color w:val="FF0000"/>
                      <w:sz w:val="24"/>
                      <w:szCs w:val="24"/>
                      <w:u w:val="single"/>
                      <w:vertAlign w:val="baseline"/>
                      <w:lang w:val="en-US" w:eastAsia="zh-CN"/>
                    </w:rPr>
                    <w:t>成型冷却</w:t>
                  </w:r>
                </w:p>
              </w:tc>
              <w:tc>
                <w:tcPr>
                  <w:tcW w:w="1028" w:type="pct"/>
                  <w:tcBorders>
                    <w:tl2br w:val="nil"/>
                    <w:tr2bl w:val="nil"/>
                  </w:tcBorders>
                  <w:vAlign w:val="center"/>
                </w:tcPr>
                <w:p>
                  <w:pPr>
                    <w:jc w:val="center"/>
                    <w:rPr>
                      <w:rFonts w:hint="default"/>
                      <w:color w:val="FF0000"/>
                      <w:sz w:val="24"/>
                      <w:szCs w:val="24"/>
                      <w:u w:val="single"/>
                      <w:vertAlign w:val="baseline"/>
                      <w:lang w:val="en-US" w:eastAsia="zh-CN"/>
                    </w:rPr>
                  </w:pPr>
                  <w:r>
                    <w:rPr>
                      <w:rFonts w:hint="eastAsia"/>
                      <w:color w:val="FF0000"/>
                      <w:sz w:val="24"/>
                      <w:szCs w:val="24"/>
                      <w:u w:val="single"/>
                      <w:vertAlign w:val="baseline"/>
                      <w:lang w:val="en-US" w:eastAsia="zh-CN"/>
                    </w:rPr>
                    <w:t>冷却水</w:t>
                  </w:r>
                </w:p>
              </w:tc>
              <w:tc>
                <w:tcPr>
                  <w:tcW w:w="1858" w:type="pct"/>
                  <w:tcBorders>
                    <w:tl2br w:val="nil"/>
                    <w:tr2bl w:val="nil"/>
                  </w:tcBorders>
                  <w:vAlign w:val="center"/>
                </w:tcPr>
                <w:p>
                  <w:pPr>
                    <w:jc w:val="center"/>
                    <w:rPr>
                      <w:rFonts w:hint="default" w:eastAsia="宋体"/>
                      <w:color w:val="FF0000"/>
                      <w:sz w:val="24"/>
                      <w:szCs w:val="24"/>
                      <w:u w:val="single"/>
                      <w:vertAlign w:val="baseline"/>
                      <w:lang w:val="en-US" w:eastAsia="zh-CN"/>
                    </w:rPr>
                  </w:pPr>
                  <w:r>
                    <w:rPr>
                      <w:rFonts w:hint="eastAsia"/>
                      <w:color w:val="FF0000"/>
                      <w:sz w:val="24"/>
                      <w:szCs w:val="24"/>
                      <w:u w:val="single"/>
                      <w:vertAlign w:val="baseline"/>
                      <w:lang w:val="en-US" w:eastAsia="zh-CN"/>
                    </w:rPr>
                    <w:t>清洁下水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5" w:type="pct"/>
                  <w:vMerge w:val="continue"/>
                  <w:tcBorders>
                    <w:tl2br w:val="nil"/>
                    <w:tr2bl w:val="nil"/>
                  </w:tcBorders>
                  <w:vAlign w:val="center"/>
                </w:tcPr>
                <w:p>
                  <w:pPr>
                    <w:jc w:val="center"/>
                    <w:rPr>
                      <w:rFonts w:hint="eastAsia"/>
                      <w:color w:val="FF0000"/>
                      <w:sz w:val="24"/>
                      <w:szCs w:val="24"/>
                      <w:u w:val="single"/>
                      <w:vertAlign w:val="baseline"/>
                      <w:lang w:val="en-US" w:eastAsia="zh-CN"/>
                    </w:rPr>
                  </w:pPr>
                </w:p>
              </w:tc>
              <w:tc>
                <w:tcPr>
                  <w:tcW w:w="621" w:type="pct"/>
                  <w:tcBorders>
                    <w:tl2br w:val="nil"/>
                    <w:tr2bl w:val="nil"/>
                  </w:tcBorders>
                  <w:vAlign w:val="center"/>
                </w:tcPr>
                <w:p>
                  <w:pPr>
                    <w:jc w:val="center"/>
                    <w:rPr>
                      <w:rFonts w:hint="default"/>
                      <w:color w:val="FF0000"/>
                      <w:sz w:val="24"/>
                      <w:szCs w:val="24"/>
                      <w:u w:val="single"/>
                      <w:vertAlign w:val="baseline"/>
                      <w:lang w:val="en-US" w:eastAsia="zh-CN"/>
                    </w:rPr>
                  </w:pPr>
                  <w:r>
                    <w:rPr>
                      <w:rFonts w:hint="eastAsia"/>
                      <w:color w:val="FF0000"/>
                      <w:sz w:val="24"/>
                      <w:szCs w:val="24"/>
                      <w:u w:val="single"/>
                      <w:vertAlign w:val="baseline"/>
                      <w:lang w:val="en-US" w:eastAsia="zh-CN"/>
                    </w:rPr>
                    <w:t>W2</w:t>
                  </w:r>
                </w:p>
              </w:tc>
              <w:tc>
                <w:tcPr>
                  <w:tcW w:w="1047" w:type="pct"/>
                  <w:tcBorders>
                    <w:tl2br w:val="nil"/>
                    <w:tr2bl w:val="nil"/>
                  </w:tcBorders>
                  <w:vAlign w:val="center"/>
                </w:tcPr>
                <w:p>
                  <w:pPr>
                    <w:jc w:val="center"/>
                    <w:rPr>
                      <w:rFonts w:hint="default"/>
                      <w:color w:val="FF0000"/>
                      <w:sz w:val="24"/>
                      <w:szCs w:val="24"/>
                      <w:u w:val="single"/>
                      <w:vertAlign w:val="baseline"/>
                      <w:lang w:val="en-US" w:eastAsia="zh-CN"/>
                    </w:rPr>
                  </w:pPr>
                  <w:r>
                    <w:rPr>
                      <w:rFonts w:hint="eastAsia"/>
                      <w:color w:val="FF0000"/>
                      <w:sz w:val="24"/>
                      <w:szCs w:val="24"/>
                      <w:u w:val="single"/>
                      <w:vertAlign w:val="baseline"/>
                      <w:lang w:val="en-US" w:eastAsia="zh-CN"/>
                    </w:rPr>
                    <w:t>日常生活</w:t>
                  </w:r>
                </w:p>
              </w:tc>
              <w:tc>
                <w:tcPr>
                  <w:tcW w:w="1028" w:type="pct"/>
                  <w:tcBorders>
                    <w:tl2br w:val="nil"/>
                    <w:tr2bl w:val="nil"/>
                  </w:tcBorders>
                  <w:vAlign w:val="center"/>
                </w:tcPr>
                <w:p>
                  <w:pPr>
                    <w:jc w:val="center"/>
                    <w:rPr>
                      <w:rFonts w:hint="default"/>
                      <w:color w:val="FF0000"/>
                      <w:sz w:val="24"/>
                      <w:szCs w:val="24"/>
                      <w:u w:val="single"/>
                      <w:vertAlign w:val="baseline"/>
                      <w:lang w:val="en-US" w:eastAsia="zh-CN"/>
                    </w:rPr>
                  </w:pPr>
                  <w:r>
                    <w:rPr>
                      <w:rFonts w:hint="eastAsia"/>
                      <w:color w:val="FF0000"/>
                      <w:sz w:val="24"/>
                      <w:szCs w:val="24"/>
                      <w:u w:val="single"/>
                      <w:vertAlign w:val="baseline"/>
                      <w:lang w:val="en-US" w:eastAsia="zh-CN"/>
                    </w:rPr>
                    <w:t>生活污水</w:t>
                  </w:r>
                </w:p>
              </w:tc>
              <w:tc>
                <w:tcPr>
                  <w:tcW w:w="1858" w:type="pct"/>
                  <w:tcBorders>
                    <w:tl2br w:val="nil"/>
                    <w:tr2bl w:val="nil"/>
                  </w:tcBorders>
                  <w:vAlign w:val="center"/>
                </w:tcPr>
                <w:p>
                  <w:pPr>
                    <w:jc w:val="center"/>
                    <w:rPr>
                      <w:rFonts w:hint="default" w:eastAsia="宋体"/>
                      <w:color w:val="FF0000"/>
                      <w:sz w:val="24"/>
                      <w:szCs w:val="24"/>
                      <w:u w:val="single"/>
                      <w:vertAlign w:val="baseline"/>
                      <w:lang w:val="en-US" w:eastAsia="zh-CN"/>
                    </w:rPr>
                  </w:pPr>
                  <w:r>
                    <w:rPr>
                      <w:rFonts w:hint="eastAsia"/>
                      <w:color w:val="FF0000"/>
                      <w:sz w:val="24"/>
                      <w:szCs w:val="24"/>
                      <w:u w:val="single"/>
                      <w:vertAlign w:val="baseline"/>
                      <w:lang w:val="en-US" w:eastAsia="zh-CN"/>
                    </w:rPr>
                    <w:t>COD</w:t>
                  </w:r>
                  <w:r>
                    <w:rPr>
                      <w:rFonts w:hint="eastAsia"/>
                      <w:color w:val="FF0000"/>
                      <w:sz w:val="24"/>
                      <w:szCs w:val="24"/>
                      <w:u w:val="single"/>
                      <w:vertAlign w:val="subscript"/>
                      <w:lang w:val="en-US" w:eastAsia="zh-CN"/>
                    </w:rPr>
                    <w:t>Cr</w:t>
                  </w:r>
                  <w:r>
                    <w:rPr>
                      <w:rFonts w:hint="eastAsia"/>
                      <w:color w:val="FF0000"/>
                      <w:sz w:val="24"/>
                      <w:szCs w:val="24"/>
                      <w:u w:val="single"/>
                      <w:vertAlign w:val="baseline"/>
                      <w:lang w:val="en-US" w:eastAsia="zh-CN"/>
                    </w:rPr>
                    <w:t>、</w:t>
                  </w:r>
                  <w:r>
                    <w:rPr>
                      <w:rFonts w:hint="default" w:eastAsia="宋体"/>
                      <w:color w:val="FF0000"/>
                      <w:sz w:val="24"/>
                      <w:szCs w:val="24"/>
                      <w:u w:val="single"/>
                      <w:vertAlign w:val="baseline"/>
                      <w:lang w:val="en-US" w:eastAsia="zh-CN"/>
                    </w:rPr>
                    <w:t>NH</w:t>
                  </w:r>
                  <w:r>
                    <w:rPr>
                      <w:rFonts w:hint="default" w:eastAsia="宋体"/>
                      <w:color w:val="FF0000"/>
                      <w:sz w:val="24"/>
                      <w:szCs w:val="24"/>
                      <w:u w:val="single"/>
                      <w:vertAlign w:val="subscript"/>
                      <w:lang w:val="en-US" w:eastAsia="zh-CN"/>
                    </w:rPr>
                    <w:t>3</w:t>
                  </w:r>
                  <w:r>
                    <w:rPr>
                      <w:rFonts w:hint="default" w:eastAsia="宋体"/>
                      <w:color w:val="FF0000"/>
                      <w:sz w:val="24"/>
                      <w:szCs w:val="24"/>
                      <w:u w:val="single"/>
                      <w:vertAlign w:val="baseline"/>
                      <w:lang w:val="en-US" w:eastAsia="zh-CN"/>
                    </w:rPr>
                    <w:t>-N、SS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5" w:type="pct"/>
                  <w:vMerge w:val="restart"/>
                  <w:tcBorders>
                    <w:tl2br w:val="nil"/>
                    <w:tr2bl w:val="nil"/>
                  </w:tcBorders>
                  <w:vAlign w:val="center"/>
                </w:tcPr>
                <w:p>
                  <w:pPr>
                    <w:jc w:val="center"/>
                    <w:rPr>
                      <w:rFonts w:hint="eastAsia"/>
                      <w:color w:val="FF0000"/>
                      <w:sz w:val="24"/>
                      <w:szCs w:val="24"/>
                      <w:u w:val="single"/>
                      <w:vertAlign w:val="baseline"/>
                      <w:lang w:val="en-US" w:eastAsia="zh-CN"/>
                    </w:rPr>
                  </w:pPr>
                  <w:r>
                    <w:rPr>
                      <w:rFonts w:hint="eastAsia"/>
                      <w:color w:val="FF0000"/>
                      <w:sz w:val="24"/>
                      <w:szCs w:val="24"/>
                      <w:u w:val="single"/>
                      <w:vertAlign w:val="baseline"/>
                      <w:lang w:val="en-US" w:eastAsia="zh-CN"/>
                    </w:rPr>
                    <w:t>废气</w:t>
                  </w:r>
                </w:p>
              </w:tc>
              <w:tc>
                <w:tcPr>
                  <w:tcW w:w="621" w:type="pct"/>
                  <w:tcBorders>
                    <w:tl2br w:val="nil"/>
                    <w:tr2bl w:val="nil"/>
                  </w:tcBorders>
                  <w:vAlign w:val="center"/>
                </w:tcPr>
                <w:p>
                  <w:pPr>
                    <w:jc w:val="center"/>
                    <w:rPr>
                      <w:rFonts w:hint="eastAsia" w:ascii="Times New Roman" w:hAnsi="Times New Roman" w:eastAsia="宋体" w:cs="Times New Roman"/>
                      <w:color w:val="FF0000"/>
                      <w:kern w:val="2"/>
                      <w:sz w:val="24"/>
                      <w:szCs w:val="24"/>
                      <w:u w:val="single"/>
                      <w:vertAlign w:val="baseline"/>
                      <w:lang w:val="en-US" w:eastAsia="zh-CN" w:bidi="ar-SA"/>
                    </w:rPr>
                  </w:pPr>
                  <w:r>
                    <w:rPr>
                      <w:rFonts w:hint="eastAsia"/>
                      <w:color w:val="FF0000"/>
                      <w:sz w:val="24"/>
                      <w:szCs w:val="24"/>
                      <w:u w:val="single"/>
                      <w:vertAlign w:val="baseline"/>
                      <w:lang w:val="en-US" w:eastAsia="zh-CN"/>
                    </w:rPr>
                    <w:t>G1</w:t>
                  </w:r>
                </w:p>
              </w:tc>
              <w:tc>
                <w:tcPr>
                  <w:tcW w:w="1047" w:type="pct"/>
                  <w:tcBorders>
                    <w:tl2br w:val="nil"/>
                    <w:tr2bl w:val="nil"/>
                  </w:tcBorders>
                  <w:vAlign w:val="center"/>
                </w:tcPr>
                <w:p>
                  <w:pPr>
                    <w:jc w:val="center"/>
                    <w:rPr>
                      <w:rFonts w:hint="default" w:ascii="Times New Roman" w:hAnsi="Times New Roman" w:eastAsia="宋体" w:cs="Times New Roman"/>
                      <w:color w:val="FF0000"/>
                      <w:kern w:val="2"/>
                      <w:sz w:val="24"/>
                      <w:szCs w:val="24"/>
                      <w:u w:val="single"/>
                      <w:vertAlign w:val="baseline"/>
                      <w:lang w:val="en-US" w:eastAsia="zh-CN" w:bidi="ar-SA"/>
                    </w:rPr>
                  </w:pPr>
                  <w:r>
                    <w:rPr>
                      <w:rFonts w:hint="eastAsia" w:cs="Times New Roman"/>
                      <w:color w:val="FF0000"/>
                      <w:kern w:val="2"/>
                      <w:sz w:val="24"/>
                      <w:szCs w:val="24"/>
                      <w:u w:val="single"/>
                      <w:vertAlign w:val="baseline"/>
                      <w:lang w:val="en-US" w:eastAsia="zh-CN" w:bidi="ar-SA"/>
                    </w:rPr>
                    <w:t>破碎工序</w:t>
                  </w:r>
                </w:p>
              </w:tc>
              <w:tc>
                <w:tcPr>
                  <w:tcW w:w="1028" w:type="pct"/>
                  <w:tcBorders>
                    <w:tl2br w:val="nil"/>
                    <w:tr2bl w:val="nil"/>
                  </w:tcBorders>
                  <w:vAlign w:val="center"/>
                </w:tcPr>
                <w:p>
                  <w:pPr>
                    <w:jc w:val="center"/>
                    <w:rPr>
                      <w:rFonts w:hint="default" w:ascii="Times New Roman" w:hAnsi="Times New Roman" w:eastAsia="宋体" w:cs="Times New Roman"/>
                      <w:color w:val="FF0000"/>
                      <w:kern w:val="2"/>
                      <w:sz w:val="24"/>
                      <w:szCs w:val="24"/>
                      <w:u w:val="single"/>
                      <w:vertAlign w:val="baseline"/>
                      <w:lang w:val="en-US" w:eastAsia="zh-CN" w:bidi="ar-SA"/>
                    </w:rPr>
                  </w:pPr>
                  <w:r>
                    <w:rPr>
                      <w:rFonts w:hint="eastAsia" w:cs="Times New Roman"/>
                      <w:color w:val="FF0000"/>
                      <w:kern w:val="2"/>
                      <w:sz w:val="24"/>
                      <w:szCs w:val="24"/>
                      <w:u w:val="single"/>
                      <w:vertAlign w:val="baseline"/>
                      <w:lang w:val="en-US" w:eastAsia="zh-CN" w:bidi="ar-SA"/>
                    </w:rPr>
                    <w:t>破碎粉尘</w:t>
                  </w:r>
                </w:p>
              </w:tc>
              <w:tc>
                <w:tcPr>
                  <w:tcW w:w="1858" w:type="pct"/>
                  <w:tcBorders>
                    <w:tl2br w:val="nil"/>
                    <w:tr2bl w:val="nil"/>
                  </w:tcBorders>
                  <w:vAlign w:val="center"/>
                </w:tcPr>
                <w:p>
                  <w:pPr>
                    <w:jc w:val="center"/>
                    <w:rPr>
                      <w:rFonts w:hint="default" w:ascii="Times New Roman" w:hAnsi="Times New Roman" w:eastAsia="宋体" w:cs="Times New Roman"/>
                      <w:color w:val="FF0000"/>
                      <w:kern w:val="2"/>
                      <w:sz w:val="24"/>
                      <w:szCs w:val="24"/>
                      <w:u w:val="single"/>
                      <w:vertAlign w:val="baseline"/>
                      <w:lang w:val="en-US" w:eastAsia="zh-CN" w:bidi="ar-SA"/>
                    </w:rPr>
                  </w:pPr>
                  <w:r>
                    <w:rPr>
                      <w:rFonts w:hint="eastAsia" w:cs="Times New Roman"/>
                      <w:color w:val="FF0000"/>
                      <w:kern w:val="2"/>
                      <w:sz w:val="24"/>
                      <w:szCs w:val="24"/>
                      <w:u w:val="single"/>
                      <w:vertAlign w:val="baseline"/>
                      <w:lang w:val="en-US" w:eastAsia="zh-CN" w:bidi="ar-SA"/>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5" w:type="pct"/>
                  <w:vMerge w:val="continue"/>
                  <w:tcBorders>
                    <w:tl2br w:val="nil"/>
                    <w:tr2bl w:val="nil"/>
                  </w:tcBorders>
                  <w:vAlign w:val="center"/>
                </w:tcPr>
                <w:p>
                  <w:pPr>
                    <w:jc w:val="center"/>
                    <w:rPr>
                      <w:rFonts w:hint="eastAsia"/>
                      <w:color w:val="FF0000"/>
                      <w:sz w:val="24"/>
                      <w:szCs w:val="24"/>
                      <w:u w:val="single"/>
                      <w:vertAlign w:val="baseline"/>
                      <w:lang w:val="en-US" w:eastAsia="zh-CN"/>
                    </w:rPr>
                  </w:pPr>
                </w:p>
              </w:tc>
              <w:tc>
                <w:tcPr>
                  <w:tcW w:w="621" w:type="pct"/>
                  <w:tcBorders>
                    <w:tl2br w:val="nil"/>
                    <w:tr2bl w:val="nil"/>
                  </w:tcBorders>
                  <w:vAlign w:val="center"/>
                </w:tcPr>
                <w:p>
                  <w:pPr>
                    <w:jc w:val="center"/>
                    <w:rPr>
                      <w:rFonts w:hint="default"/>
                      <w:color w:val="FF0000"/>
                      <w:sz w:val="24"/>
                      <w:szCs w:val="24"/>
                      <w:u w:val="single"/>
                      <w:vertAlign w:val="baseline"/>
                      <w:lang w:val="en-US" w:eastAsia="zh-CN"/>
                    </w:rPr>
                  </w:pPr>
                  <w:r>
                    <w:rPr>
                      <w:rFonts w:hint="eastAsia"/>
                      <w:color w:val="FF0000"/>
                      <w:sz w:val="24"/>
                      <w:szCs w:val="24"/>
                      <w:u w:val="single"/>
                      <w:vertAlign w:val="baseline"/>
                      <w:lang w:val="en-US" w:eastAsia="zh-CN"/>
                    </w:rPr>
                    <w:t>G2</w:t>
                  </w:r>
                </w:p>
              </w:tc>
              <w:tc>
                <w:tcPr>
                  <w:tcW w:w="1047" w:type="pct"/>
                  <w:tcBorders>
                    <w:tl2br w:val="nil"/>
                    <w:tr2bl w:val="nil"/>
                  </w:tcBorders>
                  <w:vAlign w:val="center"/>
                </w:tcPr>
                <w:p>
                  <w:pPr>
                    <w:jc w:val="center"/>
                    <w:rPr>
                      <w:rFonts w:hint="eastAsia" w:ascii="Times New Roman" w:hAnsi="Times New Roman" w:eastAsia="宋体" w:cs="Times New Roman"/>
                      <w:color w:val="FF0000"/>
                      <w:kern w:val="2"/>
                      <w:sz w:val="24"/>
                      <w:szCs w:val="24"/>
                      <w:u w:val="single"/>
                      <w:vertAlign w:val="baseline"/>
                      <w:lang w:val="en-US" w:eastAsia="zh-CN" w:bidi="ar-SA"/>
                    </w:rPr>
                  </w:pPr>
                  <w:r>
                    <w:rPr>
                      <w:rFonts w:hint="eastAsia"/>
                      <w:color w:val="FF0000"/>
                      <w:sz w:val="24"/>
                      <w:szCs w:val="24"/>
                      <w:u w:val="single"/>
                      <w:vertAlign w:val="baseline"/>
                      <w:lang w:val="en-US" w:eastAsia="zh-CN"/>
                    </w:rPr>
                    <w:t>熔融成型</w:t>
                  </w:r>
                </w:p>
              </w:tc>
              <w:tc>
                <w:tcPr>
                  <w:tcW w:w="1028" w:type="pct"/>
                  <w:tcBorders>
                    <w:tl2br w:val="nil"/>
                    <w:tr2bl w:val="nil"/>
                  </w:tcBorders>
                  <w:vAlign w:val="center"/>
                </w:tcPr>
                <w:p>
                  <w:pPr>
                    <w:jc w:val="center"/>
                    <w:rPr>
                      <w:rFonts w:hint="eastAsia" w:ascii="Times New Roman" w:hAnsi="Times New Roman" w:eastAsia="宋体" w:cs="Times New Roman"/>
                      <w:color w:val="FF0000"/>
                      <w:kern w:val="2"/>
                      <w:sz w:val="24"/>
                      <w:szCs w:val="24"/>
                      <w:u w:val="single"/>
                      <w:vertAlign w:val="baseline"/>
                      <w:lang w:val="en-US" w:eastAsia="zh-CN" w:bidi="ar-SA"/>
                    </w:rPr>
                  </w:pPr>
                  <w:r>
                    <w:rPr>
                      <w:rFonts w:hint="eastAsia"/>
                      <w:color w:val="FF0000"/>
                      <w:sz w:val="24"/>
                      <w:szCs w:val="24"/>
                      <w:u w:val="single"/>
                      <w:vertAlign w:val="baseline"/>
                      <w:lang w:val="en-US" w:eastAsia="zh-CN"/>
                    </w:rPr>
                    <w:t>塑化、挤出、吹塑废气</w:t>
                  </w:r>
                </w:p>
              </w:tc>
              <w:tc>
                <w:tcPr>
                  <w:tcW w:w="1858" w:type="pct"/>
                  <w:tcBorders>
                    <w:tl2br w:val="nil"/>
                    <w:tr2bl w:val="nil"/>
                  </w:tcBorders>
                  <w:vAlign w:val="center"/>
                </w:tcPr>
                <w:p>
                  <w:pPr>
                    <w:jc w:val="center"/>
                    <w:rPr>
                      <w:rFonts w:hint="eastAsia" w:ascii="Times New Roman" w:hAnsi="Times New Roman" w:eastAsia="宋体" w:cs="Times New Roman"/>
                      <w:color w:val="FF0000"/>
                      <w:kern w:val="2"/>
                      <w:sz w:val="24"/>
                      <w:szCs w:val="24"/>
                      <w:u w:val="single"/>
                      <w:vertAlign w:val="baseline"/>
                      <w:lang w:val="en-US" w:eastAsia="zh-CN" w:bidi="ar-SA"/>
                    </w:rPr>
                  </w:pPr>
                  <w:r>
                    <w:rPr>
                      <w:rFonts w:hint="eastAsia"/>
                      <w:color w:val="FF0000"/>
                      <w:sz w:val="24"/>
                      <w:szCs w:val="24"/>
                      <w:u w:val="single"/>
                      <w:vertAlign w:val="baseline"/>
                      <w:lang w:val="en-US" w:eastAsia="zh-CN"/>
                    </w:rPr>
                    <w:t>挥发性有机物（以非甲烷总烃计）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5" w:type="pct"/>
                  <w:vMerge w:val="restart"/>
                  <w:tcBorders>
                    <w:tl2br w:val="nil"/>
                    <w:tr2bl w:val="nil"/>
                  </w:tcBorders>
                  <w:vAlign w:val="center"/>
                </w:tcPr>
                <w:p>
                  <w:pPr>
                    <w:jc w:val="center"/>
                    <w:rPr>
                      <w:rFonts w:hint="default"/>
                      <w:color w:val="FF0000"/>
                      <w:sz w:val="24"/>
                      <w:szCs w:val="24"/>
                      <w:u w:val="single"/>
                      <w:vertAlign w:val="baseline"/>
                      <w:lang w:val="en-US" w:eastAsia="zh-CN"/>
                    </w:rPr>
                  </w:pPr>
                  <w:r>
                    <w:rPr>
                      <w:rFonts w:hint="eastAsia"/>
                      <w:color w:val="FF0000"/>
                      <w:sz w:val="24"/>
                      <w:szCs w:val="24"/>
                      <w:u w:val="single"/>
                      <w:vertAlign w:val="baseline"/>
                      <w:lang w:val="en-US" w:eastAsia="zh-CN"/>
                    </w:rPr>
                    <w:t>固体废物</w:t>
                  </w:r>
                </w:p>
              </w:tc>
              <w:tc>
                <w:tcPr>
                  <w:tcW w:w="621" w:type="pct"/>
                  <w:tcBorders>
                    <w:tl2br w:val="nil"/>
                    <w:tr2bl w:val="nil"/>
                  </w:tcBorders>
                  <w:vAlign w:val="center"/>
                </w:tcPr>
                <w:p>
                  <w:pPr>
                    <w:jc w:val="center"/>
                    <w:rPr>
                      <w:rFonts w:hint="default"/>
                      <w:color w:val="FF0000"/>
                      <w:sz w:val="24"/>
                      <w:szCs w:val="24"/>
                      <w:u w:val="single"/>
                      <w:vertAlign w:val="baseline"/>
                      <w:lang w:val="en-US" w:eastAsia="zh-CN"/>
                    </w:rPr>
                  </w:pPr>
                  <w:r>
                    <w:rPr>
                      <w:rFonts w:hint="eastAsia"/>
                      <w:color w:val="FF0000"/>
                      <w:sz w:val="24"/>
                      <w:szCs w:val="24"/>
                      <w:u w:val="single"/>
                      <w:vertAlign w:val="baseline"/>
                      <w:lang w:val="en-US" w:eastAsia="zh-CN"/>
                    </w:rPr>
                    <w:t>S1</w:t>
                  </w:r>
                </w:p>
              </w:tc>
              <w:tc>
                <w:tcPr>
                  <w:tcW w:w="1047" w:type="pct"/>
                  <w:tcBorders>
                    <w:tl2br w:val="nil"/>
                    <w:tr2bl w:val="nil"/>
                  </w:tcBorders>
                  <w:vAlign w:val="center"/>
                </w:tcPr>
                <w:p>
                  <w:pPr>
                    <w:jc w:val="center"/>
                    <w:rPr>
                      <w:rFonts w:hint="default"/>
                      <w:color w:val="FF0000"/>
                      <w:sz w:val="24"/>
                      <w:szCs w:val="24"/>
                      <w:u w:val="single"/>
                      <w:vertAlign w:val="baseline"/>
                      <w:lang w:val="en-US" w:eastAsia="zh-CN"/>
                    </w:rPr>
                  </w:pPr>
                  <w:r>
                    <w:rPr>
                      <w:rFonts w:hint="eastAsia"/>
                      <w:color w:val="FF0000"/>
                      <w:sz w:val="24"/>
                      <w:szCs w:val="24"/>
                      <w:u w:val="single"/>
                      <w:vertAlign w:val="baseline"/>
                      <w:lang w:val="en-US" w:eastAsia="zh-CN"/>
                    </w:rPr>
                    <w:t>修边</w:t>
                  </w:r>
                </w:p>
              </w:tc>
              <w:tc>
                <w:tcPr>
                  <w:tcW w:w="2886" w:type="pct"/>
                  <w:gridSpan w:val="2"/>
                  <w:tcBorders>
                    <w:tl2br w:val="nil"/>
                    <w:tr2bl w:val="nil"/>
                  </w:tcBorders>
                  <w:vAlign w:val="center"/>
                </w:tcPr>
                <w:p>
                  <w:pPr>
                    <w:jc w:val="center"/>
                    <w:rPr>
                      <w:rFonts w:hint="default" w:eastAsia="宋体"/>
                      <w:color w:val="FF0000"/>
                      <w:sz w:val="24"/>
                      <w:szCs w:val="24"/>
                      <w:u w:val="single"/>
                      <w:vertAlign w:val="baseline"/>
                      <w:lang w:val="en-US" w:eastAsia="zh-CN"/>
                    </w:rPr>
                  </w:pPr>
                  <w:r>
                    <w:rPr>
                      <w:rFonts w:hint="eastAsia"/>
                      <w:color w:val="FF0000"/>
                      <w:sz w:val="24"/>
                      <w:szCs w:val="24"/>
                      <w:u w:val="single"/>
                      <w:vertAlign w:val="baseline"/>
                      <w:lang w:val="en-US" w:eastAsia="zh-CN"/>
                    </w:rPr>
                    <w:t>废边角料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5" w:type="pct"/>
                  <w:vMerge w:val="continue"/>
                  <w:tcBorders>
                    <w:tl2br w:val="nil"/>
                    <w:tr2bl w:val="nil"/>
                  </w:tcBorders>
                  <w:vAlign w:val="center"/>
                </w:tcPr>
                <w:p>
                  <w:pPr>
                    <w:jc w:val="center"/>
                    <w:rPr>
                      <w:rFonts w:hint="eastAsia"/>
                      <w:color w:val="FF0000"/>
                      <w:sz w:val="24"/>
                      <w:szCs w:val="24"/>
                      <w:u w:val="single"/>
                      <w:vertAlign w:val="baseline"/>
                      <w:lang w:val="en-US" w:eastAsia="zh-CN"/>
                    </w:rPr>
                  </w:pPr>
                </w:p>
              </w:tc>
              <w:tc>
                <w:tcPr>
                  <w:tcW w:w="621" w:type="pct"/>
                  <w:tcBorders>
                    <w:tl2br w:val="nil"/>
                    <w:tr2bl w:val="nil"/>
                  </w:tcBorders>
                  <w:vAlign w:val="center"/>
                </w:tcPr>
                <w:p>
                  <w:pPr>
                    <w:jc w:val="center"/>
                    <w:rPr>
                      <w:rFonts w:hint="default"/>
                      <w:color w:val="FF0000"/>
                      <w:sz w:val="24"/>
                      <w:szCs w:val="24"/>
                      <w:u w:val="single"/>
                      <w:vertAlign w:val="baseline"/>
                      <w:lang w:val="en-US" w:eastAsia="zh-CN"/>
                    </w:rPr>
                  </w:pPr>
                  <w:r>
                    <w:rPr>
                      <w:rFonts w:hint="eastAsia"/>
                      <w:color w:val="FF0000"/>
                      <w:sz w:val="24"/>
                      <w:szCs w:val="24"/>
                      <w:u w:val="single"/>
                      <w:vertAlign w:val="baseline"/>
                      <w:lang w:val="en-US" w:eastAsia="zh-CN"/>
                    </w:rPr>
                    <w:t>S2</w:t>
                  </w:r>
                </w:p>
              </w:tc>
              <w:tc>
                <w:tcPr>
                  <w:tcW w:w="1047" w:type="pct"/>
                  <w:tcBorders>
                    <w:tl2br w:val="nil"/>
                    <w:tr2bl w:val="nil"/>
                  </w:tcBorders>
                  <w:vAlign w:val="center"/>
                </w:tcPr>
                <w:p>
                  <w:pPr>
                    <w:jc w:val="center"/>
                    <w:rPr>
                      <w:rFonts w:hint="eastAsia" w:ascii="Times New Roman" w:hAnsi="Times New Roman" w:eastAsia="宋体" w:cs="Times New Roman"/>
                      <w:color w:val="FF0000"/>
                      <w:kern w:val="2"/>
                      <w:sz w:val="24"/>
                      <w:szCs w:val="24"/>
                      <w:u w:val="single"/>
                      <w:vertAlign w:val="baseline"/>
                      <w:lang w:val="en-US" w:eastAsia="zh-CN" w:bidi="ar-SA"/>
                    </w:rPr>
                  </w:pPr>
                  <w:r>
                    <w:rPr>
                      <w:rFonts w:hint="eastAsia"/>
                      <w:color w:val="FF0000"/>
                      <w:sz w:val="24"/>
                      <w:szCs w:val="24"/>
                      <w:u w:val="single"/>
                      <w:vertAlign w:val="baseline"/>
                      <w:lang w:val="en-US" w:eastAsia="zh-CN"/>
                    </w:rPr>
                    <w:t>原辅料包装</w:t>
                  </w:r>
                </w:p>
              </w:tc>
              <w:tc>
                <w:tcPr>
                  <w:tcW w:w="2886" w:type="pct"/>
                  <w:gridSpan w:val="2"/>
                  <w:tcBorders>
                    <w:tl2br w:val="nil"/>
                    <w:tr2bl w:val="nil"/>
                  </w:tcBorders>
                  <w:vAlign w:val="center"/>
                </w:tcPr>
                <w:p>
                  <w:pPr>
                    <w:jc w:val="center"/>
                    <w:rPr>
                      <w:rFonts w:hint="default" w:eastAsia="宋体"/>
                      <w:color w:val="FF0000"/>
                      <w:sz w:val="24"/>
                      <w:szCs w:val="24"/>
                      <w:u w:val="single"/>
                      <w:vertAlign w:val="baseline"/>
                      <w:lang w:val="en-US" w:eastAsia="zh-CN"/>
                    </w:rPr>
                  </w:pPr>
                  <w:r>
                    <w:rPr>
                      <w:rFonts w:hint="eastAsia"/>
                      <w:color w:val="FF0000"/>
                      <w:sz w:val="24"/>
                      <w:szCs w:val="24"/>
                      <w:u w:val="single"/>
                      <w:vertAlign w:val="baseline"/>
                      <w:lang w:val="en-US" w:eastAsia="zh-CN"/>
                    </w:rPr>
                    <w:t>废包装材料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5" w:type="pct"/>
                  <w:vMerge w:val="continue"/>
                  <w:tcBorders>
                    <w:tl2br w:val="nil"/>
                    <w:tr2bl w:val="nil"/>
                  </w:tcBorders>
                  <w:vAlign w:val="center"/>
                </w:tcPr>
                <w:p>
                  <w:pPr>
                    <w:jc w:val="center"/>
                    <w:rPr>
                      <w:rFonts w:hint="eastAsia"/>
                      <w:color w:val="FF0000"/>
                      <w:sz w:val="24"/>
                      <w:szCs w:val="24"/>
                      <w:u w:val="single"/>
                      <w:vertAlign w:val="baseline"/>
                      <w:lang w:val="en-US" w:eastAsia="zh-CN"/>
                    </w:rPr>
                  </w:pPr>
                </w:p>
              </w:tc>
              <w:tc>
                <w:tcPr>
                  <w:tcW w:w="621" w:type="pct"/>
                  <w:tcBorders>
                    <w:tl2br w:val="nil"/>
                    <w:tr2bl w:val="nil"/>
                  </w:tcBorders>
                  <w:vAlign w:val="center"/>
                </w:tcPr>
                <w:p>
                  <w:pPr>
                    <w:jc w:val="center"/>
                    <w:rPr>
                      <w:rFonts w:hint="default"/>
                      <w:color w:val="FF0000"/>
                      <w:sz w:val="24"/>
                      <w:szCs w:val="24"/>
                      <w:u w:val="single"/>
                      <w:vertAlign w:val="baseline"/>
                      <w:lang w:val="en-US" w:eastAsia="zh-CN"/>
                    </w:rPr>
                  </w:pPr>
                  <w:r>
                    <w:rPr>
                      <w:rFonts w:hint="eastAsia"/>
                      <w:color w:val="FF0000"/>
                      <w:sz w:val="24"/>
                      <w:szCs w:val="24"/>
                      <w:u w:val="single"/>
                      <w:vertAlign w:val="baseline"/>
                      <w:lang w:val="en-US" w:eastAsia="zh-CN"/>
                    </w:rPr>
                    <w:t>S3</w:t>
                  </w:r>
                </w:p>
              </w:tc>
              <w:tc>
                <w:tcPr>
                  <w:tcW w:w="1047" w:type="pct"/>
                  <w:tcBorders>
                    <w:tl2br w:val="nil"/>
                    <w:tr2bl w:val="nil"/>
                  </w:tcBorders>
                  <w:vAlign w:val="center"/>
                </w:tcPr>
                <w:p>
                  <w:pPr>
                    <w:jc w:val="center"/>
                    <w:rPr>
                      <w:rFonts w:hint="eastAsia"/>
                      <w:color w:val="FF0000"/>
                      <w:sz w:val="24"/>
                      <w:szCs w:val="24"/>
                      <w:u w:val="single"/>
                      <w:vertAlign w:val="baseline"/>
                      <w:lang w:val="en-US" w:eastAsia="zh-CN"/>
                    </w:rPr>
                  </w:pPr>
                  <w:r>
                    <w:rPr>
                      <w:rFonts w:hint="eastAsia"/>
                      <w:color w:val="FF0000"/>
                      <w:sz w:val="24"/>
                      <w:szCs w:val="24"/>
                      <w:u w:val="single"/>
                      <w:vertAlign w:val="baseline"/>
                      <w:lang w:val="en-US" w:eastAsia="zh-CN"/>
                    </w:rPr>
                    <w:t>日常生活</w:t>
                  </w:r>
                </w:p>
              </w:tc>
              <w:tc>
                <w:tcPr>
                  <w:tcW w:w="2886" w:type="pct"/>
                  <w:gridSpan w:val="2"/>
                  <w:tcBorders>
                    <w:tl2br w:val="nil"/>
                    <w:tr2bl w:val="nil"/>
                  </w:tcBorders>
                  <w:vAlign w:val="center"/>
                </w:tcPr>
                <w:p>
                  <w:pPr>
                    <w:jc w:val="center"/>
                    <w:rPr>
                      <w:rFonts w:hint="eastAsia"/>
                      <w:color w:val="FF0000"/>
                      <w:sz w:val="24"/>
                      <w:szCs w:val="24"/>
                      <w:u w:val="single"/>
                      <w:vertAlign w:val="baseline"/>
                      <w:lang w:val="en-US" w:eastAsia="zh-CN"/>
                    </w:rPr>
                  </w:pPr>
                  <w:r>
                    <w:rPr>
                      <w:rFonts w:hint="eastAsia"/>
                      <w:color w:val="FF0000"/>
                      <w:sz w:val="24"/>
                      <w:szCs w:val="24"/>
                      <w:u w:val="single"/>
                      <w:vertAlign w:val="baseline"/>
                      <w:lang w:val="en-US" w:eastAsia="zh-CN"/>
                    </w:rPr>
                    <w:t>生活垃圾</w:t>
                  </w:r>
                </w:p>
              </w:tc>
            </w:tr>
          </w:tbl>
          <w:p>
            <w:pPr>
              <w:numPr>
                <w:ilvl w:val="0"/>
                <w:numId w:val="0"/>
              </w:numPr>
              <w:adjustRightInd w:val="0"/>
              <w:snapToGrid w:val="0"/>
              <w:spacing w:line="360" w:lineRule="auto"/>
              <w:rPr>
                <w:rFonts w:hint="default" w:ascii="宋体" w:hAnsi="宋体" w:eastAsia="宋体"/>
                <w:b w:val="0"/>
                <w:bCs/>
                <w:sz w:val="24"/>
                <w:szCs w:val="24"/>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78" w:hRule="atLeast"/>
          <w:jc w:val="center"/>
        </w:trPr>
        <w:tc>
          <w:tcPr>
            <w:tcW w:w="504" w:type="dxa"/>
            <w:noWrap w:val="0"/>
            <w:vAlign w:val="center"/>
          </w:tcPr>
          <w:p>
            <w:pPr>
              <w:pStyle w:val="12"/>
              <w:adjustRightInd w:val="0"/>
              <w:snapToGrid w:val="0"/>
              <w:spacing w:before="0" w:beforeAutospacing="0" w:after="0" w:afterAutospacing="0"/>
              <w:jc w:val="center"/>
              <w:rPr>
                <w:rFonts w:hint="eastAsia" w:cs="宋体"/>
                <w:sz w:val="24"/>
                <w:szCs w:val="24"/>
              </w:rPr>
            </w:pPr>
            <w:r>
              <w:rPr>
                <w:rFonts w:hint="eastAsia" w:cs="宋体"/>
                <w:bCs/>
                <w:kern w:val="2"/>
                <w:sz w:val="24"/>
                <w:szCs w:val="24"/>
              </w:rPr>
              <w:t>与项目有关的原有环境污染问题</w:t>
            </w:r>
          </w:p>
        </w:tc>
        <w:tc>
          <w:tcPr>
            <w:tcW w:w="8556" w:type="dxa"/>
            <w:noWrap w:val="0"/>
            <w:vAlign w:val="center"/>
          </w:tcPr>
          <w:p>
            <w:pPr>
              <w:adjustRightInd w:val="0"/>
              <w:snapToGrid w:val="0"/>
              <w:spacing w:line="360" w:lineRule="auto"/>
              <w:ind w:firstLine="480" w:firstLineChars="200"/>
              <w:jc w:val="both"/>
              <w:rPr>
                <w:rFonts w:hint="default" w:ascii="宋体" w:hAnsi="宋体" w:eastAsia="宋体" w:cs="宋体"/>
                <w:color w:val="auto"/>
                <w:kern w:val="0"/>
                <w:sz w:val="24"/>
                <w:szCs w:val="24"/>
                <w:lang w:val="en-US" w:eastAsia="zh-CN"/>
              </w:rPr>
            </w:pPr>
            <w:r>
              <w:rPr>
                <w:rFonts w:hint="eastAsia" w:ascii="宋体" w:hAnsi="宋体" w:cs="宋体"/>
                <w:color w:val="auto"/>
                <w:kern w:val="0"/>
                <w:sz w:val="24"/>
                <w:szCs w:val="24"/>
                <w:lang w:val="en-US" w:eastAsia="zh-CN"/>
              </w:rPr>
              <w:t>本项目依托</w:t>
            </w:r>
            <w:r>
              <w:rPr>
                <w:rFonts w:hint="eastAsia" w:ascii="宋体" w:hAnsi="宋体" w:cs="宋体"/>
                <w:color w:val="auto"/>
                <w:sz w:val="24"/>
                <w:szCs w:val="24"/>
                <w:u w:val="none"/>
                <w:lang w:val="en-US" w:eastAsia="zh-CN"/>
              </w:rPr>
              <w:t>湖南定宇新材料科技有限公司已建成闲置厂房进行生产</w:t>
            </w:r>
            <w:r>
              <w:rPr>
                <w:rFonts w:hint="eastAsia" w:ascii="宋体" w:hAnsi="宋体" w:eastAsia="宋体" w:cs="宋体"/>
                <w:color w:val="auto"/>
                <w:kern w:val="0"/>
                <w:sz w:val="24"/>
                <w:szCs w:val="24"/>
                <w:lang w:val="en-US" w:eastAsia="zh-CN"/>
              </w:rPr>
              <w:t>，</w:t>
            </w:r>
            <w:r>
              <w:rPr>
                <w:rFonts w:hint="eastAsia" w:ascii="宋体" w:hAnsi="宋体" w:cs="宋体"/>
                <w:bCs/>
                <w:sz w:val="24"/>
                <w:szCs w:val="24"/>
              </w:rPr>
              <w:t>湖南定宇新材料科技有限公司成立于2012年</w:t>
            </w:r>
            <w:r>
              <w:rPr>
                <w:rFonts w:hint="eastAsia" w:ascii="宋体" w:hAnsi="宋体" w:cs="宋体"/>
                <w:bCs/>
                <w:sz w:val="24"/>
                <w:szCs w:val="24"/>
                <w:lang w:eastAsia="zh-CN"/>
              </w:rPr>
              <w:t>，</w:t>
            </w:r>
            <w:r>
              <w:rPr>
                <w:rFonts w:hint="eastAsia" w:ascii="宋体" w:hAnsi="宋体" w:cs="宋体"/>
                <w:color w:val="auto"/>
                <w:sz w:val="24"/>
                <w:szCs w:val="24"/>
                <w:u w:val="none"/>
                <w:lang w:val="en-US" w:eastAsia="zh-CN"/>
              </w:rPr>
              <w:t>由于国家产业政策变化，湖南定宇新材料科技有限公司原40万吨轧钢件项目停产，厂房闲置。</w:t>
            </w:r>
            <w:r>
              <w:rPr>
                <w:rFonts w:hint="eastAsia" w:ascii="宋体" w:hAnsi="宋体" w:cs="宋体"/>
                <w:color w:val="000000" w:themeColor="text1"/>
                <w:sz w:val="24"/>
                <w:szCs w:val="24"/>
                <w:u w:val="none"/>
                <w:lang w:val="en-US" w:eastAsia="zh-CN"/>
                <w14:textFill>
                  <w14:solidFill>
                    <w14:schemeClr w14:val="tx1"/>
                  </w14:solidFill>
                </w14:textFill>
              </w:rPr>
              <w:t>湖南定宇新材料科技有限公司环保手续齐全，</w:t>
            </w:r>
            <w:r>
              <w:rPr>
                <w:rFonts w:hint="eastAsia" w:ascii="宋体" w:hAnsi="宋体" w:cs="宋体"/>
                <w:color w:val="auto"/>
                <w:sz w:val="24"/>
                <w:szCs w:val="24"/>
                <w:u w:val="none"/>
                <w:lang w:val="en-US" w:eastAsia="zh-CN"/>
              </w:rPr>
              <w:t>污染防治措施已实施到位，无环境污染投诉及主要环境问题。</w:t>
            </w:r>
          </w:p>
          <w:p>
            <w:pPr>
              <w:adjustRightInd w:val="0"/>
              <w:snapToGrid w:val="0"/>
              <w:spacing w:line="360" w:lineRule="auto"/>
              <w:ind w:firstLine="480" w:firstLineChars="200"/>
              <w:jc w:val="both"/>
              <w:rPr>
                <w:rFonts w:hint="eastAsia" w:ascii="宋体" w:hAnsi="宋体"/>
                <w:b w:val="0"/>
                <w:bCs/>
                <w:sz w:val="24"/>
                <w:szCs w:val="24"/>
                <w:lang w:val="en-US" w:eastAsia="zh-CN"/>
              </w:rPr>
            </w:pPr>
            <w:r>
              <w:rPr>
                <w:rFonts w:hint="eastAsia" w:ascii="宋体" w:hAnsi="宋体" w:cs="宋体"/>
                <w:color w:val="auto"/>
                <w:kern w:val="0"/>
                <w:sz w:val="24"/>
                <w:szCs w:val="24"/>
                <w:lang w:val="en-US" w:eastAsia="zh-CN"/>
              </w:rPr>
              <w:t>本项目为新建项目，建设车间为闲置厂房，无历史遗留问题。</w:t>
            </w:r>
          </w:p>
        </w:tc>
      </w:tr>
    </w:tbl>
    <w:p>
      <w:pPr>
        <w:rPr>
          <w:rFonts w:hint="eastAsia"/>
          <w:sz w:val="24"/>
          <w:szCs w:val="24"/>
          <w:lang w:val="en-US" w:eastAsia="zh-CN"/>
        </w:rPr>
      </w:pPr>
      <w:r>
        <w:rPr>
          <w:rFonts w:hint="eastAsia"/>
          <w:sz w:val="24"/>
          <w:szCs w:val="24"/>
          <w:lang w:val="en-US" w:eastAsia="zh-CN"/>
        </w:rPr>
        <w:br w:type="page"/>
      </w:r>
    </w:p>
    <w:p>
      <w:pPr>
        <w:bidi w:val="0"/>
        <w:spacing w:line="360" w:lineRule="auto"/>
        <w:rPr>
          <w:rFonts w:hint="eastAsia"/>
          <w:sz w:val="24"/>
          <w:szCs w:val="24"/>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12"/>
        <w:jc w:val="center"/>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04" w:hRule="atLeast"/>
          <w:jc w:val="center"/>
        </w:trPr>
        <w:tc>
          <w:tcPr>
            <w:tcW w:w="800" w:type="dxa"/>
            <w:noWrap w:val="0"/>
            <w:vAlign w:val="center"/>
          </w:tcPr>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区域</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环境</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质量</w:t>
            </w:r>
          </w:p>
          <w:p>
            <w:pPr>
              <w:adjustRightInd w:val="0"/>
              <w:snapToGrid w:val="0"/>
              <w:jc w:val="center"/>
              <w:rPr>
                <w:rFonts w:ascii="宋体" w:hAnsi="宋体" w:cs="宋体"/>
                <w:kern w:val="0"/>
                <w:sz w:val="24"/>
                <w:szCs w:val="24"/>
              </w:rPr>
            </w:pPr>
            <w:r>
              <w:rPr>
                <w:rFonts w:hint="eastAsia" w:ascii="宋体" w:hAnsi="宋体" w:cs="宋体"/>
                <w:kern w:val="0"/>
                <w:sz w:val="24"/>
                <w:szCs w:val="24"/>
              </w:rPr>
              <w:t>现状</w:t>
            </w:r>
          </w:p>
        </w:tc>
        <w:tc>
          <w:tcPr>
            <w:tcW w:w="8190" w:type="dxa"/>
            <w:noWrap w:val="0"/>
            <w:vAlign w:val="center"/>
          </w:tcPr>
          <w:p>
            <w:pPr>
              <w:numPr>
                <w:ilvl w:val="0"/>
                <w:numId w:val="0"/>
              </w:numPr>
              <w:adjustRightInd w:val="0"/>
              <w:snapToGrid w:val="0"/>
              <w:spacing w:line="360" w:lineRule="auto"/>
              <w:jc w:val="both"/>
              <w:rPr>
                <w:rFonts w:hint="eastAsia" w:ascii="宋体" w:hAnsi="宋体" w:cs="宋体"/>
                <w:b/>
                <w:bCs/>
                <w:kern w:val="0"/>
                <w:sz w:val="24"/>
                <w:szCs w:val="24"/>
                <w:lang w:val="en-US" w:eastAsia="zh-CN"/>
              </w:rPr>
            </w:pPr>
            <w:r>
              <w:rPr>
                <w:rFonts w:hint="eastAsia" w:ascii="宋体" w:hAnsi="宋体" w:cs="宋体"/>
                <w:b/>
                <w:bCs/>
                <w:kern w:val="0"/>
                <w:sz w:val="24"/>
                <w:szCs w:val="24"/>
                <w:lang w:val="en-US" w:eastAsia="zh-CN"/>
              </w:rPr>
              <w:t>1、环境空气质量现状</w:t>
            </w:r>
          </w:p>
          <w:p>
            <w:pPr>
              <w:bidi w:val="0"/>
              <w:spacing w:line="360" w:lineRule="auto"/>
              <w:ind w:firstLine="480" w:firstLineChars="200"/>
              <w:rPr>
                <w:rFonts w:hint="eastAsia" w:ascii="宋体" w:hAnsi="宋体" w:cs="宋体"/>
                <w:kern w:val="0"/>
                <w:sz w:val="24"/>
                <w:szCs w:val="24"/>
                <w:lang w:val="en-US" w:eastAsia="zh-CN"/>
              </w:rPr>
            </w:pPr>
            <w:r>
              <w:rPr>
                <w:rFonts w:hint="eastAsia" w:ascii="宋体" w:hAnsi="宋体" w:cs="宋体"/>
                <w:kern w:val="0"/>
                <w:sz w:val="24"/>
                <w:szCs w:val="24"/>
                <w:lang w:val="en-US" w:eastAsia="zh-CN"/>
              </w:rPr>
              <w:t>（1）空气质量达标区判定</w:t>
            </w:r>
          </w:p>
          <w:p>
            <w:pPr>
              <w:bidi w:val="0"/>
              <w:spacing w:line="360" w:lineRule="auto"/>
              <w:ind w:firstLine="480" w:firstLineChars="200"/>
              <w:rPr>
                <w:rFonts w:hint="eastAsia" w:ascii="宋体" w:hAnsi="宋体" w:cs="宋体"/>
                <w:kern w:val="0"/>
                <w:sz w:val="24"/>
                <w:szCs w:val="24"/>
                <w:lang w:val="en-US" w:eastAsia="zh-CN"/>
              </w:rPr>
            </w:pPr>
            <w:r>
              <w:rPr>
                <w:rFonts w:hint="default" w:ascii="Times New Roman" w:hAnsi="Times New Roman" w:eastAsia="宋体" w:cs="Times New Roman"/>
                <w:sz w:val="24"/>
                <w:szCs w:val="24"/>
                <w:lang w:val="en-US" w:eastAsia="zh-CN"/>
              </w:rPr>
              <w:t>①常规因子</w:t>
            </w:r>
          </w:p>
          <w:p>
            <w:pPr>
              <w:bidi w:val="0"/>
              <w:spacing w:line="360" w:lineRule="auto"/>
              <w:ind w:firstLine="480" w:firstLineChars="200"/>
              <w:jc w:val="both"/>
              <w:rPr>
                <w:rFonts w:hint="eastAsia" w:ascii="宋体" w:hAnsi="宋体" w:cs="宋体"/>
                <w:kern w:val="0"/>
                <w:sz w:val="24"/>
                <w:szCs w:val="24"/>
                <w:lang w:val="en-US" w:eastAsia="zh-CN"/>
              </w:rPr>
            </w:pPr>
            <w:r>
              <w:rPr>
                <w:rFonts w:hint="eastAsia" w:ascii="宋体" w:hAnsi="宋体" w:cs="宋体"/>
                <w:kern w:val="0"/>
                <w:sz w:val="24"/>
                <w:szCs w:val="24"/>
                <w:lang w:val="en-US" w:eastAsia="zh-CN"/>
              </w:rPr>
              <w:t>本项目评价基准年为2020年，本次环评引用岳阳市生态环境局湘阴分局发布的《湘阴县环境空气质量指数统计表（2020年）》中的环境质量现状数据进行分析，具体数据分析见表3-1、3-2。</w:t>
            </w:r>
          </w:p>
          <w:p>
            <w:pPr>
              <w:bidi w:val="0"/>
              <w:spacing w:line="360" w:lineRule="auto"/>
              <w:jc w:val="center"/>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表</w:t>
            </w:r>
            <w:r>
              <w:rPr>
                <w:rFonts w:hint="default" w:ascii="Times New Roman" w:hAnsi="Times New Roman" w:eastAsia="宋体" w:cs="Times New Roman"/>
                <w:b/>
                <w:bCs/>
                <w:sz w:val="24"/>
                <w:szCs w:val="24"/>
                <w:lang w:val="en-US" w:eastAsia="zh-CN"/>
              </w:rPr>
              <w:t xml:space="preserve">3-1 </w:t>
            </w:r>
            <w:r>
              <w:rPr>
                <w:rFonts w:hint="default" w:ascii="Times New Roman" w:hAnsi="Times New Roman" w:eastAsia="宋体" w:cs="Times New Roman"/>
                <w:b/>
                <w:bCs/>
                <w:sz w:val="24"/>
                <w:szCs w:val="24"/>
              </w:rPr>
              <w:t xml:space="preserve"> </w:t>
            </w:r>
            <w:r>
              <w:rPr>
                <w:rFonts w:hint="default" w:ascii="Times New Roman" w:hAnsi="Times New Roman" w:eastAsia="宋体" w:cs="Times New Roman"/>
                <w:b/>
                <w:bCs/>
                <w:sz w:val="24"/>
                <w:szCs w:val="24"/>
                <w:lang w:val="en-US" w:eastAsia="zh-CN"/>
              </w:rPr>
              <w:t>岳阳市生态环境局湘阴分局</w:t>
            </w:r>
            <w:r>
              <w:rPr>
                <w:rFonts w:hint="default" w:ascii="Times New Roman" w:hAnsi="Times New Roman" w:eastAsia="宋体" w:cs="Times New Roman"/>
                <w:b/>
                <w:bCs/>
                <w:sz w:val="24"/>
                <w:szCs w:val="24"/>
              </w:rPr>
              <w:t>监测站空气质量指数统计表（</w:t>
            </w:r>
            <w:r>
              <w:rPr>
                <w:rFonts w:hint="eastAsia" w:cs="Times New Roman"/>
                <w:b/>
                <w:bCs/>
                <w:sz w:val="24"/>
                <w:szCs w:val="24"/>
                <w:lang w:val="en-US" w:eastAsia="zh-CN"/>
              </w:rPr>
              <w:t>2020</w:t>
            </w:r>
            <w:r>
              <w:rPr>
                <w:rFonts w:hint="default" w:ascii="Times New Roman" w:hAnsi="Times New Roman" w:eastAsia="宋体" w:cs="Times New Roman"/>
                <w:b/>
                <w:bCs/>
                <w:sz w:val="24"/>
                <w:szCs w:val="24"/>
              </w:rPr>
              <w:t>年）</w:t>
            </w:r>
          </w:p>
          <w:tbl>
            <w:tblPr>
              <w:tblStyle w:val="14"/>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50"/>
              <w:gridCol w:w="801"/>
              <w:gridCol w:w="2030"/>
              <w:gridCol w:w="1206"/>
              <w:gridCol w:w="1206"/>
              <w:gridCol w:w="1275"/>
              <w:gridCol w:w="6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cs="Times New Roman"/>
                      <w:b/>
                      <w:bCs/>
                      <w:color w:val="auto"/>
                      <w:sz w:val="22"/>
                      <w:szCs w:val="22"/>
                      <w:u w:val="none" w:color="auto"/>
                      <w:lang w:eastAsia="zh-CN"/>
                    </w:rPr>
                  </w:pPr>
                  <w:r>
                    <w:rPr>
                      <w:rFonts w:hint="default" w:ascii="Times New Roman" w:hAnsi="Times New Roman" w:cs="Times New Roman"/>
                      <w:b/>
                      <w:bCs/>
                      <w:color w:val="auto"/>
                      <w:sz w:val="22"/>
                      <w:szCs w:val="22"/>
                      <w:u w:val="none" w:color="auto"/>
                      <w:lang w:eastAsia="zh-CN"/>
                    </w:rPr>
                    <w:t>所在</w:t>
                  </w:r>
                </w:p>
                <w:p>
                  <w:pPr>
                    <w:pStyle w:val="26"/>
                    <w:spacing w:line="240" w:lineRule="auto"/>
                    <w:ind w:left="0" w:leftChars="0" w:firstLine="0" w:firstLineChars="0"/>
                    <w:jc w:val="center"/>
                    <w:rPr>
                      <w:rFonts w:hint="default" w:ascii="Times New Roman" w:hAnsi="Times New Roman" w:cs="Times New Roman"/>
                      <w:b/>
                      <w:bCs/>
                      <w:color w:val="auto"/>
                      <w:sz w:val="22"/>
                      <w:szCs w:val="22"/>
                      <w:u w:val="none" w:color="auto"/>
                      <w:lang w:eastAsia="zh-CN"/>
                    </w:rPr>
                  </w:pPr>
                  <w:r>
                    <w:rPr>
                      <w:rFonts w:hint="default" w:ascii="Times New Roman" w:hAnsi="Times New Roman" w:cs="Times New Roman"/>
                      <w:b/>
                      <w:bCs/>
                      <w:color w:val="auto"/>
                      <w:sz w:val="22"/>
                      <w:szCs w:val="22"/>
                      <w:u w:val="none" w:color="auto"/>
                      <w:lang w:eastAsia="zh-CN"/>
                    </w:rPr>
                    <w:t>区域</w:t>
                  </w:r>
                </w:p>
              </w:tc>
              <w:tc>
                <w:tcPr>
                  <w:tcW w:w="514"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cs="Times New Roman"/>
                      <w:b/>
                      <w:bCs/>
                      <w:color w:val="auto"/>
                      <w:sz w:val="22"/>
                      <w:szCs w:val="22"/>
                      <w:u w:val="none" w:color="auto"/>
                    </w:rPr>
                  </w:pPr>
                  <w:r>
                    <w:rPr>
                      <w:rFonts w:hint="default" w:ascii="Times New Roman" w:hAnsi="Times New Roman" w:cs="Times New Roman"/>
                      <w:b/>
                      <w:bCs/>
                      <w:color w:val="auto"/>
                      <w:sz w:val="22"/>
                      <w:szCs w:val="22"/>
                      <w:u w:val="none" w:color="auto"/>
                    </w:rPr>
                    <w:t>监测项目</w:t>
                  </w:r>
                </w:p>
              </w:tc>
              <w:tc>
                <w:tcPr>
                  <w:tcW w:w="1288"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cs="Times New Roman"/>
                      <w:b/>
                      <w:bCs/>
                      <w:color w:val="auto"/>
                      <w:sz w:val="22"/>
                      <w:szCs w:val="22"/>
                      <w:u w:val="none" w:color="auto"/>
                      <w:lang w:val="en-US" w:eastAsia="zh-CN"/>
                    </w:rPr>
                  </w:pPr>
                  <w:r>
                    <w:rPr>
                      <w:rFonts w:hint="default" w:ascii="Times New Roman" w:hAnsi="Times New Roman" w:cs="Times New Roman"/>
                      <w:b/>
                      <w:bCs/>
                      <w:color w:val="auto"/>
                      <w:sz w:val="22"/>
                      <w:szCs w:val="22"/>
                      <w:u w:val="none" w:color="auto"/>
                      <w:lang w:val="en-US" w:eastAsia="zh-CN"/>
                    </w:rPr>
                    <w:t>年评价指标</w:t>
                  </w:r>
                </w:p>
              </w:tc>
              <w:tc>
                <w:tcPr>
                  <w:tcW w:w="742"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cs="Times New Roman"/>
                      <w:b/>
                      <w:bCs/>
                      <w:color w:val="auto"/>
                      <w:sz w:val="22"/>
                      <w:szCs w:val="22"/>
                      <w:u w:val="none" w:color="auto"/>
                      <w:lang w:val="en-US" w:eastAsia="zh-CN"/>
                    </w:rPr>
                  </w:pPr>
                  <w:r>
                    <w:rPr>
                      <w:rFonts w:hint="default" w:ascii="Times New Roman" w:hAnsi="Times New Roman" w:cs="Times New Roman"/>
                      <w:b/>
                      <w:bCs/>
                      <w:color w:val="auto"/>
                      <w:sz w:val="22"/>
                      <w:szCs w:val="22"/>
                      <w:u w:val="none" w:color="auto"/>
                      <w:lang w:val="en-US" w:eastAsia="zh-CN"/>
                    </w:rPr>
                    <w:t>现状浓度（u</w:t>
                  </w:r>
                  <w:r>
                    <w:rPr>
                      <w:rFonts w:hint="default" w:ascii="Times New Roman" w:hAnsi="Times New Roman" w:cs="Times New Roman"/>
                      <w:b/>
                      <w:bCs/>
                      <w:color w:val="auto"/>
                      <w:sz w:val="22"/>
                      <w:szCs w:val="22"/>
                      <w:u w:val="none" w:color="auto"/>
                    </w:rPr>
                    <w:t>g/m</w:t>
                  </w:r>
                  <w:r>
                    <w:rPr>
                      <w:rFonts w:hint="default" w:ascii="Times New Roman" w:hAnsi="Times New Roman" w:cs="Times New Roman"/>
                      <w:b/>
                      <w:bCs/>
                      <w:color w:val="auto"/>
                      <w:sz w:val="22"/>
                      <w:szCs w:val="22"/>
                      <w:u w:val="none" w:color="auto"/>
                      <w:vertAlign w:val="superscript"/>
                    </w:rPr>
                    <w:t>3</w:t>
                  </w:r>
                  <w:r>
                    <w:rPr>
                      <w:rFonts w:hint="default" w:ascii="Times New Roman" w:hAnsi="Times New Roman" w:cs="Times New Roman"/>
                      <w:b/>
                      <w:bCs/>
                      <w:color w:val="auto"/>
                      <w:sz w:val="22"/>
                      <w:szCs w:val="22"/>
                      <w:u w:val="none" w:color="auto"/>
                      <w:lang w:val="en-US" w:eastAsia="zh-CN"/>
                    </w:rPr>
                    <w:t>）</w:t>
                  </w:r>
                </w:p>
              </w:tc>
              <w:tc>
                <w:tcPr>
                  <w:tcW w:w="727"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cs="Times New Roman"/>
                      <w:b/>
                      <w:bCs/>
                      <w:color w:val="auto"/>
                      <w:sz w:val="22"/>
                      <w:szCs w:val="22"/>
                      <w:u w:val="none" w:color="auto"/>
                    </w:rPr>
                  </w:pPr>
                  <w:r>
                    <w:rPr>
                      <w:rFonts w:hint="default" w:ascii="Times New Roman" w:hAnsi="Times New Roman" w:cs="Times New Roman"/>
                      <w:b/>
                      <w:bCs/>
                      <w:color w:val="auto"/>
                      <w:sz w:val="22"/>
                      <w:szCs w:val="22"/>
                      <w:u w:val="none" w:color="auto"/>
                    </w:rPr>
                    <w:t>标准值</w:t>
                  </w:r>
                  <w:r>
                    <w:rPr>
                      <w:rFonts w:hint="default" w:ascii="Times New Roman" w:hAnsi="Times New Roman" w:cs="Times New Roman"/>
                      <w:b/>
                      <w:bCs/>
                      <w:color w:val="auto"/>
                      <w:sz w:val="22"/>
                      <w:szCs w:val="22"/>
                      <w:u w:val="none" w:color="auto"/>
                      <w:lang w:val="en-US" w:eastAsia="zh-CN"/>
                    </w:rPr>
                    <w:t>（u</w:t>
                  </w:r>
                  <w:r>
                    <w:rPr>
                      <w:rFonts w:hint="default" w:ascii="Times New Roman" w:hAnsi="Times New Roman" w:cs="Times New Roman"/>
                      <w:b/>
                      <w:bCs/>
                      <w:color w:val="auto"/>
                      <w:sz w:val="22"/>
                      <w:szCs w:val="22"/>
                      <w:u w:val="none" w:color="auto"/>
                    </w:rPr>
                    <w:t>g/m</w:t>
                  </w:r>
                  <w:r>
                    <w:rPr>
                      <w:rFonts w:hint="default" w:ascii="Times New Roman" w:hAnsi="Times New Roman" w:cs="Times New Roman"/>
                      <w:b/>
                      <w:bCs/>
                      <w:color w:val="auto"/>
                      <w:sz w:val="22"/>
                      <w:szCs w:val="22"/>
                      <w:u w:val="none" w:color="auto"/>
                      <w:vertAlign w:val="superscript"/>
                    </w:rPr>
                    <w:t>3</w:t>
                  </w:r>
                  <w:r>
                    <w:rPr>
                      <w:rFonts w:hint="default" w:ascii="Times New Roman" w:hAnsi="Times New Roman" w:cs="Times New Roman"/>
                      <w:b/>
                      <w:bCs/>
                      <w:color w:val="auto"/>
                      <w:sz w:val="22"/>
                      <w:szCs w:val="22"/>
                      <w:u w:val="none" w:color="auto"/>
                      <w:lang w:val="en-US" w:eastAsia="zh-CN"/>
                    </w:rPr>
                    <w:t>）</w:t>
                  </w:r>
                </w:p>
              </w:tc>
              <w:tc>
                <w:tcPr>
                  <w:tcW w:w="812"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cs="Times New Roman"/>
                      <w:b/>
                      <w:bCs/>
                      <w:color w:val="auto"/>
                      <w:sz w:val="22"/>
                      <w:szCs w:val="22"/>
                      <w:u w:val="none" w:color="auto"/>
                      <w:lang w:val="en-US" w:eastAsia="zh-CN"/>
                    </w:rPr>
                  </w:pPr>
                  <w:r>
                    <w:rPr>
                      <w:rFonts w:hint="default" w:ascii="Times New Roman" w:hAnsi="Times New Roman" w:cs="Times New Roman"/>
                      <w:b/>
                      <w:bCs/>
                      <w:color w:val="auto"/>
                      <w:sz w:val="22"/>
                      <w:szCs w:val="22"/>
                      <w:u w:val="none" w:color="auto"/>
                      <w:lang w:val="en-US" w:eastAsia="zh-CN"/>
                    </w:rPr>
                    <w:t>超标倍数%</w:t>
                  </w:r>
                </w:p>
              </w:tc>
              <w:tc>
                <w:tcPr>
                  <w:tcW w:w="431"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cs="Times New Roman"/>
                      <w:b/>
                      <w:bCs/>
                      <w:color w:val="auto"/>
                      <w:sz w:val="22"/>
                      <w:szCs w:val="22"/>
                      <w:u w:val="none" w:color="auto"/>
                    </w:rPr>
                  </w:pPr>
                  <w:r>
                    <w:rPr>
                      <w:rFonts w:hint="default" w:ascii="Times New Roman" w:hAnsi="Times New Roman" w:cs="Times New Roman"/>
                      <w:b/>
                      <w:bCs/>
                      <w:color w:val="auto"/>
                      <w:sz w:val="22"/>
                      <w:szCs w:val="22"/>
                      <w:u w:val="none" w:color="auto"/>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pct"/>
                  <w:vMerge w:val="restar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湘阴县</w:t>
                  </w:r>
                </w:p>
              </w:tc>
              <w:tc>
                <w:tcPr>
                  <w:tcW w:w="514"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SO</w:t>
                  </w:r>
                  <w:r>
                    <w:rPr>
                      <w:rFonts w:hint="default" w:ascii="Times New Roman" w:hAnsi="Times New Roman" w:cs="Times New Roman"/>
                      <w:color w:val="auto"/>
                      <w:sz w:val="22"/>
                      <w:szCs w:val="22"/>
                      <w:u w:val="none" w:color="auto"/>
                      <w:vertAlign w:val="subscript"/>
                    </w:rPr>
                    <w:t>2</w:t>
                  </w:r>
                </w:p>
              </w:tc>
              <w:tc>
                <w:tcPr>
                  <w:tcW w:w="1288"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年平均质量浓度</w:t>
                  </w:r>
                </w:p>
              </w:tc>
              <w:tc>
                <w:tcPr>
                  <w:tcW w:w="742"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5.0</w:t>
                  </w:r>
                </w:p>
              </w:tc>
              <w:tc>
                <w:tcPr>
                  <w:tcW w:w="727"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60</w:t>
                  </w:r>
                </w:p>
              </w:tc>
              <w:tc>
                <w:tcPr>
                  <w:tcW w:w="812"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0</w:t>
                  </w:r>
                </w:p>
              </w:tc>
              <w:tc>
                <w:tcPr>
                  <w:tcW w:w="431"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pct"/>
                  <w:vMerge w:val="continue"/>
                  <w:tcBorders>
                    <w:tl2br w:val="nil"/>
                    <w:tr2bl w:val="nil"/>
                  </w:tcBorders>
                  <w:noWrap w:val="0"/>
                  <w:vAlign w:val="center"/>
                </w:tcPr>
                <w:p>
                  <w:pPr>
                    <w:pStyle w:val="26"/>
                    <w:spacing w:line="240" w:lineRule="auto"/>
                    <w:jc w:val="center"/>
                    <w:rPr>
                      <w:rFonts w:hint="default" w:ascii="Times New Roman" w:hAnsi="Times New Roman" w:cs="Times New Roman"/>
                      <w:color w:val="auto"/>
                      <w:sz w:val="22"/>
                      <w:szCs w:val="22"/>
                      <w:u w:val="none" w:color="auto"/>
                    </w:rPr>
                  </w:pPr>
                </w:p>
              </w:tc>
              <w:tc>
                <w:tcPr>
                  <w:tcW w:w="514"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NO</w:t>
                  </w:r>
                  <w:r>
                    <w:rPr>
                      <w:rFonts w:hint="default" w:ascii="Times New Roman" w:hAnsi="Times New Roman" w:cs="Times New Roman"/>
                      <w:color w:val="auto"/>
                      <w:sz w:val="22"/>
                      <w:szCs w:val="22"/>
                      <w:u w:val="none" w:color="auto"/>
                      <w:vertAlign w:val="subscript"/>
                    </w:rPr>
                    <w:t>2</w:t>
                  </w:r>
                </w:p>
              </w:tc>
              <w:tc>
                <w:tcPr>
                  <w:tcW w:w="1288"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年平均质量浓度</w:t>
                  </w:r>
                </w:p>
              </w:tc>
              <w:tc>
                <w:tcPr>
                  <w:tcW w:w="742"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20.9</w:t>
                  </w:r>
                </w:p>
              </w:tc>
              <w:tc>
                <w:tcPr>
                  <w:tcW w:w="727"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40</w:t>
                  </w:r>
                </w:p>
              </w:tc>
              <w:tc>
                <w:tcPr>
                  <w:tcW w:w="812"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0</w:t>
                  </w:r>
                </w:p>
              </w:tc>
              <w:tc>
                <w:tcPr>
                  <w:tcW w:w="431"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pct"/>
                  <w:vMerge w:val="continue"/>
                  <w:tcBorders>
                    <w:tl2br w:val="nil"/>
                    <w:tr2bl w:val="nil"/>
                  </w:tcBorders>
                  <w:noWrap w:val="0"/>
                  <w:vAlign w:val="center"/>
                </w:tcPr>
                <w:p>
                  <w:pPr>
                    <w:pStyle w:val="26"/>
                    <w:spacing w:line="240" w:lineRule="auto"/>
                    <w:jc w:val="center"/>
                    <w:rPr>
                      <w:rFonts w:hint="default" w:ascii="Times New Roman" w:hAnsi="Times New Roman" w:cs="Times New Roman"/>
                      <w:color w:val="auto"/>
                      <w:sz w:val="22"/>
                      <w:szCs w:val="22"/>
                      <w:u w:val="none" w:color="auto"/>
                    </w:rPr>
                  </w:pPr>
                </w:p>
              </w:tc>
              <w:tc>
                <w:tcPr>
                  <w:tcW w:w="514"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PM</w:t>
                  </w:r>
                  <w:r>
                    <w:rPr>
                      <w:rFonts w:hint="default" w:ascii="Times New Roman" w:hAnsi="Times New Roman" w:cs="Times New Roman"/>
                      <w:color w:val="auto"/>
                      <w:sz w:val="22"/>
                      <w:szCs w:val="22"/>
                      <w:u w:val="none" w:color="auto"/>
                      <w:vertAlign w:val="subscript"/>
                    </w:rPr>
                    <w:t>10</w:t>
                  </w:r>
                </w:p>
              </w:tc>
              <w:tc>
                <w:tcPr>
                  <w:tcW w:w="1288"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年平均质量浓度</w:t>
                  </w:r>
                </w:p>
              </w:tc>
              <w:tc>
                <w:tcPr>
                  <w:tcW w:w="742"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42.1</w:t>
                  </w:r>
                </w:p>
              </w:tc>
              <w:tc>
                <w:tcPr>
                  <w:tcW w:w="727"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70</w:t>
                  </w:r>
                </w:p>
              </w:tc>
              <w:tc>
                <w:tcPr>
                  <w:tcW w:w="812"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0</w:t>
                  </w:r>
                </w:p>
              </w:tc>
              <w:tc>
                <w:tcPr>
                  <w:tcW w:w="431"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pct"/>
                  <w:vMerge w:val="continue"/>
                  <w:tcBorders>
                    <w:tl2br w:val="nil"/>
                    <w:tr2bl w:val="nil"/>
                  </w:tcBorders>
                  <w:noWrap w:val="0"/>
                  <w:vAlign w:val="center"/>
                </w:tcPr>
                <w:p>
                  <w:pPr>
                    <w:pStyle w:val="26"/>
                    <w:spacing w:line="240" w:lineRule="auto"/>
                    <w:jc w:val="center"/>
                    <w:rPr>
                      <w:rFonts w:hint="default" w:ascii="Times New Roman" w:hAnsi="Times New Roman" w:cs="Times New Roman"/>
                      <w:color w:val="auto"/>
                      <w:sz w:val="22"/>
                      <w:szCs w:val="22"/>
                      <w:u w:val="none" w:color="auto"/>
                    </w:rPr>
                  </w:pPr>
                </w:p>
              </w:tc>
              <w:tc>
                <w:tcPr>
                  <w:tcW w:w="514"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PM</w:t>
                  </w:r>
                  <w:r>
                    <w:rPr>
                      <w:rFonts w:hint="default" w:ascii="Times New Roman" w:hAnsi="Times New Roman" w:cs="Times New Roman"/>
                      <w:color w:val="auto"/>
                      <w:sz w:val="22"/>
                      <w:szCs w:val="22"/>
                      <w:u w:val="none" w:color="auto"/>
                      <w:vertAlign w:val="subscript"/>
                      <w:lang w:val="en-US" w:eastAsia="zh-CN"/>
                    </w:rPr>
                    <w:t>2.5</w:t>
                  </w:r>
                </w:p>
              </w:tc>
              <w:tc>
                <w:tcPr>
                  <w:tcW w:w="1288"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年平均质量浓度</w:t>
                  </w:r>
                </w:p>
              </w:tc>
              <w:tc>
                <w:tcPr>
                  <w:tcW w:w="742"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30.2</w:t>
                  </w:r>
                </w:p>
              </w:tc>
              <w:tc>
                <w:tcPr>
                  <w:tcW w:w="727"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35</w:t>
                  </w:r>
                </w:p>
              </w:tc>
              <w:tc>
                <w:tcPr>
                  <w:tcW w:w="812"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0</w:t>
                  </w:r>
                </w:p>
              </w:tc>
              <w:tc>
                <w:tcPr>
                  <w:tcW w:w="431"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pct"/>
                  <w:vMerge w:val="continue"/>
                  <w:tcBorders>
                    <w:tl2br w:val="nil"/>
                    <w:tr2bl w:val="nil"/>
                  </w:tcBorders>
                  <w:noWrap w:val="0"/>
                  <w:vAlign w:val="center"/>
                </w:tcPr>
                <w:p>
                  <w:pPr>
                    <w:pStyle w:val="26"/>
                    <w:spacing w:line="240" w:lineRule="auto"/>
                    <w:jc w:val="center"/>
                    <w:rPr>
                      <w:rFonts w:hint="default" w:ascii="Times New Roman" w:hAnsi="Times New Roman" w:cs="Times New Roman"/>
                      <w:color w:val="auto"/>
                      <w:sz w:val="22"/>
                      <w:szCs w:val="22"/>
                      <w:u w:val="none" w:color="auto"/>
                    </w:rPr>
                  </w:pPr>
                </w:p>
              </w:tc>
              <w:tc>
                <w:tcPr>
                  <w:tcW w:w="514"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C</w:t>
                  </w:r>
                  <w:r>
                    <w:rPr>
                      <w:rFonts w:hint="default" w:ascii="Times New Roman" w:hAnsi="Times New Roman" w:cs="Times New Roman"/>
                      <w:color w:val="auto"/>
                      <w:sz w:val="22"/>
                      <w:szCs w:val="22"/>
                      <w:u w:val="none" w:color="auto"/>
                    </w:rPr>
                    <w:t>O</w:t>
                  </w:r>
                </w:p>
              </w:tc>
              <w:tc>
                <w:tcPr>
                  <w:tcW w:w="1288"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95百分位数日平均质量浓度</w:t>
                  </w:r>
                </w:p>
              </w:tc>
              <w:tc>
                <w:tcPr>
                  <w:tcW w:w="742"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w:t>
                  </w:r>
                  <w:r>
                    <w:rPr>
                      <w:rFonts w:hint="eastAsia"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lang w:val="en-US" w:eastAsia="zh-CN"/>
                    </w:rPr>
                    <w:t>3</w:t>
                  </w:r>
                </w:p>
              </w:tc>
              <w:tc>
                <w:tcPr>
                  <w:tcW w:w="727"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4000</w:t>
                  </w:r>
                </w:p>
              </w:tc>
              <w:tc>
                <w:tcPr>
                  <w:tcW w:w="812"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0</w:t>
                  </w:r>
                </w:p>
              </w:tc>
              <w:tc>
                <w:tcPr>
                  <w:tcW w:w="431"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2" w:type="pct"/>
                  <w:vMerge w:val="continue"/>
                  <w:tcBorders>
                    <w:tl2br w:val="nil"/>
                    <w:tr2bl w:val="nil"/>
                  </w:tcBorders>
                  <w:noWrap w:val="0"/>
                  <w:vAlign w:val="center"/>
                </w:tcPr>
                <w:p>
                  <w:pPr>
                    <w:pStyle w:val="26"/>
                    <w:spacing w:line="240" w:lineRule="auto"/>
                    <w:jc w:val="center"/>
                    <w:rPr>
                      <w:rFonts w:hint="default" w:ascii="Times New Roman" w:hAnsi="Times New Roman" w:cs="Times New Roman"/>
                      <w:color w:val="auto"/>
                      <w:sz w:val="22"/>
                      <w:szCs w:val="22"/>
                      <w:u w:val="none" w:color="auto"/>
                    </w:rPr>
                  </w:pPr>
                </w:p>
              </w:tc>
              <w:tc>
                <w:tcPr>
                  <w:tcW w:w="514"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O</w:t>
                  </w:r>
                  <w:r>
                    <w:rPr>
                      <w:rFonts w:hint="default" w:ascii="Times New Roman" w:hAnsi="Times New Roman" w:cs="Times New Roman"/>
                      <w:color w:val="auto"/>
                      <w:sz w:val="22"/>
                      <w:szCs w:val="22"/>
                      <w:u w:val="none" w:color="auto"/>
                      <w:vertAlign w:val="subscript"/>
                      <w:lang w:val="en-US" w:eastAsia="zh-CN"/>
                    </w:rPr>
                    <w:t>3</w:t>
                  </w:r>
                </w:p>
              </w:tc>
              <w:tc>
                <w:tcPr>
                  <w:tcW w:w="1288"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90百分位数最大8小时平均质量浓度</w:t>
                  </w:r>
                </w:p>
              </w:tc>
              <w:tc>
                <w:tcPr>
                  <w:tcW w:w="742"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80.4</w:t>
                  </w:r>
                </w:p>
              </w:tc>
              <w:tc>
                <w:tcPr>
                  <w:tcW w:w="727"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160</w:t>
                  </w:r>
                </w:p>
              </w:tc>
              <w:tc>
                <w:tcPr>
                  <w:tcW w:w="812"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0</w:t>
                  </w:r>
                </w:p>
              </w:tc>
              <w:tc>
                <w:tcPr>
                  <w:tcW w:w="431" w:type="pct"/>
                  <w:tcBorders>
                    <w:tl2br w:val="nil"/>
                    <w:tr2bl w:val="nil"/>
                  </w:tcBorders>
                  <w:noWrap w:val="0"/>
                  <w:vAlign w:val="center"/>
                </w:tcPr>
                <w:p>
                  <w:pPr>
                    <w:pStyle w:val="26"/>
                    <w:spacing w:line="240" w:lineRule="auto"/>
                    <w:ind w:left="0" w:leftChars="0" w:firstLine="0" w:firstLineChars="0"/>
                    <w:jc w:val="center"/>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color w:val="auto"/>
                      <w:sz w:val="22"/>
                      <w:szCs w:val="22"/>
                      <w:u w:val="none" w:color="auto"/>
                      <w:lang w:val="en-US" w:eastAsia="zh-CN"/>
                    </w:rPr>
                    <w:t>达标</w:t>
                  </w:r>
                </w:p>
              </w:tc>
            </w:tr>
          </w:tbl>
          <w:p>
            <w:pPr>
              <w:pStyle w:val="27"/>
              <w:spacing w:line="360" w:lineRule="auto"/>
              <w:rPr>
                <w:rFonts w:eastAsia="宋体"/>
                <w:color w:val="auto"/>
                <w:u w:val="none" w:color="auto"/>
                <w:lang w:val="en-GB"/>
              </w:rPr>
            </w:pPr>
            <w:r>
              <w:rPr>
                <w:rFonts w:hint="default" w:ascii="Times New Roman" w:hAnsi="Times New Roman" w:cs="Times New Roman"/>
                <w:color w:val="auto"/>
                <w:sz w:val="24"/>
                <w:szCs w:val="24"/>
                <w:u w:val="none" w:color="auto"/>
                <w:lang w:eastAsia="zh-CN"/>
              </w:rPr>
              <w:t>由上表可知，</w:t>
            </w:r>
            <w:r>
              <w:rPr>
                <w:rFonts w:hint="default" w:ascii="Times New Roman" w:hAnsi="Times New Roman" w:cs="Times New Roman"/>
                <w:color w:val="auto"/>
                <w:sz w:val="24"/>
                <w:szCs w:val="24"/>
                <w:u w:val="none" w:color="auto"/>
                <w:lang w:val="en-US" w:eastAsia="zh-CN"/>
              </w:rPr>
              <w:t>湘阴县</w:t>
            </w:r>
            <w:r>
              <w:rPr>
                <w:rFonts w:hint="default" w:ascii="Times New Roman" w:hAnsi="Times New Roman" w:cs="Times New Roman"/>
                <w:color w:val="auto"/>
                <w:sz w:val="24"/>
                <w:szCs w:val="24"/>
                <w:u w:val="none" w:color="auto"/>
              </w:rPr>
              <w:t>PM</w:t>
            </w:r>
            <w:r>
              <w:rPr>
                <w:rFonts w:hint="default" w:ascii="Times New Roman" w:hAnsi="Times New Roman" w:cs="Times New Roman"/>
                <w:color w:val="auto"/>
                <w:sz w:val="24"/>
                <w:szCs w:val="24"/>
                <w:u w:val="none" w:color="auto"/>
                <w:vertAlign w:val="subscript"/>
              </w:rPr>
              <w:t>10</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SO</w:t>
            </w:r>
            <w:r>
              <w:rPr>
                <w:rFonts w:hint="default" w:ascii="Times New Roman" w:hAnsi="Times New Roman" w:cs="Times New Roman"/>
                <w:color w:val="auto"/>
                <w:sz w:val="24"/>
                <w:szCs w:val="24"/>
                <w:u w:val="none" w:color="auto"/>
                <w:vertAlign w:val="subscript"/>
              </w:rPr>
              <w:t>2</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NO</w:t>
            </w:r>
            <w:r>
              <w:rPr>
                <w:rFonts w:hint="default" w:ascii="Times New Roman" w:hAnsi="Times New Roman" w:cs="Times New Roman"/>
                <w:color w:val="auto"/>
                <w:sz w:val="24"/>
                <w:szCs w:val="24"/>
                <w:u w:val="none" w:color="auto"/>
                <w:vertAlign w:val="subscript"/>
              </w:rPr>
              <w:t>2</w:t>
            </w:r>
            <w:r>
              <w:rPr>
                <w:rFonts w:hint="default" w:ascii="Times New Roman" w:hAnsi="Times New Roman" w:cs="Times New Roman"/>
                <w:color w:val="auto"/>
                <w:sz w:val="24"/>
                <w:szCs w:val="24"/>
                <w:u w:val="none" w:color="auto"/>
                <w:vertAlign w:val="baseline"/>
                <w:lang w:eastAsia="zh-CN"/>
              </w:rPr>
              <w:t>、</w:t>
            </w:r>
            <w:r>
              <w:rPr>
                <w:rFonts w:hint="default" w:ascii="Times New Roman" w:hAnsi="Times New Roman" w:cs="Times New Roman"/>
                <w:color w:val="auto"/>
                <w:sz w:val="24"/>
                <w:szCs w:val="24"/>
                <w:u w:val="none" w:color="auto"/>
              </w:rPr>
              <w:t>PM</w:t>
            </w:r>
            <w:r>
              <w:rPr>
                <w:rFonts w:hint="default" w:ascii="Times New Roman" w:hAnsi="Times New Roman" w:cs="Times New Roman"/>
                <w:color w:val="auto"/>
                <w:sz w:val="24"/>
                <w:szCs w:val="24"/>
                <w:u w:val="none" w:color="auto"/>
                <w:vertAlign w:val="subscript"/>
                <w:lang w:val="en-US" w:eastAsia="zh-CN"/>
              </w:rPr>
              <w:t>2.5</w:t>
            </w:r>
            <w:r>
              <w:rPr>
                <w:rFonts w:hint="default" w:ascii="Times New Roman" w:hAnsi="Times New Roman" w:cs="Times New Roman"/>
                <w:color w:val="auto"/>
                <w:sz w:val="24"/>
                <w:szCs w:val="24"/>
                <w:u w:val="none" w:color="auto"/>
                <w:lang w:eastAsia="zh-CN"/>
              </w:rPr>
              <w:t>年平均质量浓度和</w:t>
            </w:r>
            <w:r>
              <w:rPr>
                <w:rFonts w:hint="default" w:ascii="Times New Roman" w:hAnsi="Times New Roman" w:cs="Times New Roman"/>
                <w:color w:val="auto"/>
                <w:sz w:val="24"/>
                <w:szCs w:val="24"/>
                <w:u w:val="none" w:color="auto"/>
                <w:lang w:val="en-US" w:eastAsia="zh-CN"/>
              </w:rPr>
              <w:t>C</w:t>
            </w:r>
            <w:r>
              <w:rPr>
                <w:rFonts w:hint="default" w:ascii="Times New Roman" w:hAnsi="Times New Roman" w:cs="Times New Roman"/>
                <w:color w:val="auto"/>
                <w:sz w:val="24"/>
                <w:szCs w:val="24"/>
                <w:u w:val="none" w:color="auto"/>
              </w:rPr>
              <w:t>O</w:t>
            </w:r>
            <w:r>
              <w:rPr>
                <w:rFonts w:hint="default" w:ascii="Times New Roman" w:hAnsi="Times New Roman" w:cs="Times New Roman"/>
                <w:color w:val="auto"/>
                <w:sz w:val="24"/>
                <w:szCs w:val="24"/>
                <w:u w:val="none" w:color="auto"/>
                <w:lang w:val="en-US" w:eastAsia="zh-CN"/>
              </w:rPr>
              <w:t>95百分位数</w:t>
            </w:r>
            <w:r>
              <w:rPr>
                <w:rFonts w:hint="default" w:ascii="Times New Roman" w:hAnsi="Times New Roman" w:cs="Times New Roman"/>
                <w:color w:val="auto"/>
                <w:sz w:val="24"/>
                <w:szCs w:val="24"/>
                <w:u w:val="none" w:color="auto"/>
                <w:lang w:eastAsia="zh-CN"/>
              </w:rPr>
              <w:t>日平均质量浓度、</w:t>
            </w:r>
            <w:r>
              <w:rPr>
                <w:rFonts w:hint="default" w:ascii="Times New Roman" w:hAnsi="Times New Roman" w:cs="Times New Roman"/>
                <w:color w:val="auto"/>
                <w:sz w:val="24"/>
                <w:szCs w:val="24"/>
                <w:u w:val="none" w:color="auto"/>
              </w:rPr>
              <w:t>O</w:t>
            </w:r>
            <w:r>
              <w:rPr>
                <w:rFonts w:hint="default" w:ascii="Times New Roman" w:hAnsi="Times New Roman" w:cs="Times New Roman"/>
                <w:color w:val="auto"/>
                <w:sz w:val="24"/>
                <w:szCs w:val="24"/>
                <w:u w:val="none" w:color="auto"/>
                <w:vertAlign w:val="subscript"/>
                <w:lang w:val="en-US" w:eastAsia="zh-CN"/>
              </w:rPr>
              <w:t>3</w:t>
            </w:r>
            <w:r>
              <w:rPr>
                <w:rFonts w:hint="default" w:ascii="Times New Roman" w:hAnsi="Times New Roman" w:cs="Times New Roman"/>
                <w:color w:val="auto"/>
                <w:sz w:val="24"/>
                <w:szCs w:val="24"/>
                <w:u w:val="none" w:color="auto"/>
                <w:lang w:val="en-US" w:eastAsia="zh-CN"/>
              </w:rPr>
              <w:t>90百分位数</w:t>
            </w:r>
            <w:r>
              <w:rPr>
                <w:rFonts w:hint="default" w:ascii="Times New Roman" w:hAnsi="Times New Roman" w:cs="Times New Roman"/>
                <w:color w:val="auto"/>
                <w:sz w:val="24"/>
                <w:szCs w:val="24"/>
                <w:u w:val="none" w:color="auto"/>
                <w:lang w:eastAsia="zh-CN"/>
              </w:rPr>
              <w:t>最大</w:t>
            </w:r>
            <w:r>
              <w:rPr>
                <w:rFonts w:hint="default" w:ascii="Times New Roman" w:hAnsi="Times New Roman" w:cs="Times New Roman"/>
                <w:color w:val="auto"/>
                <w:sz w:val="24"/>
                <w:szCs w:val="24"/>
                <w:u w:val="none" w:color="auto"/>
                <w:lang w:val="en-US" w:eastAsia="zh-CN"/>
              </w:rPr>
              <w:t>8小时平均质量浓度</w:t>
            </w:r>
            <w:r>
              <w:rPr>
                <w:rFonts w:hint="default" w:ascii="Times New Roman" w:hAnsi="Times New Roman" w:cs="Times New Roman"/>
                <w:color w:val="auto"/>
                <w:sz w:val="24"/>
                <w:szCs w:val="24"/>
                <w:u w:val="none" w:color="auto"/>
                <w:lang w:eastAsia="zh-CN"/>
              </w:rPr>
              <w:t>可达到</w:t>
            </w:r>
            <w:r>
              <w:rPr>
                <w:rFonts w:hint="default" w:ascii="Times New Roman" w:hAnsi="Times New Roman" w:cs="Times New Roman"/>
                <w:color w:val="auto"/>
                <w:sz w:val="24"/>
                <w:szCs w:val="24"/>
                <w:u w:val="none" w:color="auto"/>
              </w:rPr>
              <w:t>《环境空气质量标准》（GB3095-2012）中二级标准</w:t>
            </w:r>
            <w:r>
              <w:rPr>
                <w:rFonts w:hint="default" w:ascii="Times New Roman" w:hAnsi="Times New Roman" w:cs="Times New Roman"/>
                <w:color w:val="auto"/>
                <w:sz w:val="24"/>
                <w:szCs w:val="24"/>
                <w:u w:val="none" w:color="auto"/>
                <w:lang w:val="en-US" w:eastAsia="zh-CN"/>
              </w:rPr>
              <w:t>，项目所在区域为环境空气质量达标区</w:t>
            </w:r>
            <w:r>
              <w:rPr>
                <w:rFonts w:eastAsia="宋体"/>
                <w:color w:val="auto"/>
                <w:u w:val="none" w:color="auto"/>
                <w:lang w:val="en-GB"/>
              </w:rPr>
              <w:t>。</w:t>
            </w:r>
          </w:p>
          <w:p>
            <w:pPr>
              <w:numPr>
                <w:ilvl w:val="0"/>
                <w:numId w:val="0"/>
              </w:numPr>
              <w:adjustRightInd w:val="0"/>
              <w:snapToGrid w:val="0"/>
              <w:spacing w:line="360" w:lineRule="auto"/>
              <w:ind w:firstLine="480" w:firstLineChars="200"/>
              <w:jc w:val="both"/>
              <w:rPr>
                <w:rFonts w:hint="eastAsia" w:ascii="宋体" w:hAnsi="宋体" w:cs="宋体"/>
                <w:color w:val="FF0000"/>
                <w:kern w:val="0"/>
                <w:sz w:val="24"/>
                <w:szCs w:val="24"/>
                <w:u w:val="single"/>
                <w:lang w:val="en-US" w:eastAsia="zh-CN"/>
              </w:rPr>
            </w:pPr>
            <w:r>
              <w:rPr>
                <w:rFonts w:hint="default" w:ascii="Times New Roman" w:hAnsi="Times New Roman" w:eastAsia="宋体" w:cs="Times New Roman"/>
                <w:color w:val="FF0000"/>
                <w:sz w:val="24"/>
                <w:szCs w:val="24"/>
                <w:u w:val="single"/>
                <w:lang w:val="en-US" w:eastAsia="zh-CN"/>
              </w:rPr>
              <w:t>②特征因子</w:t>
            </w:r>
          </w:p>
          <w:p>
            <w:pPr>
              <w:bidi w:val="0"/>
              <w:spacing w:line="360" w:lineRule="auto"/>
              <w:ind w:firstLine="480" w:firstLineChars="200"/>
              <w:rPr>
                <w:rFonts w:hint="default" w:ascii="Times New Roman" w:hAnsi="Times New Roman" w:eastAsia="宋体" w:cs="Times New Roman"/>
                <w:color w:val="FF0000"/>
                <w:sz w:val="24"/>
                <w:szCs w:val="24"/>
                <w:highlight w:val="none"/>
                <w:u w:val="single"/>
              </w:rPr>
            </w:pPr>
            <w:r>
              <w:rPr>
                <w:rFonts w:hint="eastAsia" w:ascii="宋体" w:hAnsi="宋体" w:cs="宋体"/>
                <w:color w:val="FF0000"/>
                <w:kern w:val="0"/>
                <w:sz w:val="24"/>
                <w:szCs w:val="24"/>
                <w:u w:val="single"/>
                <w:lang w:val="en-US" w:eastAsia="zh-CN"/>
              </w:rPr>
              <w:t>本项目特征因子为“TVOC”,</w:t>
            </w:r>
            <w:r>
              <w:rPr>
                <w:rFonts w:hint="default" w:ascii="Times New Roman" w:hAnsi="Times New Roman" w:eastAsia="宋体" w:cs="Times New Roman"/>
                <w:color w:val="FF0000"/>
                <w:sz w:val="24"/>
                <w:szCs w:val="24"/>
                <w:highlight w:val="none"/>
                <w:u w:val="single"/>
                <w:lang w:eastAsia="zh-CN"/>
              </w:rPr>
              <w:t>故</w:t>
            </w:r>
            <w:r>
              <w:rPr>
                <w:rFonts w:hint="default" w:ascii="Times New Roman" w:hAnsi="Times New Roman" w:eastAsia="宋体" w:cs="Times New Roman"/>
                <w:color w:val="FF0000"/>
                <w:sz w:val="24"/>
                <w:szCs w:val="24"/>
                <w:highlight w:val="none"/>
                <w:u w:val="single"/>
              </w:rPr>
              <w:t>本环评</w:t>
            </w:r>
            <w:r>
              <w:rPr>
                <w:rFonts w:hint="default" w:ascii="Times New Roman" w:hAnsi="Times New Roman" w:eastAsia="宋体" w:cs="Times New Roman"/>
                <w:color w:val="FF0000"/>
                <w:sz w:val="24"/>
                <w:szCs w:val="24"/>
                <w:highlight w:val="none"/>
                <w:u w:val="single"/>
                <w:lang w:eastAsia="zh-CN"/>
              </w:rPr>
              <w:t>引用</w:t>
            </w:r>
            <w:r>
              <w:rPr>
                <w:rFonts w:hint="default" w:ascii="Times New Roman" w:hAnsi="Times New Roman" w:eastAsia="宋体" w:cs="Times New Roman"/>
                <w:color w:val="FF0000"/>
                <w:sz w:val="24"/>
                <w:szCs w:val="24"/>
                <w:highlight w:val="none"/>
                <w:u w:val="single"/>
                <w:lang w:val="en-US" w:eastAsia="zh-CN"/>
              </w:rPr>
              <w:t>《</w:t>
            </w:r>
            <w:r>
              <w:rPr>
                <w:rFonts w:hint="eastAsia" w:eastAsia="宋体" w:cs="Times New Roman"/>
                <w:color w:val="FF0000"/>
                <w:sz w:val="24"/>
                <w:szCs w:val="24"/>
                <w:highlight w:val="none"/>
                <w:u w:val="single"/>
                <w:lang w:val="en-US" w:eastAsia="zh-CN"/>
              </w:rPr>
              <w:t>系列免漆家具（年产模压门30000m</w:t>
            </w:r>
            <w:r>
              <w:rPr>
                <w:rFonts w:hint="eastAsia" w:eastAsia="宋体" w:cs="Times New Roman"/>
                <w:color w:val="FF0000"/>
                <w:sz w:val="24"/>
                <w:szCs w:val="24"/>
                <w:highlight w:val="none"/>
                <w:u w:val="single"/>
                <w:vertAlign w:val="superscript"/>
                <w:lang w:val="en-US" w:eastAsia="zh-CN"/>
              </w:rPr>
              <w:t>2</w:t>
            </w:r>
            <w:r>
              <w:rPr>
                <w:rFonts w:hint="eastAsia" w:eastAsia="宋体" w:cs="Times New Roman"/>
                <w:color w:val="FF0000"/>
                <w:sz w:val="24"/>
                <w:szCs w:val="24"/>
                <w:highlight w:val="none"/>
                <w:u w:val="single"/>
                <w:lang w:val="en-US" w:eastAsia="zh-CN"/>
              </w:rPr>
              <w:t>、模压雕刻房门8000套、木柜20000套）项目</w:t>
            </w:r>
            <w:r>
              <w:rPr>
                <w:rFonts w:hint="default" w:ascii="Times New Roman" w:hAnsi="Times New Roman" w:eastAsia="宋体" w:cs="Times New Roman"/>
                <w:color w:val="FF0000"/>
                <w:sz w:val="24"/>
                <w:szCs w:val="24"/>
                <w:highlight w:val="none"/>
                <w:u w:val="single"/>
                <w:lang w:val="en-US" w:eastAsia="zh-CN"/>
              </w:rPr>
              <w:t>》</w:t>
            </w:r>
            <w:r>
              <w:rPr>
                <w:rFonts w:hint="eastAsia" w:eastAsia="宋体" w:cs="Times New Roman"/>
                <w:color w:val="FF0000"/>
                <w:sz w:val="24"/>
                <w:szCs w:val="24"/>
                <w:highlight w:val="none"/>
                <w:u w:val="single"/>
                <w:lang w:val="en-US" w:eastAsia="zh-CN"/>
              </w:rPr>
              <w:t>2019</w:t>
            </w:r>
            <w:r>
              <w:rPr>
                <w:rFonts w:hint="default" w:ascii="Times New Roman" w:hAnsi="Times New Roman" w:eastAsia="宋体" w:cs="Times New Roman"/>
                <w:color w:val="FF0000"/>
                <w:sz w:val="24"/>
                <w:szCs w:val="24"/>
                <w:highlight w:val="none"/>
                <w:u w:val="single"/>
                <w:lang w:val="en-US" w:eastAsia="zh-CN"/>
              </w:rPr>
              <w:t>年</w:t>
            </w:r>
            <w:r>
              <w:rPr>
                <w:rFonts w:hint="eastAsia" w:eastAsia="宋体" w:cs="Times New Roman"/>
                <w:color w:val="FF0000"/>
                <w:sz w:val="24"/>
                <w:szCs w:val="24"/>
                <w:highlight w:val="none"/>
                <w:u w:val="single"/>
                <w:lang w:val="en-US" w:eastAsia="zh-CN"/>
              </w:rPr>
              <w:t>11</w:t>
            </w:r>
            <w:r>
              <w:rPr>
                <w:rFonts w:hint="default" w:ascii="Times New Roman" w:hAnsi="Times New Roman" w:eastAsia="宋体" w:cs="Times New Roman"/>
                <w:color w:val="FF0000"/>
                <w:sz w:val="24"/>
                <w:szCs w:val="24"/>
                <w:highlight w:val="none"/>
                <w:u w:val="single"/>
                <w:lang w:val="en-US" w:eastAsia="zh-CN"/>
              </w:rPr>
              <w:t>月</w:t>
            </w:r>
            <w:r>
              <w:rPr>
                <w:rFonts w:hint="eastAsia" w:eastAsia="宋体" w:cs="Times New Roman"/>
                <w:color w:val="FF0000"/>
                <w:sz w:val="24"/>
                <w:szCs w:val="24"/>
                <w:highlight w:val="none"/>
                <w:u w:val="single"/>
                <w:lang w:val="en-US" w:eastAsia="zh-CN"/>
              </w:rPr>
              <w:t>04</w:t>
            </w:r>
            <w:r>
              <w:rPr>
                <w:rFonts w:hint="default" w:ascii="Times New Roman" w:hAnsi="Times New Roman" w:eastAsia="宋体" w:cs="Times New Roman"/>
                <w:color w:val="FF0000"/>
                <w:sz w:val="24"/>
                <w:szCs w:val="24"/>
                <w:highlight w:val="none"/>
                <w:u w:val="single"/>
                <w:lang w:val="en-US" w:eastAsia="zh-CN"/>
              </w:rPr>
              <w:t>~</w:t>
            </w:r>
            <w:r>
              <w:rPr>
                <w:rFonts w:hint="eastAsia" w:eastAsia="宋体" w:cs="Times New Roman"/>
                <w:color w:val="FF0000"/>
                <w:sz w:val="24"/>
                <w:szCs w:val="24"/>
                <w:highlight w:val="none"/>
                <w:u w:val="single"/>
                <w:lang w:val="en-US" w:eastAsia="zh-CN"/>
              </w:rPr>
              <w:t>10</w:t>
            </w:r>
            <w:r>
              <w:rPr>
                <w:rFonts w:hint="default" w:ascii="Times New Roman" w:hAnsi="Times New Roman" w:eastAsia="宋体" w:cs="Times New Roman"/>
                <w:color w:val="FF0000"/>
                <w:sz w:val="24"/>
                <w:szCs w:val="24"/>
                <w:highlight w:val="none"/>
                <w:u w:val="single"/>
                <w:lang w:val="en-US" w:eastAsia="zh-CN"/>
              </w:rPr>
              <w:t>日对周边区域现状监测的数据</w:t>
            </w:r>
            <w:r>
              <w:rPr>
                <w:rFonts w:hint="default" w:ascii="Times New Roman" w:hAnsi="Times New Roman" w:eastAsia="宋体" w:cs="Times New Roman"/>
                <w:color w:val="FF0000"/>
                <w:sz w:val="24"/>
                <w:szCs w:val="24"/>
                <w:highlight w:val="none"/>
                <w:u w:val="single"/>
              </w:rPr>
              <w:t>，</w:t>
            </w:r>
            <w:r>
              <w:rPr>
                <w:rFonts w:hint="eastAsia" w:eastAsia="宋体" w:cs="Times New Roman"/>
                <w:color w:val="FF0000"/>
                <w:sz w:val="24"/>
                <w:szCs w:val="24"/>
                <w:highlight w:val="none"/>
                <w:u w:val="single"/>
                <w:lang w:val="en-US" w:eastAsia="zh-CN"/>
              </w:rPr>
              <w:t>蓝天豚绿色建筑新材料（湘阴）有限公司</w:t>
            </w:r>
            <w:r>
              <w:rPr>
                <w:rFonts w:hint="default" w:ascii="Times New Roman" w:hAnsi="Times New Roman" w:eastAsia="宋体" w:cs="Times New Roman"/>
                <w:color w:val="FF0000"/>
                <w:sz w:val="24"/>
                <w:szCs w:val="24"/>
                <w:highlight w:val="none"/>
                <w:u w:val="single"/>
                <w:lang w:eastAsia="zh-CN"/>
              </w:rPr>
              <w:t>位于</w:t>
            </w:r>
            <w:r>
              <w:rPr>
                <w:rFonts w:hint="default" w:ascii="Times New Roman" w:hAnsi="Times New Roman" w:eastAsia="宋体" w:cs="Times New Roman"/>
                <w:color w:val="FF0000"/>
                <w:sz w:val="24"/>
                <w:szCs w:val="24"/>
                <w:highlight w:val="none"/>
                <w:u w:val="single"/>
                <w:lang w:val="en-US" w:eastAsia="zh-CN"/>
              </w:rPr>
              <w:t>本项目</w:t>
            </w:r>
            <w:r>
              <w:rPr>
                <w:rFonts w:hint="eastAsia" w:eastAsia="宋体" w:cs="Times New Roman"/>
                <w:color w:val="FF0000"/>
                <w:sz w:val="24"/>
                <w:szCs w:val="24"/>
                <w:highlight w:val="none"/>
                <w:u w:val="single"/>
                <w:lang w:val="en-US" w:eastAsia="zh-CN"/>
              </w:rPr>
              <w:t>东北侧700</w:t>
            </w:r>
            <w:r>
              <w:rPr>
                <w:rFonts w:hint="default" w:ascii="Times New Roman" w:hAnsi="Times New Roman" w:eastAsia="宋体" w:cs="Times New Roman"/>
                <w:color w:val="FF0000"/>
                <w:sz w:val="24"/>
                <w:szCs w:val="24"/>
                <w:highlight w:val="none"/>
                <w:u w:val="single"/>
                <w:lang w:val="en-US" w:eastAsia="zh-CN"/>
              </w:rPr>
              <w:t>米处。</w:t>
            </w:r>
            <w:r>
              <w:rPr>
                <w:rFonts w:hint="default" w:ascii="Times New Roman" w:hAnsi="Times New Roman" w:eastAsia="宋体" w:cs="Times New Roman"/>
                <w:color w:val="FF0000"/>
                <w:sz w:val="24"/>
                <w:szCs w:val="24"/>
                <w:highlight w:val="none"/>
                <w:u w:val="single"/>
              </w:rPr>
              <w:t>根据引用数据的时间与距离，其符合《环境影响评价技术导则  大气环境》（HJ2.2-2018）中的对于引用数据的要求，本次环评引用数据可行。</w:t>
            </w:r>
          </w:p>
          <w:p>
            <w:pPr>
              <w:bidi w:val="0"/>
              <w:spacing w:line="360" w:lineRule="auto"/>
              <w:ind w:firstLine="480" w:firstLineChars="200"/>
              <w:rPr>
                <w:rFonts w:hint="default" w:ascii="Times New Roman" w:hAnsi="Times New Roman" w:eastAsia="宋体" w:cs="Times New Roman"/>
                <w:color w:val="FF0000"/>
                <w:sz w:val="24"/>
                <w:szCs w:val="24"/>
                <w:highlight w:val="none"/>
                <w:u w:val="single"/>
                <w:lang w:val="en-US" w:eastAsia="zh-CN"/>
              </w:rPr>
            </w:pPr>
            <w:r>
              <w:rPr>
                <w:rFonts w:hint="default" w:ascii="Times New Roman" w:hAnsi="Times New Roman" w:eastAsia="宋体" w:cs="Times New Roman"/>
                <w:color w:val="FF0000"/>
                <w:sz w:val="24"/>
                <w:szCs w:val="24"/>
                <w:highlight w:val="none"/>
                <w:u w:val="single"/>
                <w:lang w:eastAsia="zh-CN"/>
              </w:rPr>
              <w:t>①</w:t>
            </w:r>
            <w:r>
              <w:rPr>
                <w:rFonts w:hint="default" w:ascii="Times New Roman" w:hAnsi="Times New Roman" w:eastAsia="宋体" w:cs="Times New Roman"/>
                <w:color w:val="FF0000"/>
                <w:sz w:val="24"/>
                <w:szCs w:val="24"/>
                <w:highlight w:val="none"/>
                <w:u w:val="single"/>
                <w:lang w:val="en-US" w:eastAsia="zh-CN"/>
              </w:rPr>
              <w:t>监测点位：常年主导风向上风向G1、常年主导风向下风向G2</w:t>
            </w:r>
          </w:p>
          <w:p>
            <w:pPr>
              <w:bidi w:val="0"/>
              <w:spacing w:line="360" w:lineRule="auto"/>
              <w:ind w:firstLine="480" w:firstLineChars="200"/>
              <w:rPr>
                <w:rFonts w:hint="default" w:ascii="Times New Roman" w:hAnsi="Times New Roman" w:eastAsia="宋体" w:cs="Times New Roman"/>
                <w:color w:val="FF0000"/>
                <w:sz w:val="24"/>
                <w:szCs w:val="24"/>
                <w:highlight w:val="none"/>
                <w:u w:val="single"/>
                <w:lang w:val="en-US" w:eastAsia="zh-CN"/>
              </w:rPr>
            </w:pPr>
            <w:r>
              <w:rPr>
                <w:rFonts w:hint="default" w:ascii="Times New Roman" w:hAnsi="Times New Roman" w:eastAsia="宋体" w:cs="Times New Roman"/>
                <w:color w:val="FF0000"/>
                <w:sz w:val="24"/>
                <w:szCs w:val="24"/>
                <w:highlight w:val="none"/>
                <w:u w:val="single"/>
                <w:lang w:eastAsia="zh-CN"/>
              </w:rPr>
              <w:t>②</w:t>
            </w:r>
            <w:r>
              <w:rPr>
                <w:rFonts w:hint="default" w:ascii="Times New Roman" w:hAnsi="Times New Roman" w:eastAsia="宋体" w:cs="Times New Roman"/>
                <w:color w:val="FF0000"/>
                <w:sz w:val="24"/>
                <w:szCs w:val="24"/>
                <w:highlight w:val="none"/>
                <w:u w:val="single"/>
                <w:lang w:val="en-US" w:eastAsia="zh-CN"/>
              </w:rPr>
              <w:t>监测因子：</w:t>
            </w:r>
            <w:r>
              <w:rPr>
                <w:rFonts w:hint="default" w:ascii="Times New Roman" w:hAnsi="Times New Roman" w:eastAsia="宋体" w:cs="Times New Roman"/>
                <w:color w:val="FF0000"/>
                <w:sz w:val="24"/>
                <w:szCs w:val="24"/>
                <w:highlight w:val="none"/>
                <w:u w:val="single"/>
                <w:lang w:eastAsia="zh-CN"/>
              </w:rPr>
              <w:t>TVOC</w:t>
            </w:r>
          </w:p>
          <w:p>
            <w:pPr>
              <w:bidi w:val="0"/>
              <w:spacing w:line="360" w:lineRule="auto"/>
              <w:ind w:firstLine="480" w:firstLineChars="200"/>
              <w:rPr>
                <w:rFonts w:hint="default" w:ascii="Times New Roman" w:hAnsi="Times New Roman" w:eastAsia="宋体" w:cs="Times New Roman"/>
                <w:color w:val="FF0000"/>
                <w:sz w:val="24"/>
                <w:szCs w:val="24"/>
                <w:highlight w:val="none"/>
                <w:u w:val="single"/>
                <w:lang w:val="en-US" w:eastAsia="zh-CN"/>
              </w:rPr>
            </w:pPr>
            <w:r>
              <w:rPr>
                <w:rFonts w:hint="default" w:ascii="Times New Roman" w:hAnsi="Times New Roman" w:eastAsia="宋体" w:cs="Times New Roman"/>
                <w:color w:val="FF0000"/>
                <w:sz w:val="24"/>
                <w:szCs w:val="24"/>
                <w:highlight w:val="none"/>
                <w:u w:val="single"/>
                <w:lang w:eastAsia="zh-CN"/>
              </w:rPr>
              <w:t>③</w:t>
            </w:r>
            <w:r>
              <w:rPr>
                <w:rFonts w:hint="default" w:ascii="Times New Roman" w:hAnsi="Times New Roman" w:eastAsia="宋体" w:cs="Times New Roman"/>
                <w:color w:val="FF0000"/>
                <w:sz w:val="24"/>
                <w:szCs w:val="24"/>
                <w:highlight w:val="none"/>
                <w:u w:val="single"/>
                <w:lang w:val="en-US" w:eastAsia="zh-CN"/>
              </w:rPr>
              <w:t>监测时间：20</w:t>
            </w:r>
            <w:r>
              <w:rPr>
                <w:rFonts w:hint="eastAsia" w:eastAsia="宋体" w:cs="Times New Roman"/>
                <w:color w:val="FF0000"/>
                <w:sz w:val="24"/>
                <w:szCs w:val="24"/>
                <w:highlight w:val="none"/>
                <w:u w:val="single"/>
                <w:lang w:val="en-US" w:eastAsia="zh-CN"/>
              </w:rPr>
              <w:t>19</w:t>
            </w:r>
            <w:r>
              <w:rPr>
                <w:rFonts w:hint="default" w:ascii="Times New Roman" w:hAnsi="Times New Roman" w:eastAsia="宋体" w:cs="Times New Roman"/>
                <w:color w:val="FF0000"/>
                <w:sz w:val="24"/>
                <w:szCs w:val="24"/>
                <w:highlight w:val="none"/>
                <w:u w:val="single"/>
                <w:lang w:val="en-US" w:eastAsia="zh-CN"/>
              </w:rPr>
              <w:t>年</w:t>
            </w:r>
            <w:r>
              <w:rPr>
                <w:rFonts w:hint="eastAsia" w:eastAsia="宋体" w:cs="Times New Roman"/>
                <w:color w:val="FF0000"/>
                <w:sz w:val="24"/>
                <w:szCs w:val="24"/>
                <w:highlight w:val="none"/>
                <w:u w:val="single"/>
                <w:lang w:val="en-US" w:eastAsia="zh-CN"/>
              </w:rPr>
              <w:t>11</w:t>
            </w:r>
            <w:r>
              <w:rPr>
                <w:rFonts w:hint="default" w:ascii="Times New Roman" w:hAnsi="Times New Roman" w:eastAsia="宋体" w:cs="Times New Roman"/>
                <w:color w:val="FF0000"/>
                <w:sz w:val="24"/>
                <w:szCs w:val="24"/>
                <w:highlight w:val="none"/>
                <w:u w:val="single"/>
                <w:lang w:val="en-US" w:eastAsia="zh-CN"/>
              </w:rPr>
              <w:t>月</w:t>
            </w:r>
            <w:r>
              <w:rPr>
                <w:rFonts w:hint="eastAsia" w:eastAsia="宋体" w:cs="Times New Roman"/>
                <w:color w:val="FF0000"/>
                <w:sz w:val="24"/>
                <w:szCs w:val="24"/>
                <w:highlight w:val="none"/>
                <w:u w:val="single"/>
                <w:lang w:val="en-US" w:eastAsia="zh-CN"/>
              </w:rPr>
              <w:t>04</w:t>
            </w:r>
            <w:r>
              <w:rPr>
                <w:rFonts w:hint="default" w:ascii="Times New Roman" w:hAnsi="Times New Roman" w:eastAsia="宋体" w:cs="Times New Roman"/>
                <w:color w:val="FF0000"/>
                <w:sz w:val="24"/>
                <w:szCs w:val="24"/>
                <w:highlight w:val="none"/>
                <w:u w:val="single"/>
                <w:lang w:val="en-US" w:eastAsia="zh-CN"/>
              </w:rPr>
              <w:t>日-</w:t>
            </w:r>
            <w:r>
              <w:rPr>
                <w:rFonts w:hint="eastAsia" w:eastAsia="宋体" w:cs="Times New Roman"/>
                <w:color w:val="FF0000"/>
                <w:sz w:val="24"/>
                <w:szCs w:val="24"/>
                <w:highlight w:val="none"/>
                <w:u w:val="single"/>
                <w:lang w:val="en-US" w:eastAsia="zh-CN"/>
              </w:rPr>
              <w:t>10</w:t>
            </w:r>
            <w:r>
              <w:rPr>
                <w:rFonts w:hint="default" w:ascii="Times New Roman" w:hAnsi="Times New Roman" w:eastAsia="宋体" w:cs="Times New Roman"/>
                <w:color w:val="FF0000"/>
                <w:sz w:val="24"/>
                <w:szCs w:val="24"/>
                <w:highlight w:val="none"/>
                <w:u w:val="single"/>
                <w:lang w:val="en-US" w:eastAsia="zh-CN"/>
              </w:rPr>
              <w:t>日</w:t>
            </w:r>
          </w:p>
          <w:p>
            <w:pPr>
              <w:bidi w:val="0"/>
              <w:spacing w:line="360" w:lineRule="auto"/>
              <w:ind w:firstLine="480" w:firstLineChars="200"/>
              <w:rPr>
                <w:rFonts w:hint="default" w:ascii="Times New Roman" w:hAnsi="Times New Roman" w:eastAsia="宋体" w:cs="Times New Roman"/>
                <w:color w:val="FF0000"/>
                <w:sz w:val="24"/>
                <w:szCs w:val="24"/>
                <w:highlight w:val="none"/>
                <w:u w:val="single"/>
                <w:lang w:val="en-US" w:eastAsia="zh-CN"/>
              </w:rPr>
            </w:pPr>
            <w:r>
              <w:rPr>
                <w:rFonts w:hint="default" w:ascii="Times New Roman" w:hAnsi="Times New Roman" w:eastAsia="宋体" w:cs="Times New Roman"/>
                <w:color w:val="FF0000"/>
                <w:sz w:val="24"/>
                <w:szCs w:val="24"/>
                <w:highlight w:val="none"/>
                <w:u w:val="single"/>
                <w:lang w:eastAsia="zh-CN"/>
              </w:rPr>
              <w:t>④</w:t>
            </w:r>
            <w:r>
              <w:rPr>
                <w:rFonts w:hint="default" w:ascii="Times New Roman" w:hAnsi="Times New Roman" w:eastAsia="宋体" w:cs="Times New Roman"/>
                <w:color w:val="FF0000"/>
                <w:sz w:val="24"/>
                <w:szCs w:val="24"/>
                <w:highlight w:val="none"/>
                <w:u w:val="single"/>
                <w:lang w:val="en-US" w:eastAsia="zh-CN"/>
              </w:rPr>
              <w:t>监测结果</w:t>
            </w:r>
          </w:p>
          <w:p>
            <w:pPr>
              <w:bidi w:val="0"/>
              <w:spacing w:line="360" w:lineRule="auto"/>
              <w:ind w:firstLine="480" w:firstLineChars="200"/>
              <w:rPr>
                <w:rFonts w:hint="default" w:ascii="Times New Roman" w:hAnsi="Times New Roman" w:eastAsia="宋体" w:cs="Times New Roman"/>
                <w:color w:val="FF0000"/>
                <w:sz w:val="24"/>
                <w:szCs w:val="24"/>
                <w:highlight w:val="none"/>
                <w:u w:val="single"/>
                <w:lang w:val="en-US" w:eastAsia="zh-CN"/>
              </w:rPr>
            </w:pPr>
            <w:r>
              <w:rPr>
                <w:rFonts w:hint="default" w:ascii="Times New Roman" w:hAnsi="Times New Roman" w:eastAsia="宋体" w:cs="Times New Roman"/>
                <w:color w:val="FF0000"/>
                <w:sz w:val="24"/>
                <w:szCs w:val="24"/>
                <w:highlight w:val="none"/>
                <w:u w:val="single"/>
                <w:lang w:val="en-US" w:eastAsia="zh-CN"/>
              </w:rPr>
              <w:t>监测结果见表3-</w:t>
            </w:r>
            <w:r>
              <w:rPr>
                <w:rFonts w:hint="eastAsia" w:cs="Times New Roman"/>
                <w:color w:val="FF0000"/>
                <w:sz w:val="24"/>
                <w:szCs w:val="24"/>
                <w:highlight w:val="none"/>
                <w:u w:val="single"/>
                <w:lang w:val="en-US" w:eastAsia="zh-CN"/>
              </w:rPr>
              <w:t>2</w:t>
            </w:r>
            <w:r>
              <w:rPr>
                <w:rFonts w:hint="default" w:ascii="Times New Roman" w:hAnsi="Times New Roman" w:eastAsia="宋体" w:cs="Times New Roman"/>
                <w:color w:val="FF0000"/>
                <w:sz w:val="24"/>
                <w:szCs w:val="24"/>
                <w:highlight w:val="none"/>
                <w:u w:val="single"/>
                <w:lang w:val="en-US" w:eastAsia="zh-CN"/>
              </w:rPr>
              <w:t>。</w:t>
            </w:r>
          </w:p>
          <w:p>
            <w:pPr>
              <w:bidi w:val="0"/>
              <w:spacing w:line="360" w:lineRule="auto"/>
              <w:jc w:val="center"/>
              <w:rPr>
                <w:rFonts w:hint="default" w:ascii="Times New Roman" w:hAnsi="Times New Roman" w:eastAsia="宋体" w:cs="Times New Roman"/>
                <w:b/>
                <w:bCs/>
                <w:color w:val="FF0000"/>
                <w:sz w:val="24"/>
                <w:szCs w:val="24"/>
                <w:u w:val="single"/>
                <w:lang w:val="en-US" w:eastAsia="zh-CN"/>
              </w:rPr>
            </w:pPr>
            <w:r>
              <w:rPr>
                <w:rFonts w:hint="default" w:ascii="Times New Roman" w:hAnsi="Times New Roman" w:eastAsia="宋体" w:cs="Times New Roman"/>
                <w:b/>
                <w:bCs/>
                <w:color w:val="FF0000"/>
                <w:sz w:val="24"/>
                <w:szCs w:val="24"/>
                <w:u w:val="single"/>
                <w:lang w:val="en-US" w:eastAsia="zh-CN"/>
              </w:rPr>
              <w:t>表3-</w:t>
            </w:r>
            <w:r>
              <w:rPr>
                <w:rFonts w:hint="eastAsia" w:cs="Times New Roman"/>
                <w:b/>
                <w:bCs/>
                <w:color w:val="FF0000"/>
                <w:sz w:val="24"/>
                <w:szCs w:val="24"/>
                <w:u w:val="single"/>
                <w:lang w:val="en-US" w:eastAsia="zh-CN"/>
              </w:rPr>
              <w:t>2</w:t>
            </w:r>
            <w:r>
              <w:rPr>
                <w:rFonts w:hint="default" w:ascii="Times New Roman" w:hAnsi="Times New Roman" w:eastAsia="宋体" w:cs="Times New Roman"/>
                <w:b/>
                <w:bCs/>
                <w:color w:val="FF0000"/>
                <w:sz w:val="24"/>
                <w:szCs w:val="24"/>
                <w:u w:val="single"/>
                <w:lang w:val="en-US" w:eastAsia="zh-CN"/>
              </w:rPr>
              <w:t xml:space="preserve">   项目所在区域特征因子监测结果   单位：mg/m</w:t>
            </w:r>
            <w:r>
              <w:rPr>
                <w:rFonts w:hint="default" w:ascii="Times New Roman" w:hAnsi="Times New Roman" w:eastAsia="宋体" w:cs="Times New Roman"/>
                <w:b/>
                <w:bCs/>
                <w:color w:val="FF0000"/>
                <w:sz w:val="24"/>
                <w:szCs w:val="24"/>
                <w:u w:val="single"/>
                <w:vertAlign w:val="superscript"/>
                <w:lang w:val="en-US" w:eastAsia="zh-CN"/>
              </w:rPr>
              <w:t>3</w:t>
            </w:r>
          </w:p>
          <w:tbl>
            <w:tblPr>
              <w:tblStyle w:val="15"/>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09"/>
              <w:gridCol w:w="1144"/>
              <w:gridCol w:w="1488"/>
              <w:gridCol w:w="958"/>
              <w:gridCol w:w="916"/>
              <w:gridCol w:w="11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3" w:type="pct"/>
                  <w:tcBorders>
                    <w:tl2br w:val="nil"/>
                    <w:tr2bl w:val="nil"/>
                  </w:tcBorders>
                  <w:noWrap w:val="0"/>
                  <w:vAlign w:val="center"/>
                </w:tcPr>
                <w:p>
                  <w:pPr>
                    <w:bidi w:val="0"/>
                    <w:spacing w:line="240" w:lineRule="auto"/>
                    <w:jc w:val="center"/>
                    <w:rPr>
                      <w:rFonts w:hint="default" w:ascii="Times New Roman" w:hAnsi="Times New Roman" w:eastAsia="宋体" w:cs="Times New Roman"/>
                      <w:b/>
                      <w:bCs/>
                      <w:color w:val="FF0000"/>
                      <w:sz w:val="21"/>
                      <w:szCs w:val="21"/>
                      <w:highlight w:val="none"/>
                      <w:u w:val="single"/>
                    </w:rPr>
                  </w:pPr>
                  <w:r>
                    <w:rPr>
                      <w:rFonts w:hint="default" w:ascii="Times New Roman" w:hAnsi="Times New Roman" w:eastAsia="宋体" w:cs="Times New Roman"/>
                      <w:b/>
                      <w:bCs/>
                      <w:color w:val="FF0000"/>
                      <w:sz w:val="21"/>
                      <w:szCs w:val="21"/>
                      <w:highlight w:val="none"/>
                      <w:u w:val="single"/>
                      <w:lang w:val="en-US" w:eastAsia="zh-CN"/>
                    </w:rPr>
                    <w:t>监测点位</w:t>
                  </w:r>
                </w:p>
              </w:tc>
              <w:tc>
                <w:tcPr>
                  <w:tcW w:w="720" w:type="pct"/>
                  <w:tcBorders>
                    <w:tl2br w:val="nil"/>
                    <w:tr2bl w:val="nil"/>
                  </w:tcBorders>
                  <w:noWrap w:val="0"/>
                  <w:vAlign w:val="center"/>
                </w:tcPr>
                <w:p>
                  <w:pPr>
                    <w:bidi w:val="0"/>
                    <w:spacing w:line="240" w:lineRule="auto"/>
                    <w:jc w:val="center"/>
                    <w:rPr>
                      <w:rFonts w:hint="default" w:ascii="Times New Roman" w:hAnsi="Times New Roman" w:eastAsia="宋体" w:cs="Times New Roman"/>
                      <w:b/>
                      <w:bCs/>
                      <w:color w:val="FF0000"/>
                      <w:sz w:val="21"/>
                      <w:szCs w:val="21"/>
                      <w:highlight w:val="none"/>
                      <w:u w:val="single"/>
                    </w:rPr>
                  </w:pPr>
                  <w:r>
                    <w:rPr>
                      <w:rFonts w:hint="default" w:ascii="Times New Roman" w:hAnsi="Times New Roman" w:eastAsia="宋体" w:cs="Times New Roman"/>
                      <w:b/>
                      <w:bCs/>
                      <w:color w:val="FF0000"/>
                      <w:sz w:val="21"/>
                      <w:szCs w:val="21"/>
                      <w:highlight w:val="none"/>
                      <w:u w:val="single"/>
                      <w:lang w:val="en-US" w:eastAsia="zh-CN"/>
                    </w:rPr>
                    <w:t>监测项目</w:t>
                  </w:r>
                </w:p>
              </w:tc>
              <w:tc>
                <w:tcPr>
                  <w:tcW w:w="936" w:type="pct"/>
                  <w:tcBorders>
                    <w:tl2br w:val="nil"/>
                    <w:tr2bl w:val="nil"/>
                  </w:tcBorders>
                  <w:noWrap w:val="0"/>
                  <w:vAlign w:val="center"/>
                </w:tcPr>
                <w:p>
                  <w:pPr>
                    <w:bidi w:val="0"/>
                    <w:spacing w:line="240" w:lineRule="auto"/>
                    <w:jc w:val="center"/>
                    <w:rPr>
                      <w:rFonts w:hint="default" w:ascii="Times New Roman" w:hAnsi="Times New Roman" w:eastAsia="宋体" w:cs="Times New Roman"/>
                      <w:b/>
                      <w:bCs/>
                      <w:color w:val="FF0000"/>
                      <w:sz w:val="21"/>
                      <w:szCs w:val="21"/>
                      <w:highlight w:val="none"/>
                      <w:u w:val="single"/>
                    </w:rPr>
                  </w:pPr>
                  <w:r>
                    <w:rPr>
                      <w:rFonts w:hint="default" w:ascii="Times New Roman" w:hAnsi="Times New Roman" w:eastAsia="宋体" w:cs="Times New Roman"/>
                      <w:b/>
                      <w:bCs/>
                      <w:color w:val="FF0000"/>
                      <w:sz w:val="21"/>
                      <w:szCs w:val="21"/>
                      <w:highlight w:val="none"/>
                      <w:u w:val="single"/>
                      <w:lang w:val="en-US" w:eastAsia="zh-CN"/>
                    </w:rPr>
                    <w:t>监测结果</w:t>
                  </w:r>
                </w:p>
              </w:tc>
              <w:tc>
                <w:tcPr>
                  <w:tcW w:w="603" w:type="pct"/>
                  <w:tcBorders>
                    <w:tl2br w:val="nil"/>
                    <w:tr2bl w:val="nil"/>
                  </w:tcBorders>
                  <w:noWrap w:val="0"/>
                  <w:vAlign w:val="center"/>
                </w:tcPr>
                <w:p>
                  <w:pPr>
                    <w:bidi w:val="0"/>
                    <w:spacing w:line="240" w:lineRule="auto"/>
                    <w:jc w:val="center"/>
                    <w:rPr>
                      <w:rFonts w:hint="default" w:ascii="Times New Roman" w:hAnsi="Times New Roman" w:eastAsia="宋体" w:cs="Times New Roman"/>
                      <w:b/>
                      <w:bCs/>
                      <w:color w:val="FF0000"/>
                      <w:sz w:val="21"/>
                      <w:szCs w:val="21"/>
                      <w:highlight w:val="none"/>
                      <w:u w:val="single"/>
                    </w:rPr>
                  </w:pPr>
                  <w:r>
                    <w:rPr>
                      <w:rFonts w:hint="default" w:ascii="Times New Roman" w:hAnsi="Times New Roman" w:eastAsia="宋体" w:cs="Times New Roman"/>
                      <w:b/>
                      <w:bCs/>
                      <w:color w:val="FF0000"/>
                      <w:sz w:val="21"/>
                      <w:szCs w:val="21"/>
                      <w:highlight w:val="none"/>
                      <w:u w:val="single"/>
                      <w:lang w:val="en-US" w:eastAsia="zh-CN"/>
                    </w:rPr>
                    <w:t>标准值</w:t>
                  </w:r>
                </w:p>
              </w:tc>
              <w:tc>
                <w:tcPr>
                  <w:tcW w:w="576" w:type="pct"/>
                  <w:tcBorders>
                    <w:tl2br w:val="nil"/>
                    <w:tr2bl w:val="nil"/>
                  </w:tcBorders>
                  <w:noWrap w:val="0"/>
                  <w:vAlign w:val="center"/>
                </w:tcPr>
                <w:p>
                  <w:pPr>
                    <w:bidi w:val="0"/>
                    <w:spacing w:line="240" w:lineRule="auto"/>
                    <w:jc w:val="center"/>
                    <w:rPr>
                      <w:rFonts w:hint="default" w:ascii="Times New Roman" w:hAnsi="Times New Roman" w:eastAsia="宋体" w:cs="Times New Roman"/>
                      <w:b/>
                      <w:bCs/>
                      <w:color w:val="FF0000"/>
                      <w:sz w:val="21"/>
                      <w:szCs w:val="21"/>
                      <w:highlight w:val="none"/>
                      <w:u w:val="single"/>
                    </w:rPr>
                  </w:pPr>
                  <w:r>
                    <w:rPr>
                      <w:rFonts w:hint="eastAsia" w:cs="Times New Roman"/>
                      <w:b/>
                      <w:bCs/>
                      <w:color w:val="FF0000"/>
                      <w:sz w:val="21"/>
                      <w:szCs w:val="21"/>
                      <w:highlight w:val="none"/>
                      <w:u w:val="single"/>
                      <w:lang w:val="en-US" w:eastAsia="zh-CN"/>
                    </w:rPr>
                    <w:t>超标率</w:t>
                  </w:r>
                </w:p>
              </w:tc>
              <w:tc>
                <w:tcPr>
                  <w:tcW w:w="708" w:type="pct"/>
                  <w:tcBorders>
                    <w:tl2br w:val="nil"/>
                    <w:tr2bl w:val="nil"/>
                  </w:tcBorders>
                  <w:noWrap w:val="0"/>
                  <w:vAlign w:val="center"/>
                </w:tcPr>
                <w:p>
                  <w:pPr>
                    <w:bidi w:val="0"/>
                    <w:spacing w:line="240" w:lineRule="auto"/>
                    <w:jc w:val="center"/>
                    <w:rPr>
                      <w:rFonts w:hint="default" w:ascii="Times New Roman" w:hAnsi="Times New Roman" w:eastAsia="宋体" w:cs="Times New Roman"/>
                      <w:b/>
                      <w:bCs/>
                      <w:color w:val="FF0000"/>
                      <w:sz w:val="21"/>
                      <w:szCs w:val="21"/>
                      <w:highlight w:val="none"/>
                      <w:u w:val="single"/>
                    </w:rPr>
                  </w:pPr>
                  <w:r>
                    <w:rPr>
                      <w:rFonts w:hint="default" w:ascii="Times New Roman" w:hAnsi="Times New Roman" w:eastAsia="宋体" w:cs="Times New Roman"/>
                      <w:b/>
                      <w:bCs/>
                      <w:color w:val="FF0000"/>
                      <w:sz w:val="21"/>
                      <w:szCs w:val="21"/>
                      <w:highlight w:val="none"/>
                      <w:u w:val="single"/>
                      <w:lang w:val="en-US"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3" w:type="pct"/>
                  <w:tcBorders>
                    <w:tl2br w:val="nil"/>
                    <w:tr2bl w:val="nil"/>
                  </w:tcBorders>
                  <w:noWrap w:val="0"/>
                  <w:vAlign w:val="center"/>
                </w:tcPr>
                <w:p>
                  <w:pPr>
                    <w:bidi w:val="0"/>
                    <w:spacing w:line="240" w:lineRule="auto"/>
                    <w:jc w:val="center"/>
                    <w:rPr>
                      <w:rFonts w:hint="default" w:ascii="Times New Roman" w:hAnsi="Times New Roman" w:eastAsia="宋体" w:cs="Times New Roman"/>
                      <w:color w:val="FF0000"/>
                      <w:sz w:val="21"/>
                      <w:szCs w:val="21"/>
                      <w:highlight w:val="none"/>
                      <w:u w:val="single"/>
                      <w:lang w:val="en-US" w:eastAsia="zh-CN"/>
                    </w:rPr>
                  </w:pPr>
                  <w:r>
                    <w:rPr>
                      <w:rFonts w:hint="default" w:ascii="Times New Roman" w:hAnsi="Times New Roman" w:eastAsia="宋体" w:cs="Times New Roman"/>
                      <w:color w:val="FF0000"/>
                      <w:sz w:val="21"/>
                      <w:szCs w:val="21"/>
                      <w:highlight w:val="none"/>
                      <w:u w:val="single"/>
                      <w:lang w:val="en-US" w:eastAsia="zh-CN"/>
                    </w:rPr>
                    <w:t>常年主导风向上风向</w:t>
                  </w:r>
                </w:p>
              </w:tc>
              <w:tc>
                <w:tcPr>
                  <w:tcW w:w="720" w:type="pct"/>
                  <w:tcBorders>
                    <w:tl2br w:val="nil"/>
                    <w:tr2bl w:val="nil"/>
                  </w:tcBorders>
                  <w:noWrap w:val="0"/>
                  <w:vAlign w:val="center"/>
                </w:tcPr>
                <w:p>
                  <w:pPr>
                    <w:bidi w:val="0"/>
                    <w:spacing w:line="240" w:lineRule="auto"/>
                    <w:jc w:val="center"/>
                    <w:rPr>
                      <w:rFonts w:hint="default" w:ascii="Times New Roman" w:hAnsi="Times New Roman" w:eastAsia="宋体" w:cs="Times New Roman"/>
                      <w:color w:val="FF0000"/>
                      <w:sz w:val="21"/>
                      <w:szCs w:val="21"/>
                      <w:highlight w:val="none"/>
                      <w:u w:val="single"/>
                    </w:rPr>
                  </w:pPr>
                  <w:r>
                    <w:rPr>
                      <w:rFonts w:hint="default" w:ascii="Times New Roman" w:hAnsi="Times New Roman" w:eastAsia="宋体" w:cs="Times New Roman"/>
                      <w:color w:val="FF0000"/>
                      <w:sz w:val="21"/>
                      <w:szCs w:val="21"/>
                      <w:highlight w:val="none"/>
                      <w:u w:val="single"/>
                      <w:lang w:val="en-US" w:eastAsia="zh-CN"/>
                    </w:rPr>
                    <w:t>TVOC</w:t>
                  </w:r>
                </w:p>
              </w:tc>
              <w:tc>
                <w:tcPr>
                  <w:tcW w:w="936" w:type="pct"/>
                  <w:tcBorders>
                    <w:tl2br w:val="nil"/>
                    <w:tr2bl w:val="nil"/>
                  </w:tcBorders>
                  <w:noWrap w:val="0"/>
                  <w:vAlign w:val="center"/>
                </w:tcPr>
                <w:p>
                  <w:pPr>
                    <w:bidi w:val="0"/>
                    <w:spacing w:line="240" w:lineRule="auto"/>
                    <w:jc w:val="center"/>
                    <w:rPr>
                      <w:rFonts w:hint="default" w:ascii="Times New Roman" w:hAnsi="Times New Roman" w:eastAsia="宋体" w:cs="Times New Roman"/>
                      <w:color w:val="FF0000"/>
                      <w:sz w:val="21"/>
                      <w:szCs w:val="21"/>
                      <w:highlight w:val="none"/>
                      <w:u w:val="single"/>
                      <w:lang w:val="en-US" w:eastAsia="zh-CN"/>
                    </w:rPr>
                  </w:pPr>
                  <w:r>
                    <w:rPr>
                      <w:rFonts w:hint="eastAsia" w:eastAsia="宋体" w:cs="Times New Roman"/>
                      <w:color w:val="FF0000"/>
                      <w:sz w:val="21"/>
                      <w:szCs w:val="21"/>
                      <w:highlight w:val="none"/>
                      <w:u w:val="single"/>
                      <w:lang w:val="en-US" w:eastAsia="zh-CN"/>
                    </w:rPr>
                    <w:t>0.138-0.273</w:t>
                  </w:r>
                </w:p>
              </w:tc>
              <w:tc>
                <w:tcPr>
                  <w:tcW w:w="603" w:type="pct"/>
                  <w:tcBorders>
                    <w:tl2br w:val="nil"/>
                    <w:tr2bl w:val="nil"/>
                  </w:tcBorders>
                  <w:noWrap w:val="0"/>
                  <w:vAlign w:val="center"/>
                </w:tcPr>
                <w:p>
                  <w:pPr>
                    <w:bidi w:val="0"/>
                    <w:spacing w:line="240" w:lineRule="auto"/>
                    <w:jc w:val="center"/>
                    <w:rPr>
                      <w:rFonts w:hint="default" w:ascii="Times New Roman" w:hAnsi="Times New Roman" w:eastAsia="宋体" w:cs="Times New Roman"/>
                      <w:color w:val="FF0000"/>
                      <w:sz w:val="21"/>
                      <w:szCs w:val="21"/>
                      <w:highlight w:val="none"/>
                      <w:u w:val="single"/>
                      <w:lang w:val="en-US" w:eastAsia="zh-CN"/>
                    </w:rPr>
                  </w:pPr>
                  <w:r>
                    <w:rPr>
                      <w:rFonts w:hint="default" w:ascii="Times New Roman" w:hAnsi="Times New Roman" w:eastAsia="宋体" w:cs="Times New Roman"/>
                      <w:color w:val="FF0000"/>
                      <w:sz w:val="21"/>
                      <w:szCs w:val="21"/>
                      <w:highlight w:val="none"/>
                      <w:u w:val="single"/>
                      <w:lang w:val="en-US" w:eastAsia="zh-CN"/>
                    </w:rPr>
                    <w:t>0.6</w:t>
                  </w:r>
                </w:p>
              </w:tc>
              <w:tc>
                <w:tcPr>
                  <w:tcW w:w="576" w:type="pct"/>
                  <w:tcBorders>
                    <w:tl2br w:val="nil"/>
                    <w:tr2bl w:val="nil"/>
                  </w:tcBorders>
                  <w:noWrap w:val="0"/>
                  <w:vAlign w:val="center"/>
                </w:tcPr>
                <w:p>
                  <w:pPr>
                    <w:bidi w:val="0"/>
                    <w:spacing w:line="240" w:lineRule="auto"/>
                    <w:jc w:val="center"/>
                    <w:rPr>
                      <w:rFonts w:hint="default" w:ascii="Times New Roman" w:hAnsi="Times New Roman" w:eastAsia="宋体" w:cs="Times New Roman"/>
                      <w:color w:val="FF0000"/>
                      <w:sz w:val="21"/>
                      <w:szCs w:val="21"/>
                      <w:highlight w:val="none"/>
                      <w:u w:val="single"/>
                      <w:lang w:val="en-US" w:eastAsia="zh-CN"/>
                    </w:rPr>
                  </w:pPr>
                  <w:r>
                    <w:rPr>
                      <w:rFonts w:hint="default" w:ascii="Times New Roman" w:hAnsi="Times New Roman" w:eastAsia="宋体" w:cs="Times New Roman"/>
                      <w:color w:val="FF0000"/>
                      <w:sz w:val="21"/>
                      <w:szCs w:val="21"/>
                      <w:highlight w:val="none"/>
                      <w:u w:val="single"/>
                      <w:lang w:val="en-US" w:eastAsia="zh-CN"/>
                    </w:rPr>
                    <w:t>0</w:t>
                  </w:r>
                </w:p>
              </w:tc>
              <w:tc>
                <w:tcPr>
                  <w:tcW w:w="708" w:type="pct"/>
                  <w:tcBorders>
                    <w:tl2br w:val="nil"/>
                    <w:tr2bl w:val="nil"/>
                  </w:tcBorders>
                  <w:noWrap w:val="0"/>
                  <w:vAlign w:val="center"/>
                </w:tcPr>
                <w:p>
                  <w:pPr>
                    <w:bidi w:val="0"/>
                    <w:spacing w:line="240" w:lineRule="auto"/>
                    <w:jc w:val="center"/>
                    <w:rPr>
                      <w:rFonts w:hint="default" w:ascii="Times New Roman" w:hAnsi="Times New Roman" w:eastAsia="宋体" w:cs="Times New Roman"/>
                      <w:color w:val="FF0000"/>
                      <w:sz w:val="21"/>
                      <w:szCs w:val="21"/>
                      <w:highlight w:val="none"/>
                      <w:u w:val="single"/>
                      <w:lang w:val="en-US" w:eastAsia="zh-CN"/>
                    </w:rPr>
                  </w:pPr>
                  <w:r>
                    <w:rPr>
                      <w:rFonts w:hint="default" w:ascii="Times New Roman" w:hAnsi="Times New Roman" w:eastAsia="宋体" w:cs="Times New Roman"/>
                      <w:color w:val="FF0000"/>
                      <w:sz w:val="21"/>
                      <w:szCs w:val="21"/>
                      <w:highlight w:val="none"/>
                      <w:u w:val="singl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3" w:type="pct"/>
                  <w:noWrap w:val="0"/>
                  <w:vAlign w:val="center"/>
                </w:tcPr>
                <w:p>
                  <w:pPr>
                    <w:bidi w:val="0"/>
                    <w:spacing w:line="240" w:lineRule="auto"/>
                    <w:jc w:val="center"/>
                    <w:rPr>
                      <w:rFonts w:hint="default" w:ascii="Times New Roman" w:hAnsi="Times New Roman" w:eastAsia="宋体" w:cs="Times New Roman"/>
                      <w:color w:val="FF0000"/>
                      <w:sz w:val="21"/>
                      <w:szCs w:val="21"/>
                      <w:highlight w:val="none"/>
                      <w:u w:val="single"/>
                      <w:lang w:val="en-US" w:eastAsia="zh-CN"/>
                    </w:rPr>
                  </w:pPr>
                  <w:r>
                    <w:rPr>
                      <w:rFonts w:hint="default" w:ascii="Times New Roman" w:hAnsi="Times New Roman" w:eastAsia="宋体" w:cs="Times New Roman"/>
                      <w:color w:val="FF0000"/>
                      <w:sz w:val="21"/>
                      <w:szCs w:val="21"/>
                      <w:highlight w:val="none"/>
                      <w:u w:val="single"/>
                      <w:lang w:val="en-US" w:eastAsia="zh-CN"/>
                    </w:rPr>
                    <w:t>常年主导风向下风向</w:t>
                  </w:r>
                </w:p>
              </w:tc>
              <w:tc>
                <w:tcPr>
                  <w:tcW w:w="720" w:type="pct"/>
                  <w:noWrap w:val="0"/>
                  <w:vAlign w:val="center"/>
                </w:tcPr>
                <w:p>
                  <w:pPr>
                    <w:bidi w:val="0"/>
                    <w:spacing w:line="240" w:lineRule="auto"/>
                    <w:jc w:val="center"/>
                    <w:rPr>
                      <w:rFonts w:hint="default" w:ascii="Times New Roman" w:hAnsi="Times New Roman" w:eastAsia="宋体" w:cs="Times New Roman"/>
                      <w:color w:val="FF0000"/>
                      <w:sz w:val="21"/>
                      <w:szCs w:val="21"/>
                      <w:highlight w:val="none"/>
                      <w:u w:val="single"/>
                      <w:lang w:val="en-US" w:eastAsia="zh-CN"/>
                    </w:rPr>
                  </w:pPr>
                  <w:r>
                    <w:rPr>
                      <w:rFonts w:hint="default" w:ascii="Times New Roman" w:hAnsi="Times New Roman" w:eastAsia="宋体" w:cs="Times New Roman"/>
                      <w:color w:val="FF0000"/>
                      <w:sz w:val="21"/>
                      <w:szCs w:val="21"/>
                      <w:highlight w:val="none"/>
                      <w:u w:val="single"/>
                      <w:lang w:val="en-US" w:eastAsia="zh-CN"/>
                    </w:rPr>
                    <w:t>TVOC</w:t>
                  </w:r>
                </w:p>
              </w:tc>
              <w:tc>
                <w:tcPr>
                  <w:tcW w:w="936" w:type="pct"/>
                  <w:noWrap w:val="0"/>
                  <w:vAlign w:val="center"/>
                </w:tcPr>
                <w:p>
                  <w:pPr>
                    <w:bidi w:val="0"/>
                    <w:spacing w:line="240" w:lineRule="auto"/>
                    <w:jc w:val="center"/>
                    <w:rPr>
                      <w:rFonts w:hint="default" w:ascii="Times New Roman" w:hAnsi="Times New Roman" w:eastAsia="宋体" w:cs="Times New Roman"/>
                      <w:color w:val="FF0000"/>
                      <w:sz w:val="21"/>
                      <w:szCs w:val="21"/>
                      <w:highlight w:val="none"/>
                      <w:u w:val="single"/>
                      <w:lang w:val="en-US" w:eastAsia="zh-CN"/>
                    </w:rPr>
                  </w:pPr>
                  <w:r>
                    <w:rPr>
                      <w:rFonts w:hint="eastAsia" w:eastAsia="宋体" w:cs="Times New Roman"/>
                      <w:color w:val="FF0000"/>
                      <w:sz w:val="21"/>
                      <w:szCs w:val="21"/>
                      <w:highlight w:val="none"/>
                      <w:u w:val="single"/>
                      <w:lang w:val="en-US" w:eastAsia="zh-CN"/>
                    </w:rPr>
                    <w:t>0.333-0.417</w:t>
                  </w:r>
                </w:p>
              </w:tc>
              <w:tc>
                <w:tcPr>
                  <w:tcW w:w="603" w:type="pct"/>
                  <w:noWrap w:val="0"/>
                  <w:vAlign w:val="center"/>
                </w:tcPr>
                <w:p>
                  <w:pPr>
                    <w:bidi w:val="0"/>
                    <w:spacing w:line="240" w:lineRule="auto"/>
                    <w:jc w:val="center"/>
                    <w:rPr>
                      <w:rFonts w:hint="default" w:ascii="Times New Roman" w:hAnsi="Times New Roman" w:eastAsia="宋体" w:cs="Times New Roman"/>
                      <w:color w:val="FF0000"/>
                      <w:sz w:val="21"/>
                      <w:szCs w:val="21"/>
                      <w:highlight w:val="none"/>
                      <w:u w:val="single"/>
                      <w:lang w:val="en-US" w:eastAsia="zh-CN"/>
                    </w:rPr>
                  </w:pPr>
                  <w:r>
                    <w:rPr>
                      <w:rFonts w:hint="default" w:ascii="Times New Roman" w:hAnsi="Times New Roman" w:eastAsia="宋体" w:cs="Times New Roman"/>
                      <w:color w:val="FF0000"/>
                      <w:sz w:val="21"/>
                      <w:szCs w:val="21"/>
                      <w:highlight w:val="none"/>
                      <w:u w:val="single"/>
                      <w:lang w:val="en-US" w:eastAsia="zh-CN"/>
                    </w:rPr>
                    <w:t>0.6</w:t>
                  </w:r>
                </w:p>
              </w:tc>
              <w:tc>
                <w:tcPr>
                  <w:tcW w:w="576" w:type="pct"/>
                  <w:noWrap w:val="0"/>
                  <w:vAlign w:val="center"/>
                </w:tcPr>
                <w:p>
                  <w:pPr>
                    <w:bidi w:val="0"/>
                    <w:spacing w:line="240" w:lineRule="auto"/>
                    <w:jc w:val="center"/>
                    <w:rPr>
                      <w:rFonts w:hint="default" w:ascii="Times New Roman" w:hAnsi="Times New Roman" w:eastAsia="宋体" w:cs="Times New Roman"/>
                      <w:color w:val="FF0000"/>
                      <w:sz w:val="21"/>
                      <w:szCs w:val="21"/>
                      <w:highlight w:val="none"/>
                      <w:u w:val="single"/>
                      <w:lang w:val="en-US" w:eastAsia="zh-CN"/>
                    </w:rPr>
                  </w:pPr>
                  <w:r>
                    <w:rPr>
                      <w:rFonts w:hint="default" w:ascii="Times New Roman" w:hAnsi="Times New Roman" w:eastAsia="宋体" w:cs="Times New Roman"/>
                      <w:color w:val="FF0000"/>
                      <w:sz w:val="21"/>
                      <w:szCs w:val="21"/>
                      <w:highlight w:val="none"/>
                      <w:u w:val="single"/>
                      <w:lang w:val="en-US" w:eastAsia="zh-CN"/>
                    </w:rPr>
                    <w:t>0</w:t>
                  </w:r>
                </w:p>
              </w:tc>
              <w:tc>
                <w:tcPr>
                  <w:tcW w:w="708" w:type="pct"/>
                  <w:noWrap w:val="0"/>
                  <w:vAlign w:val="center"/>
                </w:tcPr>
                <w:p>
                  <w:pPr>
                    <w:bidi w:val="0"/>
                    <w:spacing w:line="240" w:lineRule="auto"/>
                    <w:jc w:val="center"/>
                    <w:rPr>
                      <w:rFonts w:hint="default" w:ascii="Times New Roman" w:hAnsi="Times New Roman" w:eastAsia="宋体" w:cs="Times New Roman"/>
                      <w:color w:val="FF0000"/>
                      <w:sz w:val="21"/>
                      <w:szCs w:val="21"/>
                      <w:highlight w:val="none"/>
                      <w:u w:val="single"/>
                      <w:lang w:val="en-US" w:eastAsia="zh-CN"/>
                    </w:rPr>
                  </w:pPr>
                  <w:r>
                    <w:rPr>
                      <w:rFonts w:hint="default" w:ascii="Times New Roman" w:hAnsi="Times New Roman" w:eastAsia="宋体" w:cs="Times New Roman"/>
                      <w:color w:val="FF0000"/>
                      <w:sz w:val="21"/>
                      <w:szCs w:val="21"/>
                      <w:highlight w:val="none"/>
                      <w:u w:val="single"/>
                      <w:lang w:val="en-US" w:eastAsia="zh-CN"/>
                    </w:rPr>
                    <w:t>达标</w:t>
                  </w:r>
                </w:p>
              </w:tc>
            </w:tr>
          </w:tbl>
          <w:p>
            <w:pPr>
              <w:bidi w:val="0"/>
              <w:spacing w:line="360" w:lineRule="auto"/>
              <w:ind w:firstLine="480" w:firstLineChars="200"/>
              <w:rPr>
                <w:rFonts w:hint="default" w:ascii="Times New Roman" w:hAnsi="Times New Roman" w:eastAsia="宋体" w:cs="Times New Roman"/>
                <w:sz w:val="24"/>
                <w:szCs w:val="24"/>
                <w:u w:val="single"/>
                <w:lang w:val="en-US" w:eastAsia="zh-CN"/>
              </w:rPr>
            </w:pPr>
            <w:r>
              <w:rPr>
                <w:rFonts w:hint="default" w:ascii="Times New Roman" w:hAnsi="Times New Roman" w:eastAsia="宋体" w:cs="Times New Roman"/>
                <w:color w:val="FF0000"/>
                <w:sz w:val="24"/>
                <w:szCs w:val="24"/>
                <w:u w:val="single"/>
                <w:lang w:val="en-US" w:eastAsia="zh-CN"/>
              </w:rPr>
              <w:t>监测数据表明，该区域大气环境TVOC符合《环境影响评价技术导则-大气环境》HJ2.2-2018附录D中表D.1规定的限值要求，区域大气环境良好。</w:t>
            </w:r>
          </w:p>
          <w:p>
            <w:pPr>
              <w:numPr>
                <w:ilvl w:val="0"/>
                <w:numId w:val="0"/>
              </w:numPr>
              <w:adjustRightInd w:val="0"/>
              <w:snapToGrid w:val="0"/>
              <w:spacing w:line="360" w:lineRule="auto"/>
              <w:jc w:val="both"/>
              <w:rPr>
                <w:rFonts w:hint="default" w:ascii="宋体" w:hAnsi="宋体" w:cs="宋体"/>
                <w:b/>
                <w:bCs/>
                <w:kern w:val="0"/>
                <w:sz w:val="24"/>
                <w:szCs w:val="24"/>
                <w:lang w:val="en-US" w:eastAsia="zh-CN"/>
              </w:rPr>
            </w:pPr>
            <w:r>
              <w:rPr>
                <w:rFonts w:hint="eastAsia" w:ascii="宋体" w:hAnsi="宋体" w:cs="宋体"/>
                <w:b/>
                <w:bCs/>
                <w:kern w:val="0"/>
                <w:sz w:val="24"/>
                <w:szCs w:val="24"/>
                <w:lang w:val="en-US" w:eastAsia="zh-CN"/>
              </w:rPr>
              <w:t>2、水环境质量现状</w:t>
            </w:r>
          </w:p>
          <w:p>
            <w:pPr>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了解项目建设区域地表水环境质量现状，本次环评引用2019年湘阴县环境监测站对周边水体进行监测具体监测情况详见表3-</w:t>
            </w:r>
            <w:r>
              <w:rPr>
                <w:rFonts w:hint="eastAsia" w:cs="Times New Roman"/>
                <w:sz w:val="24"/>
                <w:szCs w:val="24"/>
                <w:lang w:val="en-US" w:eastAsia="zh-CN"/>
              </w:rPr>
              <w:t>3</w:t>
            </w:r>
            <w:r>
              <w:rPr>
                <w:rFonts w:hint="default" w:ascii="Times New Roman" w:hAnsi="Times New Roman" w:eastAsia="宋体" w:cs="Times New Roman"/>
                <w:sz w:val="24"/>
                <w:szCs w:val="24"/>
                <w:lang w:val="en-US" w:eastAsia="zh-CN"/>
              </w:rPr>
              <w:t>。</w:t>
            </w:r>
          </w:p>
          <w:p>
            <w:pPr>
              <w:bidi w:val="0"/>
              <w:spacing w:line="360" w:lineRule="auto"/>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表3-</w:t>
            </w:r>
            <w:r>
              <w:rPr>
                <w:rFonts w:hint="eastAsia" w:cs="Times New Roman"/>
                <w:b/>
                <w:bCs/>
                <w:sz w:val="24"/>
                <w:szCs w:val="24"/>
                <w:lang w:val="en-US" w:eastAsia="zh-CN"/>
              </w:rPr>
              <w:t>3</w:t>
            </w:r>
            <w:r>
              <w:rPr>
                <w:rFonts w:hint="default" w:ascii="Times New Roman" w:hAnsi="Times New Roman" w:eastAsia="宋体" w:cs="Times New Roman"/>
                <w:b/>
                <w:bCs/>
                <w:sz w:val="24"/>
                <w:szCs w:val="24"/>
                <w:lang w:val="en-US" w:eastAsia="zh-CN"/>
              </w:rPr>
              <w:t xml:space="preserve">  地表水现状监测断面与监测因子</w:t>
            </w:r>
          </w:p>
          <w:tbl>
            <w:tblPr>
              <w:tblStyle w:val="15"/>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1298"/>
              <w:gridCol w:w="710"/>
              <w:gridCol w:w="899"/>
              <w:gridCol w:w="839"/>
              <w:gridCol w:w="877"/>
              <w:gridCol w:w="1023"/>
              <w:gridCol w:w="982"/>
              <w:gridCol w:w="6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restar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监测点位</w:t>
                  </w:r>
                </w:p>
              </w:tc>
              <w:tc>
                <w:tcPr>
                  <w:tcW w:w="817" w:type="pct"/>
                  <w:vMerge w:val="restar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监测项目</w:t>
                  </w:r>
                </w:p>
              </w:tc>
              <w:tc>
                <w:tcPr>
                  <w:tcW w:w="447" w:type="pct"/>
                  <w:vMerge w:val="restar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单位</w:t>
                  </w:r>
                </w:p>
              </w:tc>
              <w:tc>
                <w:tcPr>
                  <w:tcW w:w="2290" w:type="pct"/>
                  <w:gridSpan w:val="4"/>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监测结果</w:t>
                  </w:r>
                </w:p>
              </w:tc>
              <w:tc>
                <w:tcPr>
                  <w:tcW w:w="617" w:type="pct"/>
                  <w:vMerge w:val="restar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标准值</w:t>
                  </w:r>
                </w:p>
              </w:tc>
              <w:tc>
                <w:tcPr>
                  <w:tcW w:w="391" w:type="pct"/>
                  <w:vMerge w:val="restar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p>
              </w:tc>
              <w:tc>
                <w:tcPr>
                  <w:tcW w:w="817"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p>
              </w:tc>
              <w:tc>
                <w:tcPr>
                  <w:tcW w:w="447"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左</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中</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右</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r>
                    <w:rPr>
                      <w:rFonts w:hint="default" w:ascii="Times New Roman" w:hAnsi="Times New Roman" w:eastAsia="宋体" w:cs="Times New Roman"/>
                      <w:b/>
                      <w:bCs/>
                      <w:color w:val="auto"/>
                      <w:sz w:val="21"/>
                      <w:szCs w:val="21"/>
                      <w:u w:val="none" w:color="auto"/>
                      <w:vertAlign w:val="baseline"/>
                      <w:lang w:val="en-US" w:eastAsia="zh-CN"/>
                    </w:rPr>
                    <w:t>均值</w:t>
                  </w:r>
                </w:p>
              </w:tc>
              <w:tc>
                <w:tcPr>
                  <w:tcW w:w="617"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391"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restar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洋沙湖断面</w:t>
                  </w: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pH</w:t>
                  </w:r>
                </w:p>
              </w:tc>
              <w:tc>
                <w:tcPr>
                  <w:tcW w:w="44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无量纲</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6.89</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7.12</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7.08</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6.89-7.12</w:t>
                  </w:r>
                </w:p>
              </w:tc>
              <w:tc>
                <w:tcPr>
                  <w:tcW w:w="6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6-9</w:t>
                  </w:r>
                </w:p>
              </w:tc>
              <w:tc>
                <w:tcPr>
                  <w:tcW w:w="391"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DO</w:t>
                  </w:r>
                </w:p>
              </w:tc>
              <w:tc>
                <w:tcPr>
                  <w:tcW w:w="44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5.76</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5.61</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5.84</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5.74</w:t>
                  </w:r>
                </w:p>
              </w:tc>
              <w:tc>
                <w:tcPr>
                  <w:tcW w:w="6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≥5</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COD</w:t>
                  </w:r>
                  <w:r>
                    <w:rPr>
                      <w:rFonts w:hint="default" w:ascii="Times New Roman" w:hAnsi="Times New Roman" w:eastAsia="宋体" w:cs="Times New Roman"/>
                      <w:color w:val="auto"/>
                      <w:sz w:val="21"/>
                      <w:szCs w:val="21"/>
                      <w:u w:val="none" w:color="auto"/>
                      <w:vertAlign w:val="subscript"/>
                      <w:lang w:val="en-US" w:eastAsia="zh-CN"/>
                    </w:rPr>
                    <w:t>cr</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13.6</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13.1</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13.4</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13.4</w:t>
                  </w:r>
                </w:p>
              </w:tc>
              <w:tc>
                <w:tcPr>
                  <w:tcW w:w="6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≤20</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BOD</w:t>
                  </w:r>
                  <w:r>
                    <w:rPr>
                      <w:rFonts w:hint="default" w:ascii="Times New Roman" w:hAnsi="Times New Roman" w:eastAsia="宋体" w:cs="Times New Roman"/>
                      <w:color w:val="auto"/>
                      <w:sz w:val="21"/>
                      <w:szCs w:val="21"/>
                      <w:u w:val="none" w:color="auto"/>
                      <w:vertAlign w:val="subscript"/>
                      <w:lang w:val="en-US" w:eastAsia="zh-CN"/>
                    </w:rPr>
                    <w:t>5</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2.72</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2.62</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2.68</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2.67</w:t>
                  </w:r>
                </w:p>
              </w:tc>
              <w:tc>
                <w:tcPr>
                  <w:tcW w:w="6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≤4</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氨氮</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0.535</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0.486</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0.429</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0.517</w:t>
                  </w:r>
                </w:p>
              </w:tc>
              <w:tc>
                <w:tcPr>
                  <w:tcW w:w="6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总磷</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0.092</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0.076</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0.083</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0.084</w:t>
                  </w:r>
                </w:p>
              </w:tc>
              <w:tc>
                <w:tcPr>
                  <w:tcW w:w="6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≤0.2</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六价铬</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color="auto"/>
                      <w:vertAlign w:val="baseline"/>
                      <w:lang w:val="en-US" w:eastAsia="zh-CN" w:bidi="ar-SA"/>
                    </w:rPr>
                  </w:pPr>
                  <w:r>
                    <w:rPr>
                      <w:rFonts w:hint="default" w:ascii="Times New Roman" w:hAnsi="Times New Roman" w:eastAsia="宋体" w:cs="Times New Roman"/>
                      <w:color w:val="auto"/>
                      <w:kern w:val="2"/>
                      <w:sz w:val="21"/>
                      <w:szCs w:val="21"/>
                      <w:u w:val="none" w:color="auto"/>
                      <w:vertAlign w:val="baseline"/>
                      <w:lang w:val="en-US" w:eastAsia="zh-CN" w:bidi="ar-SA"/>
                    </w:rPr>
                    <w:t>ND</w:t>
                  </w:r>
                </w:p>
              </w:tc>
              <w:tc>
                <w:tcPr>
                  <w:tcW w:w="5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5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6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6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≤0.05</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氰化物</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color="auto"/>
                      <w:vertAlign w:val="baseline"/>
                      <w:lang w:val="en-US" w:eastAsia="zh-CN" w:bidi="ar-SA"/>
                    </w:rPr>
                  </w:pPr>
                  <w:r>
                    <w:rPr>
                      <w:rFonts w:hint="default" w:ascii="Times New Roman" w:hAnsi="Times New Roman" w:eastAsia="宋体" w:cs="Times New Roman"/>
                      <w:color w:val="auto"/>
                      <w:kern w:val="2"/>
                      <w:sz w:val="21"/>
                      <w:szCs w:val="21"/>
                      <w:u w:val="none" w:color="auto"/>
                      <w:vertAlign w:val="baseline"/>
                      <w:lang w:val="en-US" w:eastAsia="zh-CN" w:bidi="ar-SA"/>
                    </w:rPr>
                    <w:t>ND</w:t>
                  </w:r>
                </w:p>
              </w:tc>
              <w:tc>
                <w:tcPr>
                  <w:tcW w:w="5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5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6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6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≤0.2</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挥发酚</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color="auto"/>
                      <w:vertAlign w:val="baseline"/>
                      <w:lang w:val="en-US" w:eastAsia="zh-CN" w:bidi="ar-SA"/>
                    </w:rPr>
                  </w:pPr>
                  <w:r>
                    <w:rPr>
                      <w:rFonts w:hint="default" w:ascii="Times New Roman" w:hAnsi="Times New Roman" w:eastAsia="宋体" w:cs="Times New Roman"/>
                      <w:color w:val="auto"/>
                      <w:kern w:val="2"/>
                      <w:sz w:val="21"/>
                      <w:szCs w:val="21"/>
                      <w:u w:val="none" w:color="auto"/>
                      <w:vertAlign w:val="baseline"/>
                      <w:lang w:val="en-US" w:eastAsia="zh-CN" w:bidi="ar-SA"/>
                    </w:rPr>
                    <w:t>ND</w:t>
                  </w:r>
                </w:p>
              </w:tc>
              <w:tc>
                <w:tcPr>
                  <w:tcW w:w="5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5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6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6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≤0.005</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石油类</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0.02</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0.03</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0.02</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0.02</w:t>
                  </w:r>
                </w:p>
              </w:tc>
              <w:tc>
                <w:tcPr>
                  <w:tcW w:w="6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≤0.005</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硫化物</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5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5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6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6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≤0.2</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粪大肠菌群</w:t>
                  </w:r>
                </w:p>
              </w:tc>
              <w:tc>
                <w:tcPr>
                  <w:tcW w:w="44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个/L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2200</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2200</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2800</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2400</w:t>
                  </w:r>
                </w:p>
              </w:tc>
              <w:tc>
                <w:tcPr>
                  <w:tcW w:w="6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≤10000</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restar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乌龙咀断面</w:t>
                  </w: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pH</w:t>
                  </w:r>
                </w:p>
              </w:tc>
              <w:tc>
                <w:tcPr>
                  <w:tcW w:w="44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无量纲</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7.17</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7.21</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7.13</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7.13-7.21</w:t>
                  </w:r>
                </w:p>
              </w:tc>
              <w:tc>
                <w:tcPr>
                  <w:tcW w:w="6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6-9</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DO</w:t>
                  </w:r>
                </w:p>
              </w:tc>
              <w:tc>
                <w:tcPr>
                  <w:tcW w:w="44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6.9</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6.7</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7.3</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7.0</w:t>
                  </w:r>
                </w:p>
              </w:tc>
              <w:tc>
                <w:tcPr>
                  <w:tcW w:w="6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≥5</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COD</w:t>
                  </w:r>
                  <w:r>
                    <w:rPr>
                      <w:rFonts w:hint="default" w:ascii="Times New Roman" w:hAnsi="Times New Roman" w:eastAsia="宋体" w:cs="Times New Roman"/>
                      <w:color w:val="auto"/>
                      <w:sz w:val="21"/>
                      <w:szCs w:val="21"/>
                      <w:u w:val="none" w:color="auto"/>
                      <w:vertAlign w:val="subscript"/>
                      <w:lang w:val="en-US" w:eastAsia="zh-CN"/>
                    </w:rPr>
                    <w:t>cr</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12</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13</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12</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12</w:t>
                  </w:r>
                </w:p>
              </w:tc>
              <w:tc>
                <w:tcPr>
                  <w:tcW w:w="6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≤20</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BOD</w:t>
                  </w:r>
                  <w:r>
                    <w:rPr>
                      <w:rFonts w:hint="default" w:ascii="Times New Roman" w:hAnsi="Times New Roman" w:eastAsia="宋体" w:cs="Times New Roman"/>
                      <w:color w:val="auto"/>
                      <w:sz w:val="21"/>
                      <w:szCs w:val="21"/>
                      <w:u w:val="none" w:color="auto"/>
                      <w:vertAlign w:val="subscript"/>
                      <w:lang w:val="en-US" w:eastAsia="zh-CN"/>
                    </w:rPr>
                    <w:t>5</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2.4</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2.6</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2.4</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2.5</w:t>
                  </w:r>
                </w:p>
              </w:tc>
              <w:tc>
                <w:tcPr>
                  <w:tcW w:w="6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≤4</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氨氮</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0.98</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0.88</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0.87</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0.91</w:t>
                  </w:r>
                </w:p>
              </w:tc>
              <w:tc>
                <w:tcPr>
                  <w:tcW w:w="6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总磷</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0.02</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0.03</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0.03</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0.03</w:t>
                  </w:r>
                </w:p>
              </w:tc>
              <w:tc>
                <w:tcPr>
                  <w:tcW w:w="6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≤0.2</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六价铬</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5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5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6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6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≤0.05</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氰化物</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5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5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6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6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≤0.2</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挥发酚</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5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5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6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6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≤0.005</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石油类</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0.02</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0.01</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0.02</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0.02</w:t>
                  </w:r>
                </w:p>
              </w:tc>
              <w:tc>
                <w:tcPr>
                  <w:tcW w:w="6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≤0.005</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硫化物</w:t>
                  </w:r>
                </w:p>
              </w:tc>
              <w:tc>
                <w:tcPr>
                  <w:tcW w:w="44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mg/L</w:t>
                  </w:r>
                </w:p>
              </w:tc>
              <w:tc>
                <w:tcPr>
                  <w:tcW w:w="5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5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5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6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ND</w:t>
                  </w:r>
                </w:p>
              </w:tc>
              <w:tc>
                <w:tcPr>
                  <w:tcW w:w="6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≤0.2</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35"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81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粪大肠菌群</w:t>
                  </w:r>
                </w:p>
              </w:tc>
              <w:tc>
                <w:tcPr>
                  <w:tcW w:w="44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个/L</w:t>
                  </w:r>
                </w:p>
              </w:tc>
              <w:tc>
                <w:tcPr>
                  <w:tcW w:w="56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9200</w:t>
                  </w:r>
                </w:p>
              </w:tc>
              <w:tc>
                <w:tcPr>
                  <w:tcW w:w="528"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5400</w:t>
                  </w:r>
                </w:p>
              </w:tc>
              <w:tc>
                <w:tcPr>
                  <w:tcW w:w="552"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9200</w:t>
                  </w:r>
                </w:p>
              </w:tc>
              <w:tc>
                <w:tcPr>
                  <w:tcW w:w="64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before="32" w:beforeLines="10" w:after="32" w:afterLines="1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7933</w:t>
                  </w:r>
                </w:p>
              </w:tc>
              <w:tc>
                <w:tcPr>
                  <w:tcW w:w="6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≤10000</w:t>
                  </w:r>
                </w:p>
              </w:tc>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是</w:t>
                  </w:r>
                </w:p>
              </w:tc>
            </w:tr>
          </w:tbl>
          <w:p>
            <w:pPr>
              <w:bidi w:val="0"/>
              <w:spacing w:line="360" w:lineRule="auto"/>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表3-</w:t>
            </w:r>
            <w:r>
              <w:rPr>
                <w:rFonts w:hint="eastAsia" w:cs="Times New Roman"/>
                <w:b/>
                <w:bCs/>
                <w:sz w:val="24"/>
                <w:szCs w:val="24"/>
                <w:lang w:val="en-US" w:eastAsia="zh-CN"/>
              </w:rPr>
              <w:t>4</w:t>
            </w:r>
            <w:r>
              <w:rPr>
                <w:rFonts w:hint="default" w:ascii="Times New Roman" w:hAnsi="Times New Roman" w:eastAsia="宋体" w:cs="Times New Roman"/>
                <w:b/>
                <w:bCs/>
                <w:sz w:val="24"/>
                <w:szCs w:val="24"/>
                <w:lang w:val="en-US" w:eastAsia="zh-CN"/>
              </w:rPr>
              <w:t xml:space="preserve">  洋沙湖湖心监测结果统计表   单位：mg/L，pH除外</w:t>
            </w:r>
          </w:p>
          <w:tbl>
            <w:tblPr>
              <w:tblStyle w:val="15"/>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20"/>
              <w:gridCol w:w="1673"/>
              <w:gridCol w:w="1252"/>
              <w:gridCol w:w="892"/>
              <w:gridCol w:w="993"/>
              <w:gridCol w:w="1021"/>
              <w:gridCol w:w="12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7" w:hRule="exact"/>
                <w:jc w:val="center"/>
              </w:trPr>
              <w:tc>
                <w:tcPr>
                  <w:tcW w:w="1574" w:type="pct"/>
                  <w:gridSpan w:val="2"/>
                  <w:tcBorders>
                    <w:tl2br w:val="nil"/>
                    <w:tr2bl w:val="nil"/>
                  </w:tcBorders>
                  <w:noWrap w:val="0"/>
                  <w:vAlign w:val="center"/>
                  <mc:AlternateContent>
                    <mc:Choice Requires="wpsCustomData">
                      <wpsCustomData:diagonals>
                        <wpsCustomData:diagonal from="10000" to="30000">
                          <wpsCustomData:border w:val="single" w:color="auto" w:sz="12" w:space="0"/>
                        </wpsCustomData:diagonal>
                      </wpsCustomData:diagonals>
                    </mc:Choice>
                  </mc:AlternateContent>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auto"/>
                      <w:sz w:val="21"/>
                      <w:szCs w:val="21"/>
                      <w:u w:val="none" w:color="auto"/>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both"/>
                    <w:textAlignment w:val="auto"/>
                    <mc:AlternateContent>
                      <mc:Choice Requires="wpsCustomData">
                        <wpsCustomData:diagonalParaType/>
                      </mc:Choice>
                    </mc:AlternateContent>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参数</w:t>
                  </w:r>
                </w:p>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监测因子</w:t>
                  </w:r>
                </w:p>
              </w:tc>
              <w:tc>
                <w:tcPr>
                  <w:tcW w:w="7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sz w:val="21"/>
                      <w:szCs w:val="21"/>
                      <w:u w:val="none" w:color="auto"/>
                      <w:lang w:val="en-US" w:eastAsia="zh-CN"/>
                    </w:rPr>
                    <w:t>pH</w:t>
                  </w:r>
                </w:p>
              </w:tc>
              <w:tc>
                <w:tcPr>
                  <w:tcW w:w="5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auto"/>
                      <w:kern w:val="2"/>
                      <w:sz w:val="21"/>
                      <w:szCs w:val="21"/>
                      <w:u w:val="none" w:color="auto"/>
                      <w:vertAlign w:val="baseline"/>
                      <w:lang w:val="en-US" w:eastAsia="zh-CN" w:bidi="ar-SA"/>
                    </w:rPr>
                  </w:pPr>
                  <w:r>
                    <w:rPr>
                      <w:rFonts w:hint="default" w:ascii="Times New Roman" w:hAnsi="Times New Roman" w:eastAsia="宋体" w:cs="Times New Roman"/>
                      <w:b/>
                      <w:bCs/>
                      <w:color w:val="auto"/>
                      <w:sz w:val="21"/>
                      <w:szCs w:val="21"/>
                      <w:u w:val="none" w:color="auto"/>
                      <w:vertAlign w:val="baseline"/>
                      <w:lang w:val="en-US" w:eastAsia="zh-CN"/>
                    </w:rPr>
                    <w:t>CODcr</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auto"/>
                      <w:kern w:val="2"/>
                      <w:sz w:val="21"/>
                      <w:szCs w:val="21"/>
                      <w:u w:val="none" w:color="auto"/>
                      <w:vertAlign w:val="baseline"/>
                      <w:lang w:val="en-US" w:eastAsia="zh-CN" w:bidi="ar-SA"/>
                    </w:rPr>
                  </w:pPr>
                  <w:r>
                    <w:rPr>
                      <w:rFonts w:hint="default" w:ascii="Times New Roman" w:hAnsi="Times New Roman" w:eastAsia="宋体" w:cs="Times New Roman"/>
                      <w:b/>
                      <w:bCs/>
                      <w:color w:val="auto"/>
                      <w:sz w:val="21"/>
                      <w:szCs w:val="21"/>
                      <w:u w:val="none" w:color="auto"/>
                      <w:vertAlign w:val="baseline"/>
                      <w:lang w:val="en-US" w:eastAsia="zh-CN"/>
                    </w:rPr>
                    <w:t>BOD</w:t>
                  </w:r>
                  <w:r>
                    <w:rPr>
                      <w:rFonts w:hint="default" w:ascii="Times New Roman" w:hAnsi="Times New Roman" w:eastAsia="宋体" w:cs="Times New Roman"/>
                      <w:b/>
                      <w:bCs/>
                      <w:color w:val="auto"/>
                      <w:sz w:val="21"/>
                      <w:szCs w:val="21"/>
                      <w:u w:val="none" w:color="auto"/>
                      <w:vertAlign w:val="subscript"/>
                      <w:lang w:val="en-US" w:eastAsia="zh-CN"/>
                    </w:rPr>
                    <w:t>5</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auto"/>
                      <w:kern w:val="2"/>
                      <w:sz w:val="21"/>
                      <w:szCs w:val="21"/>
                      <w:u w:val="none" w:color="auto"/>
                      <w:vertAlign w:val="baseline"/>
                      <w:lang w:val="en-US" w:eastAsia="zh-CN" w:bidi="ar-SA"/>
                    </w:rPr>
                  </w:pPr>
                  <w:r>
                    <w:rPr>
                      <w:rFonts w:hint="default" w:ascii="Times New Roman" w:hAnsi="Times New Roman" w:eastAsia="宋体" w:cs="Times New Roman"/>
                      <w:b/>
                      <w:bCs/>
                      <w:color w:val="auto"/>
                      <w:sz w:val="21"/>
                      <w:szCs w:val="21"/>
                      <w:u w:val="none" w:color="auto"/>
                      <w:vertAlign w:val="baseline"/>
                      <w:lang w:val="en-US" w:eastAsia="zh-CN"/>
                    </w:rPr>
                    <w:t>总磷</w:t>
                  </w:r>
                </w:p>
              </w:tc>
              <w:tc>
                <w:tcPr>
                  <w:tcW w:w="8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b/>
                      <w:bCs/>
                      <w:color w:val="auto"/>
                      <w:kern w:val="2"/>
                      <w:sz w:val="21"/>
                      <w:szCs w:val="21"/>
                      <w:u w:val="none" w:color="auto"/>
                      <w:vertAlign w:val="baseline"/>
                      <w:lang w:val="en-US" w:eastAsia="zh-CN" w:bidi="ar-SA"/>
                    </w:rPr>
                  </w:pPr>
                  <w:r>
                    <w:rPr>
                      <w:rFonts w:hint="default" w:ascii="Times New Roman" w:hAnsi="Times New Roman" w:eastAsia="宋体" w:cs="Times New Roman"/>
                      <w:b/>
                      <w:bCs/>
                      <w:color w:val="auto"/>
                      <w:sz w:val="21"/>
                      <w:szCs w:val="21"/>
                      <w:u w:val="none" w:color="auto"/>
                      <w:vertAlign w:val="baseline"/>
                      <w:lang w:val="en-US" w:eastAsia="zh-CN"/>
                    </w:rPr>
                    <w:t>氨氮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2" w:hRule="exact"/>
                <w:jc w:val="center"/>
              </w:trPr>
              <w:tc>
                <w:tcPr>
                  <w:tcW w:w="51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洋沙湖湖心</w:t>
                  </w:r>
                </w:p>
              </w:tc>
              <w:tc>
                <w:tcPr>
                  <w:tcW w:w="105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范围值</w:t>
                  </w:r>
                </w:p>
              </w:tc>
              <w:tc>
                <w:tcPr>
                  <w:tcW w:w="7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6.75-6.82</w:t>
                  </w:r>
                </w:p>
              </w:tc>
              <w:tc>
                <w:tcPr>
                  <w:tcW w:w="5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6-8</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1.9-2.1</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0.01-0.02</w:t>
                  </w:r>
                </w:p>
              </w:tc>
              <w:tc>
                <w:tcPr>
                  <w:tcW w:w="8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0.121-0.158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2" w:hRule="exact"/>
                <w:jc w:val="center"/>
              </w:trPr>
              <w:tc>
                <w:tcPr>
                  <w:tcW w:w="51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105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均值</w:t>
                  </w:r>
                </w:p>
              </w:tc>
              <w:tc>
                <w:tcPr>
                  <w:tcW w:w="7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6.79</w:t>
                  </w:r>
                </w:p>
              </w:tc>
              <w:tc>
                <w:tcPr>
                  <w:tcW w:w="5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6.67</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0.013</w:t>
                  </w:r>
                </w:p>
              </w:tc>
              <w:tc>
                <w:tcPr>
                  <w:tcW w:w="8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0.139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2" w:hRule="exact"/>
                <w:jc w:val="center"/>
              </w:trPr>
              <w:tc>
                <w:tcPr>
                  <w:tcW w:w="51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105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超标率（%）</w:t>
                  </w:r>
                </w:p>
              </w:tc>
              <w:tc>
                <w:tcPr>
                  <w:tcW w:w="7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w:t>
                  </w:r>
                </w:p>
              </w:tc>
              <w:tc>
                <w:tcPr>
                  <w:tcW w:w="5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w:t>
                  </w:r>
                </w:p>
              </w:tc>
              <w:tc>
                <w:tcPr>
                  <w:tcW w:w="8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2" w:hRule="exact"/>
                <w:jc w:val="center"/>
              </w:trPr>
              <w:tc>
                <w:tcPr>
                  <w:tcW w:w="51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105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最大超标倍数</w:t>
                  </w:r>
                </w:p>
              </w:tc>
              <w:tc>
                <w:tcPr>
                  <w:tcW w:w="7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w:t>
                  </w:r>
                </w:p>
              </w:tc>
              <w:tc>
                <w:tcPr>
                  <w:tcW w:w="5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w:t>
                  </w:r>
                </w:p>
              </w:tc>
              <w:tc>
                <w:tcPr>
                  <w:tcW w:w="8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7" w:hRule="exact"/>
                <w:jc w:val="center"/>
              </w:trPr>
              <w:tc>
                <w:tcPr>
                  <w:tcW w:w="51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p>
              </w:tc>
              <w:tc>
                <w:tcPr>
                  <w:tcW w:w="105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Ⅲ类标准</w:t>
                  </w:r>
                </w:p>
              </w:tc>
              <w:tc>
                <w:tcPr>
                  <w:tcW w:w="7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6-9</w:t>
                  </w:r>
                </w:p>
              </w:tc>
              <w:tc>
                <w:tcPr>
                  <w:tcW w:w="5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20</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4</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0.05</w:t>
                  </w:r>
                </w:p>
              </w:tc>
              <w:tc>
                <w:tcPr>
                  <w:tcW w:w="8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jc w:val="center"/>
                    <w:textAlignment w:val="auto"/>
                    <w:rPr>
                      <w:rFonts w:hint="default" w:ascii="Times New Roman" w:hAnsi="Times New Roman" w:eastAsia="宋体" w:cs="Times New Roman"/>
                      <w:color w:val="auto"/>
                      <w:sz w:val="21"/>
                      <w:szCs w:val="21"/>
                      <w:u w:val="none" w:color="auto"/>
                      <w:vertAlign w:val="baseline"/>
                      <w:lang w:val="en-US" w:eastAsia="zh-CN"/>
                    </w:rPr>
                  </w:pPr>
                  <w:r>
                    <w:rPr>
                      <w:rFonts w:hint="default" w:ascii="Times New Roman" w:hAnsi="Times New Roman" w:eastAsia="宋体" w:cs="Times New Roman"/>
                      <w:color w:val="auto"/>
                      <w:sz w:val="21"/>
                      <w:szCs w:val="21"/>
                      <w:u w:val="none" w:color="auto"/>
                      <w:vertAlign w:val="baseline"/>
                      <w:lang w:val="en-US" w:eastAsia="zh-CN"/>
                    </w:rPr>
                    <w:t>1</w:t>
                  </w:r>
                </w:p>
              </w:tc>
            </w:tr>
          </w:tbl>
          <w:p>
            <w:pPr>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根据监测统计结果可知，湘江湘阴段洋沙湖断面、乌龙咀断面和洋沙湖湖心水质各项指标均达到《地表水环境质量标准》（GB3838-2002）中Ⅲ类标准，区域水质状况良好。</w:t>
            </w:r>
          </w:p>
          <w:p>
            <w:pPr>
              <w:bidi w:val="0"/>
              <w:spacing w:line="360" w:lineRule="auto"/>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3.</w:t>
            </w:r>
            <w:r>
              <w:rPr>
                <w:rFonts w:hint="default" w:ascii="Times New Roman" w:hAnsi="Times New Roman" w:eastAsia="宋体" w:cs="Times New Roman"/>
                <w:b/>
                <w:bCs/>
                <w:sz w:val="24"/>
                <w:szCs w:val="24"/>
                <w:lang w:val="en-US" w:eastAsia="zh-CN"/>
              </w:rPr>
              <w:t>声环境质量现状</w:t>
            </w:r>
          </w:p>
          <w:p>
            <w:pPr>
              <w:pStyle w:val="22"/>
              <w:adjustRightInd w:val="0"/>
              <w:snapToGrid w:val="0"/>
              <w:ind w:firstLine="420"/>
              <w:rPr>
                <w:rFonts w:ascii="Times New Roman" w:hAnsi="Times New Roman" w:cs="Times New Roman"/>
                <w:sz w:val="24"/>
                <w:szCs w:val="24"/>
                <w:highlight w:val="none"/>
              </w:rPr>
            </w:pPr>
            <w:r>
              <w:rPr>
                <w:rFonts w:ascii="Times New Roman" w:hAnsi="Times New Roman" w:cs="Times New Roman"/>
                <w:sz w:val="24"/>
                <w:szCs w:val="24"/>
              </w:rPr>
              <w:t>根据项目噪声源和区域声环境特征相结合的原则，</w:t>
            </w:r>
            <w:r>
              <w:rPr>
                <w:rFonts w:ascii="Times New Roman" w:hAnsi="Times New Roman" w:cs="Times New Roman"/>
                <w:sz w:val="24"/>
                <w:szCs w:val="24"/>
                <w:highlight w:val="none"/>
              </w:rPr>
              <w:t>本次评价委托了</w:t>
            </w:r>
            <w:r>
              <w:rPr>
                <w:rFonts w:hint="eastAsia" w:ascii="Times New Roman" w:hAnsi="Times New Roman" w:cs="Times New Roman"/>
                <w:sz w:val="24"/>
                <w:szCs w:val="24"/>
                <w:highlight w:val="none"/>
                <w:lang w:val="en-US" w:eastAsia="zh-CN"/>
              </w:rPr>
              <w:t>湖南精准通检测技术有限公司</w:t>
            </w:r>
            <w:r>
              <w:rPr>
                <w:rFonts w:ascii="Times New Roman" w:hAnsi="Times New Roman" w:cs="Times New Roman"/>
                <w:sz w:val="24"/>
                <w:szCs w:val="24"/>
                <w:highlight w:val="none"/>
              </w:rPr>
              <w:t>于2021年</w:t>
            </w:r>
            <w:r>
              <w:rPr>
                <w:rFonts w:hint="eastAsia" w:ascii="Times New Roman" w:hAnsi="Times New Roman" w:cs="Times New Roman"/>
                <w:sz w:val="24"/>
                <w:szCs w:val="24"/>
                <w:highlight w:val="none"/>
                <w:lang w:val="en-US" w:eastAsia="zh-CN"/>
              </w:rPr>
              <w:t>5</w:t>
            </w:r>
            <w:r>
              <w:rPr>
                <w:rFonts w:ascii="Times New Roman" w:hAnsi="Times New Roman" w:cs="Times New Roman"/>
                <w:sz w:val="24"/>
                <w:szCs w:val="24"/>
                <w:highlight w:val="none"/>
              </w:rPr>
              <w:t>月</w:t>
            </w:r>
            <w:r>
              <w:rPr>
                <w:rFonts w:hint="eastAsia" w:ascii="Times New Roman" w:hAnsi="Times New Roman" w:cs="Times New Roman"/>
                <w:sz w:val="24"/>
                <w:szCs w:val="24"/>
                <w:highlight w:val="none"/>
                <w:lang w:val="en-US" w:eastAsia="zh-CN"/>
              </w:rPr>
              <w:t>17</w:t>
            </w:r>
            <w:r>
              <w:rPr>
                <w:rFonts w:ascii="Times New Roman" w:hAnsi="Times New Roman" w:cs="Times New Roman"/>
                <w:sz w:val="24"/>
                <w:szCs w:val="24"/>
                <w:highlight w:val="none"/>
              </w:rPr>
              <w:t>日~</w:t>
            </w:r>
            <w:r>
              <w:rPr>
                <w:rFonts w:hint="eastAsia" w:ascii="Times New Roman" w:hAnsi="Times New Roman" w:cs="Times New Roman"/>
                <w:sz w:val="24"/>
                <w:szCs w:val="24"/>
                <w:highlight w:val="none"/>
                <w:lang w:val="en-US" w:eastAsia="zh-CN"/>
              </w:rPr>
              <w:t>18</w:t>
            </w:r>
            <w:r>
              <w:rPr>
                <w:rFonts w:ascii="Times New Roman" w:hAnsi="Times New Roman" w:cs="Times New Roman"/>
                <w:sz w:val="24"/>
                <w:szCs w:val="24"/>
                <w:highlight w:val="none"/>
              </w:rPr>
              <w:t>日对项目所在区域声环境进行了监测。</w:t>
            </w:r>
          </w:p>
          <w:p>
            <w:pPr>
              <w:pStyle w:val="22"/>
              <w:adjustRightInd w:val="0"/>
              <w:snapToGrid w:val="0"/>
              <w:ind w:firstLine="420"/>
              <w:rPr>
                <w:rFonts w:ascii="Times New Roman" w:hAnsi="Times New Roman" w:cs="Times New Roman"/>
                <w:sz w:val="24"/>
                <w:szCs w:val="24"/>
                <w:highlight w:val="none"/>
              </w:rPr>
            </w:pPr>
            <w:r>
              <w:rPr>
                <w:rFonts w:ascii="Times New Roman" w:hAnsi="Times New Roman" w:cs="Times New Roman"/>
                <w:sz w:val="24"/>
                <w:szCs w:val="24"/>
                <w:highlight w:val="none"/>
              </w:rPr>
              <w:t>（1）监测点位：项目厂界东、南、西、北面及厂界外1米</w:t>
            </w:r>
            <w:r>
              <w:rPr>
                <w:rFonts w:hint="eastAsia" w:ascii="Times New Roman" w:hAnsi="Times New Roman" w:cs="Times New Roman"/>
                <w:sz w:val="24"/>
                <w:szCs w:val="24"/>
                <w:highlight w:val="none"/>
                <w:lang w:val="en-US" w:eastAsia="zh-CN"/>
              </w:rPr>
              <w:t>南</w:t>
            </w:r>
            <w:r>
              <w:rPr>
                <w:rFonts w:ascii="Times New Roman" w:hAnsi="Times New Roman" w:cs="Times New Roman"/>
                <w:sz w:val="24"/>
                <w:szCs w:val="24"/>
                <w:highlight w:val="none"/>
              </w:rPr>
              <w:t>面居民点处；</w:t>
            </w:r>
          </w:p>
          <w:p>
            <w:pPr>
              <w:pStyle w:val="22"/>
              <w:adjustRightInd w:val="0"/>
              <w:snapToGrid w:val="0"/>
              <w:ind w:firstLine="420"/>
              <w:rPr>
                <w:rFonts w:ascii="Times New Roman" w:hAnsi="Times New Roman" w:cs="Times New Roman"/>
                <w:sz w:val="24"/>
                <w:szCs w:val="24"/>
                <w:highlight w:val="none"/>
              </w:rPr>
            </w:pPr>
            <w:r>
              <w:rPr>
                <w:rFonts w:ascii="Times New Roman" w:hAnsi="Times New Roman" w:cs="Times New Roman"/>
                <w:sz w:val="24"/>
                <w:szCs w:val="24"/>
                <w:highlight w:val="none"/>
              </w:rPr>
              <w:t>（2）监测因子：等效连续A声级；</w:t>
            </w:r>
          </w:p>
          <w:p>
            <w:pPr>
              <w:pStyle w:val="22"/>
              <w:adjustRightInd w:val="0"/>
              <w:snapToGrid w:val="0"/>
              <w:ind w:firstLine="420"/>
              <w:rPr>
                <w:rFonts w:ascii="Times New Roman" w:hAnsi="Times New Roman" w:cs="Times New Roman"/>
                <w:sz w:val="24"/>
                <w:szCs w:val="24"/>
                <w:highlight w:val="none"/>
              </w:rPr>
            </w:pPr>
            <w:r>
              <w:rPr>
                <w:rFonts w:ascii="Times New Roman" w:hAnsi="Times New Roman" w:cs="Times New Roman"/>
                <w:sz w:val="24"/>
                <w:szCs w:val="24"/>
                <w:highlight w:val="none"/>
              </w:rPr>
              <w:t>（3）监测方法：按照《声环境质量标准》(GB3096-2008)中的有关规定进行；</w:t>
            </w:r>
          </w:p>
          <w:p>
            <w:pPr>
              <w:pStyle w:val="22"/>
              <w:adjustRightInd w:val="0"/>
              <w:snapToGrid w:val="0"/>
              <w:ind w:firstLine="420"/>
              <w:rPr>
                <w:rFonts w:ascii="Times New Roman" w:hAnsi="Times New Roman" w:cs="Times New Roman"/>
                <w:sz w:val="24"/>
                <w:szCs w:val="24"/>
                <w:highlight w:val="none"/>
              </w:rPr>
            </w:pPr>
            <w:r>
              <w:rPr>
                <w:rFonts w:ascii="Times New Roman" w:hAnsi="Times New Roman" w:cs="Times New Roman"/>
                <w:sz w:val="24"/>
                <w:szCs w:val="24"/>
                <w:highlight w:val="none"/>
              </w:rPr>
              <w:t>（4）评价方法：《环境影响评价技术导则—声环境》(HJ2.4-2009)中的相关规范进行；</w:t>
            </w:r>
          </w:p>
          <w:p>
            <w:pPr>
              <w:pStyle w:val="22"/>
              <w:adjustRightInd w:val="0"/>
              <w:snapToGrid w:val="0"/>
              <w:ind w:firstLine="420"/>
              <w:rPr>
                <w:rFonts w:ascii="Times New Roman" w:hAnsi="Times New Roman" w:cs="Times New Roman"/>
                <w:sz w:val="24"/>
                <w:szCs w:val="24"/>
                <w:highlight w:val="none"/>
              </w:rPr>
            </w:pPr>
            <w:r>
              <w:rPr>
                <w:rFonts w:ascii="Times New Roman" w:hAnsi="Times New Roman" w:cs="Times New Roman"/>
                <w:sz w:val="24"/>
                <w:szCs w:val="24"/>
                <w:highlight w:val="none"/>
              </w:rPr>
              <w:t>（5）执行标准：根据项目所在区域的环境特征，评价区执行《声环境质量标准》（GB3096-2008）中的</w:t>
            </w:r>
            <w:r>
              <w:rPr>
                <w:rFonts w:hint="eastAsia" w:ascii="Times New Roman" w:hAnsi="Times New Roman" w:cs="Times New Roman"/>
                <w:sz w:val="24"/>
                <w:szCs w:val="24"/>
                <w:highlight w:val="none"/>
                <w:lang w:val="en-US" w:eastAsia="zh-CN"/>
              </w:rPr>
              <w:t>3</w:t>
            </w:r>
            <w:r>
              <w:rPr>
                <w:rFonts w:ascii="Times New Roman" w:hAnsi="Times New Roman" w:cs="Times New Roman"/>
                <w:sz w:val="24"/>
                <w:szCs w:val="24"/>
                <w:highlight w:val="none"/>
              </w:rPr>
              <w:t>类标准</w:t>
            </w:r>
            <w:r>
              <w:rPr>
                <w:rFonts w:hint="eastAsia" w:ascii="Times New Roman" w:hAnsi="Times New Roman" w:cs="Times New Roman"/>
                <w:sz w:val="24"/>
                <w:szCs w:val="24"/>
                <w:highlight w:val="none"/>
                <w:lang w:eastAsia="zh-CN"/>
              </w:rPr>
              <w:t>，</w:t>
            </w:r>
            <w:r>
              <w:rPr>
                <w:rFonts w:hint="eastAsia" w:ascii="Times New Roman" w:hAnsi="Times New Roman" w:cs="Times New Roman"/>
                <w:sz w:val="24"/>
                <w:szCs w:val="24"/>
                <w:highlight w:val="none"/>
                <w:lang w:val="en-US" w:eastAsia="zh-CN"/>
              </w:rPr>
              <w:t>敏感点执行</w:t>
            </w:r>
            <w:r>
              <w:rPr>
                <w:rFonts w:ascii="Times New Roman" w:hAnsi="Times New Roman" w:cs="Times New Roman"/>
                <w:sz w:val="24"/>
                <w:szCs w:val="24"/>
                <w:highlight w:val="none"/>
              </w:rPr>
              <w:t>《声环境质量标准》（GB3096-2008）中的</w:t>
            </w:r>
            <w:r>
              <w:rPr>
                <w:rFonts w:hint="eastAsia" w:ascii="Times New Roman" w:hAnsi="Times New Roman" w:cs="Times New Roman"/>
                <w:sz w:val="24"/>
                <w:szCs w:val="24"/>
                <w:highlight w:val="none"/>
                <w:lang w:val="en-US" w:eastAsia="zh-CN"/>
              </w:rPr>
              <w:t>2</w:t>
            </w:r>
            <w:r>
              <w:rPr>
                <w:rFonts w:ascii="Times New Roman" w:hAnsi="Times New Roman" w:cs="Times New Roman"/>
                <w:sz w:val="24"/>
                <w:szCs w:val="24"/>
                <w:highlight w:val="none"/>
              </w:rPr>
              <w:t>类标准；</w:t>
            </w:r>
          </w:p>
          <w:p>
            <w:pPr>
              <w:pStyle w:val="22"/>
              <w:adjustRightInd w:val="0"/>
              <w:snapToGrid w:val="0"/>
              <w:ind w:firstLine="420"/>
              <w:rPr>
                <w:rFonts w:ascii="Times New Roman" w:hAnsi="Times New Roman" w:cs="Times New Roman"/>
                <w:sz w:val="24"/>
                <w:szCs w:val="24"/>
                <w:highlight w:val="none"/>
              </w:rPr>
            </w:pPr>
            <w:r>
              <w:rPr>
                <w:rFonts w:ascii="Times New Roman" w:hAnsi="Times New Roman" w:cs="Times New Roman"/>
                <w:sz w:val="24"/>
                <w:szCs w:val="24"/>
                <w:highlight w:val="none"/>
              </w:rPr>
              <w:t>（6）监测结果及评价：详见表3-</w:t>
            </w:r>
            <w:r>
              <w:rPr>
                <w:rFonts w:hint="eastAsia" w:ascii="Times New Roman" w:hAnsi="Times New Roman" w:cs="Times New Roman"/>
                <w:sz w:val="24"/>
                <w:szCs w:val="24"/>
                <w:highlight w:val="none"/>
                <w:lang w:val="en-US" w:eastAsia="zh-CN"/>
              </w:rPr>
              <w:t>5</w:t>
            </w:r>
            <w:r>
              <w:rPr>
                <w:rFonts w:ascii="Times New Roman" w:hAnsi="Times New Roman" w:cs="Times New Roman"/>
                <w:sz w:val="24"/>
                <w:szCs w:val="24"/>
                <w:highlight w:val="none"/>
              </w:rPr>
              <w:t>。</w:t>
            </w:r>
          </w:p>
          <w:p>
            <w:pPr>
              <w:pStyle w:val="23"/>
              <w:adjustRightInd w:val="0"/>
              <w:snapToGrid w:val="0"/>
              <w:spacing w:line="360" w:lineRule="auto"/>
              <w:rPr>
                <w:rFonts w:ascii="Times New Roman" w:hAnsi="Times New Roman"/>
                <w:bCs/>
                <w:sz w:val="24"/>
                <w:szCs w:val="24"/>
                <w:highlight w:val="none"/>
                <w:lang w:val="zh-CN"/>
              </w:rPr>
            </w:pPr>
            <w:bookmarkStart w:id="2" w:name="_Ref419661638"/>
            <w:r>
              <w:rPr>
                <w:rFonts w:ascii="Times New Roman" w:hAnsi="Times New Roman"/>
                <w:bCs/>
                <w:sz w:val="24"/>
                <w:szCs w:val="24"/>
                <w:highlight w:val="none"/>
                <w:lang w:val="zh-CN"/>
              </w:rPr>
              <w:t>表</w:t>
            </w:r>
            <w:bookmarkEnd w:id="2"/>
            <w:r>
              <w:rPr>
                <w:rFonts w:ascii="Times New Roman" w:hAnsi="Times New Roman"/>
                <w:bCs/>
                <w:sz w:val="24"/>
                <w:szCs w:val="24"/>
                <w:highlight w:val="none"/>
              </w:rPr>
              <w:t>3-</w:t>
            </w:r>
            <w:r>
              <w:rPr>
                <w:rFonts w:hint="eastAsia" w:ascii="Times New Roman" w:hAnsi="Times New Roman"/>
                <w:bCs/>
                <w:sz w:val="24"/>
                <w:szCs w:val="24"/>
                <w:highlight w:val="none"/>
                <w:lang w:val="en-US" w:eastAsia="zh-CN"/>
              </w:rPr>
              <w:t>5</w:t>
            </w:r>
            <w:r>
              <w:rPr>
                <w:rFonts w:ascii="Times New Roman" w:hAnsi="Times New Roman"/>
                <w:bCs/>
                <w:sz w:val="24"/>
                <w:szCs w:val="24"/>
                <w:highlight w:val="none"/>
              </w:rPr>
              <w:t xml:space="preserve"> </w:t>
            </w:r>
            <w:r>
              <w:rPr>
                <w:rFonts w:ascii="Times New Roman" w:hAnsi="Times New Roman" w:eastAsia="Times New Roman"/>
                <w:bCs/>
                <w:sz w:val="24"/>
                <w:szCs w:val="24"/>
                <w:highlight w:val="none"/>
                <w:lang w:val="zh-CN"/>
              </w:rPr>
              <w:t xml:space="preserve"> </w:t>
            </w:r>
            <w:r>
              <w:rPr>
                <w:rFonts w:ascii="Times New Roman" w:hAnsi="Times New Roman"/>
                <w:bCs/>
                <w:sz w:val="24"/>
                <w:szCs w:val="24"/>
                <w:highlight w:val="none"/>
                <w:lang w:val="zh-CN"/>
              </w:rPr>
              <w:t>声环境监测评价结果</w:t>
            </w:r>
            <w:r>
              <w:rPr>
                <w:rFonts w:ascii="Times New Roman" w:hAnsi="Times New Roman" w:eastAsia="Times New Roman"/>
                <w:bCs/>
                <w:sz w:val="24"/>
                <w:szCs w:val="24"/>
                <w:highlight w:val="none"/>
                <w:lang w:val="zh-CN"/>
              </w:rPr>
              <w:t xml:space="preserve">  </w:t>
            </w:r>
          </w:p>
          <w:tbl>
            <w:tblPr>
              <w:tblStyle w:val="14"/>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37"/>
              <w:gridCol w:w="715"/>
              <w:gridCol w:w="880"/>
              <w:gridCol w:w="877"/>
              <w:gridCol w:w="883"/>
              <w:gridCol w:w="896"/>
              <w:gridCol w:w="10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660" w:type="pct"/>
                  <w:vMerge w:val="restart"/>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r>
                    <w:rPr>
                      <w:rFonts w:ascii="Times New Roman" w:hAnsi="Times New Roman"/>
                      <w:kern w:val="0"/>
                      <w:sz w:val="21"/>
                      <w:szCs w:val="21"/>
                      <w:highlight w:val="none"/>
                      <w:lang w:val="en-US" w:eastAsia="zh-CN"/>
                    </w:rPr>
                    <w:t>检测点位</w:t>
                  </w:r>
                </w:p>
              </w:tc>
              <w:tc>
                <w:tcPr>
                  <w:tcW w:w="2112" w:type="pct"/>
                  <w:gridSpan w:val="4"/>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r>
                    <w:rPr>
                      <w:rFonts w:ascii="Times New Roman" w:hAnsi="Times New Roman"/>
                      <w:kern w:val="0"/>
                      <w:sz w:val="21"/>
                      <w:szCs w:val="21"/>
                      <w:highlight w:val="none"/>
                      <w:lang w:val="en-US" w:eastAsia="zh-CN"/>
                    </w:rPr>
                    <w:t>检测日期及结果（单位：dB(A)）</w:t>
                  </w:r>
                </w:p>
              </w:tc>
              <w:tc>
                <w:tcPr>
                  <w:tcW w:w="1226" w:type="pct"/>
                  <w:gridSpan w:val="2"/>
                  <w:vMerge w:val="restar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标准限值dB（A）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660" w:type="pct"/>
                  <w:vMerge w:val="continue"/>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p>
              </w:tc>
              <w:tc>
                <w:tcPr>
                  <w:tcW w:w="1004" w:type="pct"/>
                  <w:gridSpan w:val="2"/>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ascii="Times New Roman" w:hAnsi="Times New Roman"/>
                      <w:kern w:val="0"/>
                      <w:sz w:val="21"/>
                      <w:szCs w:val="21"/>
                      <w:highlight w:val="none"/>
                      <w:lang w:val="en-US" w:eastAsia="zh-CN"/>
                    </w:rPr>
                    <w:t>2021.</w:t>
                  </w:r>
                  <w:r>
                    <w:rPr>
                      <w:rFonts w:hint="eastAsia" w:ascii="Times New Roman" w:hAnsi="Times New Roman"/>
                      <w:kern w:val="0"/>
                      <w:sz w:val="21"/>
                      <w:szCs w:val="21"/>
                      <w:highlight w:val="none"/>
                      <w:lang w:val="en-US" w:eastAsia="zh-CN"/>
                    </w:rPr>
                    <w:t>5.17</w:t>
                  </w:r>
                </w:p>
              </w:tc>
              <w:tc>
                <w:tcPr>
                  <w:tcW w:w="1108" w:type="pct"/>
                  <w:gridSpan w:val="2"/>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ascii="Times New Roman" w:hAnsi="Times New Roman"/>
                      <w:kern w:val="0"/>
                      <w:sz w:val="21"/>
                      <w:szCs w:val="21"/>
                      <w:highlight w:val="none"/>
                      <w:lang w:val="en-US" w:eastAsia="zh-CN"/>
                    </w:rPr>
                    <w:t>2021.</w:t>
                  </w:r>
                  <w:r>
                    <w:rPr>
                      <w:rFonts w:hint="eastAsia" w:ascii="Times New Roman" w:hAnsi="Times New Roman"/>
                      <w:kern w:val="0"/>
                      <w:sz w:val="21"/>
                      <w:szCs w:val="21"/>
                      <w:highlight w:val="none"/>
                      <w:lang w:val="en-US" w:eastAsia="zh-CN"/>
                    </w:rPr>
                    <w:t>5.18</w:t>
                  </w:r>
                </w:p>
              </w:tc>
              <w:tc>
                <w:tcPr>
                  <w:tcW w:w="1226" w:type="pct"/>
                  <w:gridSpan w:val="2"/>
                  <w:vMerge w:val="continue"/>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660" w:type="pct"/>
                  <w:vMerge w:val="continue"/>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p>
              </w:tc>
              <w:tc>
                <w:tcPr>
                  <w:tcW w:w="450" w:type="pct"/>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r>
                    <w:rPr>
                      <w:rFonts w:ascii="Times New Roman" w:hAnsi="Times New Roman"/>
                      <w:kern w:val="0"/>
                      <w:sz w:val="21"/>
                      <w:szCs w:val="21"/>
                      <w:highlight w:val="none"/>
                      <w:lang w:val="en-US" w:eastAsia="zh-CN"/>
                    </w:rPr>
                    <w:t>昼间</w:t>
                  </w:r>
                </w:p>
              </w:tc>
              <w:tc>
                <w:tcPr>
                  <w:tcW w:w="554" w:type="pct"/>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r>
                    <w:rPr>
                      <w:rFonts w:ascii="Times New Roman" w:hAnsi="Times New Roman"/>
                      <w:kern w:val="0"/>
                      <w:sz w:val="21"/>
                      <w:szCs w:val="21"/>
                      <w:highlight w:val="none"/>
                      <w:lang w:val="en-US" w:eastAsia="zh-CN"/>
                    </w:rPr>
                    <w:t>夜间</w:t>
                  </w:r>
                </w:p>
              </w:tc>
              <w:tc>
                <w:tcPr>
                  <w:tcW w:w="552" w:type="pct"/>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r>
                    <w:rPr>
                      <w:rFonts w:ascii="Times New Roman" w:hAnsi="Times New Roman"/>
                      <w:kern w:val="0"/>
                      <w:sz w:val="21"/>
                      <w:szCs w:val="21"/>
                      <w:highlight w:val="none"/>
                      <w:lang w:val="en-US" w:eastAsia="zh-CN"/>
                    </w:rPr>
                    <w:t>昼间</w:t>
                  </w:r>
                </w:p>
              </w:tc>
              <w:tc>
                <w:tcPr>
                  <w:tcW w:w="555" w:type="pct"/>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r>
                    <w:rPr>
                      <w:rFonts w:ascii="Times New Roman" w:hAnsi="Times New Roman"/>
                      <w:kern w:val="0"/>
                      <w:sz w:val="21"/>
                      <w:szCs w:val="21"/>
                      <w:highlight w:val="none"/>
                      <w:lang w:val="en-US" w:eastAsia="zh-CN"/>
                    </w:rPr>
                    <w:t>夜间</w:t>
                  </w:r>
                </w:p>
              </w:tc>
              <w:tc>
                <w:tcPr>
                  <w:tcW w:w="564"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昼间</w:t>
                  </w:r>
                </w:p>
              </w:tc>
              <w:tc>
                <w:tcPr>
                  <w:tcW w:w="662"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660" w:type="pct"/>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r>
                    <w:rPr>
                      <w:rFonts w:ascii="Times New Roman" w:hAnsi="Times New Roman"/>
                      <w:kern w:val="0"/>
                      <w:sz w:val="21"/>
                      <w:szCs w:val="21"/>
                      <w:highlight w:val="none"/>
                      <w:lang w:val="en-US" w:eastAsia="zh-CN"/>
                    </w:rPr>
                    <w:t>N1项目厂界东侧外1米处</w:t>
                  </w:r>
                </w:p>
              </w:tc>
              <w:tc>
                <w:tcPr>
                  <w:tcW w:w="450"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57.3</w:t>
                  </w:r>
                </w:p>
              </w:tc>
              <w:tc>
                <w:tcPr>
                  <w:tcW w:w="554"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45.2</w:t>
                  </w:r>
                </w:p>
              </w:tc>
              <w:tc>
                <w:tcPr>
                  <w:tcW w:w="552"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58.8</w:t>
                  </w:r>
                </w:p>
              </w:tc>
              <w:tc>
                <w:tcPr>
                  <w:tcW w:w="555"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46.1</w:t>
                  </w:r>
                </w:p>
              </w:tc>
              <w:tc>
                <w:tcPr>
                  <w:tcW w:w="564" w:type="pct"/>
                  <w:vMerge w:val="restar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65</w:t>
                  </w:r>
                </w:p>
              </w:tc>
              <w:tc>
                <w:tcPr>
                  <w:tcW w:w="662" w:type="pct"/>
                  <w:vMerge w:val="restar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660" w:type="pct"/>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r>
                    <w:rPr>
                      <w:rFonts w:ascii="Times New Roman" w:hAnsi="Times New Roman"/>
                      <w:kern w:val="0"/>
                      <w:sz w:val="21"/>
                      <w:szCs w:val="21"/>
                      <w:highlight w:val="none"/>
                      <w:lang w:val="en-US" w:eastAsia="zh-CN"/>
                    </w:rPr>
                    <w:t>N2项目厂界南侧外1米处</w:t>
                  </w:r>
                </w:p>
              </w:tc>
              <w:tc>
                <w:tcPr>
                  <w:tcW w:w="450"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58.1</w:t>
                  </w:r>
                </w:p>
              </w:tc>
              <w:tc>
                <w:tcPr>
                  <w:tcW w:w="554"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46.1</w:t>
                  </w:r>
                </w:p>
              </w:tc>
              <w:tc>
                <w:tcPr>
                  <w:tcW w:w="552"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57.9</w:t>
                  </w:r>
                </w:p>
              </w:tc>
              <w:tc>
                <w:tcPr>
                  <w:tcW w:w="555"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45.6</w:t>
                  </w:r>
                </w:p>
              </w:tc>
              <w:tc>
                <w:tcPr>
                  <w:tcW w:w="564" w:type="pct"/>
                  <w:vMerge w:val="continue"/>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p>
              </w:tc>
              <w:tc>
                <w:tcPr>
                  <w:tcW w:w="662" w:type="pct"/>
                  <w:vMerge w:val="continue"/>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38" w:hRule="atLeast"/>
              </w:trPr>
              <w:tc>
                <w:tcPr>
                  <w:tcW w:w="1660" w:type="pct"/>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r>
                    <w:rPr>
                      <w:rFonts w:ascii="Times New Roman" w:hAnsi="Times New Roman"/>
                      <w:kern w:val="0"/>
                      <w:sz w:val="21"/>
                      <w:szCs w:val="21"/>
                      <w:highlight w:val="none"/>
                      <w:lang w:val="en-US" w:eastAsia="zh-CN"/>
                    </w:rPr>
                    <w:t>N3项目厂界西侧外1米处</w:t>
                  </w:r>
                </w:p>
              </w:tc>
              <w:tc>
                <w:tcPr>
                  <w:tcW w:w="450"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58.8</w:t>
                  </w:r>
                </w:p>
              </w:tc>
              <w:tc>
                <w:tcPr>
                  <w:tcW w:w="554"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46.3</w:t>
                  </w:r>
                </w:p>
              </w:tc>
              <w:tc>
                <w:tcPr>
                  <w:tcW w:w="552"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58.3</w:t>
                  </w:r>
                </w:p>
              </w:tc>
              <w:tc>
                <w:tcPr>
                  <w:tcW w:w="555"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45.3</w:t>
                  </w:r>
                </w:p>
              </w:tc>
              <w:tc>
                <w:tcPr>
                  <w:tcW w:w="564" w:type="pct"/>
                  <w:vMerge w:val="continue"/>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p>
              </w:tc>
              <w:tc>
                <w:tcPr>
                  <w:tcW w:w="662" w:type="pct"/>
                  <w:vMerge w:val="continue"/>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660" w:type="pct"/>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r>
                    <w:rPr>
                      <w:rFonts w:ascii="Times New Roman" w:hAnsi="Times New Roman"/>
                      <w:kern w:val="0"/>
                      <w:sz w:val="21"/>
                      <w:szCs w:val="21"/>
                      <w:highlight w:val="none"/>
                      <w:lang w:val="en-US" w:eastAsia="zh-CN"/>
                    </w:rPr>
                    <w:t>N4项目厂界北侧外1米处</w:t>
                  </w:r>
                </w:p>
              </w:tc>
              <w:tc>
                <w:tcPr>
                  <w:tcW w:w="450"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61.3</w:t>
                  </w:r>
                </w:p>
              </w:tc>
              <w:tc>
                <w:tcPr>
                  <w:tcW w:w="554"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48.3</w:t>
                  </w:r>
                </w:p>
              </w:tc>
              <w:tc>
                <w:tcPr>
                  <w:tcW w:w="552"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60.6</w:t>
                  </w:r>
                </w:p>
              </w:tc>
              <w:tc>
                <w:tcPr>
                  <w:tcW w:w="555"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47.6</w:t>
                  </w:r>
                </w:p>
              </w:tc>
              <w:tc>
                <w:tcPr>
                  <w:tcW w:w="564" w:type="pct"/>
                  <w:vMerge w:val="continue"/>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p>
              </w:tc>
              <w:tc>
                <w:tcPr>
                  <w:tcW w:w="662" w:type="pct"/>
                  <w:vMerge w:val="continue"/>
                  <w:tcBorders>
                    <w:tl2br w:val="nil"/>
                    <w:tr2bl w:val="nil"/>
                  </w:tcBorders>
                  <w:shd w:val="clear" w:color="auto" w:fill="auto"/>
                  <w:noWrap w:val="0"/>
                  <w:vAlign w:val="center"/>
                </w:tcPr>
                <w:p>
                  <w:pPr>
                    <w:pStyle w:val="24"/>
                    <w:adjustRightInd w:val="0"/>
                    <w:spacing w:after="0"/>
                    <w:ind w:firstLine="0" w:firstLineChars="0"/>
                    <w:rPr>
                      <w:rFonts w:ascii="Times New Roman" w:hAnsi="Times New Roman"/>
                      <w:kern w:val="0"/>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660"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ascii="Times New Roman" w:hAnsi="Times New Roman"/>
                      <w:kern w:val="0"/>
                      <w:sz w:val="21"/>
                      <w:szCs w:val="21"/>
                      <w:highlight w:val="none"/>
                      <w:lang w:val="en-US" w:eastAsia="zh-CN"/>
                    </w:rPr>
                    <w:t>N5</w:t>
                  </w:r>
                  <w:r>
                    <w:rPr>
                      <w:rFonts w:hint="eastAsia" w:ascii="Times New Roman" w:hAnsi="Times New Roman"/>
                      <w:kern w:val="0"/>
                      <w:sz w:val="21"/>
                      <w:szCs w:val="21"/>
                      <w:highlight w:val="none"/>
                      <w:lang w:val="en-US" w:eastAsia="zh-CN"/>
                    </w:rPr>
                    <w:t>周边敏感点</w:t>
                  </w:r>
                </w:p>
              </w:tc>
              <w:tc>
                <w:tcPr>
                  <w:tcW w:w="450"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59.4</w:t>
                  </w:r>
                </w:p>
              </w:tc>
              <w:tc>
                <w:tcPr>
                  <w:tcW w:w="554"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48.0</w:t>
                  </w:r>
                </w:p>
              </w:tc>
              <w:tc>
                <w:tcPr>
                  <w:tcW w:w="552"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59.8</w:t>
                  </w:r>
                </w:p>
              </w:tc>
              <w:tc>
                <w:tcPr>
                  <w:tcW w:w="555"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47.0</w:t>
                  </w:r>
                </w:p>
              </w:tc>
              <w:tc>
                <w:tcPr>
                  <w:tcW w:w="564"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60</w:t>
                  </w:r>
                </w:p>
              </w:tc>
              <w:tc>
                <w:tcPr>
                  <w:tcW w:w="662" w:type="pct"/>
                  <w:tcBorders>
                    <w:tl2br w:val="nil"/>
                    <w:tr2bl w:val="nil"/>
                  </w:tcBorders>
                  <w:shd w:val="clear" w:color="auto" w:fill="auto"/>
                  <w:noWrap w:val="0"/>
                  <w:vAlign w:val="center"/>
                </w:tcPr>
                <w:p>
                  <w:pPr>
                    <w:pStyle w:val="24"/>
                    <w:adjustRightInd w:val="0"/>
                    <w:spacing w:after="0"/>
                    <w:ind w:firstLine="0" w:firstLineChars="0"/>
                    <w:rPr>
                      <w:rFonts w:hint="default" w:ascii="Times New Roman" w:hAnsi="Times New Roman"/>
                      <w:kern w:val="0"/>
                      <w:sz w:val="21"/>
                      <w:szCs w:val="21"/>
                      <w:highlight w:val="none"/>
                      <w:lang w:val="en-US" w:eastAsia="zh-CN"/>
                    </w:rPr>
                  </w:pPr>
                  <w:r>
                    <w:rPr>
                      <w:rFonts w:hint="eastAsia" w:ascii="Times New Roman" w:hAnsi="Times New Roman"/>
                      <w:kern w:val="0"/>
                      <w:sz w:val="21"/>
                      <w:szCs w:val="21"/>
                      <w:highlight w:val="none"/>
                      <w:lang w:val="en-US" w:eastAsia="zh-CN"/>
                    </w:rPr>
                    <w:t>50</w:t>
                  </w:r>
                </w:p>
              </w:tc>
            </w:tr>
          </w:tbl>
          <w:p>
            <w:pPr>
              <w:adjustRightInd w:val="0"/>
              <w:snapToGrid w:val="0"/>
              <w:spacing w:line="360" w:lineRule="auto"/>
              <w:ind w:firstLine="480" w:firstLineChars="200"/>
              <w:rPr>
                <w:sz w:val="24"/>
                <w:szCs w:val="24"/>
              </w:rPr>
            </w:pPr>
            <w:r>
              <w:rPr>
                <w:sz w:val="24"/>
                <w:szCs w:val="24"/>
                <w:highlight w:val="none"/>
              </w:rPr>
              <w:t>从现状监测数据可知，项目厂界四周声环境质量达到了《声环境质量标准》(GB3096-2008)中的</w:t>
            </w:r>
            <w:r>
              <w:rPr>
                <w:rFonts w:hint="eastAsia"/>
                <w:sz w:val="24"/>
                <w:szCs w:val="24"/>
                <w:highlight w:val="none"/>
                <w:lang w:val="en-US" w:eastAsia="zh-CN"/>
              </w:rPr>
              <w:t>3</w:t>
            </w:r>
            <w:r>
              <w:rPr>
                <w:sz w:val="24"/>
                <w:szCs w:val="24"/>
                <w:highlight w:val="none"/>
              </w:rPr>
              <w:t>类标准</w:t>
            </w:r>
            <w:r>
              <w:rPr>
                <w:rFonts w:hint="eastAsia"/>
                <w:sz w:val="24"/>
                <w:szCs w:val="24"/>
                <w:highlight w:val="none"/>
                <w:lang w:eastAsia="zh-CN"/>
              </w:rPr>
              <w:t>；</w:t>
            </w:r>
            <w:r>
              <w:rPr>
                <w:sz w:val="24"/>
                <w:szCs w:val="24"/>
                <w:highlight w:val="none"/>
              </w:rPr>
              <w:t>北面居民点的声环境质量达到了《声环境质量标准》(GB3096-2008)中的</w:t>
            </w:r>
            <w:r>
              <w:rPr>
                <w:rFonts w:hint="eastAsia"/>
                <w:sz w:val="24"/>
                <w:szCs w:val="24"/>
                <w:highlight w:val="none"/>
                <w:lang w:val="en-US" w:eastAsia="zh-CN"/>
              </w:rPr>
              <w:t>2</w:t>
            </w:r>
            <w:r>
              <w:rPr>
                <w:sz w:val="24"/>
                <w:szCs w:val="24"/>
                <w:highlight w:val="none"/>
              </w:rPr>
              <w:t>类标准。</w:t>
            </w:r>
          </w:p>
          <w:p>
            <w:pPr>
              <w:adjustRightInd w:val="0"/>
              <w:snapToGrid w:val="0"/>
              <w:spacing w:line="360" w:lineRule="auto"/>
              <w:rPr>
                <w:rFonts w:hint="eastAsia"/>
                <w:b/>
                <w:bCs/>
                <w:sz w:val="24"/>
                <w:szCs w:val="24"/>
              </w:rPr>
            </w:pPr>
            <w:r>
              <w:rPr>
                <w:rFonts w:hint="eastAsia"/>
                <w:b/>
                <w:bCs/>
                <w:sz w:val="24"/>
                <w:szCs w:val="24"/>
                <w:lang w:val="en-US" w:eastAsia="zh-CN"/>
              </w:rPr>
              <w:t>4.</w:t>
            </w:r>
            <w:r>
              <w:rPr>
                <w:rFonts w:hint="eastAsia"/>
                <w:b/>
                <w:bCs/>
                <w:sz w:val="24"/>
                <w:szCs w:val="24"/>
              </w:rPr>
              <w:t>生态环境现状</w:t>
            </w:r>
          </w:p>
          <w:p>
            <w:pPr>
              <w:adjustRightInd w:val="0"/>
              <w:snapToGrid w:val="0"/>
              <w:spacing w:line="360" w:lineRule="auto"/>
              <w:ind w:firstLine="480" w:firstLineChars="200"/>
              <w:rPr>
                <w:rFonts w:ascii="宋体" w:hAnsi="宋体" w:cs="宋体"/>
                <w:kern w:val="0"/>
                <w:sz w:val="24"/>
                <w:szCs w:val="24"/>
              </w:rPr>
            </w:pPr>
            <w:r>
              <w:rPr>
                <w:rFonts w:hint="eastAsia"/>
                <w:sz w:val="24"/>
                <w:szCs w:val="24"/>
              </w:rPr>
              <w:t>本项目标准化厂房已建设完成，评价区域内以人工环境为主，区内无重要建构筑物，也无重要的自然保护区、旅游景点或地质遗迹；评价项目周围无特殊文物保护单位等环境敏感点；无探明的矿床和珍贵的野生动、植物资源，无国家和地区指定的重点文物单位和名胜古迹。因此本项目区域生态环境质量一般。项目主要周边及场地环境现状照片见附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vAlign w:val="center"/>
          </w:tcPr>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环境</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保护</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目标</w:t>
            </w:r>
          </w:p>
        </w:tc>
        <w:tc>
          <w:tcPr>
            <w:tcW w:w="8190" w:type="dxa"/>
            <w:noWrap w:val="0"/>
            <w:vAlign w:val="center"/>
          </w:tcPr>
          <w:p>
            <w:pPr>
              <w:spacing w:line="360" w:lineRule="auto"/>
              <w:ind w:firstLine="480" w:firstLineChars="200"/>
              <w:outlineLvl w:val="0"/>
              <w:rPr>
                <w:color w:val="FF0000"/>
                <w:sz w:val="24"/>
                <w:highlight w:val="none"/>
                <w:u w:val="single"/>
              </w:rPr>
            </w:pPr>
            <w:bookmarkStart w:id="3" w:name="_Toc487331137"/>
            <w:r>
              <w:rPr>
                <w:color w:val="FF0000"/>
                <w:sz w:val="24"/>
                <w:u w:val="single"/>
              </w:rPr>
              <w:t>项目</w:t>
            </w:r>
            <w:r>
              <w:rPr>
                <w:rFonts w:hint="eastAsia"/>
                <w:color w:val="FF0000"/>
                <w:sz w:val="24"/>
                <w:u w:val="single"/>
                <w:lang w:val="en-US" w:eastAsia="zh-CN"/>
              </w:rPr>
              <w:t>厂界50m范围内无声环境敏感目标。项目500m范围内大气</w:t>
            </w:r>
            <w:r>
              <w:rPr>
                <w:color w:val="FF0000"/>
                <w:sz w:val="24"/>
                <w:u w:val="single"/>
              </w:rPr>
              <w:t>环境敏感</w:t>
            </w:r>
            <w:r>
              <w:rPr>
                <w:color w:val="FF0000"/>
                <w:sz w:val="24"/>
                <w:highlight w:val="none"/>
                <w:u w:val="single"/>
              </w:rPr>
              <w:t>点分布情况具体见下表。</w:t>
            </w:r>
            <w:bookmarkEnd w:id="3"/>
          </w:p>
          <w:p>
            <w:pPr>
              <w:pStyle w:val="7"/>
              <w:keepNext/>
              <w:rPr>
                <w:rFonts w:ascii="Times New Roman" w:hAnsi="Times New Roman"/>
                <w:color w:val="FF0000"/>
                <w:highlight w:val="none"/>
                <w:u w:val="single"/>
              </w:rPr>
            </w:pPr>
            <w:bookmarkStart w:id="4" w:name="_Ref420507693"/>
            <w:r>
              <w:rPr>
                <w:rFonts w:ascii="Times New Roman" w:hAnsi="Times New Roman"/>
                <w:color w:val="FF0000"/>
                <w:highlight w:val="none"/>
                <w:u w:val="single"/>
              </w:rPr>
              <w:t>表</w:t>
            </w:r>
            <w:bookmarkEnd w:id="4"/>
            <w:r>
              <w:rPr>
                <w:rFonts w:hint="eastAsia" w:ascii="Times New Roman" w:hAnsi="Times New Roman"/>
                <w:color w:val="FF0000"/>
                <w:highlight w:val="none"/>
                <w:u w:val="single"/>
                <w:lang w:val="en-US" w:eastAsia="zh-CN"/>
              </w:rPr>
              <w:t>3-6</w:t>
            </w:r>
            <w:r>
              <w:rPr>
                <w:rFonts w:ascii="Times New Roman" w:hAnsi="Times New Roman"/>
                <w:color w:val="FF0000"/>
                <w:highlight w:val="none"/>
                <w:u w:val="single"/>
              </w:rPr>
              <w:t xml:space="preserve">  主要环境保护目标一览表</w:t>
            </w:r>
          </w:p>
          <w:tbl>
            <w:tblPr>
              <w:tblStyle w:val="14"/>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637"/>
              <w:gridCol w:w="1602"/>
              <w:gridCol w:w="899"/>
              <w:gridCol w:w="915"/>
              <w:gridCol w:w="1336"/>
              <w:gridCol w:w="255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454" w:hRule="atLeast"/>
                <w:jc w:val="center"/>
              </w:trPr>
              <w:tc>
                <w:tcPr>
                  <w:tcW w:w="1409" w:type="pct"/>
                  <w:gridSpan w:val="2"/>
                  <w:noWrap w:val="0"/>
                  <w:vAlign w:val="center"/>
                </w:tcPr>
                <w:p>
                  <w:pPr>
                    <w:jc w:val="center"/>
                    <w:rPr>
                      <w:b/>
                      <w:bCs/>
                      <w:color w:val="FF0000"/>
                      <w:szCs w:val="21"/>
                      <w:highlight w:val="none"/>
                      <w:u w:val="single"/>
                    </w:rPr>
                  </w:pPr>
                  <w:r>
                    <w:rPr>
                      <w:b/>
                      <w:bCs/>
                      <w:color w:val="FF0000"/>
                      <w:szCs w:val="21"/>
                      <w:highlight w:val="none"/>
                      <w:u w:val="single"/>
                    </w:rPr>
                    <w:t>保护目标</w:t>
                  </w:r>
                </w:p>
              </w:tc>
              <w:tc>
                <w:tcPr>
                  <w:tcW w:w="566" w:type="pct"/>
                  <w:vMerge w:val="restart"/>
                  <w:noWrap w:val="0"/>
                  <w:vAlign w:val="center"/>
                </w:tcPr>
                <w:p>
                  <w:pPr>
                    <w:jc w:val="center"/>
                    <w:rPr>
                      <w:b/>
                      <w:bCs/>
                      <w:color w:val="FF0000"/>
                      <w:szCs w:val="21"/>
                      <w:highlight w:val="none"/>
                      <w:u w:val="single"/>
                    </w:rPr>
                  </w:pPr>
                  <w:r>
                    <w:rPr>
                      <w:b/>
                      <w:bCs/>
                      <w:color w:val="FF0000"/>
                      <w:szCs w:val="21"/>
                      <w:highlight w:val="none"/>
                      <w:u w:val="single"/>
                    </w:rPr>
                    <w:t>性质/规模</w:t>
                  </w:r>
                </w:p>
              </w:tc>
              <w:tc>
                <w:tcPr>
                  <w:tcW w:w="576" w:type="pct"/>
                  <w:vMerge w:val="restart"/>
                  <w:noWrap w:val="0"/>
                  <w:vAlign w:val="center"/>
                </w:tcPr>
                <w:p>
                  <w:pPr>
                    <w:jc w:val="center"/>
                    <w:rPr>
                      <w:b/>
                      <w:bCs/>
                      <w:color w:val="FF0000"/>
                      <w:szCs w:val="21"/>
                      <w:highlight w:val="none"/>
                      <w:u w:val="single"/>
                    </w:rPr>
                  </w:pPr>
                  <w:r>
                    <w:rPr>
                      <w:b/>
                      <w:bCs/>
                      <w:color w:val="FF0000"/>
                      <w:szCs w:val="21"/>
                      <w:highlight w:val="none"/>
                      <w:u w:val="single"/>
                    </w:rPr>
                    <w:t>方位</w:t>
                  </w:r>
                </w:p>
              </w:tc>
              <w:tc>
                <w:tcPr>
                  <w:tcW w:w="841" w:type="pct"/>
                  <w:vMerge w:val="restart"/>
                  <w:noWrap w:val="0"/>
                  <w:vAlign w:val="center"/>
                </w:tcPr>
                <w:p>
                  <w:pPr>
                    <w:jc w:val="center"/>
                    <w:rPr>
                      <w:b/>
                      <w:bCs/>
                      <w:color w:val="FF0000"/>
                      <w:szCs w:val="21"/>
                      <w:highlight w:val="none"/>
                      <w:u w:val="single"/>
                    </w:rPr>
                  </w:pPr>
                  <w:r>
                    <w:rPr>
                      <w:b/>
                      <w:bCs/>
                      <w:color w:val="FF0000"/>
                      <w:szCs w:val="21"/>
                      <w:highlight w:val="none"/>
                      <w:u w:val="single"/>
                    </w:rPr>
                    <w:t>与项目的</w:t>
                  </w:r>
                  <w:r>
                    <w:rPr>
                      <w:rFonts w:hint="eastAsia"/>
                      <w:b/>
                      <w:bCs/>
                      <w:color w:val="FF0000"/>
                      <w:szCs w:val="21"/>
                      <w:highlight w:val="none"/>
                      <w:u w:val="single"/>
                      <w:lang w:val="en-US" w:eastAsia="zh-CN"/>
                    </w:rPr>
                    <w:t>区间</w:t>
                  </w:r>
                  <w:r>
                    <w:rPr>
                      <w:b/>
                      <w:bCs/>
                      <w:color w:val="FF0000"/>
                      <w:szCs w:val="21"/>
                      <w:highlight w:val="none"/>
                      <w:u w:val="single"/>
                    </w:rPr>
                    <w:t>（m）</w:t>
                  </w:r>
                </w:p>
              </w:tc>
              <w:tc>
                <w:tcPr>
                  <w:tcW w:w="1606" w:type="pct"/>
                  <w:vMerge w:val="restart"/>
                  <w:noWrap w:val="0"/>
                  <w:vAlign w:val="center"/>
                </w:tcPr>
                <w:p>
                  <w:pPr>
                    <w:jc w:val="center"/>
                    <w:rPr>
                      <w:b/>
                      <w:bCs/>
                      <w:color w:val="FF0000"/>
                      <w:szCs w:val="21"/>
                      <w:highlight w:val="none"/>
                      <w:u w:val="single"/>
                    </w:rPr>
                  </w:pPr>
                  <w:r>
                    <w:rPr>
                      <w:b/>
                      <w:bCs/>
                      <w:color w:val="FF0000"/>
                      <w:szCs w:val="21"/>
                      <w:highlight w:val="none"/>
                      <w:u w:val="single"/>
                    </w:rPr>
                    <w:t>保护级别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454" w:hRule="atLeast"/>
                <w:jc w:val="center"/>
              </w:trPr>
              <w:tc>
                <w:tcPr>
                  <w:tcW w:w="401" w:type="pct"/>
                  <w:noWrap w:val="0"/>
                  <w:vAlign w:val="center"/>
                </w:tcPr>
                <w:p>
                  <w:pPr>
                    <w:jc w:val="center"/>
                    <w:rPr>
                      <w:b/>
                      <w:bCs/>
                      <w:color w:val="FF0000"/>
                      <w:szCs w:val="21"/>
                      <w:highlight w:val="none"/>
                      <w:u w:val="single"/>
                    </w:rPr>
                  </w:pPr>
                  <w:r>
                    <w:rPr>
                      <w:b/>
                      <w:bCs/>
                      <w:color w:val="FF0000"/>
                      <w:szCs w:val="21"/>
                      <w:highlight w:val="none"/>
                      <w:u w:val="single"/>
                    </w:rPr>
                    <w:t>要素</w:t>
                  </w:r>
                </w:p>
              </w:tc>
              <w:tc>
                <w:tcPr>
                  <w:tcW w:w="1007" w:type="pct"/>
                  <w:noWrap w:val="0"/>
                  <w:vAlign w:val="center"/>
                </w:tcPr>
                <w:p>
                  <w:pPr>
                    <w:jc w:val="center"/>
                    <w:rPr>
                      <w:b/>
                      <w:bCs/>
                      <w:color w:val="FF0000"/>
                      <w:szCs w:val="21"/>
                      <w:highlight w:val="none"/>
                      <w:u w:val="single"/>
                    </w:rPr>
                  </w:pPr>
                  <w:r>
                    <w:rPr>
                      <w:b/>
                      <w:bCs/>
                      <w:color w:val="FF0000"/>
                      <w:szCs w:val="21"/>
                      <w:highlight w:val="none"/>
                      <w:u w:val="single"/>
                    </w:rPr>
                    <w:t>名称</w:t>
                  </w:r>
                </w:p>
              </w:tc>
              <w:tc>
                <w:tcPr>
                  <w:tcW w:w="566" w:type="pct"/>
                  <w:vMerge w:val="continue"/>
                  <w:noWrap w:val="0"/>
                  <w:vAlign w:val="center"/>
                </w:tcPr>
                <w:p>
                  <w:pPr>
                    <w:jc w:val="center"/>
                    <w:rPr>
                      <w:color w:val="FF0000"/>
                      <w:szCs w:val="21"/>
                      <w:highlight w:val="none"/>
                      <w:u w:val="single"/>
                    </w:rPr>
                  </w:pPr>
                </w:p>
              </w:tc>
              <w:tc>
                <w:tcPr>
                  <w:tcW w:w="576" w:type="pct"/>
                  <w:vMerge w:val="continue"/>
                  <w:noWrap w:val="0"/>
                  <w:vAlign w:val="center"/>
                </w:tcPr>
                <w:p>
                  <w:pPr>
                    <w:jc w:val="center"/>
                    <w:rPr>
                      <w:color w:val="FF0000"/>
                      <w:szCs w:val="21"/>
                      <w:highlight w:val="none"/>
                      <w:u w:val="single"/>
                    </w:rPr>
                  </w:pPr>
                </w:p>
              </w:tc>
              <w:tc>
                <w:tcPr>
                  <w:tcW w:w="841" w:type="pct"/>
                  <w:vMerge w:val="continue"/>
                  <w:noWrap w:val="0"/>
                  <w:vAlign w:val="center"/>
                </w:tcPr>
                <w:p>
                  <w:pPr>
                    <w:jc w:val="center"/>
                    <w:rPr>
                      <w:color w:val="FF0000"/>
                      <w:szCs w:val="21"/>
                      <w:highlight w:val="none"/>
                      <w:u w:val="single"/>
                    </w:rPr>
                  </w:pPr>
                </w:p>
              </w:tc>
              <w:tc>
                <w:tcPr>
                  <w:tcW w:w="1606" w:type="pct"/>
                  <w:vMerge w:val="continue"/>
                  <w:noWrap w:val="0"/>
                  <w:vAlign w:val="center"/>
                </w:tcPr>
                <w:p>
                  <w:pPr>
                    <w:jc w:val="center"/>
                    <w:rPr>
                      <w:color w:val="FF0000"/>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454" w:hRule="atLeast"/>
                <w:jc w:val="center"/>
              </w:trPr>
              <w:tc>
                <w:tcPr>
                  <w:tcW w:w="401" w:type="pct"/>
                  <w:vMerge w:val="restart"/>
                  <w:noWrap w:val="0"/>
                  <w:vAlign w:val="center"/>
                </w:tcPr>
                <w:p>
                  <w:pPr>
                    <w:jc w:val="center"/>
                    <w:rPr>
                      <w:color w:val="FF0000"/>
                      <w:szCs w:val="21"/>
                      <w:highlight w:val="none"/>
                      <w:u w:val="single"/>
                    </w:rPr>
                  </w:pPr>
                  <w:r>
                    <w:rPr>
                      <w:color w:val="FF0000"/>
                      <w:szCs w:val="21"/>
                      <w:highlight w:val="none"/>
                      <w:u w:val="single"/>
                    </w:rPr>
                    <w:t>环境</w:t>
                  </w:r>
                </w:p>
                <w:p>
                  <w:pPr>
                    <w:jc w:val="center"/>
                    <w:rPr>
                      <w:color w:val="FF0000"/>
                      <w:szCs w:val="21"/>
                      <w:highlight w:val="none"/>
                      <w:u w:val="single"/>
                    </w:rPr>
                  </w:pPr>
                  <w:r>
                    <w:rPr>
                      <w:color w:val="FF0000"/>
                      <w:szCs w:val="21"/>
                      <w:highlight w:val="none"/>
                      <w:u w:val="single"/>
                    </w:rPr>
                    <w:t>空气</w:t>
                  </w:r>
                </w:p>
              </w:tc>
              <w:tc>
                <w:tcPr>
                  <w:tcW w:w="1007" w:type="pct"/>
                  <w:noWrap w:val="0"/>
                  <w:vAlign w:val="center"/>
                </w:tcPr>
                <w:p>
                  <w:pPr>
                    <w:pStyle w:val="13"/>
                    <w:tabs>
                      <w:tab w:val="left" w:pos="700"/>
                    </w:tabs>
                    <w:spacing w:line="240" w:lineRule="auto"/>
                    <w:ind w:left="0" w:leftChars="0" w:firstLine="0" w:firstLineChars="0"/>
                    <w:jc w:val="center"/>
                    <w:rPr>
                      <w:rFonts w:hint="default" w:eastAsia="宋体"/>
                      <w:color w:val="FF0000"/>
                      <w:sz w:val="21"/>
                      <w:szCs w:val="21"/>
                      <w:highlight w:val="none"/>
                      <w:u w:val="single"/>
                      <w:lang w:val="en-US" w:eastAsia="zh-CN"/>
                    </w:rPr>
                  </w:pPr>
                  <w:r>
                    <w:rPr>
                      <w:rFonts w:hint="eastAsia"/>
                      <w:color w:val="FF0000"/>
                      <w:sz w:val="21"/>
                      <w:szCs w:val="21"/>
                      <w:highlight w:val="none"/>
                      <w:u w:val="single"/>
                      <w:lang w:val="en-US" w:eastAsia="zh-CN"/>
                    </w:rPr>
                    <w:t>M1熊家岭</w:t>
                  </w:r>
                </w:p>
              </w:tc>
              <w:tc>
                <w:tcPr>
                  <w:tcW w:w="566" w:type="pct"/>
                  <w:noWrap w:val="0"/>
                  <w:vAlign w:val="center"/>
                </w:tcPr>
                <w:p>
                  <w:pPr>
                    <w:pStyle w:val="13"/>
                    <w:tabs>
                      <w:tab w:val="left" w:pos="700"/>
                    </w:tabs>
                    <w:spacing w:line="240" w:lineRule="auto"/>
                    <w:ind w:left="0" w:leftChars="0" w:firstLine="0" w:firstLineChars="0"/>
                    <w:jc w:val="center"/>
                    <w:rPr>
                      <w:color w:val="FF0000"/>
                      <w:sz w:val="21"/>
                      <w:szCs w:val="21"/>
                      <w:highlight w:val="none"/>
                      <w:u w:val="single"/>
                    </w:rPr>
                  </w:pPr>
                  <w:r>
                    <w:rPr>
                      <w:rFonts w:hint="eastAsia"/>
                      <w:color w:val="FF0000"/>
                      <w:sz w:val="21"/>
                      <w:szCs w:val="21"/>
                      <w:highlight w:val="none"/>
                      <w:u w:val="single"/>
                      <w:lang w:val="en-US" w:eastAsia="zh-CN"/>
                    </w:rPr>
                    <w:t>5</w:t>
                  </w:r>
                  <w:r>
                    <w:rPr>
                      <w:rFonts w:hint="eastAsia"/>
                      <w:color w:val="FF0000"/>
                      <w:sz w:val="21"/>
                      <w:szCs w:val="21"/>
                      <w:highlight w:val="none"/>
                      <w:u w:val="single"/>
                    </w:rPr>
                    <w:t xml:space="preserve"> 户</w:t>
                  </w:r>
                </w:p>
              </w:tc>
              <w:tc>
                <w:tcPr>
                  <w:tcW w:w="576" w:type="pct"/>
                  <w:noWrap w:val="0"/>
                  <w:vAlign w:val="center"/>
                </w:tcPr>
                <w:p>
                  <w:pPr>
                    <w:pStyle w:val="13"/>
                    <w:tabs>
                      <w:tab w:val="left" w:pos="700"/>
                    </w:tabs>
                    <w:spacing w:line="240" w:lineRule="auto"/>
                    <w:ind w:left="0" w:leftChars="0" w:firstLine="0" w:firstLineChars="0"/>
                    <w:jc w:val="center"/>
                    <w:rPr>
                      <w:rFonts w:hint="eastAsia"/>
                      <w:color w:val="FF0000"/>
                      <w:sz w:val="21"/>
                      <w:szCs w:val="21"/>
                      <w:highlight w:val="none"/>
                      <w:u w:val="single"/>
                    </w:rPr>
                  </w:pPr>
                  <w:r>
                    <w:rPr>
                      <w:rFonts w:hint="eastAsia"/>
                      <w:color w:val="FF0000"/>
                      <w:sz w:val="21"/>
                      <w:szCs w:val="21"/>
                      <w:highlight w:val="none"/>
                      <w:u w:val="single"/>
                      <w:lang w:val="en-US" w:eastAsia="zh-CN"/>
                    </w:rPr>
                    <w:t>西</w:t>
                  </w:r>
                  <w:r>
                    <w:rPr>
                      <w:rFonts w:hint="eastAsia"/>
                      <w:color w:val="FF0000"/>
                      <w:sz w:val="21"/>
                      <w:szCs w:val="21"/>
                      <w:highlight w:val="none"/>
                      <w:u w:val="single"/>
                    </w:rPr>
                    <w:t>北</w:t>
                  </w:r>
                </w:p>
              </w:tc>
              <w:tc>
                <w:tcPr>
                  <w:tcW w:w="841" w:type="pct"/>
                  <w:noWrap w:val="0"/>
                  <w:vAlign w:val="center"/>
                </w:tcPr>
                <w:p>
                  <w:pPr>
                    <w:pStyle w:val="13"/>
                    <w:tabs>
                      <w:tab w:val="left" w:pos="700"/>
                    </w:tabs>
                    <w:spacing w:line="240" w:lineRule="auto"/>
                    <w:ind w:left="0" w:leftChars="0" w:firstLine="0" w:firstLineChars="0"/>
                    <w:jc w:val="center"/>
                    <w:rPr>
                      <w:color w:val="FF0000"/>
                      <w:sz w:val="21"/>
                      <w:szCs w:val="21"/>
                      <w:highlight w:val="none"/>
                      <w:u w:val="single"/>
                    </w:rPr>
                  </w:pPr>
                  <w:r>
                    <w:rPr>
                      <w:rFonts w:hint="eastAsia"/>
                      <w:color w:val="FF0000"/>
                      <w:sz w:val="21"/>
                      <w:szCs w:val="21"/>
                      <w:highlight w:val="none"/>
                      <w:u w:val="single"/>
                      <w:lang w:val="en-US" w:eastAsia="zh-CN"/>
                    </w:rPr>
                    <w:t>367</w:t>
                  </w:r>
                  <w:r>
                    <w:rPr>
                      <w:color w:val="FF0000"/>
                      <w:sz w:val="21"/>
                      <w:szCs w:val="21"/>
                      <w:highlight w:val="none"/>
                      <w:u w:val="single"/>
                    </w:rPr>
                    <w:t>m</w:t>
                  </w:r>
                </w:p>
              </w:tc>
              <w:tc>
                <w:tcPr>
                  <w:tcW w:w="1606" w:type="pct"/>
                  <w:vMerge w:val="restart"/>
                  <w:noWrap w:val="0"/>
                  <w:vAlign w:val="center"/>
                </w:tcPr>
                <w:p>
                  <w:pPr>
                    <w:jc w:val="center"/>
                    <w:rPr>
                      <w:color w:val="FF0000"/>
                      <w:szCs w:val="21"/>
                      <w:highlight w:val="none"/>
                      <w:u w:val="single"/>
                    </w:rPr>
                  </w:pPr>
                  <w:r>
                    <w:rPr>
                      <w:color w:val="FF0000"/>
                      <w:szCs w:val="21"/>
                      <w:highlight w:val="none"/>
                      <w:u w:val="single"/>
                    </w:rPr>
                    <w:t>《环境空气质量标准（GB3095-2012）》中二级标准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454" w:hRule="atLeast"/>
                <w:jc w:val="center"/>
              </w:trPr>
              <w:tc>
                <w:tcPr>
                  <w:tcW w:w="401" w:type="pct"/>
                  <w:vMerge w:val="continue"/>
                  <w:noWrap w:val="0"/>
                  <w:vAlign w:val="center"/>
                </w:tcPr>
                <w:p>
                  <w:pPr>
                    <w:jc w:val="center"/>
                    <w:rPr>
                      <w:color w:val="FF0000"/>
                      <w:szCs w:val="21"/>
                      <w:highlight w:val="none"/>
                      <w:u w:val="single"/>
                    </w:rPr>
                  </w:pPr>
                </w:p>
              </w:tc>
              <w:tc>
                <w:tcPr>
                  <w:tcW w:w="1007" w:type="pct"/>
                  <w:noWrap w:val="0"/>
                  <w:vAlign w:val="center"/>
                </w:tcPr>
                <w:p>
                  <w:pPr>
                    <w:spacing w:line="240" w:lineRule="auto"/>
                    <w:ind w:left="0" w:leftChars="0" w:firstLine="0" w:firstLineChars="0"/>
                    <w:jc w:val="center"/>
                    <w:rPr>
                      <w:rFonts w:hint="eastAsia" w:eastAsia="宋体"/>
                      <w:color w:val="FF0000"/>
                      <w:sz w:val="21"/>
                      <w:szCs w:val="21"/>
                      <w:highlight w:val="none"/>
                      <w:u w:val="single"/>
                      <w:lang w:eastAsia="zh-CN"/>
                    </w:rPr>
                  </w:pPr>
                  <w:r>
                    <w:rPr>
                      <w:rFonts w:hint="eastAsia"/>
                      <w:color w:val="FF0000"/>
                      <w:sz w:val="21"/>
                      <w:szCs w:val="21"/>
                      <w:highlight w:val="none"/>
                      <w:u w:val="single"/>
                      <w:lang w:val="en-US" w:eastAsia="zh-CN"/>
                    </w:rPr>
                    <w:t>M2熊家岭</w:t>
                  </w:r>
                </w:p>
              </w:tc>
              <w:tc>
                <w:tcPr>
                  <w:tcW w:w="566" w:type="pct"/>
                  <w:noWrap w:val="0"/>
                  <w:vAlign w:val="center"/>
                </w:tcPr>
                <w:p>
                  <w:pPr>
                    <w:pStyle w:val="13"/>
                    <w:tabs>
                      <w:tab w:val="left" w:pos="700"/>
                    </w:tabs>
                    <w:spacing w:line="240" w:lineRule="auto"/>
                    <w:ind w:left="0" w:leftChars="0" w:firstLine="0" w:firstLineChars="0"/>
                    <w:jc w:val="center"/>
                    <w:rPr>
                      <w:color w:val="FF0000"/>
                      <w:sz w:val="21"/>
                      <w:szCs w:val="21"/>
                      <w:highlight w:val="none"/>
                      <w:u w:val="single"/>
                    </w:rPr>
                  </w:pPr>
                  <w:r>
                    <w:rPr>
                      <w:rFonts w:hint="eastAsia"/>
                      <w:color w:val="FF0000"/>
                      <w:sz w:val="21"/>
                      <w:szCs w:val="21"/>
                      <w:highlight w:val="none"/>
                      <w:u w:val="single"/>
                      <w:lang w:val="en-US" w:eastAsia="zh-CN"/>
                    </w:rPr>
                    <w:t>30</w:t>
                  </w:r>
                  <w:r>
                    <w:rPr>
                      <w:rFonts w:hint="eastAsia"/>
                      <w:color w:val="FF0000"/>
                      <w:sz w:val="21"/>
                      <w:szCs w:val="21"/>
                      <w:highlight w:val="none"/>
                      <w:u w:val="single"/>
                    </w:rPr>
                    <w:t xml:space="preserve"> 户</w:t>
                  </w:r>
                </w:p>
              </w:tc>
              <w:tc>
                <w:tcPr>
                  <w:tcW w:w="576" w:type="pct"/>
                  <w:noWrap w:val="0"/>
                  <w:vAlign w:val="center"/>
                </w:tcPr>
                <w:p>
                  <w:pPr>
                    <w:bidi w:val="0"/>
                    <w:spacing w:line="240" w:lineRule="auto"/>
                    <w:jc w:val="center"/>
                    <w:rPr>
                      <w:rFonts w:hint="eastAsia" w:eastAsia="宋体"/>
                      <w:color w:val="FF0000"/>
                      <w:u w:val="single"/>
                      <w:lang w:val="en-US" w:eastAsia="zh-CN"/>
                    </w:rPr>
                  </w:pPr>
                  <w:r>
                    <w:rPr>
                      <w:rFonts w:hint="eastAsia"/>
                      <w:color w:val="FF0000"/>
                      <w:u w:val="single"/>
                      <w:lang w:val="en-US" w:eastAsia="zh-CN"/>
                    </w:rPr>
                    <w:t>西</w:t>
                  </w:r>
                </w:p>
              </w:tc>
              <w:tc>
                <w:tcPr>
                  <w:tcW w:w="841" w:type="pct"/>
                  <w:noWrap w:val="0"/>
                  <w:vAlign w:val="center"/>
                </w:tcPr>
                <w:p>
                  <w:pPr>
                    <w:pStyle w:val="13"/>
                    <w:tabs>
                      <w:tab w:val="left" w:pos="700"/>
                    </w:tabs>
                    <w:spacing w:line="240" w:lineRule="auto"/>
                    <w:ind w:left="0" w:leftChars="0" w:firstLine="0" w:firstLineChars="0"/>
                    <w:jc w:val="center"/>
                    <w:rPr>
                      <w:color w:val="FF0000"/>
                      <w:sz w:val="21"/>
                      <w:szCs w:val="21"/>
                      <w:highlight w:val="none"/>
                      <w:u w:val="single"/>
                    </w:rPr>
                  </w:pPr>
                  <w:r>
                    <w:rPr>
                      <w:rFonts w:hint="eastAsia"/>
                      <w:color w:val="FF0000"/>
                      <w:sz w:val="21"/>
                      <w:szCs w:val="21"/>
                      <w:highlight w:val="none"/>
                      <w:u w:val="single"/>
                      <w:lang w:val="en-US" w:eastAsia="zh-CN"/>
                    </w:rPr>
                    <w:t>442</w:t>
                  </w:r>
                  <w:r>
                    <w:rPr>
                      <w:color w:val="FF0000"/>
                      <w:sz w:val="21"/>
                      <w:szCs w:val="21"/>
                      <w:highlight w:val="none"/>
                      <w:u w:val="single"/>
                    </w:rPr>
                    <w:t>m</w:t>
                  </w:r>
                </w:p>
              </w:tc>
              <w:tc>
                <w:tcPr>
                  <w:tcW w:w="1606" w:type="pct"/>
                  <w:vMerge w:val="continue"/>
                  <w:noWrap w:val="0"/>
                  <w:vAlign w:val="center"/>
                </w:tcPr>
                <w:p>
                  <w:pPr>
                    <w:jc w:val="center"/>
                    <w:rPr>
                      <w:color w:val="FF0000"/>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454" w:hRule="atLeast"/>
                <w:jc w:val="center"/>
              </w:trPr>
              <w:tc>
                <w:tcPr>
                  <w:tcW w:w="401" w:type="pct"/>
                  <w:vMerge w:val="continue"/>
                  <w:noWrap w:val="0"/>
                  <w:vAlign w:val="center"/>
                </w:tcPr>
                <w:p>
                  <w:pPr>
                    <w:jc w:val="center"/>
                    <w:rPr>
                      <w:color w:val="FF0000"/>
                      <w:szCs w:val="21"/>
                      <w:highlight w:val="none"/>
                      <w:u w:val="single"/>
                    </w:rPr>
                  </w:pPr>
                </w:p>
              </w:tc>
              <w:tc>
                <w:tcPr>
                  <w:tcW w:w="1007" w:type="pct"/>
                  <w:noWrap w:val="0"/>
                  <w:vAlign w:val="center"/>
                </w:tcPr>
                <w:p>
                  <w:pPr>
                    <w:spacing w:line="240" w:lineRule="auto"/>
                    <w:ind w:left="0" w:leftChars="0" w:firstLine="0" w:firstLineChars="0"/>
                    <w:jc w:val="center"/>
                    <w:rPr>
                      <w:rFonts w:hint="eastAsia" w:eastAsia="宋体"/>
                      <w:color w:val="FF0000"/>
                      <w:sz w:val="21"/>
                      <w:szCs w:val="21"/>
                      <w:highlight w:val="none"/>
                      <w:u w:val="single"/>
                      <w:lang w:eastAsia="zh-CN"/>
                    </w:rPr>
                  </w:pPr>
                  <w:r>
                    <w:rPr>
                      <w:rFonts w:hint="eastAsia"/>
                      <w:color w:val="FF0000"/>
                      <w:sz w:val="21"/>
                      <w:szCs w:val="21"/>
                      <w:highlight w:val="none"/>
                      <w:u w:val="single"/>
                      <w:lang w:val="en-US" w:eastAsia="zh-CN"/>
                    </w:rPr>
                    <w:t>M3严家田</w:t>
                  </w:r>
                </w:p>
              </w:tc>
              <w:tc>
                <w:tcPr>
                  <w:tcW w:w="566" w:type="pct"/>
                  <w:noWrap w:val="0"/>
                  <w:vAlign w:val="center"/>
                </w:tcPr>
                <w:p>
                  <w:pPr>
                    <w:pStyle w:val="13"/>
                    <w:tabs>
                      <w:tab w:val="left" w:pos="700"/>
                    </w:tabs>
                    <w:spacing w:line="240" w:lineRule="auto"/>
                    <w:ind w:left="0" w:leftChars="0" w:firstLine="0" w:firstLineChars="0"/>
                    <w:jc w:val="center"/>
                    <w:rPr>
                      <w:rFonts w:hint="eastAsia"/>
                      <w:color w:val="FF0000"/>
                      <w:sz w:val="21"/>
                      <w:szCs w:val="21"/>
                      <w:highlight w:val="none"/>
                      <w:u w:val="single"/>
                    </w:rPr>
                  </w:pPr>
                  <w:r>
                    <w:rPr>
                      <w:rFonts w:hint="eastAsia"/>
                      <w:color w:val="FF0000"/>
                      <w:sz w:val="21"/>
                      <w:szCs w:val="21"/>
                      <w:highlight w:val="none"/>
                      <w:u w:val="single"/>
                      <w:lang w:val="en-US" w:eastAsia="zh-CN"/>
                    </w:rPr>
                    <w:t>20</w:t>
                  </w:r>
                  <w:r>
                    <w:rPr>
                      <w:rFonts w:hint="eastAsia"/>
                      <w:color w:val="FF0000"/>
                      <w:sz w:val="21"/>
                      <w:szCs w:val="21"/>
                      <w:highlight w:val="none"/>
                      <w:u w:val="single"/>
                    </w:rPr>
                    <w:t xml:space="preserve"> 户</w:t>
                  </w:r>
                </w:p>
              </w:tc>
              <w:tc>
                <w:tcPr>
                  <w:tcW w:w="576" w:type="pct"/>
                  <w:noWrap w:val="0"/>
                  <w:vAlign w:val="center"/>
                </w:tcPr>
                <w:p>
                  <w:pPr>
                    <w:pStyle w:val="13"/>
                    <w:tabs>
                      <w:tab w:val="left" w:pos="700"/>
                    </w:tabs>
                    <w:spacing w:line="240" w:lineRule="auto"/>
                    <w:ind w:left="0" w:leftChars="0" w:firstLine="0" w:firstLineChars="0"/>
                    <w:jc w:val="center"/>
                    <w:rPr>
                      <w:rFonts w:hint="eastAsia" w:eastAsia="宋体"/>
                      <w:color w:val="FF0000"/>
                      <w:sz w:val="21"/>
                      <w:szCs w:val="21"/>
                      <w:highlight w:val="none"/>
                      <w:u w:val="single"/>
                      <w:lang w:val="en-US" w:eastAsia="zh-CN"/>
                    </w:rPr>
                  </w:pPr>
                  <w:r>
                    <w:rPr>
                      <w:rFonts w:hint="eastAsia"/>
                      <w:color w:val="FF0000"/>
                      <w:sz w:val="21"/>
                      <w:szCs w:val="21"/>
                      <w:highlight w:val="none"/>
                      <w:u w:val="single"/>
                    </w:rPr>
                    <w:t>西</w:t>
                  </w:r>
                  <w:r>
                    <w:rPr>
                      <w:rFonts w:hint="eastAsia"/>
                      <w:color w:val="FF0000"/>
                      <w:sz w:val="21"/>
                      <w:szCs w:val="21"/>
                      <w:highlight w:val="none"/>
                      <w:u w:val="single"/>
                      <w:lang w:val="en-US" w:eastAsia="zh-CN"/>
                    </w:rPr>
                    <w:t>南</w:t>
                  </w:r>
                </w:p>
              </w:tc>
              <w:tc>
                <w:tcPr>
                  <w:tcW w:w="841" w:type="pct"/>
                  <w:noWrap w:val="0"/>
                  <w:vAlign w:val="center"/>
                </w:tcPr>
                <w:p>
                  <w:pPr>
                    <w:pStyle w:val="13"/>
                    <w:tabs>
                      <w:tab w:val="left" w:pos="700"/>
                    </w:tabs>
                    <w:spacing w:line="240" w:lineRule="auto"/>
                    <w:ind w:left="0" w:leftChars="0" w:firstLine="0" w:firstLineChars="0"/>
                    <w:jc w:val="center"/>
                    <w:rPr>
                      <w:color w:val="FF0000"/>
                      <w:sz w:val="21"/>
                      <w:szCs w:val="21"/>
                      <w:highlight w:val="none"/>
                      <w:u w:val="single"/>
                    </w:rPr>
                  </w:pPr>
                  <w:r>
                    <w:rPr>
                      <w:rFonts w:hint="eastAsia"/>
                      <w:color w:val="FF0000"/>
                      <w:sz w:val="21"/>
                      <w:szCs w:val="21"/>
                      <w:highlight w:val="none"/>
                      <w:u w:val="single"/>
                      <w:lang w:val="en-US" w:eastAsia="zh-CN"/>
                    </w:rPr>
                    <w:t>330</w:t>
                  </w:r>
                  <w:r>
                    <w:rPr>
                      <w:color w:val="FF0000"/>
                      <w:sz w:val="21"/>
                      <w:szCs w:val="21"/>
                      <w:highlight w:val="none"/>
                      <w:u w:val="single"/>
                    </w:rPr>
                    <w:t>m</w:t>
                  </w:r>
                </w:p>
              </w:tc>
              <w:tc>
                <w:tcPr>
                  <w:tcW w:w="1606" w:type="pct"/>
                  <w:vMerge w:val="continue"/>
                  <w:noWrap w:val="0"/>
                  <w:vAlign w:val="center"/>
                </w:tcPr>
                <w:p>
                  <w:pPr>
                    <w:jc w:val="center"/>
                    <w:rPr>
                      <w:color w:val="FF0000"/>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454" w:hRule="atLeast"/>
                <w:jc w:val="center"/>
              </w:trPr>
              <w:tc>
                <w:tcPr>
                  <w:tcW w:w="401" w:type="pct"/>
                  <w:vMerge w:val="continue"/>
                  <w:noWrap w:val="0"/>
                  <w:vAlign w:val="center"/>
                </w:tcPr>
                <w:p>
                  <w:pPr>
                    <w:jc w:val="center"/>
                    <w:rPr>
                      <w:color w:val="FF0000"/>
                      <w:szCs w:val="21"/>
                      <w:highlight w:val="none"/>
                      <w:u w:val="single"/>
                    </w:rPr>
                  </w:pPr>
                </w:p>
              </w:tc>
              <w:tc>
                <w:tcPr>
                  <w:tcW w:w="1007" w:type="pct"/>
                  <w:noWrap w:val="0"/>
                  <w:vAlign w:val="center"/>
                </w:tcPr>
                <w:p>
                  <w:pPr>
                    <w:spacing w:line="240" w:lineRule="auto"/>
                    <w:ind w:left="0" w:leftChars="0" w:firstLine="0" w:firstLineChars="0"/>
                    <w:jc w:val="center"/>
                    <w:rPr>
                      <w:rFonts w:hint="default" w:eastAsia="宋体"/>
                      <w:color w:val="FF0000"/>
                      <w:sz w:val="21"/>
                      <w:szCs w:val="21"/>
                      <w:highlight w:val="none"/>
                      <w:u w:val="single"/>
                      <w:lang w:val="en-US" w:eastAsia="zh-CN"/>
                    </w:rPr>
                  </w:pPr>
                  <w:r>
                    <w:rPr>
                      <w:rFonts w:hint="eastAsia"/>
                      <w:color w:val="FF0000"/>
                      <w:sz w:val="21"/>
                      <w:szCs w:val="21"/>
                      <w:highlight w:val="none"/>
                      <w:u w:val="single"/>
                      <w:lang w:val="en-US" w:eastAsia="zh-CN"/>
                    </w:rPr>
                    <w:t>M4洞井湾</w:t>
                  </w:r>
                </w:p>
              </w:tc>
              <w:tc>
                <w:tcPr>
                  <w:tcW w:w="566" w:type="pct"/>
                  <w:noWrap w:val="0"/>
                  <w:vAlign w:val="center"/>
                </w:tcPr>
                <w:p>
                  <w:pPr>
                    <w:pStyle w:val="13"/>
                    <w:tabs>
                      <w:tab w:val="left" w:pos="700"/>
                    </w:tabs>
                    <w:spacing w:line="240" w:lineRule="auto"/>
                    <w:ind w:left="0" w:leftChars="0" w:firstLine="0" w:firstLineChars="0"/>
                    <w:jc w:val="center"/>
                    <w:rPr>
                      <w:rFonts w:hint="eastAsia"/>
                      <w:color w:val="FF0000"/>
                      <w:sz w:val="21"/>
                      <w:szCs w:val="21"/>
                      <w:highlight w:val="none"/>
                      <w:u w:val="single"/>
                    </w:rPr>
                  </w:pPr>
                  <w:r>
                    <w:rPr>
                      <w:rFonts w:hint="eastAsia"/>
                      <w:color w:val="FF0000"/>
                      <w:sz w:val="21"/>
                      <w:szCs w:val="21"/>
                      <w:highlight w:val="none"/>
                      <w:u w:val="single"/>
                      <w:lang w:val="en-US" w:eastAsia="zh-CN"/>
                    </w:rPr>
                    <w:t>15</w:t>
                  </w:r>
                  <w:r>
                    <w:rPr>
                      <w:rFonts w:hint="eastAsia"/>
                      <w:color w:val="FF0000"/>
                      <w:sz w:val="21"/>
                      <w:szCs w:val="21"/>
                      <w:highlight w:val="none"/>
                      <w:u w:val="single"/>
                    </w:rPr>
                    <w:t xml:space="preserve"> 户</w:t>
                  </w:r>
                </w:p>
              </w:tc>
              <w:tc>
                <w:tcPr>
                  <w:tcW w:w="576" w:type="pct"/>
                  <w:noWrap w:val="0"/>
                  <w:vAlign w:val="center"/>
                </w:tcPr>
                <w:p>
                  <w:pPr>
                    <w:pStyle w:val="13"/>
                    <w:tabs>
                      <w:tab w:val="left" w:pos="700"/>
                    </w:tabs>
                    <w:spacing w:line="240" w:lineRule="auto"/>
                    <w:ind w:left="0" w:leftChars="0" w:firstLine="0" w:firstLineChars="0"/>
                    <w:jc w:val="center"/>
                    <w:rPr>
                      <w:rFonts w:hint="eastAsia"/>
                      <w:color w:val="FF0000"/>
                      <w:sz w:val="21"/>
                      <w:szCs w:val="21"/>
                      <w:highlight w:val="none"/>
                      <w:u w:val="single"/>
                    </w:rPr>
                  </w:pPr>
                  <w:r>
                    <w:rPr>
                      <w:rFonts w:hint="eastAsia"/>
                      <w:color w:val="FF0000"/>
                      <w:sz w:val="21"/>
                      <w:szCs w:val="21"/>
                      <w:highlight w:val="none"/>
                      <w:u w:val="single"/>
                    </w:rPr>
                    <w:t>南</w:t>
                  </w:r>
                </w:p>
              </w:tc>
              <w:tc>
                <w:tcPr>
                  <w:tcW w:w="841" w:type="pct"/>
                  <w:noWrap w:val="0"/>
                  <w:vAlign w:val="center"/>
                </w:tcPr>
                <w:p>
                  <w:pPr>
                    <w:pStyle w:val="13"/>
                    <w:tabs>
                      <w:tab w:val="left" w:pos="700"/>
                    </w:tabs>
                    <w:spacing w:line="240" w:lineRule="auto"/>
                    <w:ind w:left="0" w:leftChars="0" w:firstLine="0" w:firstLineChars="0"/>
                    <w:jc w:val="center"/>
                    <w:rPr>
                      <w:color w:val="FF0000"/>
                      <w:sz w:val="21"/>
                      <w:szCs w:val="21"/>
                      <w:highlight w:val="none"/>
                      <w:u w:val="single"/>
                    </w:rPr>
                  </w:pPr>
                  <w:r>
                    <w:rPr>
                      <w:rFonts w:hint="eastAsia"/>
                      <w:color w:val="FF0000"/>
                      <w:sz w:val="21"/>
                      <w:szCs w:val="21"/>
                      <w:highlight w:val="none"/>
                      <w:u w:val="single"/>
                      <w:lang w:val="en-US" w:eastAsia="zh-CN"/>
                    </w:rPr>
                    <w:t>262</w:t>
                  </w:r>
                  <w:r>
                    <w:rPr>
                      <w:color w:val="FF0000"/>
                      <w:sz w:val="21"/>
                      <w:szCs w:val="21"/>
                      <w:highlight w:val="none"/>
                      <w:u w:val="single"/>
                    </w:rPr>
                    <w:t>m</w:t>
                  </w:r>
                </w:p>
              </w:tc>
              <w:tc>
                <w:tcPr>
                  <w:tcW w:w="1606" w:type="pct"/>
                  <w:vMerge w:val="continue"/>
                  <w:noWrap w:val="0"/>
                  <w:vAlign w:val="center"/>
                </w:tcPr>
                <w:p>
                  <w:pPr>
                    <w:jc w:val="center"/>
                    <w:rPr>
                      <w:color w:val="FF0000"/>
                      <w:szCs w:val="21"/>
                      <w:highlight w:val="none"/>
                      <w:u w:val="singl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454" w:hRule="atLeast"/>
                <w:jc w:val="center"/>
              </w:trPr>
              <w:tc>
                <w:tcPr>
                  <w:tcW w:w="401" w:type="pct"/>
                  <w:vMerge w:val="continue"/>
                  <w:noWrap w:val="0"/>
                  <w:vAlign w:val="center"/>
                </w:tcPr>
                <w:p>
                  <w:pPr>
                    <w:jc w:val="center"/>
                    <w:rPr>
                      <w:color w:val="FF0000"/>
                      <w:szCs w:val="21"/>
                      <w:highlight w:val="none"/>
                      <w:u w:val="single"/>
                    </w:rPr>
                  </w:pPr>
                </w:p>
              </w:tc>
              <w:tc>
                <w:tcPr>
                  <w:tcW w:w="1007" w:type="pct"/>
                  <w:noWrap w:val="0"/>
                  <w:vAlign w:val="center"/>
                </w:tcPr>
                <w:p>
                  <w:pPr>
                    <w:spacing w:line="240" w:lineRule="auto"/>
                    <w:ind w:left="0" w:leftChars="0" w:firstLine="0" w:firstLineChars="0"/>
                    <w:jc w:val="center"/>
                    <w:rPr>
                      <w:rFonts w:hint="eastAsia"/>
                      <w:color w:val="FF0000"/>
                      <w:sz w:val="21"/>
                      <w:szCs w:val="21"/>
                      <w:highlight w:val="none"/>
                      <w:u w:val="single"/>
                    </w:rPr>
                  </w:pPr>
                  <w:r>
                    <w:rPr>
                      <w:rFonts w:hint="eastAsia"/>
                      <w:color w:val="FF0000"/>
                      <w:sz w:val="21"/>
                      <w:szCs w:val="21"/>
                      <w:highlight w:val="none"/>
                      <w:u w:val="single"/>
                      <w:lang w:val="en-US" w:eastAsia="zh-CN"/>
                    </w:rPr>
                    <w:t>M5洞井湾</w:t>
                  </w:r>
                </w:p>
              </w:tc>
              <w:tc>
                <w:tcPr>
                  <w:tcW w:w="566" w:type="pct"/>
                  <w:noWrap w:val="0"/>
                  <w:vAlign w:val="center"/>
                </w:tcPr>
                <w:p>
                  <w:pPr>
                    <w:pStyle w:val="13"/>
                    <w:tabs>
                      <w:tab w:val="left" w:pos="700"/>
                    </w:tabs>
                    <w:spacing w:line="240" w:lineRule="auto"/>
                    <w:ind w:left="0" w:leftChars="0" w:firstLine="0" w:firstLineChars="0"/>
                    <w:jc w:val="center"/>
                    <w:rPr>
                      <w:rFonts w:hint="eastAsia"/>
                      <w:color w:val="FF0000"/>
                      <w:sz w:val="21"/>
                      <w:szCs w:val="21"/>
                      <w:highlight w:val="none"/>
                      <w:u w:val="single"/>
                    </w:rPr>
                  </w:pPr>
                  <w:r>
                    <w:rPr>
                      <w:rFonts w:hint="eastAsia"/>
                      <w:color w:val="FF0000"/>
                      <w:sz w:val="21"/>
                      <w:szCs w:val="21"/>
                      <w:highlight w:val="none"/>
                      <w:u w:val="single"/>
                      <w:lang w:val="en-US" w:eastAsia="zh-CN"/>
                    </w:rPr>
                    <w:t>17</w:t>
                  </w:r>
                  <w:r>
                    <w:rPr>
                      <w:rFonts w:hint="eastAsia"/>
                      <w:color w:val="FF0000"/>
                      <w:sz w:val="21"/>
                      <w:szCs w:val="21"/>
                      <w:highlight w:val="none"/>
                      <w:u w:val="single"/>
                    </w:rPr>
                    <w:t xml:space="preserve"> 户</w:t>
                  </w:r>
                </w:p>
              </w:tc>
              <w:tc>
                <w:tcPr>
                  <w:tcW w:w="576" w:type="pct"/>
                  <w:noWrap w:val="0"/>
                  <w:vAlign w:val="center"/>
                </w:tcPr>
                <w:p>
                  <w:pPr>
                    <w:pStyle w:val="13"/>
                    <w:tabs>
                      <w:tab w:val="left" w:pos="700"/>
                    </w:tabs>
                    <w:spacing w:line="240" w:lineRule="auto"/>
                    <w:ind w:left="0" w:leftChars="0" w:firstLine="0" w:firstLineChars="0"/>
                    <w:jc w:val="center"/>
                    <w:rPr>
                      <w:rFonts w:hint="eastAsia" w:eastAsia="宋体"/>
                      <w:color w:val="FF0000"/>
                      <w:sz w:val="21"/>
                      <w:szCs w:val="21"/>
                      <w:highlight w:val="none"/>
                      <w:u w:val="single"/>
                      <w:lang w:val="en-US" w:eastAsia="zh-CN"/>
                    </w:rPr>
                  </w:pPr>
                  <w:r>
                    <w:rPr>
                      <w:rFonts w:hint="eastAsia"/>
                      <w:color w:val="FF0000"/>
                      <w:sz w:val="21"/>
                      <w:szCs w:val="21"/>
                      <w:highlight w:val="none"/>
                      <w:u w:val="single"/>
                    </w:rPr>
                    <w:t>东</w:t>
                  </w:r>
                  <w:r>
                    <w:rPr>
                      <w:rFonts w:hint="eastAsia"/>
                      <w:color w:val="FF0000"/>
                      <w:sz w:val="21"/>
                      <w:szCs w:val="21"/>
                      <w:highlight w:val="none"/>
                      <w:u w:val="single"/>
                      <w:lang w:val="en-US" w:eastAsia="zh-CN"/>
                    </w:rPr>
                    <w:t>南</w:t>
                  </w:r>
                </w:p>
              </w:tc>
              <w:tc>
                <w:tcPr>
                  <w:tcW w:w="841" w:type="pct"/>
                  <w:noWrap w:val="0"/>
                  <w:vAlign w:val="center"/>
                </w:tcPr>
                <w:p>
                  <w:pPr>
                    <w:pStyle w:val="13"/>
                    <w:tabs>
                      <w:tab w:val="left" w:pos="700"/>
                    </w:tabs>
                    <w:spacing w:line="240" w:lineRule="auto"/>
                    <w:ind w:left="0" w:leftChars="0" w:firstLine="0" w:firstLineChars="0"/>
                    <w:jc w:val="center"/>
                    <w:rPr>
                      <w:color w:val="FF0000"/>
                      <w:sz w:val="21"/>
                      <w:szCs w:val="21"/>
                      <w:highlight w:val="none"/>
                      <w:u w:val="single"/>
                    </w:rPr>
                  </w:pPr>
                  <w:r>
                    <w:rPr>
                      <w:rFonts w:hint="eastAsia"/>
                      <w:color w:val="FF0000"/>
                      <w:sz w:val="21"/>
                      <w:szCs w:val="21"/>
                      <w:highlight w:val="none"/>
                      <w:u w:val="single"/>
                      <w:lang w:val="en-US" w:eastAsia="zh-CN"/>
                    </w:rPr>
                    <w:t>498</w:t>
                  </w:r>
                  <w:r>
                    <w:rPr>
                      <w:color w:val="FF0000"/>
                      <w:sz w:val="21"/>
                      <w:szCs w:val="21"/>
                      <w:highlight w:val="none"/>
                      <w:u w:val="single"/>
                    </w:rPr>
                    <w:t>m</w:t>
                  </w:r>
                </w:p>
              </w:tc>
              <w:tc>
                <w:tcPr>
                  <w:tcW w:w="1606" w:type="pct"/>
                  <w:vMerge w:val="continue"/>
                  <w:noWrap w:val="0"/>
                  <w:vAlign w:val="center"/>
                </w:tcPr>
                <w:p>
                  <w:pPr>
                    <w:jc w:val="center"/>
                    <w:rPr>
                      <w:color w:val="FF0000"/>
                      <w:szCs w:val="21"/>
                      <w:highlight w:val="none"/>
                      <w:u w:val="single"/>
                    </w:rPr>
                  </w:pPr>
                </w:p>
              </w:tc>
            </w:tr>
          </w:tbl>
          <w:p>
            <w:pPr>
              <w:adjustRightInd w:val="0"/>
              <w:snapToGrid w:val="0"/>
              <w:jc w:val="center"/>
              <w:rPr>
                <w:rFonts w:ascii="宋体" w:hAnsi="宋体" w:cs="宋体"/>
                <w:kern w:val="0"/>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tcMar>
              <w:left w:w="28" w:type="dxa"/>
              <w:right w:w="28" w:type="dxa"/>
            </w:tcMar>
            <w:vAlign w:val="center"/>
          </w:tcPr>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污染</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物排</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放控</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制标</w:t>
            </w:r>
          </w:p>
          <w:p>
            <w:pPr>
              <w:adjustRightInd w:val="0"/>
              <w:snapToGrid w:val="0"/>
              <w:jc w:val="center"/>
              <w:rPr>
                <w:rFonts w:ascii="宋体" w:hAnsi="宋体" w:cs="宋体"/>
                <w:kern w:val="0"/>
                <w:sz w:val="24"/>
                <w:szCs w:val="24"/>
              </w:rPr>
            </w:pPr>
            <w:r>
              <w:rPr>
                <w:rFonts w:hint="eastAsia" w:ascii="宋体" w:hAnsi="宋体" w:cs="宋体"/>
                <w:kern w:val="0"/>
                <w:sz w:val="24"/>
                <w:szCs w:val="24"/>
              </w:rPr>
              <w:t>准</w:t>
            </w:r>
          </w:p>
        </w:tc>
        <w:tc>
          <w:tcPr>
            <w:tcW w:w="8190" w:type="dxa"/>
            <w:noWrap w:val="0"/>
            <w:vAlign w:val="top"/>
          </w:tcPr>
          <w:p>
            <w:pPr>
              <w:numPr>
                <w:ilvl w:val="0"/>
                <w:numId w:val="0"/>
              </w:numPr>
              <w:adjustRightInd w:val="0"/>
              <w:snapToGrid w:val="0"/>
              <w:spacing w:line="360" w:lineRule="auto"/>
              <w:jc w:val="both"/>
              <w:rPr>
                <w:rFonts w:hint="eastAsia"/>
                <w:b/>
                <w:bCs/>
                <w:sz w:val="24"/>
                <w:szCs w:val="24"/>
                <w:lang w:val="en-US" w:eastAsia="zh-CN"/>
              </w:rPr>
            </w:pPr>
            <w:r>
              <w:rPr>
                <w:rFonts w:hint="eastAsia"/>
                <w:b/>
                <w:bCs/>
                <w:sz w:val="24"/>
                <w:szCs w:val="24"/>
                <w:lang w:val="en-US" w:eastAsia="zh-CN"/>
              </w:rPr>
              <w:t>1.废水：</w:t>
            </w:r>
          </w:p>
          <w:p>
            <w:pPr>
              <w:numPr>
                <w:ilvl w:val="0"/>
                <w:numId w:val="0"/>
              </w:numPr>
              <w:adjustRightInd w:val="0"/>
              <w:snapToGrid w:val="0"/>
              <w:spacing w:line="360" w:lineRule="auto"/>
              <w:ind w:firstLine="480" w:firstLineChars="200"/>
              <w:jc w:val="both"/>
              <w:rPr>
                <w:rFonts w:hint="default"/>
                <w:b w:val="0"/>
                <w:bCs w:val="0"/>
                <w:sz w:val="24"/>
                <w:szCs w:val="24"/>
                <w:lang w:val="en-US" w:eastAsia="zh-CN"/>
              </w:rPr>
            </w:pPr>
            <w:r>
              <w:rPr>
                <w:rFonts w:hint="eastAsia"/>
                <w:b w:val="0"/>
                <w:bCs w:val="0"/>
                <w:sz w:val="24"/>
                <w:szCs w:val="24"/>
                <w:lang w:val="en-US" w:eastAsia="zh-CN"/>
              </w:rPr>
              <w:t>项目生活污水中COD</w:t>
            </w:r>
            <w:r>
              <w:rPr>
                <w:rFonts w:hint="eastAsia"/>
                <w:b w:val="0"/>
                <w:bCs w:val="0"/>
                <w:sz w:val="24"/>
                <w:szCs w:val="24"/>
                <w:vertAlign w:val="subscript"/>
                <w:lang w:val="en-US" w:eastAsia="zh-CN"/>
              </w:rPr>
              <w:t>Cr</w:t>
            </w:r>
            <w:r>
              <w:rPr>
                <w:rFonts w:hint="eastAsia"/>
                <w:b w:val="0"/>
                <w:bCs w:val="0"/>
                <w:sz w:val="24"/>
                <w:szCs w:val="24"/>
                <w:lang w:val="en-US" w:eastAsia="zh-CN"/>
              </w:rPr>
              <w:t>、SS执行《污水综合排放标准》（GB8978-1996）中表4第二类污染物最高允许排放浓度，氨氮执行《污水排入城镇下水道水质标准》（GB/T31962-2015）中表1污水排入城镇下水道水质控制项目限值中的B级标准限值。</w:t>
            </w:r>
          </w:p>
          <w:p>
            <w:pPr>
              <w:numPr>
                <w:ilvl w:val="0"/>
                <w:numId w:val="0"/>
              </w:numPr>
              <w:adjustRightInd w:val="0"/>
              <w:snapToGrid w:val="0"/>
              <w:spacing w:line="360" w:lineRule="auto"/>
              <w:jc w:val="center"/>
              <w:rPr>
                <w:rFonts w:hint="default" w:ascii="宋体" w:hAnsi="宋体" w:cs="宋体"/>
                <w:kern w:val="0"/>
                <w:sz w:val="24"/>
                <w:szCs w:val="24"/>
                <w:lang w:val="en-US" w:eastAsia="zh-CN"/>
              </w:rPr>
            </w:pPr>
            <w:r>
              <w:rPr>
                <w:rFonts w:hint="eastAsia"/>
                <w:b/>
                <w:bCs/>
                <w:sz w:val="24"/>
                <w:szCs w:val="24"/>
                <w:lang w:val="en-US" w:eastAsia="zh-CN"/>
              </w:rPr>
              <w:t xml:space="preserve">表3-7  </w:t>
            </w:r>
            <w:r>
              <w:rPr>
                <w:rFonts w:hint="eastAsia" w:ascii="宋体" w:hAnsi="宋体" w:cs="宋体"/>
                <w:b/>
                <w:bCs/>
                <w:kern w:val="0"/>
                <w:sz w:val="24"/>
                <w:szCs w:val="24"/>
                <w:lang w:val="en-US" w:eastAsia="zh-CN"/>
              </w:rPr>
              <w:t>废水排放标准  单位mg/L</w:t>
            </w:r>
          </w:p>
          <w:tbl>
            <w:tblPr>
              <w:tblStyle w:val="15"/>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612"/>
              <w:gridCol w:w="845"/>
              <w:gridCol w:w="531"/>
              <w:gridCol w:w="9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32" w:type="pct"/>
                  <w:tcBorders>
                    <w:tl2br w:val="nil"/>
                    <w:tr2bl w:val="nil"/>
                  </w:tcBorders>
                  <w:vAlign w:val="center"/>
                </w:tcPr>
                <w:p>
                  <w:pPr>
                    <w:bidi w:val="0"/>
                    <w:spacing w:line="240" w:lineRule="auto"/>
                    <w:jc w:val="center"/>
                    <w:rPr>
                      <w:rFonts w:hint="default"/>
                      <w:b/>
                      <w:bCs/>
                      <w:sz w:val="21"/>
                      <w:szCs w:val="21"/>
                      <w:lang w:val="en-US" w:eastAsia="zh-CN"/>
                    </w:rPr>
                  </w:pPr>
                  <w:r>
                    <w:rPr>
                      <w:rFonts w:hint="eastAsia"/>
                      <w:b/>
                      <w:bCs/>
                      <w:sz w:val="21"/>
                      <w:szCs w:val="21"/>
                      <w:lang w:val="en-US" w:eastAsia="zh-CN"/>
                    </w:rPr>
                    <w:t>污染物指标</w:t>
                  </w:r>
                </w:p>
              </w:tc>
              <w:tc>
                <w:tcPr>
                  <w:tcW w:w="532" w:type="pct"/>
                  <w:tcBorders>
                    <w:tl2br w:val="nil"/>
                    <w:tr2bl w:val="nil"/>
                  </w:tcBorders>
                  <w:vAlign w:val="center"/>
                </w:tcPr>
                <w:p>
                  <w:pPr>
                    <w:bidi w:val="0"/>
                    <w:spacing w:line="240" w:lineRule="auto"/>
                    <w:jc w:val="center"/>
                    <w:rPr>
                      <w:rFonts w:hint="default"/>
                      <w:b/>
                      <w:bCs/>
                      <w:sz w:val="21"/>
                      <w:szCs w:val="21"/>
                      <w:lang w:val="en-US" w:eastAsia="zh-CN"/>
                    </w:rPr>
                  </w:pPr>
                  <w:r>
                    <w:rPr>
                      <w:rFonts w:hint="eastAsia"/>
                      <w:b/>
                      <w:bCs/>
                      <w:sz w:val="21"/>
                      <w:szCs w:val="21"/>
                      <w:lang w:val="en-US" w:eastAsia="zh-CN"/>
                    </w:rPr>
                    <w:t>COD</w:t>
                  </w:r>
                  <w:r>
                    <w:rPr>
                      <w:rFonts w:hint="eastAsia"/>
                      <w:b/>
                      <w:bCs/>
                      <w:sz w:val="21"/>
                      <w:szCs w:val="21"/>
                      <w:vertAlign w:val="subscript"/>
                      <w:lang w:val="en-US" w:eastAsia="zh-CN"/>
                    </w:rPr>
                    <w:t>Cr</w:t>
                  </w:r>
                </w:p>
              </w:tc>
              <w:tc>
                <w:tcPr>
                  <w:tcW w:w="334" w:type="pct"/>
                  <w:tcBorders>
                    <w:tl2br w:val="nil"/>
                    <w:tr2bl w:val="nil"/>
                  </w:tcBorders>
                  <w:vAlign w:val="center"/>
                </w:tcPr>
                <w:p>
                  <w:pPr>
                    <w:bidi w:val="0"/>
                    <w:spacing w:line="240" w:lineRule="auto"/>
                    <w:jc w:val="center"/>
                    <w:rPr>
                      <w:rFonts w:hint="default"/>
                      <w:b/>
                      <w:bCs/>
                      <w:sz w:val="21"/>
                      <w:szCs w:val="21"/>
                      <w:lang w:val="en-US" w:eastAsia="zh-CN"/>
                    </w:rPr>
                  </w:pPr>
                  <w:r>
                    <w:rPr>
                      <w:rFonts w:hint="eastAsia"/>
                      <w:b/>
                      <w:bCs/>
                      <w:sz w:val="21"/>
                      <w:szCs w:val="21"/>
                      <w:lang w:val="en-US" w:eastAsia="zh-CN"/>
                    </w:rPr>
                    <w:t>SS</w:t>
                  </w:r>
                </w:p>
              </w:tc>
              <w:tc>
                <w:tcPr>
                  <w:tcW w:w="600" w:type="pct"/>
                  <w:tcBorders>
                    <w:tl2br w:val="nil"/>
                    <w:tr2bl w:val="nil"/>
                  </w:tcBorders>
                  <w:vAlign w:val="center"/>
                </w:tcPr>
                <w:p>
                  <w:pPr>
                    <w:bidi w:val="0"/>
                    <w:spacing w:line="240" w:lineRule="auto"/>
                    <w:jc w:val="center"/>
                    <w:rPr>
                      <w:rFonts w:hint="default"/>
                      <w:b/>
                      <w:bCs/>
                      <w:sz w:val="21"/>
                      <w:szCs w:val="21"/>
                      <w:lang w:val="en-US" w:eastAsia="zh-CN"/>
                    </w:rPr>
                  </w:pPr>
                  <w:r>
                    <w:rPr>
                      <w:rFonts w:hint="eastAsia"/>
                      <w:b/>
                      <w:bCs/>
                      <w:sz w:val="21"/>
                      <w:szCs w:val="21"/>
                      <w:lang w:val="en-US" w:eastAsia="zh-CN"/>
                    </w:rPr>
                    <w:t>NH</w:t>
                  </w:r>
                  <w:r>
                    <w:rPr>
                      <w:rFonts w:hint="eastAsia"/>
                      <w:b/>
                      <w:bCs/>
                      <w:sz w:val="21"/>
                      <w:szCs w:val="21"/>
                      <w:vertAlign w:val="subscript"/>
                      <w:lang w:val="en-US" w:eastAsia="zh-CN"/>
                    </w:rPr>
                    <w:t>3</w:t>
                  </w:r>
                  <w:r>
                    <w:rPr>
                      <w:rFonts w:hint="eastAsia"/>
                      <w:b/>
                      <w:bCs/>
                      <w:sz w:val="21"/>
                      <w:szCs w:val="21"/>
                      <w:lang w:val="en-US" w:eastAsia="zh-CN"/>
                    </w:rPr>
                    <w:t>-N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32" w:type="pct"/>
                  <w:tcBorders>
                    <w:tl2br w:val="nil"/>
                    <w:tr2bl w:val="nil"/>
                  </w:tcBorders>
                  <w:vAlign w:val="center"/>
                </w:tcPr>
                <w:p>
                  <w:pPr>
                    <w:bidi w:val="0"/>
                    <w:spacing w:line="240" w:lineRule="auto"/>
                    <w:jc w:val="center"/>
                    <w:rPr>
                      <w:rFonts w:hint="eastAsia"/>
                      <w:sz w:val="21"/>
                      <w:szCs w:val="21"/>
                      <w:lang w:val="en-US" w:eastAsia="zh-CN"/>
                    </w:rPr>
                  </w:pPr>
                  <w:r>
                    <w:rPr>
                      <w:rFonts w:hint="eastAsia"/>
                      <w:sz w:val="21"/>
                      <w:szCs w:val="21"/>
                      <w:lang w:val="en-US" w:eastAsia="zh-CN"/>
                    </w:rPr>
                    <w:t>《污水综合排放标准》（GB8978-1996）</w:t>
                  </w:r>
                </w:p>
              </w:tc>
              <w:tc>
                <w:tcPr>
                  <w:tcW w:w="532" w:type="pct"/>
                  <w:tcBorders>
                    <w:tl2br w:val="nil"/>
                    <w:tr2bl w:val="nil"/>
                  </w:tcBorders>
                  <w:vAlign w:val="center"/>
                </w:tcPr>
                <w:p>
                  <w:pPr>
                    <w:bidi w:val="0"/>
                    <w:spacing w:line="240" w:lineRule="auto"/>
                    <w:jc w:val="center"/>
                    <w:rPr>
                      <w:rFonts w:hint="default"/>
                      <w:sz w:val="21"/>
                      <w:szCs w:val="21"/>
                      <w:lang w:val="en-US" w:eastAsia="zh-CN"/>
                    </w:rPr>
                  </w:pPr>
                  <w:r>
                    <w:rPr>
                      <w:rFonts w:hint="eastAsia"/>
                      <w:sz w:val="21"/>
                      <w:szCs w:val="21"/>
                      <w:lang w:val="en-US" w:eastAsia="zh-CN"/>
                    </w:rPr>
                    <w:t>500</w:t>
                  </w:r>
                </w:p>
              </w:tc>
              <w:tc>
                <w:tcPr>
                  <w:tcW w:w="334" w:type="pct"/>
                  <w:tcBorders>
                    <w:tl2br w:val="nil"/>
                    <w:tr2bl w:val="nil"/>
                  </w:tcBorders>
                  <w:vAlign w:val="center"/>
                </w:tcPr>
                <w:p>
                  <w:pPr>
                    <w:bidi w:val="0"/>
                    <w:spacing w:line="240" w:lineRule="auto"/>
                    <w:jc w:val="center"/>
                    <w:rPr>
                      <w:rFonts w:hint="default"/>
                      <w:sz w:val="21"/>
                      <w:szCs w:val="21"/>
                      <w:lang w:val="en-US" w:eastAsia="zh-CN"/>
                    </w:rPr>
                  </w:pPr>
                  <w:r>
                    <w:rPr>
                      <w:rFonts w:hint="eastAsia"/>
                      <w:sz w:val="21"/>
                      <w:szCs w:val="21"/>
                      <w:lang w:val="en-US" w:eastAsia="zh-CN"/>
                    </w:rPr>
                    <w:t>400</w:t>
                  </w:r>
                </w:p>
              </w:tc>
              <w:tc>
                <w:tcPr>
                  <w:tcW w:w="600" w:type="pct"/>
                  <w:tcBorders>
                    <w:tl2br w:val="nil"/>
                    <w:tr2bl w:val="nil"/>
                  </w:tcBorders>
                  <w:vAlign w:val="center"/>
                </w:tcPr>
                <w:p>
                  <w:pPr>
                    <w:bidi w:val="0"/>
                    <w:spacing w:line="240" w:lineRule="auto"/>
                    <w:jc w:val="center"/>
                    <w:rPr>
                      <w:rFonts w:hint="default"/>
                      <w:sz w:val="21"/>
                      <w:szCs w:val="21"/>
                      <w:lang w:val="en-US" w:eastAsia="zh-CN"/>
                    </w:rPr>
                  </w:pPr>
                  <w:r>
                    <w:rPr>
                      <w:rFonts w:hint="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32" w:type="pct"/>
                  <w:tcBorders>
                    <w:tl2br w:val="nil"/>
                    <w:tr2bl w:val="nil"/>
                  </w:tcBorders>
                  <w:vAlign w:val="center"/>
                </w:tcPr>
                <w:p>
                  <w:pPr>
                    <w:bidi w:val="0"/>
                    <w:spacing w:line="240" w:lineRule="auto"/>
                    <w:jc w:val="center"/>
                    <w:rPr>
                      <w:rFonts w:hint="eastAsia"/>
                      <w:sz w:val="21"/>
                      <w:szCs w:val="21"/>
                      <w:lang w:val="en-US" w:eastAsia="zh-CN"/>
                    </w:rPr>
                  </w:pPr>
                  <w:r>
                    <w:rPr>
                      <w:rFonts w:hint="eastAsia"/>
                      <w:sz w:val="21"/>
                      <w:szCs w:val="21"/>
                      <w:lang w:val="en-US" w:eastAsia="zh-CN"/>
                    </w:rPr>
                    <w:t>《污水排入城镇下水道水质标准》（GB/T31962-2015）</w:t>
                  </w:r>
                </w:p>
              </w:tc>
              <w:tc>
                <w:tcPr>
                  <w:tcW w:w="532" w:type="pct"/>
                  <w:tcBorders>
                    <w:tl2br w:val="nil"/>
                    <w:tr2bl w:val="nil"/>
                  </w:tcBorders>
                  <w:vAlign w:val="center"/>
                </w:tcPr>
                <w:p>
                  <w:pPr>
                    <w:bidi w:val="0"/>
                    <w:spacing w:line="240" w:lineRule="auto"/>
                    <w:jc w:val="center"/>
                    <w:rPr>
                      <w:rFonts w:hint="default"/>
                      <w:sz w:val="21"/>
                      <w:szCs w:val="21"/>
                      <w:lang w:val="en-US" w:eastAsia="zh-CN"/>
                    </w:rPr>
                  </w:pPr>
                  <w:r>
                    <w:rPr>
                      <w:rFonts w:hint="eastAsia"/>
                      <w:sz w:val="21"/>
                      <w:szCs w:val="21"/>
                      <w:lang w:val="en-US" w:eastAsia="zh-CN"/>
                    </w:rPr>
                    <w:t>/</w:t>
                  </w:r>
                </w:p>
              </w:tc>
              <w:tc>
                <w:tcPr>
                  <w:tcW w:w="334" w:type="pct"/>
                  <w:tcBorders>
                    <w:tl2br w:val="nil"/>
                    <w:tr2bl w:val="nil"/>
                  </w:tcBorders>
                  <w:vAlign w:val="center"/>
                </w:tcPr>
                <w:p>
                  <w:pPr>
                    <w:bidi w:val="0"/>
                    <w:spacing w:line="240" w:lineRule="auto"/>
                    <w:jc w:val="center"/>
                    <w:rPr>
                      <w:rFonts w:hint="default"/>
                      <w:sz w:val="21"/>
                      <w:szCs w:val="21"/>
                      <w:lang w:val="en-US" w:eastAsia="zh-CN"/>
                    </w:rPr>
                  </w:pPr>
                  <w:r>
                    <w:rPr>
                      <w:rFonts w:hint="eastAsia"/>
                      <w:sz w:val="21"/>
                      <w:szCs w:val="21"/>
                      <w:lang w:val="en-US" w:eastAsia="zh-CN"/>
                    </w:rPr>
                    <w:t>/</w:t>
                  </w:r>
                </w:p>
              </w:tc>
              <w:tc>
                <w:tcPr>
                  <w:tcW w:w="600" w:type="pct"/>
                  <w:tcBorders>
                    <w:tl2br w:val="nil"/>
                    <w:tr2bl w:val="nil"/>
                  </w:tcBorders>
                  <w:vAlign w:val="center"/>
                </w:tcPr>
                <w:p>
                  <w:pPr>
                    <w:bidi w:val="0"/>
                    <w:spacing w:line="240" w:lineRule="auto"/>
                    <w:jc w:val="center"/>
                    <w:rPr>
                      <w:rFonts w:hint="default"/>
                      <w:sz w:val="21"/>
                      <w:szCs w:val="21"/>
                      <w:lang w:val="en-US" w:eastAsia="zh-CN"/>
                    </w:rPr>
                  </w:pPr>
                  <w:r>
                    <w:rPr>
                      <w:rFonts w:hint="eastAsia"/>
                      <w:sz w:val="21"/>
                      <w:szCs w:val="21"/>
                      <w:lang w:val="en-US" w:eastAsia="zh-CN"/>
                    </w:rPr>
                    <w:t>45</w:t>
                  </w:r>
                </w:p>
              </w:tc>
            </w:tr>
          </w:tbl>
          <w:p>
            <w:pPr>
              <w:numPr>
                <w:ilvl w:val="0"/>
                <w:numId w:val="0"/>
              </w:numPr>
              <w:adjustRightInd w:val="0"/>
              <w:snapToGrid w:val="0"/>
              <w:spacing w:line="360" w:lineRule="auto"/>
              <w:jc w:val="both"/>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2.废气：</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项目熔融成型产生的</w:t>
            </w:r>
            <w:r>
              <w:rPr>
                <w:rFonts w:hint="eastAsia" w:cs="Times New Roman"/>
                <w:kern w:val="0"/>
                <w:sz w:val="24"/>
                <w:szCs w:val="24"/>
                <w:lang w:val="en-US" w:eastAsia="zh-CN"/>
              </w:rPr>
              <w:t>挥发性有机物</w:t>
            </w:r>
            <w:r>
              <w:rPr>
                <w:rFonts w:hint="default" w:ascii="Times New Roman" w:hAnsi="Times New Roman" w:eastAsia="宋体" w:cs="Times New Roman"/>
                <w:kern w:val="0"/>
                <w:sz w:val="24"/>
                <w:szCs w:val="24"/>
                <w:lang w:val="en-US" w:eastAsia="zh-CN"/>
              </w:rPr>
              <w:t>、破碎工序产生的粉尘执行《合成树脂工业污染物排放标准》（GB31572-2015）表4大气污染物排放限值和表9企业边界污染物浓度限值要求</w:t>
            </w:r>
            <w:r>
              <w:rPr>
                <w:rFonts w:hint="eastAsia" w:ascii="Times New Roman" w:hAnsi="Times New Roman" w:eastAsia="宋体" w:cs="Times New Roman"/>
                <w:kern w:val="0"/>
                <w:sz w:val="24"/>
                <w:szCs w:val="24"/>
                <w:lang w:val="en-US" w:eastAsia="zh-CN"/>
              </w:rPr>
              <w:t>。</w:t>
            </w:r>
          </w:p>
          <w:p>
            <w:pPr>
              <w:numPr>
                <w:ilvl w:val="0"/>
                <w:numId w:val="0"/>
              </w:numPr>
              <w:adjustRightInd w:val="0"/>
              <w:snapToGrid w:val="0"/>
              <w:spacing w:line="360" w:lineRule="auto"/>
              <w:jc w:val="center"/>
              <w:rPr>
                <w:rFonts w:hint="eastAsia" w:ascii="Times New Roman" w:hAnsi="Times New Roman" w:eastAsia="宋体" w:cs="Times New Roman"/>
                <w:b/>
                <w:bCs/>
                <w:kern w:val="0"/>
                <w:sz w:val="24"/>
                <w:szCs w:val="24"/>
                <w:lang w:val="en-US" w:eastAsia="zh-CN"/>
              </w:rPr>
            </w:pPr>
            <w:r>
              <w:rPr>
                <w:rFonts w:hint="eastAsia" w:ascii="Times New Roman" w:hAnsi="Times New Roman" w:eastAsia="宋体" w:cs="Times New Roman"/>
                <w:b/>
                <w:bCs/>
                <w:kern w:val="0"/>
                <w:sz w:val="24"/>
                <w:szCs w:val="24"/>
                <w:lang w:val="en-US" w:eastAsia="zh-CN"/>
              </w:rPr>
              <w:t>表3-</w:t>
            </w:r>
            <w:r>
              <w:rPr>
                <w:rFonts w:hint="eastAsia" w:cs="Times New Roman"/>
                <w:b/>
                <w:bCs/>
                <w:kern w:val="0"/>
                <w:sz w:val="24"/>
                <w:szCs w:val="24"/>
                <w:lang w:val="en-US" w:eastAsia="zh-CN"/>
              </w:rPr>
              <w:t>8</w:t>
            </w:r>
            <w:r>
              <w:rPr>
                <w:rFonts w:hint="eastAsia" w:ascii="Times New Roman" w:hAnsi="Times New Roman" w:eastAsia="宋体" w:cs="Times New Roman"/>
                <w:b/>
                <w:bCs/>
                <w:kern w:val="0"/>
                <w:sz w:val="24"/>
                <w:szCs w:val="24"/>
                <w:lang w:val="en-US" w:eastAsia="zh-CN"/>
              </w:rPr>
              <w:t xml:space="preserve">  《</w:t>
            </w:r>
            <w:r>
              <w:rPr>
                <w:rFonts w:hint="default" w:ascii="Times New Roman" w:hAnsi="Times New Roman" w:eastAsia="宋体" w:cs="Times New Roman"/>
                <w:b/>
                <w:bCs/>
                <w:kern w:val="0"/>
                <w:sz w:val="24"/>
                <w:szCs w:val="24"/>
                <w:lang w:val="en-US" w:eastAsia="zh-CN"/>
              </w:rPr>
              <w:t>合成树脂工业污染物排放标</w:t>
            </w:r>
            <w:r>
              <w:rPr>
                <w:rFonts w:hint="eastAsia" w:cs="Times New Roman"/>
                <w:b/>
                <w:bCs/>
                <w:kern w:val="0"/>
                <w:sz w:val="24"/>
                <w:szCs w:val="24"/>
                <w:lang w:val="en-US" w:eastAsia="zh-CN"/>
              </w:rPr>
              <w:t>准</w:t>
            </w:r>
            <w:r>
              <w:rPr>
                <w:rFonts w:hint="eastAsia" w:ascii="Times New Roman" w:hAnsi="Times New Roman" w:eastAsia="宋体" w:cs="Times New Roman"/>
                <w:b/>
                <w:bCs/>
                <w:kern w:val="0"/>
                <w:sz w:val="24"/>
                <w:szCs w:val="24"/>
                <w:lang w:val="en-US" w:eastAsia="zh-CN"/>
              </w:rPr>
              <w:t>》（GB</w:t>
            </w:r>
            <w:r>
              <w:rPr>
                <w:rFonts w:hint="default" w:ascii="Times New Roman" w:hAnsi="Times New Roman" w:eastAsia="宋体" w:cs="Times New Roman"/>
                <w:b/>
                <w:bCs/>
                <w:kern w:val="0"/>
                <w:sz w:val="24"/>
                <w:szCs w:val="24"/>
                <w:lang w:val="en-US" w:eastAsia="zh-CN"/>
              </w:rPr>
              <w:t>31572-2015</w:t>
            </w:r>
            <w:r>
              <w:rPr>
                <w:rFonts w:hint="eastAsia" w:ascii="Times New Roman" w:hAnsi="Times New Roman" w:eastAsia="宋体" w:cs="Times New Roman"/>
                <w:b/>
                <w:bCs/>
                <w:kern w:val="0"/>
                <w:sz w:val="24"/>
                <w:szCs w:val="24"/>
                <w:lang w:val="en-US" w:eastAsia="zh-CN"/>
              </w:rPr>
              <w:t>）</w:t>
            </w:r>
          </w:p>
          <w:p>
            <w:pPr>
              <w:numPr>
                <w:ilvl w:val="0"/>
                <w:numId w:val="0"/>
              </w:numPr>
              <w:adjustRightInd w:val="0"/>
              <w:snapToGrid w:val="0"/>
              <w:spacing w:line="240" w:lineRule="auto"/>
              <w:jc w:val="right"/>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单位：mg/m</w:t>
            </w:r>
            <w:r>
              <w:rPr>
                <w:rFonts w:hint="eastAsia" w:ascii="Times New Roman" w:hAnsi="Times New Roman" w:eastAsia="宋体" w:cs="Times New Roman"/>
                <w:kern w:val="0"/>
                <w:sz w:val="21"/>
                <w:szCs w:val="21"/>
                <w:vertAlign w:val="superscript"/>
                <w:lang w:val="en-US" w:eastAsia="zh-CN"/>
              </w:rPr>
              <w:t>3</w:t>
            </w:r>
          </w:p>
          <w:tbl>
            <w:tblPr>
              <w:tblStyle w:val="15"/>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3"/>
              <w:gridCol w:w="1425"/>
              <w:gridCol w:w="880"/>
              <w:gridCol w:w="2357"/>
              <w:gridCol w:w="25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6" w:type="pct"/>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b/>
                      <w:bCs/>
                      <w:kern w:val="0"/>
                      <w:sz w:val="21"/>
                      <w:szCs w:val="21"/>
                      <w:vertAlign w:val="baseline"/>
                      <w:lang w:val="en-US" w:eastAsia="zh-CN"/>
                    </w:rPr>
                  </w:pPr>
                  <w:r>
                    <w:rPr>
                      <w:rFonts w:hint="eastAsia" w:ascii="Times New Roman" w:hAnsi="Times New Roman" w:eastAsia="宋体" w:cs="Times New Roman"/>
                      <w:b/>
                      <w:bCs/>
                      <w:kern w:val="0"/>
                      <w:sz w:val="21"/>
                      <w:szCs w:val="21"/>
                      <w:vertAlign w:val="baseline"/>
                      <w:lang w:val="en-US" w:eastAsia="zh-CN"/>
                    </w:rPr>
                    <w:t>序号</w:t>
                  </w:r>
                </w:p>
              </w:tc>
              <w:tc>
                <w:tcPr>
                  <w:tcW w:w="897" w:type="pct"/>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b/>
                      <w:bCs/>
                      <w:kern w:val="0"/>
                      <w:sz w:val="21"/>
                      <w:szCs w:val="21"/>
                      <w:vertAlign w:val="baseline"/>
                      <w:lang w:val="en-US" w:eastAsia="zh-CN"/>
                    </w:rPr>
                  </w:pPr>
                  <w:r>
                    <w:rPr>
                      <w:rFonts w:hint="eastAsia" w:ascii="Times New Roman" w:hAnsi="Times New Roman" w:eastAsia="宋体" w:cs="Times New Roman"/>
                      <w:b/>
                      <w:bCs/>
                      <w:kern w:val="0"/>
                      <w:sz w:val="21"/>
                      <w:szCs w:val="21"/>
                      <w:vertAlign w:val="baseline"/>
                      <w:lang w:val="en-US" w:eastAsia="zh-CN"/>
                    </w:rPr>
                    <w:t>污染物项目</w:t>
                  </w:r>
                </w:p>
              </w:tc>
              <w:tc>
                <w:tcPr>
                  <w:tcW w:w="554" w:type="pct"/>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b/>
                      <w:bCs/>
                      <w:kern w:val="0"/>
                      <w:sz w:val="21"/>
                      <w:szCs w:val="21"/>
                      <w:vertAlign w:val="baseline"/>
                      <w:lang w:val="en-US" w:eastAsia="zh-CN"/>
                    </w:rPr>
                  </w:pPr>
                  <w:r>
                    <w:rPr>
                      <w:rFonts w:hint="eastAsia" w:ascii="Times New Roman" w:hAnsi="Times New Roman" w:eastAsia="宋体" w:cs="Times New Roman"/>
                      <w:b/>
                      <w:bCs/>
                      <w:kern w:val="0"/>
                      <w:sz w:val="21"/>
                      <w:szCs w:val="21"/>
                      <w:vertAlign w:val="baseline"/>
                      <w:lang w:val="en-US" w:eastAsia="zh-CN"/>
                    </w:rPr>
                    <w:t>排放限值</w:t>
                  </w:r>
                </w:p>
              </w:tc>
              <w:tc>
                <w:tcPr>
                  <w:tcW w:w="1484" w:type="pct"/>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b/>
                      <w:bCs/>
                      <w:kern w:val="0"/>
                      <w:sz w:val="21"/>
                      <w:szCs w:val="21"/>
                      <w:vertAlign w:val="baseline"/>
                      <w:lang w:val="en-US" w:eastAsia="zh-CN"/>
                    </w:rPr>
                  </w:pPr>
                  <w:r>
                    <w:rPr>
                      <w:rFonts w:hint="eastAsia" w:ascii="Times New Roman" w:hAnsi="Times New Roman" w:eastAsia="宋体" w:cs="Times New Roman"/>
                      <w:b/>
                      <w:bCs/>
                      <w:kern w:val="0"/>
                      <w:sz w:val="21"/>
                      <w:szCs w:val="21"/>
                      <w:vertAlign w:val="baseline"/>
                      <w:lang w:val="en-US" w:eastAsia="zh-CN"/>
                    </w:rPr>
                    <w:t>适用的合成树脂类型</w:t>
                  </w:r>
                </w:p>
              </w:tc>
              <w:tc>
                <w:tcPr>
                  <w:tcW w:w="1628" w:type="pct"/>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b/>
                      <w:bCs/>
                      <w:kern w:val="0"/>
                      <w:sz w:val="21"/>
                      <w:szCs w:val="21"/>
                      <w:vertAlign w:val="baseline"/>
                      <w:lang w:val="en-US" w:eastAsia="zh-CN"/>
                    </w:rPr>
                  </w:pPr>
                  <w:r>
                    <w:rPr>
                      <w:rFonts w:hint="eastAsia" w:ascii="Times New Roman" w:hAnsi="Times New Roman" w:eastAsia="宋体" w:cs="Times New Roman"/>
                      <w:b/>
                      <w:bCs/>
                      <w:kern w:val="0"/>
                      <w:sz w:val="21"/>
                      <w:szCs w:val="21"/>
                      <w:vertAlign w:val="baseline"/>
                      <w:lang w:val="en-US" w:eastAsia="zh-CN"/>
                    </w:rPr>
                    <w:t>污染物排放监控位置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6" w:type="pct"/>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kern w:val="0"/>
                      <w:sz w:val="21"/>
                      <w:szCs w:val="21"/>
                      <w:vertAlign w:val="baseline"/>
                      <w:lang w:val="en-US" w:eastAsia="zh-CN"/>
                    </w:rPr>
                  </w:pPr>
                  <w:r>
                    <w:rPr>
                      <w:rFonts w:hint="eastAsia" w:ascii="Times New Roman" w:hAnsi="Times New Roman" w:eastAsia="宋体" w:cs="Times New Roman"/>
                      <w:kern w:val="0"/>
                      <w:sz w:val="21"/>
                      <w:szCs w:val="21"/>
                      <w:vertAlign w:val="baseline"/>
                      <w:lang w:val="en-US" w:eastAsia="zh-CN"/>
                    </w:rPr>
                    <w:t>1</w:t>
                  </w:r>
                </w:p>
              </w:tc>
              <w:tc>
                <w:tcPr>
                  <w:tcW w:w="897" w:type="pct"/>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kern w:val="0"/>
                      <w:sz w:val="21"/>
                      <w:szCs w:val="21"/>
                      <w:vertAlign w:val="baseline"/>
                      <w:lang w:val="en-US" w:eastAsia="zh-CN"/>
                    </w:rPr>
                  </w:pPr>
                  <w:r>
                    <w:rPr>
                      <w:rFonts w:hint="eastAsia" w:ascii="Times New Roman" w:hAnsi="Times New Roman" w:eastAsia="宋体" w:cs="Times New Roman"/>
                      <w:kern w:val="0"/>
                      <w:sz w:val="21"/>
                      <w:szCs w:val="21"/>
                      <w:vertAlign w:val="baseline"/>
                      <w:lang w:val="en-US" w:eastAsia="zh-CN"/>
                    </w:rPr>
                    <w:t>非甲烷总烃</w:t>
                  </w:r>
                </w:p>
              </w:tc>
              <w:tc>
                <w:tcPr>
                  <w:tcW w:w="554" w:type="pct"/>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kern w:val="0"/>
                      <w:sz w:val="21"/>
                      <w:szCs w:val="21"/>
                      <w:vertAlign w:val="baseline"/>
                      <w:lang w:val="en-US" w:eastAsia="zh-CN"/>
                    </w:rPr>
                  </w:pPr>
                  <w:r>
                    <w:rPr>
                      <w:rFonts w:hint="eastAsia" w:ascii="Times New Roman" w:hAnsi="Times New Roman" w:eastAsia="宋体" w:cs="Times New Roman"/>
                      <w:kern w:val="0"/>
                      <w:sz w:val="21"/>
                      <w:szCs w:val="21"/>
                      <w:vertAlign w:val="baseline"/>
                      <w:lang w:val="en-US" w:eastAsia="zh-CN"/>
                    </w:rPr>
                    <w:t>100</w:t>
                  </w:r>
                </w:p>
              </w:tc>
              <w:tc>
                <w:tcPr>
                  <w:tcW w:w="1484" w:type="pct"/>
                  <w:vMerge w:val="restart"/>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kern w:val="0"/>
                      <w:sz w:val="21"/>
                      <w:szCs w:val="21"/>
                      <w:vertAlign w:val="baseline"/>
                      <w:lang w:val="en-US" w:eastAsia="zh-CN"/>
                    </w:rPr>
                  </w:pPr>
                  <w:r>
                    <w:rPr>
                      <w:rFonts w:hint="eastAsia" w:ascii="Times New Roman" w:hAnsi="Times New Roman" w:eastAsia="宋体" w:cs="Times New Roman"/>
                      <w:kern w:val="0"/>
                      <w:sz w:val="21"/>
                      <w:szCs w:val="21"/>
                      <w:vertAlign w:val="baseline"/>
                      <w:lang w:val="en-US" w:eastAsia="zh-CN"/>
                    </w:rPr>
                    <w:t>所有合成树脂</w:t>
                  </w:r>
                </w:p>
              </w:tc>
              <w:tc>
                <w:tcPr>
                  <w:tcW w:w="1628" w:type="pct"/>
                  <w:vMerge w:val="restart"/>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kern w:val="0"/>
                      <w:sz w:val="21"/>
                      <w:szCs w:val="21"/>
                      <w:vertAlign w:val="baseline"/>
                      <w:lang w:val="en-US" w:eastAsia="zh-CN"/>
                    </w:rPr>
                  </w:pPr>
                  <w:r>
                    <w:rPr>
                      <w:rFonts w:hint="eastAsia" w:ascii="Times New Roman" w:hAnsi="Times New Roman" w:eastAsia="宋体" w:cs="Times New Roman"/>
                      <w:kern w:val="0"/>
                      <w:sz w:val="21"/>
                      <w:szCs w:val="21"/>
                      <w:vertAlign w:val="baseline"/>
                      <w:lang w:val="en-US" w:eastAsia="zh-CN"/>
                    </w:rPr>
                    <w:t>车间或生产设施排气筒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6" w:type="pct"/>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kern w:val="0"/>
                      <w:sz w:val="21"/>
                      <w:szCs w:val="21"/>
                      <w:vertAlign w:val="baseline"/>
                      <w:lang w:val="en-US" w:eastAsia="zh-CN"/>
                    </w:rPr>
                  </w:pPr>
                  <w:r>
                    <w:rPr>
                      <w:rFonts w:hint="eastAsia" w:ascii="Times New Roman" w:hAnsi="Times New Roman" w:eastAsia="宋体" w:cs="Times New Roman"/>
                      <w:kern w:val="0"/>
                      <w:sz w:val="21"/>
                      <w:szCs w:val="21"/>
                      <w:vertAlign w:val="baseline"/>
                      <w:lang w:val="en-US" w:eastAsia="zh-CN"/>
                    </w:rPr>
                    <w:t>2</w:t>
                  </w:r>
                </w:p>
              </w:tc>
              <w:tc>
                <w:tcPr>
                  <w:tcW w:w="897" w:type="pct"/>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kern w:val="0"/>
                      <w:sz w:val="21"/>
                      <w:szCs w:val="21"/>
                      <w:vertAlign w:val="baseline"/>
                      <w:lang w:val="en-US" w:eastAsia="zh-CN"/>
                    </w:rPr>
                  </w:pPr>
                  <w:r>
                    <w:rPr>
                      <w:rFonts w:hint="eastAsia" w:ascii="Times New Roman" w:hAnsi="Times New Roman" w:eastAsia="宋体" w:cs="Times New Roman"/>
                      <w:kern w:val="0"/>
                      <w:sz w:val="21"/>
                      <w:szCs w:val="21"/>
                      <w:vertAlign w:val="baseline"/>
                      <w:lang w:val="en-US" w:eastAsia="zh-CN"/>
                    </w:rPr>
                    <w:t>颗粒物</w:t>
                  </w:r>
                </w:p>
              </w:tc>
              <w:tc>
                <w:tcPr>
                  <w:tcW w:w="554" w:type="pct"/>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kern w:val="0"/>
                      <w:sz w:val="21"/>
                      <w:szCs w:val="21"/>
                      <w:vertAlign w:val="baseline"/>
                      <w:lang w:val="en-US" w:eastAsia="zh-CN"/>
                    </w:rPr>
                  </w:pPr>
                  <w:r>
                    <w:rPr>
                      <w:rFonts w:hint="eastAsia" w:ascii="Times New Roman" w:hAnsi="Times New Roman" w:eastAsia="宋体" w:cs="Times New Roman"/>
                      <w:kern w:val="0"/>
                      <w:sz w:val="21"/>
                      <w:szCs w:val="21"/>
                      <w:vertAlign w:val="baseline"/>
                      <w:lang w:val="en-US" w:eastAsia="zh-CN"/>
                    </w:rPr>
                    <w:t>30</w:t>
                  </w:r>
                </w:p>
              </w:tc>
              <w:tc>
                <w:tcPr>
                  <w:tcW w:w="1484" w:type="pct"/>
                  <w:vMerge w:val="continue"/>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kern w:val="0"/>
                      <w:sz w:val="21"/>
                      <w:szCs w:val="21"/>
                      <w:vertAlign w:val="baseline"/>
                      <w:lang w:val="en-US" w:eastAsia="zh-CN"/>
                    </w:rPr>
                  </w:pPr>
                </w:p>
              </w:tc>
              <w:tc>
                <w:tcPr>
                  <w:tcW w:w="1628" w:type="pct"/>
                  <w:vMerge w:val="continue"/>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kern w:val="0"/>
                      <w:sz w:val="21"/>
                      <w:szCs w:val="21"/>
                      <w:vertAlign w:val="baseline"/>
                      <w:lang w:val="en-US" w:eastAsia="zh-CN"/>
                    </w:rPr>
                  </w:pPr>
                </w:p>
              </w:tc>
            </w:tr>
          </w:tbl>
          <w:p>
            <w:pPr>
              <w:numPr>
                <w:ilvl w:val="0"/>
                <w:numId w:val="0"/>
              </w:numPr>
              <w:adjustRightInd w:val="0"/>
              <w:snapToGrid w:val="0"/>
              <w:spacing w:line="360" w:lineRule="auto"/>
              <w:jc w:val="center"/>
              <w:rPr>
                <w:rFonts w:hint="default" w:ascii="Times New Roman" w:hAnsi="Times New Roman" w:eastAsia="宋体" w:cs="Times New Roman"/>
                <w:kern w:val="0"/>
                <w:sz w:val="24"/>
                <w:szCs w:val="24"/>
                <w:lang w:val="en-US" w:eastAsia="zh-CN"/>
              </w:rPr>
            </w:pPr>
            <w:r>
              <w:rPr>
                <w:rFonts w:hint="eastAsia" w:ascii="Times New Roman" w:hAnsi="Times New Roman" w:eastAsia="宋体" w:cs="Times New Roman"/>
                <w:b/>
                <w:bCs/>
                <w:kern w:val="0"/>
                <w:sz w:val="24"/>
                <w:szCs w:val="24"/>
                <w:lang w:val="en-US" w:eastAsia="zh-CN"/>
              </w:rPr>
              <w:t xml:space="preserve">表3-9 </w:t>
            </w:r>
            <w:r>
              <w:rPr>
                <w:rFonts w:hint="eastAsia" w:ascii="Times New Roman" w:hAnsi="Times New Roman" w:eastAsia="宋体" w:cs="Times New Roman"/>
                <w:kern w:val="0"/>
                <w:sz w:val="24"/>
                <w:szCs w:val="24"/>
                <w:lang w:val="en-US" w:eastAsia="zh-CN"/>
              </w:rPr>
              <w:t xml:space="preserve"> </w:t>
            </w:r>
            <w:r>
              <w:rPr>
                <w:rFonts w:hint="eastAsia" w:ascii="Times New Roman" w:hAnsi="Times New Roman" w:eastAsia="宋体" w:cs="Times New Roman"/>
                <w:b/>
                <w:bCs/>
                <w:kern w:val="0"/>
                <w:sz w:val="24"/>
                <w:szCs w:val="24"/>
                <w:lang w:val="en-US" w:eastAsia="zh-CN"/>
              </w:rPr>
              <w:t>《</w:t>
            </w:r>
            <w:r>
              <w:rPr>
                <w:rFonts w:hint="default" w:ascii="Times New Roman" w:hAnsi="Times New Roman" w:eastAsia="宋体" w:cs="Times New Roman"/>
                <w:b/>
                <w:bCs/>
                <w:kern w:val="0"/>
                <w:sz w:val="24"/>
                <w:szCs w:val="24"/>
                <w:lang w:val="en-US" w:eastAsia="zh-CN"/>
              </w:rPr>
              <w:t>合成树脂工业污染物排放标</w:t>
            </w:r>
            <w:r>
              <w:rPr>
                <w:rFonts w:hint="eastAsia" w:cs="Times New Roman"/>
                <w:b/>
                <w:bCs/>
                <w:kern w:val="0"/>
                <w:sz w:val="24"/>
                <w:szCs w:val="24"/>
                <w:lang w:val="en-US" w:eastAsia="zh-CN"/>
              </w:rPr>
              <w:t>准</w:t>
            </w:r>
            <w:r>
              <w:rPr>
                <w:rFonts w:hint="eastAsia" w:ascii="Times New Roman" w:hAnsi="Times New Roman" w:eastAsia="宋体" w:cs="Times New Roman"/>
                <w:b/>
                <w:bCs/>
                <w:kern w:val="0"/>
                <w:sz w:val="24"/>
                <w:szCs w:val="24"/>
                <w:lang w:val="en-US" w:eastAsia="zh-CN"/>
              </w:rPr>
              <w:t>》（GB</w:t>
            </w:r>
            <w:r>
              <w:rPr>
                <w:rFonts w:hint="default" w:ascii="Times New Roman" w:hAnsi="Times New Roman" w:eastAsia="宋体" w:cs="Times New Roman"/>
                <w:b/>
                <w:bCs/>
                <w:kern w:val="0"/>
                <w:sz w:val="24"/>
                <w:szCs w:val="24"/>
                <w:lang w:val="en-US" w:eastAsia="zh-CN"/>
              </w:rPr>
              <w:t>31572-2015</w:t>
            </w:r>
            <w:r>
              <w:rPr>
                <w:rFonts w:hint="eastAsia" w:ascii="Times New Roman" w:hAnsi="Times New Roman" w:eastAsia="宋体" w:cs="Times New Roman"/>
                <w:b/>
                <w:bCs/>
                <w:kern w:val="0"/>
                <w:sz w:val="24"/>
                <w:szCs w:val="24"/>
                <w:lang w:val="en-US" w:eastAsia="zh-CN"/>
              </w:rPr>
              <w:t>）</w:t>
            </w:r>
          </w:p>
          <w:p>
            <w:pPr>
              <w:numPr>
                <w:ilvl w:val="0"/>
                <w:numId w:val="0"/>
              </w:numPr>
              <w:adjustRightInd w:val="0"/>
              <w:snapToGrid w:val="0"/>
              <w:spacing w:line="240" w:lineRule="auto"/>
              <w:jc w:val="right"/>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单位：mg/m</w:t>
            </w:r>
            <w:r>
              <w:rPr>
                <w:rFonts w:hint="eastAsia" w:ascii="Times New Roman" w:hAnsi="Times New Roman" w:eastAsia="宋体" w:cs="Times New Roman"/>
                <w:kern w:val="0"/>
                <w:sz w:val="21"/>
                <w:szCs w:val="21"/>
                <w:vertAlign w:val="superscript"/>
                <w:lang w:val="en-US" w:eastAsia="zh-CN"/>
              </w:rPr>
              <w:t>3</w:t>
            </w:r>
          </w:p>
          <w:tbl>
            <w:tblPr>
              <w:tblStyle w:val="15"/>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46"/>
              <w:gridCol w:w="2647"/>
              <w:gridCol w:w="26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84" w:type="dxa"/>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b/>
                      <w:bCs/>
                      <w:kern w:val="0"/>
                      <w:sz w:val="21"/>
                      <w:szCs w:val="21"/>
                      <w:vertAlign w:val="baseline"/>
                      <w:lang w:val="en-US" w:eastAsia="zh-CN"/>
                    </w:rPr>
                  </w:pPr>
                  <w:r>
                    <w:rPr>
                      <w:rFonts w:hint="eastAsia" w:ascii="Times New Roman" w:hAnsi="Times New Roman" w:eastAsia="宋体" w:cs="Times New Roman"/>
                      <w:b/>
                      <w:bCs/>
                      <w:kern w:val="0"/>
                      <w:sz w:val="21"/>
                      <w:szCs w:val="21"/>
                      <w:vertAlign w:val="baseline"/>
                      <w:lang w:val="en-US" w:eastAsia="zh-CN"/>
                    </w:rPr>
                    <w:t>序号</w:t>
                  </w:r>
                </w:p>
              </w:tc>
              <w:tc>
                <w:tcPr>
                  <w:tcW w:w="2784" w:type="dxa"/>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b/>
                      <w:bCs/>
                      <w:kern w:val="0"/>
                      <w:sz w:val="21"/>
                      <w:szCs w:val="21"/>
                      <w:vertAlign w:val="baseline"/>
                      <w:lang w:val="en-US" w:eastAsia="zh-CN"/>
                    </w:rPr>
                  </w:pPr>
                  <w:r>
                    <w:rPr>
                      <w:rFonts w:hint="eastAsia" w:ascii="Times New Roman" w:hAnsi="Times New Roman" w:eastAsia="宋体" w:cs="Times New Roman"/>
                      <w:b/>
                      <w:bCs/>
                      <w:kern w:val="0"/>
                      <w:sz w:val="21"/>
                      <w:szCs w:val="21"/>
                      <w:vertAlign w:val="baseline"/>
                      <w:lang w:val="en-US" w:eastAsia="zh-CN"/>
                    </w:rPr>
                    <w:t>污染物项目</w:t>
                  </w:r>
                </w:p>
              </w:tc>
              <w:tc>
                <w:tcPr>
                  <w:tcW w:w="2785" w:type="dxa"/>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b/>
                      <w:bCs/>
                      <w:kern w:val="0"/>
                      <w:sz w:val="21"/>
                      <w:szCs w:val="21"/>
                      <w:vertAlign w:val="baseline"/>
                      <w:lang w:val="en-US" w:eastAsia="zh-CN"/>
                    </w:rPr>
                  </w:pPr>
                  <w:r>
                    <w:rPr>
                      <w:rFonts w:hint="eastAsia" w:ascii="Times New Roman" w:hAnsi="Times New Roman" w:eastAsia="宋体" w:cs="Times New Roman"/>
                      <w:b/>
                      <w:bCs/>
                      <w:kern w:val="0"/>
                      <w:sz w:val="21"/>
                      <w:szCs w:val="21"/>
                      <w:vertAlign w:val="baseline"/>
                      <w:lang w:val="en-US" w:eastAsia="zh-CN"/>
                    </w:rPr>
                    <w:t>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84" w:type="dxa"/>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kern w:val="0"/>
                      <w:sz w:val="21"/>
                      <w:szCs w:val="21"/>
                      <w:vertAlign w:val="baseline"/>
                      <w:lang w:val="en-US" w:eastAsia="zh-CN"/>
                    </w:rPr>
                  </w:pPr>
                  <w:r>
                    <w:rPr>
                      <w:rFonts w:hint="eastAsia" w:ascii="Times New Roman" w:hAnsi="Times New Roman" w:eastAsia="宋体" w:cs="Times New Roman"/>
                      <w:kern w:val="0"/>
                      <w:sz w:val="21"/>
                      <w:szCs w:val="21"/>
                      <w:vertAlign w:val="baseline"/>
                      <w:lang w:val="en-US" w:eastAsia="zh-CN"/>
                    </w:rPr>
                    <w:t>1</w:t>
                  </w:r>
                </w:p>
              </w:tc>
              <w:tc>
                <w:tcPr>
                  <w:tcW w:w="2784" w:type="dxa"/>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kern w:val="0"/>
                      <w:sz w:val="21"/>
                      <w:szCs w:val="21"/>
                      <w:vertAlign w:val="baseline"/>
                      <w:lang w:val="en-US" w:eastAsia="zh-CN"/>
                    </w:rPr>
                  </w:pPr>
                  <w:r>
                    <w:rPr>
                      <w:rFonts w:hint="eastAsia" w:ascii="Times New Roman" w:hAnsi="Times New Roman" w:eastAsia="宋体" w:cs="Times New Roman"/>
                      <w:kern w:val="0"/>
                      <w:sz w:val="21"/>
                      <w:szCs w:val="21"/>
                      <w:vertAlign w:val="baseline"/>
                      <w:lang w:val="en-US" w:eastAsia="zh-CN"/>
                    </w:rPr>
                    <w:t>颗粒物</w:t>
                  </w:r>
                </w:p>
              </w:tc>
              <w:tc>
                <w:tcPr>
                  <w:tcW w:w="2785" w:type="dxa"/>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kern w:val="0"/>
                      <w:sz w:val="21"/>
                      <w:szCs w:val="21"/>
                      <w:vertAlign w:val="baseline"/>
                      <w:lang w:val="en-US" w:eastAsia="zh-CN"/>
                    </w:rPr>
                  </w:pPr>
                  <w:r>
                    <w:rPr>
                      <w:rFonts w:hint="eastAsia" w:ascii="Times New Roman" w:hAnsi="Times New Roman" w:eastAsia="宋体" w:cs="Times New Roman"/>
                      <w:kern w:val="0"/>
                      <w:sz w:val="21"/>
                      <w:szCs w:val="21"/>
                      <w:vertAlign w:val="baseline"/>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84" w:type="dxa"/>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kern w:val="0"/>
                      <w:sz w:val="21"/>
                      <w:szCs w:val="21"/>
                      <w:vertAlign w:val="baseline"/>
                      <w:lang w:val="en-US" w:eastAsia="zh-CN"/>
                    </w:rPr>
                  </w:pPr>
                  <w:r>
                    <w:rPr>
                      <w:rFonts w:hint="eastAsia" w:ascii="Times New Roman" w:hAnsi="Times New Roman" w:eastAsia="宋体" w:cs="Times New Roman"/>
                      <w:kern w:val="0"/>
                      <w:sz w:val="21"/>
                      <w:szCs w:val="21"/>
                      <w:vertAlign w:val="baseline"/>
                      <w:lang w:val="en-US" w:eastAsia="zh-CN"/>
                    </w:rPr>
                    <w:t>2</w:t>
                  </w:r>
                </w:p>
              </w:tc>
              <w:tc>
                <w:tcPr>
                  <w:tcW w:w="2784" w:type="dxa"/>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kern w:val="0"/>
                      <w:sz w:val="21"/>
                      <w:szCs w:val="21"/>
                      <w:vertAlign w:val="baseline"/>
                      <w:lang w:val="en-US" w:eastAsia="zh-CN"/>
                    </w:rPr>
                  </w:pPr>
                  <w:r>
                    <w:rPr>
                      <w:rFonts w:hint="eastAsia" w:ascii="Times New Roman" w:hAnsi="Times New Roman" w:eastAsia="宋体" w:cs="Times New Roman"/>
                      <w:kern w:val="0"/>
                      <w:sz w:val="21"/>
                      <w:szCs w:val="21"/>
                      <w:vertAlign w:val="baseline"/>
                      <w:lang w:val="en-US" w:eastAsia="zh-CN"/>
                    </w:rPr>
                    <w:t>非甲烷总烃</w:t>
                  </w:r>
                </w:p>
              </w:tc>
              <w:tc>
                <w:tcPr>
                  <w:tcW w:w="2785" w:type="dxa"/>
                  <w:tcBorders>
                    <w:tl2br w:val="nil"/>
                    <w:tr2bl w:val="nil"/>
                  </w:tcBorders>
                  <w:vAlign w:val="center"/>
                </w:tcPr>
                <w:p>
                  <w:pPr>
                    <w:numPr>
                      <w:ilvl w:val="0"/>
                      <w:numId w:val="0"/>
                    </w:numPr>
                    <w:adjustRightInd w:val="0"/>
                    <w:snapToGrid w:val="0"/>
                    <w:spacing w:line="240" w:lineRule="auto"/>
                    <w:jc w:val="center"/>
                    <w:rPr>
                      <w:rFonts w:hint="default" w:ascii="Times New Roman" w:hAnsi="Times New Roman" w:eastAsia="宋体" w:cs="Times New Roman"/>
                      <w:kern w:val="0"/>
                      <w:sz w:val="21"/>
                      <w:szCs w:val="21"/>
                      <w:vertAlign w:val="baseline"/>
                      <w:lang w:val="en-US" w:eastAsia="zh-CN"/>
                    </w:rPr>
                  </w:pPr>
                  <w:r>
                    <w:rPr>
                      <w:rFonts w:hint="eastAsia" w:ascii="Times New Roman" w:hAnsi="Times New Roman" w:eastAsia="宋体" w:cs="Times New Roman"/>
                      <w:kern w:val="0"/>
                      <w:sz w:val="21"/>
                      <w:szCs w:val="21"/>
                      <w:vertAlign w:val="baseline"/>
                      <w:lang w:val="en-US" w:eastAsia="zh-CN"/>
                    </w:rPr>
                    <w:t>4.0</w:t>
                  </w:r>
                </w:p>
              </w:tc>
            </w:tr>
          </w:tbl>
          <w:p>
            <w:pPr>
              <w:numPr>
                <w:ilvl w:val="0"/>
                <w:numId w:val="0"/>
              </w:numPr>
              <w:adjustRightInd w:val="0"/>
              <w:snapToGrid w:val="0"/>
              <w:spacing w:line="360" w:lineRule="auto"/>
              <w:jc w:val="both"/>
              <w:rPr>
                <w:rFonts w:hint="default" w:ascii="Times New Roman" w:hAnsi="Times New Roman" w:eastAsia="宋体" w:cs="Times New Roman"/>
                <w:b/>
                <w:bCs/>
                <w:kern w:val="0"/>
                <w:sz w:val="24"/>
                <w:szCs w:val="24"/>
                <w:lang w:val="en-US" w:eastAsia="zh-CN"/>
              </w:rPr>
            </w:pPr>
            <w:r>
              <w:rPr>
                <w:rFonts w:hint="eastAsia" w:ascii="Times New Roman" w:hAnsi="Times New Roman" w:eastAsia="宋体" w:cs="Times New Roman"/>
                <w:b/>
                <w:bCs/>
                <w:kern w:val="0"/>
                <w:sz w:val="24"/>
                <w:szCs w:val="24"/>
                <w:lang w:val="en-US" w:eastAsia="zh-CN"/>
              </w:rPr>
              <w:t>3.噪声：</w:t>
            </w:r>
          </w:p>
          <w:p>
            <w:pPr>
              <w:numPr>
                <w:ilvl w:val="0"/>
                <w:numId w:val="0"/>
              </w:numPr>
              <w:adjustRightInd w:val="0"/>
              <w:snapToGrid w:val="0"/>
              <w:spacing w:line="360" w:lineRule="auto"/>
              <w:ind w:firstLine="480" w:firstLineChars="200"/>
              <w:jc w:val="both"/>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本项目各厂界噪声执行《工业企业厂界环境噪声排放标准》（GB12348-2008）</w:t>
            </w:r>
            <w:r>
              <w:rPr>
                <w:rFonts w:hint="eastAsia" w:cs="Times New Roman"/>
                <w:kern w:val="0"/>
                <w:sz w:val="24"/>
                <w:szCs w:val="24"/>
                <w:lang w:val="en-US" w:eastAsia="zh-CN"/>
              </w:rPr>
              <w:t>中表1工业企业厂界环境噪声排放限值中</w:t>
            </w:r>
            <w:r>
              <w:rPr>
                <w:rFonts w:hint="default" w:ascii="Times New Roman" w:hAnsi="Times New Roman" w:eastAsia="宋体" w:cs="Times New Roman"/>
                <w:kern w:val="0"/>
                <w:sz w:val="24"/>
                <w:szCs w:val="24"/>
                <w:lang w:val="en-US" w:eastAsia="zh-CN"/>
              </w:rPr>
              <w:t>3类标准。</w:t>
            </w:r>
          </w:p>
          <w:p>
            <w:pPr>
              <w:numPr>
                <w:ilvl w:val="0"/>
                <w:numId w:val="0"/>
              </w:numPr>
              <w:adjustRightInd w:val="0"/>
              <w:snapToGrid w:val="0"/>
              <w:spacing w:line="240" w:lineRule="auto"/>
              <w:jc w:val="center"/>
              <w:rPr>
                <w:rFonts w:hint="eastAsia" w:ascii="宋体" w:hAnsi="宋体" w:cs="宋体"/>
                <w:b/>
                <w:bCs/>
                <w:kern w:val="0"/>
                <w:sz w:val="24"/>
                <w:szCs w:val="24"/>
                <w:lang w:val="en-US" w:eastAsia="zh-CN"/>
              </w:rPr>
            </w:pPr>
            <w:r>
              <w:rPr>
                <w:rFonts w:hint="eastAsia" w:ascii="Times New Roman" w:hAnsi="Times New Roman" w:eastAsia="宋体" w:cs="Times New Roman"/>
                <w:b/>
                <w:bCs/>
                <w:kern w:val="0"/>
                <w:sz w:val="24"/>
                <w:szCs w:val="24"/>
                <w:lang w:val="en-US" w:eastAsia="zh-CN"/>
              </w:rPr>
              <w:t>表3-</w:t>
            </w:r>
            <w:r>
              <w:rPr>
                <w:rFonts w:hint="eastAsia" w:cs="Times New Roman"/>
                <w:b/>
                <w:bCs/>
                <w:kern w:val="0"/>
                <w:sz w:val="24"/>
                <w:szCs w:val="24"/>
                <w:lang w:val="en-US" w:eastAsia="zh-CN"/>
              </w:rPr>
              <w:t>10</w:t>
            </w:r>
            <w:r>
              <w:rPr>
                <w:rFonts w:hint="eastAsia" w:ascii="Times New Roman" w:hAnsi="Times New Roman" w:eastAsia="宋体" w:cs="Times New Roman"/>
                <w:b/>
                <w:bCs/>
                <w:kern w:val="0"/>
                <w:sz w:val="24"/>
                <w:szCs w:val="24"/>
                <w:lang w:val="en-US" w:eastAsia="zh-CN"/>
              </w:rPr>
              <w:t xml:space="preserve">  </w:t>
            </w:r>
            <w:r>
              <w:rPr>
                <w:rFonts w:hint="eastAsia" w:ascii="宋体" w:hAnsi="宋体" w:cs="宋体"/>
                <w:b/>
                <w:bCs/>
                <w:kern w:val="0"/>
                <w:sz w:val="24"/>
                <w:szCs w:val="24"/>
                <w:lang w:val="en-US" w:eastAsia="zh-CN"/>
              </w:rPr>
              <w:t>《</w:t>
            </w:r>
            <w:r>
              <w:rPr>
                <w:rFonts w:hint="eastAsia" w:ascii="宋体" w:hAnsi="宋体" w:eastAsia="宋体" w:cs="宋体"/>
                <w:b/>
                <w:bCs/>
                <w:color w:val="000000"/>
                <w:kern w:val="0"/>
                <w:sz w:val="24"/>
                <w:szCs w:val="24"/>
                <w:lang w:val="en-US" w:eastAsia="zh-CN" w:bidi="ar"/>
              </w:rPr>
              <w:t>工业企业厂界环境噪声排放标准</w:t>
            </w:r>
            <w:r>
              <w:rPr>
                <w:rFonts w:hint="eastAsia" w:ascii="宋体" w:hAnsi="宋体" w:cs="宋体"/>
                <w:b/>
                <w:bCs/>
                <w:kern w:val="0"/>
                <w:sz w:val="24"/>
                <w:szCs w:val="24"/>
                <w:lang w:val="en-US" w:eastAsia="zh-CN"/>
              </w:rPr>
              <w:t>》 （GB12523-2011）</w:t>
            </w:r>
          </w:p>
          <w:p>
            <w:pPr>
              <w:numPr>
                <w:ilvl w:val="0"/>
                <w:numId w:val="0"/>
              </w:numPr>
              <w:adjustRightInd w:val="0"/>
              <w:snapToGrid w:val="0"/>
              <w:spacing w:line="240" w:lineRule="auto"/>
              <w:jc w:val="right"/>
              <w:rPr>
                <w:rFonts w:hint="eastAsia" w:ascii="宋体" w:hAnsi="宋体" w:cs="宋体"/>
                <w:b/>
                <w:bCs/>
                <w:kern w:val="0"/>
                <w:sz w:val="24"/>
                <w:szCs w:val="24"/>
                <w:lang w:val="en-US" w:eastAsia="zh-CN"/>
              </w:rPr>
            </w:pPr>
            <w:r>
              <w:rPr>
                <w:rFonts w:hint="eastAsia" w:ascii="Times New Roman" w:hAnsi="Times New Roman" w:eastAsia="宋体" w:cs="Times New Roman"/>
                <w:kern w:val="0"/>
                <w:sz w:val="21"/>
                <w:szCs w:val="21"/>
                <w:lang w:val="en-US" w:eastAsia="zh-CN"/>
              </w:rPr>
              <w:t>单位：dB（A）</w:t>
            </w:r>
          </w:p>
          <w:tbl>
            <w:tblPr>
              <w:tblStyle w:val="15"/>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47"/>
              <w:gridCol w:w="2648"/>
              <w:gridCol w:w="26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86" w:type="dxa"/>
                  <w:tcBorders>
                    <w:tl2br w:val="nil"/>
                    <w:tr2bl w:val="nil"/>
                  </w:tcBorders>
                  <w:vAlign w:val="center"/>
                </w:tcPr>
                <w:p>
                  <w:pPr>
                    <w:bidi w:val="0"/>
                    <w:jc w:val="center"/>
                    <w:rPr>
                      <w:rFonts w:hint="default"/>
                      <w:b/>
                      <w:bCs/>
                      <w:sz w:val="21"/>
                      <w:szCs w:val="21"/>
                      <w:lang w:val="en-US" w:eastAsia="zh-CN"/>
                    </w:rPr>
                  </w:pPr>
                  <w:r>
                    <w:rPr>
                      <w:rFonts w:hint="eastAsia"/>
                      <w:b/>
                      <w:bCs/>
                      <w:sz w:val="21"/>
                      <w:szCs w:val="21"/>
                      <w:lang w:val="en-US" w:eastAsia="zh-CN"/>
                    </w:rPr>
                    <w:t>执行标准</w:t>
                  </w:r>
                </w:p>
              </w:tc>
              <w:tc>
                <w:tcPr>
                  <w:tcW w:w="2787" w:type="dxa"/>
                  <w:tcBorders>
                    <w:tl2br w:val="nil"/>
                    <w:tr2bl w:val="nil"/>
                  </w:tcBorders>
                  <w:vAlign w:val="center"/>
                </w:tcPr>
                <w:p>
                  <w:pPr>
                    <w:bidi w:val="0"/>
                    <w:jc w:val="center"/>
                    <w:rPr>
                      <w:rFonts w:hint="default"/>
                      <w:b/>
                      <w:bCs/>
                      <w:sz w:val="21"/>
                      <w:szCs w:val="21"/>
                      <w:lang w:val="en-US" w:eastAsia="zh-CN"/>
                    </w:rPr>
                  </w:pPr>
                  <w:r>
                    <w:rPr>
                      <w:rFonts w:hint="eastAsia"/>
                      <w:b/>
                      <w:bCs/>
                      <w:sz w:val="21"/>
                      <w:szCs w:val="21"/>
                      <w:lang w:val="en-US" w:eastAsia="zh-CN"/>
                    </w:rPr>
                    <w:t>昼间</w:t>
                  </w:r>
                </w:p>
              </w:tc>
              <w:tc>
                <w:tcPr>
                  <w:tcW w:w="2787" w:type="dxa"/>
                  <w:tcBorders>
                    <w:tl2br w:val="nil"/>
                    <w:tr2bl w:val="nil"/>
                  </w:tcBorders>
                  <w:vAlign w:val="center"/>
                </w:tcPr>
                <w:p>
                  <w:pPr>
                    <w:bidi w:val="0"/>
                    <w:jc w:val="center"/>
                    <w:rPr>
                      <w:rFonts w:hint="default"/>
                      <w:b/>
                      <w:bCs/>
                      <w:sz w:val="21"/>
                      <w:szCs w:val="21"/>
                      <w:lang w:val="en-US" w:eastAsia="zh-CN"/>
                    </w:rPr>
                  </w:pPr>
                  <w:r>
                    <w:rPr>
                      <w:rFonts w:hint="eastAsia"/>
                      <w:b/>
                      <w:bCs/>
                      <w:sz w:val="21"/>
                      <w:szCs w:val="21"/>
                      <w:lang w:val="en-US" w:eastAsia="zh-CN"/>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86" w:type="dxa"/>
                  <w:tcBorders>
                    <w:tl2br w:val="nil"/>
                    <w:tr2bl w:val="nil"/>
                  </w:tcBorders>
                  <w:vAlign w:val="center"/>
                </w:tcPr>
                <w:p>
                  <w:pPr>
                    <w:bidi w:val="0"/>
                    <w:jc w:val="center"/>
                    <w:rPr>
                      <w:rFonts w:hint="default"/>
                      <w:sz w:val="21"/>
                      <w:szCs w:val="21"/>
                      <w:lang w:val="en-US" w:eastAsia="zh-CN"/>
                    </w:rPr>
                  </w:pPr>
                  <w:r>
                    <w:rPr>
                      <w:rFonts w:hint="eastAsia"/>
                      <w:sz w:val="21"/>
                      <w:szCs w:val="21"/>
                      <w:lang w:val="en-US" w:eastAsia="zh-CN"/>
                    </w:rPr>
                    <w:t>3类</w:t>
                  </w:r>
                </w:p>
              </w:tc>
              <w:tc>
                <w:tcPr>
                  <w:tcW w:w="2787" w:type="dxa"/>
                  <w:tcBorders>
                    <w:tl2br w:val="nil"/>
                    <w:tr2bl w:val="nil"/>
                  </w:tcBorders>
                  <w:vAlign w:val="center"/>
                </w:tcPr>
                <w:p>
                  <w:pPr>
                    <w:bidi w:val="0"/>
                    <w:jc w:val="center"/>
                    <w:rPr>
                      <w:rFonts w:hint="default"/>
                      <w:sz w:val="21"/>
                      <w:szCs w:val="21"/>
                      <w:lang w:val="en-US" w:eastAsia="zh-CN"/>
                    </w:rPr>
                  </w:pPr>
                  <w:r>
                    <w:rPr>
                      <w:rFonts w:hint="eastAsia"/>
                      <w:sz w:val="21"/>
                      <w:szCs w:val="21"/>
                      <w:lang w:val="en-US" w:eastAsia="zh-CN"/>
                    </w:rPr>
                    <w:t>65</w:t>
                  </w:r>
                </w:p>
              </w:tc>
              <w:tc>
                <w:tcPr>
                  <w:tcW w:w="2787" w:type="dxa"/>
                  <w:tcBorders>
                    <w:tl2br w:val="nil"/>
                    <w:tr2bl w:val="nil"/>
                  </w:tcBorders>
                  <w:vAlign w:val="center"/>
                </w:tcPr>
                <w:p>
                  <w:pPr>
                    <w:bidi w:val="0"/>
                    <w:jc w:val="center"/>
                    <w:rPr>
                      <w:rFonts w:hint="default"/>
                      <w:sz w:val="21"/>
                      <w:szCs w:val="21"/>
                      <w:lang w:val="en-US" w:eastAsia="zh-CN"/>
                    </w:rPr>
                  </w:pPr>
                  <w:r>
                    <w:rPr>
                      <w:rFonts w:hint="eastAsia"/>
                      <w:sz w:val="21"/>
                      <w:szCs w:val="21"/>
                      <w:lang w:val="en-US" w:eastAsia="zh-CN"/>
                    </w:rPr>
                    <w:t>55</w:t>
                  </w:r>
                </w:p>
              </w:tc>
            </w:tr>
          </w:tbl>
          <w:p>
            <w:pPr>
              <w:numPr>
                <w:ilvl w:val="0"/>
                <w:numId w:val="0"/>
              </w:numPr>
              <w:adjustRightInd w:val="0"/>
              <w:snapToGrid w:val="0"/>
              <w:spacing w:line="360" w:lineRule="auto"/>
              <w:jc w:val="both"/>
              <w:rPr>
                <w:rFonts w:hint="default" w:ascii="Times New Roman" w:hAnsi="Times New Roman" w:eastAsia="宋体" w:cs="Times New Roman"/>
                <w:b/>
                <w:bCs/>
                <w:kern w:val="0"/>
                <w:sz w:val="24"/>
                <w:szCs w:val="24"/>
                <w:lang w:val="en-US" w:eastAsia="zh-CN"/>
              </w:rPr>
            </w:pPr>
            <w:r>
              <w:rPr>
                <w:rFonts w:hint="eastAsia" w:ascii="Times New Roman" w:hAnsi="Times New Roman" w:eastAsia="宋体" w:cs="Times New Roman"/>
                <w:b/>
                <w:bCs/>
                <w:kern w:val="0"/>
                <w:sz w:val="24"/>
                <w:szCs w:val="24"/>
                <w:lang w:val="en-US" w:eastAsia="zh-CN"/>
              </w:rPr>
              <w:t>4.固废：</w:t>
            </w:r>
          </w:p>
          <w:p>
            <w:pPr>
              <w:numPr>
                <w:ilvl w:val="0"/>
                <w:numId w:val="0"/>
              </w:numPr>
              <w:adjustRightInd w:val="0"/>
              <w:snapToGrid w:val="0"/>
              <w:spacing w:line="360" w:lineRule="auto"/>
              <w:ind w:firstLine="480" w:firstLineChars="200"/>
              <w:jc w:val="both"/>
              <w:rPr>
                <w:rFonts w:hint="eastAsia" w:ascii="宋体" w:hAnsi="宋体" w:cs="宋体"/>
                <w:kern w:val="0"/>
                <w:sz w:val="24"/>
                <w:szCs w:val="24"/>
                <w:lang w:val="en-US" w:eastAsia="zh-CN"/>
              </w:rPr>
            </w:pPr>
            <w:r>
              <w:rPr>
                <w:rFonts w:hint="eastAsia" w:ascii="宋体" w:hAnsi="宋体" w:cs="宋体"/>
                <w:kern w:val="0"/>
                <w:sz w:val="24"/>
                <w:szCs w:val="24"/>
                <w:lang w:val="en-US" w:eastAsia="zh-CN"/>
              </w:rPr>
              <w:t>一般固废执行《一般工业固体废物贮存和填埋污染控制标准》 （GB18599-2020）。</w:t>
            </w:r>
          </w:p>
          <w:p>
            <w:pPr>
              <w:numPr>
                <w:ilvl w:val="0"/>
                <w:numId w:val="0"/>
              </w:numPr>
              <w:adjustRightInd w:val="0"/>
              <w:snapToGrid w:val="0"/>
              <w:spacing w:line="360" w:lineRule="auto"/>
              <w:ind w:firstLine="480" w:firstLineChars="200"/>
              <w:jc w:val="both"/>
              <w:rPr>
                <w:rFonts w:hint="default" w:ascii="宋体" w:hAnsi="宋体" w:eastAsia="宋体" w:cs="宋体"/>
                <w:kern w:val="0"/>
                <w:sz w:val="24"/>
                <w:szCs w:val="24"/>
                <w:lang w:val="en-US" w:eastAsia="zh-CN"/>
              </w:rPr>
            </w:pPr>
            <w:r>
              <w:rPr>
                <w:rFonts w:hint="eastAsia" w:ascii="宋体" w:hAnsi="宋体" w:cs="宋体"/>
                <w:kern w:val="0"/>
                <w:sz w:val="24"/>
                <w:szCs w:val="24"/>
                <w:lang w:val="en-US" w:eastAsia="zh-CN"/>
              </w:rPr>
              <w:t>生活垃圾执行《生活垃圾填埋场污染控制标准》（GB16889-2008）。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800" w:type="dxa"/>
            <w:noWrap w:val="0"/>
            <w:vAlign w:val="center"/>
          </w:tcPr>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总量</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控制</w:t>
            </w:r>
          </w:p>
          <w:p>
            <w:pPr>
              <w:adjustRightInd w:val="0"/>
              <w:snapToGrid w:val="0"/>
              <w:jc w:val="center"/>
              <w:rPr>
                <w:rFonts w:ascii="宋体" w:hAnsi="宋体" w:cs="宋体"/>
                <w:kern w:val="0"/>
                <w:sz w:val="24"/>
                <w:szCs w:val="24"/>
              </w:rPr>
            </w:pPr>
            <w:r>
              <w:rPr>
                <w:rFonts w:hint="eastAsia" w:ascii="宋体" w:hAnsi="宋体" w:cs="宋体"/>
                <w:kern w:val="0"/>
                <w:sz w:val="24"/>
                <w:szCs w:val="24"/>
              </w:rPr>
              <w:t>指标</w:t>
            </w:r>
          </w:p>
        </w:tc>
        <w:tc>
          <w:tcPr>
            <w:tcW w:w="8190" w:type="dxa"/>
            <w:noWrap w:val="0"/>
            <w:vAlign w:val="center"/>
          </w:tcPr>
          <w:p>
            <w:pPr>
              <w:numPr>
                <w:ilvl w:val="0"/>
                <w:numId w:val="0"/>
              </w:numPr>
              <w:adjustRightInd w:val="0"/>
              <w:snapToGrid w:val="0"/>
              <w:spacing w:line="360" w:lineRule="auto"/>
              <w:jc w:val="both"/>
              <w:rPr>
                <w:rFonts w:hint="eastAsia" w:ascii="宋体" w:hAnsi="宋体" w:cs="宋体"/>
                <w:b w:val="0"/>
                <w:bCs w:val="0"/>
                <w:color w:val="auto"/>
                <w:kern w:val="0"/>
                <w:sz w:val="24"/>
                <w:szCs w:val="24"/>
              </w:rPr>
            </w:pPr>
            <w:r>
              <w:rPr>
                <w:rFonts w:hint="eastAsia" w:ascii="宋体" w:hAnsi="宋体" w:cs="宋体"/>
                <w:b w:val="0"/>
                <w:bCs w:val="0"/>
                <w:color w:val="auto"/>
                <w:kern w:val="0"/>
                <w:sz w:val="24"/>
                <w:szCs w:val="24"/>
                <w:lang w:eastAsia="zh-CN"/>
              </w:rPr>
              <w:t>（</w:t>
            </w:r>
            <w:r>
              <w:rPr>
                <w:rFonts w:hint="eastAsia" w:ascii="宋体" w:hAnsi="宋体" w:cs="宋体"/>
                <w:b w:val="0"/>
                <w:bCs w:val="0"/>
                <w:color w:val="auto"/>
                <w:kern w:val="0"/>
                <w:sz w:val="24"/>
                <w:szCs w:val="24"/>
                <w:lang w:val="en-US" w:eastAsia="zh-CN"/>
              </w:rPr>
              <w:t>1</w:t>
            </w:r>
            <w:r>
              <w:rPr>
                <w:rFonts w:hint="eastAsia" w:ascii="宋体" w:hAnsi="宋体" w:cs="宋体"/>
                <w:b w:val="0"/>
                <w:bCs w:val="0"/>
                <w:color w:val="auto"/>
                <w:kern w:val="0"/>
                <w:sz w:val="24"/>
                <w:szCs w:val="24"/>
                <w:lang w:eastAsia="zh-CN"/>
              </w:rPr>
              <w:t>）</w:t>
            </w:r>
            <w:r>
              <w:rPr>
                <w:rFonts w:hint="eastAsia" w:ascii="宋体" w:hAnsi="宋体" w:cs="宋体"/>
                <w:b w:val="0"/>
                <w:bCs w:val="0"/>
                <w:color w:val="auto"/>
                <w:kern w:val="0"/>
                <w:sz w:val="24"/>
                <w:szCs w:val="24"/>
              </w:rPr>
              <w:t>废气</w:t>
            </w:r>
          </w:p>
          <w:p>
            <w:pPr>
              <w:numPr>
                <w:ilvl w:val="0"/>
                <w:numId w:val="0"/>
              </w:numPr>
              <w:adjustRightInd w:val="0"/>
              <w:snapToGrid w:val="0"/>
              <w:spacing w:line="360" w:lineRule="auto"/>
              <w:ind w:firstLine="480" w:firstLineChars="200"/>
              <w:jc w:val="both"/>
              <w:rPr>
                <w:rFonts w:hint="eastAsia" w:ascii="宋体" w:hAnsi="宋体" w:cs="宋体"/>
                <w:b w:val="0"/>
                <w:bCs w:val="0"/>
                <w:color w:val="auto"/>
                <w:kern w:val="0"/>
                <w:sz w:val="24"/>
                <w:szCs w:val="24"/>
              </w:rPr>
            </w:pPr>
            <w:r>
              <w:rPr>
                <w:rFonts w:hint="eastAsia" w:ascii="宋体" w:hAnsi="宋体" w:cs="宋体"/>
                <w:b w:val="0"/>
                <w:bCs w:val="0"/>
                <w:color w:val="auto"/>
                <w:kern w:val="0"/>
                <w:sz w:val="24"/>
                <w:szCs w:val="24"/>
              </w:rPr>
              <w:t>根据工程分析，该项目排放的污染因子中，纳入总量控制要求的主要污染物是废气中的（以</w:t>
            </w:r>
            <w:r>
              <w:rPr>
                <w:rFonts w:hint="eastAsia" w:ascii="宋体" w:hAnsi="宋体" w:cs="宋体"/>
                <w:b w:val="0"/>
                <w:bCs w:val="0"/>
                <w:color w:val="auto"/>
                <w:kern w:val="0"/>
                <w:sz w:val="24"/>
                <w:szCs w:val="24"/>
                <w:lang w:val="en-US" w:eastAsia="zh-CN"/>
              </w:rPr>
              <w:t>非甲烷总烃计</w:t>
            </w:r>
            <w:r>
              <w:rPr>
                <w:rFonts w:hint="eastAsia" w:ascii="宋体" w:hAnsi="宋体" w:cs="宋体"/>
                <w:b w:val="0"/>
                <w:bCs w:val="0"/>
                <w:color w:val="auto"/>
                <w:kern w:val="0"/>
                <w:sz w:val="24"/>
                <w:szCs w:val="24"/>
              </w:rPr>
              <w:t>）。建议总量控制指标为：</w:t>
            </w:r>
            <w:r>
              <w:rPr>
                <w:rFonts w:hint="eastAsia" w:ascii="宋体" w:hAnsi="宋体" w:cs="宋体"/>
                <w:b w:val="0"/>
                <w:bCs w:val="0"/>
                <w:color w:val="auto"/>
                <w:kern w:val="0"/>
                <w:sz w:val="24"/>
                <w:szCs w:val="24"/>
                <w:lang w:val="en-US" w:eastAsia="zh-CN"/>
              </w:rPr>
              <w:t>挥发性有机物</w:t>
            </w:r>
            <w:r>
              <w:rPr>
                <w:rFonts w:hint="eastAsia" w:ascii="宋体" w:hAnsi="宋体" w:cs="宋体"/>
                <w:b w:val="0"/>
                <w:bCs w:val="0"/>
                <w:color w:val="auto"/>
                <w:kern w:val="0"/>
                <w:sz w:val="24"/>
                <w:szCs w:val="24"/>
              </w:rPr>
              <w:t>（以</w:t>
            </w:r>
            <w:r>
              <w:rPr>
                <w:rFonts w:hint="eastAsia" w:ascii="宋体" w:hAnsi="宋体" w:cs="宋体"/>
                <w:b w:val="0"/>
                <w:bCs w:val="0"/>
                <w:color w:val="auto"/>
                <w:kern w:val="0"/>
                <w:sz w:val="24"/>
                <w:szCs w:val="24"/>
                <w:lang w:val="en-US" w:eastAsia="zh-CN"/>
              </w:rPr>
              <w:t>非甲烷总烃计</w:t>
            </w:r>
            <w:r>
              <w:rPr>
                <w:rFonts w:hint="eastAsia" w:ascii="宋体" w:hAnsi="宋体" w:cs="宋体"/>
                <w:b w:val="0"/>
                <w:bCs w:val="0"/>
                <w:color w:val="auto"/>
                <w:kern w:val="0"/>
                <w:sz w:val="24"/>
                <w:szCs w:val="24"/>
              </w:rPr>
              <w:t>）：</w:t>
            </w:r>
            <w:r>
              <w:rPr>
                <w:rFonts w:hint="eastAsia" w:ascii="宋体" w:hAnsi="宋体" w:cs="宋体"/>
                <w:b w:val="0"/>
                <w:bCs w:val="0"/>
                <w:color w:val="auto"/>
                <w:kern w:val="0"/>
                <w:sz w:val="24"/>
                <w:szCs w:val="24"/>
                <w:lang w:val="en-US" w:eastAsia="zh-CN"/>
              </w:rPr>
              <w:t>5.7</w:t>
            </w:r>
            <w:r>
              <w:rPr>
                <w:rFonts w:hint="eastAsia" w:ascii="宋体" w:hAnsi="宋体" w:cs="宋体"/>
                <w:b w:val="0"/>
                <w:bCs w:val="0"/>
                <w:color w:val="auto"/>
                <w:kern w:val="0"/>
                <w:sz w:val="24"/>
                <w:szCs w:val="24"/>
              </w:rPr>
              <w:t>t/a</w:t>
            </w:r>
            <w:r>
              <w:rPr>
                <w:rFonts w:hint="eastAsia" w:ascii="宋体" w:hAnsi="宋体" w:cs="宋体"/>
                <w:b w:val="0"/>
                <w:bCs w:val="0"/>
                <w:color w:val="auto"/>
                <w:kern w:val="0"/>
                <w:sz w:val="24"/>
                <w:szCs w:val="24"/>
                <w:lang w:eastAsia="zh-CN"/>
              </w:rPr>
              <w:t>。</w:t>
            </w:r>
          </w:p>
          <w:p>
            <w:pPr>
              <w:numPr>
                <w:ilvl w:val="0"/>
                <w:numId w:val="0"/>
              </w:numPr>
              <w:adjustRightInd w:val="0"/>
              <w:snapToGrid w:val="0"/>
              <w:spacing w:line="360" w:lineRule="auto"/>
              <w:jc w:val="both"/>
              <w:rPr>
                <w:rFonts w:hint="eastAsia" w:ascii="宋体" w:hAnsi="宋体" w:cs="宋体"/>
                <w:kern w:val="0"/>
                <w:sz w:val="24"/>
                <w:szCs w:val="24"/>
              </w:rPr>
            </w:pPr>
            <w:r>
              <w:rPr>
                <w:rFonts w:hint="eastAsia" w:ascii="宋体" w:hAnsi="宋体" w:cs="宋体"/>
                <w:kern w:val="0"/>
                <w:sz w:val="24"/>
                <w:szCs w:val="24"/>
                <w:lang w:eastAsia="zh-CN"/>
              </w:rPr>
              <w:t>（</w:t>
            </w:r>
            <w:r>
              <w:rPr>
                <w:rFonts w:hint="eastAsia" w:ascii="宋体" w:hAnsi="宋体" w:cs="宋体"/>
                <w:kern w:val="0"/>
                <w:sz w:val="24"/>
                <w:szCs w:val="24"/>
                <w:lang w:val="en-US" w:eastAsia="zh-CN"/>
              </w:rPr>
              <w:t>2</w:t>
            </w:r>
            <w:r>
              <w:rPr>
                <w:rFonts w:hint="eastAsia" w:ascii="宋体" w:hAnsi="宋体" w:cs="宋体"/>
                <w:kern w:val="0"/>
                <w:sz w:val="24"/>
                <w:szCs w:val="24"/>
                <w:lang w:eastAsia="zh-CN"/>
              </w:rPr>
              <w:t>）</w:t>
            </w:r>
            <w:r>
              <w:rPr>
                <w:rFonts w:hint="eastAsia" w:ascii="宋体" w:hAnsi="宋体" w:cs="宋体"/>
                <w:kern w:val="0"/>
                <w:sz w:val="24"/>
                <w:szCs w:val="24"/>
              </w:rPr>
              <w:t xml:space="preserve">废水 </w:t>
            </w:r>
          </w:p>
          <w:p>
            <w:pPr>
              <w:adjustRightInd w:val="0"/>
              <w:snapToGrid w:val="0"/>
              <w:spacing w:line="360" w:lineRule="auto"/>
              <w:ind w:firstLine="480" w:firstLineChars="200"/>
              <w:jc w:val="left"/>
              <w:rPr>
                <w:rFonts w:ascii="宋体" w:hAnsi="宋体" w:cs="宋体"/>
                <w:kern w:val="0"/>
                <w:sz w:val="24"/>
                <w:szCs w:val="24"/>
              </w:rPr>
            </w:pPr>
            <w:r>
              <w:rPr>
                <w:rFonts w:hint="eastAsia" w:ascii="宋体" w:hAnsi="宋体" w:cs="宋体"/>
                <w:kern w:val="0"/>
                <w:sz w:val="24"/>
                <w:szCs w:val="24"/>
              </w:rPr>
              <w:t>项目生活污水进入</w:t>
            </w:r>
            <w:r>
              <w:rPr>
                <w:rFonts w:hint="eastAsia" w:ascii="宋体" w:hAnsi="宋体" w:cs="宋体"/>
                <w:kern w:val="0"/>
                <w:sz w:val="24"/>
                <w:szCs w:val="24"/>
                <w:lang w:val="en-US" w:eastAsia="zh-CN"/>
              </w:rPr>
              <w:t>湘阴县第二污水处理厂</w:t>
            </w:r>
            <w:r>
              <w:rPr>
                <w:rFonts w:hint="eastAsia" w:ascii="宋体" w:hAnsi="宋体" w:cs="宋体"/>
                <w:kern w:val="0"/>
                <w:sz w:val="24"/>
                <w:szCs w:val="24"/>
              </w:rPr>
              <w:t>处理后排入水体，纳入该污水处理厂总量控制指标之内，不另外申请。项目废水无需申请总量控制指标。</w:t>
            </w:r>
          </w:p>
        </w:tc>
      </w:tr>
    </w:tbl>
    <w:p>
      <w:pPr>
        <w:pStyle w:val="12"/>
        <w:jc w:val="center"/>
        <w:outlineLvl w:val="0"/>
        <w:rPr>
          <w:rFonts w:ascii="黑体" w:hAnsi="黑体" w:eastAsia="黑体"/>
          <w:snapToGrid w:val="0"/>
          <w:sz w:val="30"/>
          <w:szCs w:val="30"/>
        </w:rPr>
      </w:pPr>
      <w:r>
        <w:rPr>
          <w:rFonts w:ascii="黑体" w:hAnsi="黑体" w:eastAsia="黑体"/>
          <w:snapToGrid w:val="0"/>
          <w:sz w:val="36"/>
          <w:szCs w:val="36"/>
        </w:rPr>
        <w:br w:type="page"/>
      </w:r>
      <w:r>
        <w:rPr>
          <w:rFonts w:hint="eastAsia" w:ascii="黑体" w:hAnsi="黑体" w:eastAsia="黑体"/>
          <w:snapToGrid w:val="0"/>
          <w:sz w:val="30"/>
          <w:szCs w:val="30"/>
        </w:rPr>
        <w:t>四、主要环境影响和保护措施</w:t>
      </w:r>
    </w:p>
    <w:tbl>
      <w:tblPr>
        <w:tblStyle w:val="14"/>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758" w:hRule="atLeast"/>
          <w:jc w:val="center"/>
        </w:trPr>
        <w:tc>
          <w:tcPr>
            <w:tcW w:w="746" w:type="dxa"/>
            <w:noWrap w:val="0"/>
            <w:tcMar>
              <w:left w:w="28" w:type="dxa"/>
              <w:right w:w="28" w:type="dxa"/>
            </w:tcMar>
            <w:vAlign w:val="center"/>
          </w:tcPr>
          <w:p>
            <w:pPr>
              <w:pStyle w:val="12"/>
              <w:adjustRightInd w:val="0"/>
              <w:snapToGrid w:val="0"/>
              <w:spacing w:before="0" w:beforeAutospacing="0" w:after="0" w:afterAutospacing="0"/>
              <w:jc w:val="center"/>
              <w:rPr>
                <w:rFonts w:hint="eastAsia" w:cs="宋体"/>
                <w:kern w:val="2"/>
                <w:sz w:val="24"/>
                <w:szCs w:val="24"/>
              </w:rPr>
            </w:pPr>
            <w:r>
              <w:rPr>
                <w:rFonts w:hint="eastAsia" w:cs="宋体"/>
                <w:kern w:val="2"/>
                <w:sz w:val="24"/>
                <w:szCs w:val="24"/>
              </w:rPr>
              <w:t>施工</w:t>
            </w:r>
          </w:p>
          <w:p>
            <w:pPr>
              <w:pStyle w:val="12"/>
              <w:adjustRightInd w:val="0"/>
              <w:snapToGrid w:val="0"/>
              <w:spacing w:before="0" w:beforeAutospacing="0" w:after="0" w:afterAutospacing="0"/>
              <w:jc w:val="center"/>
              <w:rPr>
                <w:rFonts w:hint="eastAsia" w:cs="宋体"/>
                <w:kern w:val="2"/>
                <w:sz w:val="24"/>
                <w:szCs w:val="24"/>
              </w:rPr>
            </w:pPr>
            <w:r>
              <w:rPr>
                <w:rFonts w:hint="eastAsia" w:cs="宋体"/>
                <w:kern w:val="2"/>
                <w:sz w:val="24"/>
                <w:szCs w:val="24"/>
              </w:rPr>
              <w:t>期环</w:t>
            </w:r>
          </w:p>
          <w:p>
            <w:pPr>
              <w:pStyle w:val="12"/>
              <w:adjustRightInd w:val="0"/>
              <w:snapToGrid w:val="0"/>
              <w:spacing w:before="0" w:beforeAutospacing="0" w:after="0" w:afterAutospacing="0"/>
              <w:jc w:val="center"/>
              <w:rPr>
                <w:rFonts w:hint="eastAsia" w:cs="宋体"/>
                <w:kern w:val="2"/>
                <w:sz w:val="24"/>
                <w:szCs w:val="24"/>
              </w:rPr>
            </w:pPr>
            <w:r>
              <w:rPr>
                <w:rFonts w:hint="eastAsia" w:cs="宋体"/>
                <w:kern w:val="2"/>
                <w:sz w:val="24"/>
                <w:szCs w:val="24"/>
              </w:rPr>
              <w:t>境保</w:t>
            </w:r>
          </w:p>
          <w:p>
            <w:pPr>
              <w:pStyle w:val="12"/>
              <w:adjustRightInd w:val="0"/>
              <w:snapToGrid w:val="0"/>
              <w:spacing w:before="0" w:beforeAutospacing="0" w:after="0" w:afterAutospacing="0"/>
              <w:jc w:val="center"/>
              <w:rPr>
                <w:rFonts w:hint="eastAsia" w:cs="宋体"/>
                <w:kern w:val="2"/>
                <w:sz w:val="24"/>
                <w:szCs w:val="24"/>
              </w:rPr>
            </w:pPr>
            <w:r>
              <w:rPr>
                <w:rFonts w:hint="eastAsia" w:cs="宋体"/>
                <w:kern w:val="2"/>
                <w:sz w:val="24"/>
                <w:szCs w:val="24"/>
              </w:rPr>
              <w:t>护措</w:t>
            </w:r>
          </w:p>
          <w:p>
            <w:pPr>
              <w:pStyle w:val="12"/>
              <w:adjustRightInd w:val="0"/>
              <w:snapToGrid w:val="0"/>
              <w:spacing w:before="0" w:beforeAutospacing="0" w:after="0" w:afterAutospacing="0"/>
              <w:jc w:val="center"/>
              <w:rPr>
                <w:rFonts w:hint="eastAsia" w:cs="宋体"/>
                <w:bCs/>
                <w:kern w:val="2"/>
                <w:sz w:val="24"/>
                <w:szCs w:val="24"/>
              </w:rPr>
            </w:pPr>
            <w:r>
              <w:rPr>
                <w:rFonts w:hint="eastAsia" w:cs="宋体"/>
                <w:kern w:val="2"/>
                <w:sz w:val="24"/>
                <w:szCs w:val="24"/>
              </w:rPr>
              <w:t>施</w:t>
            </w:r>
          </w:p>
        </w:tc>
        <w:tc>
          <w:tcPr>
            <w:tcW w:w="8162" w:type="dxa"/>
            <w:noWrap w:val="0"/>
            <w:vAlign w:val="center"/>
          </w:tcPr>
          <w:p>
            <w:pPr>
              <w:keepNext w:val="0"/>
              <w:keepLines w:val="0"/>
              <w:widowControl/>
              <w:suppressLineNumbers w:val="0"/>
              <w:spacing w:line="360" w:lineRule="auto"/>
              <w:ind w:firstLine="496" w:firstLineChars="200"/>
              <w:jc w:val="left"/>
              <w:rPr>
                <w:rFonts w:hint="eastAsia" w:eastAsia="新宋体"/>
                <w:sz w:val="24"/>
                <w:szCs w:val="24"/>
                <w:lang w:val="en-US" w:eastAsia="zh-CN"/>
              </w:rPr>
            </w:pPr>
            <w:r>
              <w:rPr>
                <w:spacing w:val="4"/>
                <w:sz w:val="24"/>
                <w:szCs w:val="24"/>
              </w:rPr>
              <w:t>本项目</w:t>
            </w:r>
            <w:r>
              <w:rPr>
                <w:sz w:val="24"/>
                <w:szCs w:val="24"/>
              </w:rPr>
              <w:t>租用</w:t>
            </w:r>
            <w:r>
              <w:rPr>
                <w:rFonts w:hint="eastAsia"/>
                <w:color w:val="auto"/>
                <w:sz w:val="24"/>
                <w:szCs w:val="24"/>
                <w:u w:val="none"/>
              </w:rPr>
              <w:t>湖南定宇新材料科技有限公司</w:t>
            </w:r>
            <w:r>
              <w:rPr>
                <w:sz w:val="24"/>
                <w:szCs w:val="24"/>
              </w:rPr>
              <w:t>已建成的工业厂房</w:t>
            </w:r>
            <w:r>
              <w:rPr>
                <w:rFonts w:eastAsia="新宋体"/>
                <w:sz w:val="24"/>
                <w:szCs w:val="24"/>
              </w:rPr>
              <w:t>，不新增用地。</w:t>
            </w:r>
            <w:r>
              <w:rPr>
                <w:rFonts w:hint="eastAsia" w:eastAsia="新宋体"/>
                <w:sz w:val="24"/>
                <w:szCs w:val="24"/>
                <w:lang w:val="en-US" w:eastAsia="zh-CN"/>
              </w:rPr>
              <w:t>装修期间将对周围环境产生一定的影响，其影响是有时效性的，随着装修工程结束而消失。</w:t>
            </w:r>
          </w:p>
          <w:p>
            <w:pPr>
              <w:keepNext w:val="0"/>
              <w:keepLines w:val="0"/>
              <w:widowControl/>
              <w:suppressLineNumbers w:val="0"/>
              <w:spacing w:line="360" w:lineRule="auto"/>
              <w:ind w:firstLine="482" w:firstLineChars="200"/>
              <w:jc w:val="left"/>
              <w:rPr>
                <w:rFonts w:hint="default"/>
                <w:lang w:val="en-US"/>
              </w:rPr>
            </w:pPr>
            <w:r>
              <w:rPr>
                <w:rFonts w:hint="default" w:ascii="Times New Roman" w:hAnsi="Times New Roman" w:eastAsia="宋体" w:cs="Times New Roman"/>
                <w:b/>
                <w:bCs/>
                <w:color w:val="000000"/>
                <w:kern w:val="0"/>
                <w:sz w:val="24"/>
                <w:szCs w:val="24"/>
                <w:lang w:val="en-US" w:eastAsia="zh-CN" w:bidi="ar"/>
              </w:rPr>
              <w:t>1</w:t>
            </w:r>
            <w:r>
              <w:rPr>
                <w:rFonts w:hint="eastAsia" w:ascii="宋体" w:hAnsi="宋体" w:eastAsia="宋体" w:cs="宋体"/>
                <w:b/>
                <w:bCs/>
                <w:color w:val="000000"/>
                <w:kern w:val="0"/>
                <w:sz w:val="24"/>
                <w:szCs w:val="24"/>
                <w:lang w:val="en-US" w:eastAsia="zh-CN" w:bidi="ar"/>
              </w:rPr>
              <w:t>、施工期水环境影响分析</w:t>
            </w:r>
          </w:p>
          <w:p>
            <w:pPr>
              <w:keepNext w:val="0"/>
              <w:keepLines w:val="0"/>
              <w:widowControl/>
              <w:suppressLineNumbers w:val="0"/>
              <w:spacing w:line="360" w:lineRule="auto"/>
              <w:ind w:firstLine="480" w:firstLineChars="200"/>
              <w:jc w:val="left"/>
            </w:pPr>
            <w:r>
              <w:rPr>
                <w:rFonts w:hint="eastAsia" w:ascii="宋体" w:hAnsi="宋体" w:eastAsia="宋体" w:cs="宋体"/>
                <w:color w:val="000000"/>
                <w:kern w:val="0"/>
                <w:sz w:val="24"/>
                <w:szCs w:val="24"/>
                <w:lang w:val="en-US" w:eastAsia="zh-CN" w:bidi="ar"/>
              </w:rPr>
              <w:t xml:space="preserve">本项目施工期水污染源主要来自于施工人员的生活污水，依托场地现有排污管道，进入市政管网。 </w:t>
            </w:r>
          </w:p>
          <w:p>
            <w:pPr>
              <w:keepNext w:val="0"/>
              <w:keepLines w:val="0"/>
              <w:widowControl/>
              <w:suppressLineNumbers w:val="0"/>
              <w:spacing w:line="360" w:lineRule="auto"/>
              <w:ind w:firstLine="482" w:firstLineChars="200"/>
              <w:jc w:val="left"/>
            </w:pPr>
            <w:r>
              <w:rPr>
                <w:rFonts w:hint="default" w:ascii="Times New Roman" w:hAnsi="Times New Roman" w:eastAsia="宋体" w:cs="Times New Roman"/>
                <w:b/>
                <w:bCs/>
                <w:color w:val="000000"/>
                <w:kern w:val="0"/>
                <w:sz w:val="24"/>
                <w:szCs w:val="24"/>
                <w:lang w:val="en-US" w:eastAsia="zh-CN" w:bidi="ar"/>
              </w:rPr>
              <w:t>2</w:t>
            </w:r>
            <w:r>
              <w:rPr>
                <w:rFonts w:hint="eastAsia" w:ascii="宋体" w:hAnsi="宋体" w:eastAsia="宋体" w:cs="宋体"/>
                <w:b/>
                <w:bCs/>
                <w:color w:val="000000"/>
                <w:kern w:val="0"/>
                <w:sz w:val="24"/>
                <w:szCs w:val="24"/>
                <w:lang w:val="en-US" w:eastAsia="zh-CN" w:bidi="ar"/>
              </w:rPr>
              <w:t xml:space="preserve">、施工期大气环境影响分析 </w:t>
            </w:r>
          </w:p>
          <w:p>
            <w:pPr>
              <w:keepNext w:val="0"/>
              <w:keepLines w:val="0"/>
              <w:widowControl/>
              <w:suppressLineNumbers w:val="0"/>
              <w:spacing w:line="360" w:lineRule="auto"/>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本项目建设施工过程中不涉及土建工程，不会产生施工期扬尘，主要为少量装修废气，对周围大气环境影响较小。</w:t>
            </w:r>
          </w:p>
          <w:p>
            <w:pPr>
              <w:keepNext w:val="0"/>
              <w:keepLines w:val="0"/>
              <w:widowControl/>
              <w:suppressLineNumbers w:val="0"/>
              <w:spacing w:line="360" w:lineRule="auto"/>
              <w:ind w:firstLine="482" w:firstLineChars="200"/>
              <w:jc w:val="left"/>
            </w:pPr>
            <w:r>
              <w:rPr>
                <w:rFonts w:hint="default" w:ascii="Times New Roman" w:hAnsi="Times New Roman" w:eastAsia="宋体" w:cs="Times New Roman"/>
                <w:b/>
                <w:bCs/>
                <w:color w:val="000000"/>
                <w:kern w:val="0"/>
                <w:sz w:val="24"/>
                <w:szCs w:val="24"/>
                <w:lang w:val="en-US" w:eastAsia="zh-CN" w:bidi="ar"/>
              </w:rPr>
              <w:t>3</w:t>
            </w:r>
            <w:r>
              <w:rPr>
                <w:rFonts w:hint="eastAsia" w:ascii="宋体" w:hAnsi="宋体" w:eastAsia="宋体" w:cs="宋体"/>
                <w:b/>
                <w:bCs/>
                <w:color w:val="000000"/>
                <w:kern w:val="0"/>
                <w:sz w:val="24"/>
                <w:szCs w:val="24"/>
                <w:lang w:val="en-US" w:eastAsia="zh-CN" w:bidi="ar"/>
              </w:rPr>
              <w:t xml:space="preserve">、施工期声环境影响分析 </w:t>
            </w:r>
          </w:p>
          <w:p>
            <w:pPr>
              <w:keepNext w:val="0"/>
              <w:keepLines w:val="0"/>
              <w:widowControl/>
              <w:suppressLineNumbers w:val="0"/>
              <w:spacing w:line="360" w:lineRule="auto"/>
              <w:ind w:firstLine="480" w:firstLineChars="200"/>
              <w:jc w:val="left"/>
            </w:pPr>
            <w:r>
              <w:rPr>
                <w:rFonts w:hint="eastAsia" w:ascii="宋体" w:hAnsi="宋体" w:eastAsia="宋体" w:cs="宋体"/>
                <w:color w:val="000000"/>
                <w:kern w:val="0"/>
                <w:sz w:val="24"/>
                <w:szCs w:val="24"/>
                <w:lang w:val="en-US" w:eastAsia="zh-CN" w:bidi="ar"/>
              </w:rPr>
              <w:t>本项目施工期间噪声主要来为室内装修和设备安装噪声，如电钻等。该声源具有噪声高、无规则等特点，多为瞬时噪声，在一定范围内将对周边声环境产生一定的影响。施工噪声具有阶段性、临时性和不固定性，随着施工阶段的不同，施工噪声影响也不同，施工结束时，施工噪声也自行结束。在装修期间，合理安排施工时间，避免在中午（</w:t>
            </w:r>
            <w:r>
              <w:rPr>
                <w:rFonts w:hint="default" w:ascii="Times New Roman" w:hAnsi="Times New Roman" w:eastAsia="宋体" w:cs="Times New Roman"/>
                <w:color w:val="000000"/>
                <w:kern w:val="0"/>
                <w:sz w:val="24"/>
                <w:szCs w:val="24"/>
                <w:lang w:val="en-US" w:eastAsia="zh-CN" w:bidi="ar"/>
              </w:rPr>
              <w:t>12</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00-14</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00</w:t>
            </w:r>
            <w:r>
              <w:rPr>
                <w:rFonts w:hint="eastAsia" w:ascii="宋体" w:hAnsi="宋体" w:eastAsia="宋体" w:cs="宋体"/>
                <w:color w:val="000000"/>
                <w:kern w:val="0"/>
                <w:sz w:val="24"/>
                <w:szCs w:val="24"/>
                <w:lang w:val="en-US" w:eastAsia="zh-CN" w:bidi="ar"/>
              </w:rPr>
              <w:t>）和夜间（</w:t>
            </w:r>
            <w:r>
              <w:rPr>
                <w:rFonts w:hint="default" w:ascii="Times New Roman" w:hAnsi="Times New Roman" w:eastAsia="宋体" w:cs="Times New Roman"/>
                <w:color w:val="000000"/>
                <w:kern w:val="0"/>
                <w:sz w:val="24"/>
                <w:szCs w:val="24"/>
                <w:lang w:val="en-US" w:eastAsia="zh-CN" w:bidi="ar"/>
              </w:rPr>
              <w:t>22</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00-</w:t>
            </w:r>
            <w:r>
              <w:rPr>
                <w:rFonts w:hint="eastAsia" w:ascii="宋体" w:hAnsi="宋体" w:eastAsia="宋体" w:cs="宋体"/>
                <w:color w:val="000000"/>
                <w:kern w:val="0"/>
                <w:sz w:val="24"/>
                <w:szCs w:val="24"/>
                <w:lang w:val="en-US" w:eastAsia="zh-CN" w:bidi="ar"/>
              </w:rPr>
              <w:t>次日</w:t>
            </w:r>
            <w:r>
              <w:rPr>
                <w:rFonts w:hint="default" w:ascii="Times New Roman" w:hAnsi="Times New Roman" w:eastAsia="宋体" w:cs="Times New Roman"/>
                <w:color w:val="000000"/>
                <w:kern w:val="0"/>
                <w:sz w:val="24"/>
                <w:szCs w:val="24"/>
                <w:lang w:val="en-US" w:eastAsia="zh-CN" w:bidi="ar"/>
              </w:rPr>
              <w:t>6</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00</w:t>
            </w:r>
            <w:r>
              <w:rPr>
                <w:rFonts w:hint="eastAsia" w:ascii="宋体" w:hAnsi="宋体" w:eastAsia="宋体" w:cs="宋体"/>
                <w:color w:val="000000"/>
                <w:kern w:val="0"/>
                <w:sz w:val="24"/>
                <w:szCs w:val="24"/>
                <w:lang w:val="en-US" w:eastAsia="zh-CN" w:bidi="ar"/>
              </w:rPr>
              <w:t xml:space="preserve">）施工，尽量避免施工时噪声对周边群众的影响。通过采取上述措施，可在一定程度上控制施工期噪声对周边环境的影响。 </w:t>
            </w:r>
          </w:p>
          <w:p>
            <w:pPr>
              <w:keepNext w:val="0"/>
              <w:keepLines w:val="0"/>
              <w:widowControl/>
              <w:suppressLineNumbers w:val="0"/>
              <w:spacing w:line="360" w:lineRule="auto"/>
              <w:jc w:val="left"/>
            </w:pPr>
            <w:r>
              <w:rPr>
                <w:rFonts w:hint="default" w:ascii="Times New Roman" w:hAnsi="Times New Roman" w:eastAsia="宋体" w:cs="Times New Roman"/>
                <w:b/>
                <w:bCs/>
                <w:color w:val="000000"/>
                <w:kern w:val="0"/>
                <w:sz w:val="24"/>
                <w:szCs w:val="24"/>
                <w:lang w:val="en-US" w:eastAsia="zh-CN" w:bidi="ar"/>
              </w:rPr>
              <w:t>4</w:t>
            </w:r>
            <w:r>
              <w:rPr>
                <w:rFonts w:hint="eastAsia" w:ascii="宋体" w:hAnsi="宋体" w:eastAsia="宋体" w:cs="宋体"/>
                <w:b/>
                <w:bCs/>
                <w:color w:val="000000"/>
                <w:kern w:val="0"/>
                <w:sz w:val="24"/>
                <w:szCs w:val="24"/>
                <w:lang w:val="en-US" w:eastAsia="zh-CN" w:bidi="ar"/>
              </w:rPr>
              <w:t xml:space="preserve">、施工期固体废物环境影响分析 </w:t>
            </w:r>
            <w:r>
              <w:rPr>
                <w:rFonts w:hint="eastAsia" w:ascii="宋体" w:hAnsi="宋体" w:eastAsia="宋体" w:cs="宋体"/>
                <w:color w:val="000000"/>
                <w:kern w:val="0"/>
                <w:sz w:val="24"/>
                <w:szCs w:val="24"/>
                <w:lang w:val="en-US" w:eastAsia="zh-CN" w:bidi="ar"/>
              </w:rPr>
              <w:t xml:space="preserve"> </w:t>
            </w:r>
          </w:p>
          <w:p>
            <w:pPr>
              <w:keepNext w:val="0"/>
              <w:keepLines w:val="0"/>
              <w:widowControl/>
              <w:suppressLineNumbers w:val="0"/>
              <w:spacing w:line="360" w:lineRule="auto"/>
              <w:ind w:firstLine="720" w:firstLineChars="300"/>
              <w:jc w:val="left"/>
            </w:pPr>
            <w:r>
              <w:rPr>
                <w:rFonts w:hint="eastAsia" w:ascii="宋体" w:hAnsi="宋体" w:eastAsia="宋体" w:cs="宋体"/>
                <w:color w:val="000000"/>
                <w:kern w:val="0"/>
                <w:sz w:val="24"/>
                <w:szCs w:val="24"/>
                <w:lang w:val="en-US" w:eastAsia="zh-CN" w:bidi="ar"/>
              </w:rPr>
              <w:t>项目施工期间产生的固体废物主要装修施工废弃物料以及少量施工人员产生的生活垃圾。施工过程中产生的生活垃圾和装修固废应定点存放、及时收集，回收可利用物质，减量化、资源化后，委托环卫部门清送处置。通过采取上述措施，可在一定程度上降低施工期固体废物对周边环境的影响。</w:t>
            </w:r>
          </w:p>
          <w:p>
            <w:pPr>
              <w:keepNext w:val="0"/>
              <w:keepLines w:val="0"/>
              <w:widowControl/>
              <w:suppressLineNumbers w:val="0"/>
              <w:spacing w:line="360" w:lineRule="auto"/>
              <w:ind w:firstLine="480" w:firstLineChars="200"/>
              <w:jc w:val="left"/>
            </w:pPr>
            <w:r>
              <w:rPr>
                <w:rFonts w:hint="eastAsia" w:ascii="宋体" w:hAnsi="宋体" w:eastAsia="宋体" w:cs="宋体"/>
                <w:color w:val="000000"/>
                <w:kern w:val="0"/>
                <w:sz w:val="24"/>
                <w:szCs w:val="24"/>
                <w:lang w:val="en-US" w:eastAsia="zh-CN" w:bidi="ar"/>
              </w:rPr>
              <w:t xml:space="preserve">综上，施工期各污染要素对环境的影响是暂时的、局部的，通过采取适 </w:t>
            </w:r>
          </w:p>
          <w:p>
            <w:pPr>
              <w:keepNext w:val="0"/>
              <w:keepLines w:val="0"/>
              <w:widowControl/>
              <w:suppressLineNumbers w:val="0"/>
              <w:spacing w:line="360" w:lineRule="auto"/>
              <w:jc w:val="left"/>
            </w:pPr>
            <w:r>
              <w:rPr>
                <w:rFonts w:hint="eastAsia" w:ascii="宋体" w:hAnsi="宋体" w:eastAsia="宋体" w:cs="宋体"/>
                <w:color w:val="000000"/>
                <w:kern w:val="0"/>
                <w:sz w:val="24"/>
                <w:szCs w:val="24"/>
                <w:lang w:val="en-US" w:eastAsia="zh-CN" w:bidi="ar"/>
              </w:rPr>
              <w:t xml:space="preserve">当的环境污染防治措施，可以把污染降到最低，随着施工的结束，对环境的 </w:t>
            </w:r>
          </w:p>
          <w:p>
            <w:pPr>
              <w:keepNext w:val="0"/>
              <w:keepLines w:val="0"/>
              <w:widowControl/>
              <w:suppressLineNumbers w:val="0"/>
              <w:spacing w:line="360" w:lineRule="auto"/>
              <w:jc w:val="left"/>
              <w:rPr>
                <w:rFonts w:ascii="宋体" w:hAnsi="宋体" w:cs="宋体"/>
                <w:bCs/>
                <w:spacing w:val="-10"/>
                <w:sz w:val="24"/>
                <w:szCs w:val="24"/>
              </w:rPr>
            </w:pPr>
            <w:r>
              <w:rPr>
                <w:rFonts w:hint="eastAsia" w:ascii="宋体" w:hAnsi="宋体" w:eastAsia="宋体" w:cs="宋体"/>
                <w:color w:val="000000"/>
                <w:kern w:val="0"/>
                <w:sz w:val="24"/>
                <w:szCs w:val="24"/>
                <w:lang w:val="en-US" w:eastAsia="zh-CN" w:bidi="ar"/>
              </w:rPr>
              <w:t>影响也随之结束。</w:t>
            </w:r>
          </w:p>
        </w:tc>
      </w:tr>
    </w:tbl>
    <w:p>
      <w:pPr>
        <w:adjustRightInd w:val="0"/>
        <w:snapToGrid w:val="0"/>
        <w:spacing w:line="360" w:lineRule="auto"/>
        <w:rPr>
          <w:rFonts w:hint="eastAsia" w:ascii="宋体" w:cs="宋体"/>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tbl>
      <w:tblPr>
        <w:tblStyle w:val="15"/>
        <w:tblW w:w="15495" w:type="dxa"/>
        <w:tblInd w:w="-9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2"/>
        <w:gridCol w:w="147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87" w:hRule="atLeast"/>
        </w:trPr>
        <w:tc>
          <w:tcPr>
            <w:tcW w:w="702" w:type="dxa"/>
            <w:vAlign w:val="center"/>
          </w:tcPr>
          <w:p>
            <w:pPr>
              <w:adjustRightInd w:val="0"/>
              <w:snapToGrid w:val="0"/>
              <w:jc w:val="center"/>
              <w:rPr>
                <w:rFonts w:hint="eastAsia" w:ascii="宋体" w:hAnsi="宋体" w:cs="宋体"/>
                <w:bCs/>
                <w:color w:val="FF0000"/>
                <w:sz w:val="24"/>
                <w:szCs w:val="24"/>
                <w:u w:val="single"/>
              </w:rPr>
            </w:pPr>
            <w:r>
              <w:rPr>
                <w:rFonts w:hint="eastAsia" w:ascii="宋体" w:hAnsi="宋体" w:cs="宋体"/>
                <w:bCs/>
                <w:color w:val="FF0000"/>
                <w:sz w:val="24"/>
                <w:szCs w:val="24"/>
                <w:u w:val="single"/>
              </w:rPr>
              <w:t>运营</w:t>
            </w:r>
          </w:p>
          <w:p>
            <w:pPr>
              <w:adjustRightInd w:val="0"/>
              <w:snapToGrid w:val="0"/>
              <w:jc w:val="center"/>
              <w:rPr>
                <w:rFonts w:hint="eastAsia" w:ascii="宋体" w:hAnsi="宋体" w:cs="宋体"/>
                <w:bCs/>
                <w:color w:val="FF0000"/>
                <w:sz w:val="24"/>
                <w:szCs w:val="24"/>
                <w:u w:val="single"/>
              </w:rPr>
            </w:pPr>
            <w:r>
              <w:rPr>
                <w:rFonts w:hint="eastAsia" w:ascii="宋体" w:hAnsi="宋体" w:cs="宋体"/>
                <w:bCs/>
                <w:color w:val="FF0000"/>
                <w:sz w:val="24"/>
                <w:szCs w:val="24"/>
                <w:u w:val="single"/>
              </w:rPr>
              <w:t>期环</w:t>
            </w:r>
          </w:p>
          <w:p>
            <w:pPr>
              <w:adjustRightInd w:val="0"/>
              <w:snapToGrid w:val="0"/>
              <w:jc w:val="center"/>
              <w:rPr>
                <w:rFonts w:hint="eastAsia" w:ascii="宋体" w:hAnsi="宋体" w:cs="宋体"/>
                <w:bCs/>
                <w:color w:val="FF0000"/>
                <w:sz w:val="24"/>
                <w:szCs w:val="24"/>
                <w:u w:val="single"/>
              </w:rPr>
            </w:pPr>
            <w:r>
              <w:rPr>
                <w:rFonts w:hint="eastAsia" w:ascii="宋体" w:hAnsi="宋体" w:cs="宋体"/>
                <w:bCs/>
                <w:color w:val="FF0000"/>
                <w:sz w:val="24"/>
                <w:szCs w:val="24"/>
                <w:u w:val="single"/>
              </w:rPr>
              <w:t>境影</w:t>
            </w:r>
          </w:p>
          <w:p>
            <w:pPr>
              <w:adjustRightInd w:val="0"/>
              <w:snapToGrid w:val="0"/>
              <w:jc w:val="center"/>
              <w:rPr>
                <w:rFonts w:hint="eastAsia" w:ascii="宋体" w:hAnsi="宋体" w:cs="宋体"/>
                <w:bCs/>
                <w:color w:val="FF0000"/>
                <w:sz w:val="24"/>
                <w:szCs w:val="24"/>
                <w:u w:val="single"/>
              </w:rPr>
            </w:pPr>
            <w:r>
              <w:rPr>
                <w:rFonts w:hint="eastAsia" w:ascii="宋体" w:hAnsi="宋体" w:cs="宋体"/>
                <w:bCs/>
                <w:color w:val="FF0000"/>
                <w:sz w:val="24"/>
                <w:szCs w:val="24"/>
                <w:u w:val="single"/>
              </w:rPr>
              <w:t>响和</w:t>
            </w:r>
          </w:p>
          <w:p>
            <w:pPr>
              <w:adjustRightInd w:val="0"/>
              <w:snapToGrid w:val="0"/>
              <w:jc w:val="center"/>
              <w:rPr>
                <w:rFonts w:hint="eastAsia" w:ascii="宋体" w:hAnsi="宋体" w:cs="宋体"/>
                <w:bCs/>
                <w:color w:val="FF0000"/>
                <w:sz w:val="24"/>
                <w:szCs w:val="24"/>
                <w:u w:val="single"/>
              </w:rPr>
            </w:pPr>
            <w:r>
              <w:rPr>
                <w:rFonts w:hint="eastAsia" w:ascii="宋体" w:hAnsi="宋体" w:cs="宋体"/>
                <w:bCs/>
                <w:color w:val="FF0000"/>
                <w:sz w:val="24"/>
                <w:szCs w:val="24"/>
                <w:u w:val="single"/>
              </w:rPr>
              <w:t>保护</w:t>
            </w:r>
          </w:p>
          <w:p>
            <w:pPr>
              <w:adjustRightInd w:val="0"/>
              <w:snapToGrid w:val="0"/>
              <w:jc w:val="center"/>
              <w:rPr>
                <w:rFonts w:hint="eastAsia"/>
                <w:color w:val="FF0000"/>
                <w:u w:val="single"/>
                <w:vertAlign w:val="baseline"/>
              </w:rPr>
            </w:pPr>
            <w:r>
              <w:rPr>
                <w:rFonts w:hint="eastAsia" w:ascii="宋体" w:hAnsi="宋体" w:cs="宋体"/>
                <w:bCs/>
                <w:color w:val="FF0000"/>
                <w:sz w:val="24"/>
                <w:szCs w:val="24"/>
                <w:u w:val="single"/>
              </w:rPr>
              <w:t>措施</w:t>
            </w:r>
          </w:p>
        </w:tc>
        <w:tc>
          <w:tcPr>
            <w:tcW w:w="14793" w:type="dxa"/>
            <w:vAlign w:val="top"/>
          </w:tcPr>
          <w:p>
            <w:pPr>
              <w:numPr>
                <w:ilvl w:val="0"/>
                <w:numId w:val="0"/>
              </w:numPr>
              <w:adjustRightInd w:val="0"/>
              <w:snapToGrid w:val="0"/>
              <w:spacing w:line="360" w:lineRule="auto"/>
              <w:ind w:leftChars="0"/>
              <w:jc w:val="both"/>
              <w:rPr>
                <w:rFonts w:hint="eastAsia"/>
                <w:b/>
                <w:bCs/>
                <w:color w:val="FF0000"/>
                <w:sz w:val="24"/>
                <w:szCs w:val="24"/>
                <w:u w:val="single"/>
                <w:vertAlign w:val="baseline"/>
                <w:lang w:val="en-US" w:eastAsia="zh-CN"/>
              </w:rPr>
            </w:pPr>
            <w:r>
              <w:rPr>
                <w:rFonts w:hint="eastAsia"/>
                <w:b/>
                <w:bCs/>
                <w:color w:val="FF0000"/>
                <w:sz w:val="24"/>
                <w:szCs w:val="24"/>
                <w:u w:val="single"/>
                <w:vertAlign w:val="baseline"/>
                <w:lang w:val="en-US" w:eastAsia="zh-CN"/>
              </w:rPr>
              <w:t>1.废气</w:t>
            </w:r>
          </w:p>
          <w:p>
            <w:pPr>
              <w:numPr>
                <w:ilvl w:val="0"/>
                <w:numId w:val="0"/>
              </w:numPr>
              <w:adjustRightInd w:val="0"/>
              <w:snapToGrid w:val="0"/>
              <w:spacing w:line="360" w:lineRule="auto"/>
              <w:jc w:val="both"/>
              <w:rPr>
                <w:rFonts w:hint="eastAsia"/>
                <w:color w:val="FF0000"/>
                <w:sz w:val="24"/>
                <w:szCs w:val="24"/>
                <w:u w:val="single"/>
                <w:vertAlign w:val="baseline"/>
                <w:lang w:val="en-US" w:eastAsia="zh-CN"/>
              </w:rPr>
            </w:pPr>
            <w:r>
              <w:rPr>
                <w:rFonts w:hint="eastAsia"/>
                <w:color w:val="FF0000"/>
                <w:sz w:val="24"/>
                <w:szCs w:val="24"/>
                <w:u w:val="single"/>
                <w:vertAlign w:val="baseline"/>
                <w:lang w:val="en-US" w:eastAsia="zh-CN"/>
              </w:rPr>
              <w:t>（1）源强核算</w:t>
            </w:r>
          </w:p>
          <w:p>
            <w:pPr>
              <w:pStyle w:val="12"/>
              <w:numPr>
                <w:ilvl w:val="0"/>
                <w:numId w:val="0"/>
              </w:numPr>
              <w:adjustRightInd w:val="0"/>
              <w:snapToGrid w:val="0"/>
              <w:spacing w:before="0" w:beforeAutospacing="0" w:after="0" w:afterAutospacing="0" w:line="360" w:lineRule="auto"/>
              <w:ind w:firstLine="480" w:firstLineChars="200"/>
              <w:jc w:val="both"/>
              <w:rPr>
                <w:rFonts w:hint="eastAsia"/>
                <w:color w:val="FF0000"/>
                <w:sz w:val="24"/>
                <w:szCs w:val="24"/>
                <w:u w:val="single"/>
                <w:vertAlign w:val="baseline"/>
                <w:lang w:val="en-US" w:eastAsia="zh-CN"/>
              </w:rPr>
            </w:pPr>
            <w:r>
              <w:rPr>
                <w:rFonts w:hint="eastAsia"/>
                <w:color w:val="FF0000"/>
                <w:sz w:val="24"/>
                <w:szCs w:val="24"/>
                <w:u w:val="single"/>
                <w:vertAlign w:val="baseline"/>
                <w:lang w:val="en-US" w:eastAsia="zh-CN"/>
              </w:rPr>
              <w:t>项目建成后全厂废气排放情况详见表4-1。</w:t>
            </w:r>
          </w:p>
          <w:p>
            <w:pPr>
              <w:pStyle w:val="12"/>
              <w:numPr>
                <w:ilvl w:val="0"/>
                <w:numId w:val="0"/>
              </w:numPr>
              <w:adjustRightInd w:val="0"/>
              <w:snapToGrid w:val="0"/>
              <w:spacing w:before="0" w:beforeAutospacing="0" w:after="0" w:afterAutospacing="0" w:line="360" w:lineRule="auto"/>
              <w:jc w:val="center"/>
              <w:rPr>
                <w:rFonts w:hint="default" w:eastAsia="宋体" w:cs="宋体"/>
                <w:b/>
                <w:bCs/>
                <w:color w:val="FF0000"/>
                <w:kern w:val="2"/>
                <w:sz w:val="24"/>
                <w:szCs w:val="24"/>
                <w:u w:val="single"/>
                <w:vertAlign w:val="baseline"/>
                <w:lang w:val="en-US" w:eastAsia="zh-CN"/>
              </w:rPr>
            </w:pPr>
            <w:r>
              <w:rPr>
                <w:rFonts w:hint="eastAsia" w:cs="宋体"/>
                <w:b/>
                <w:bCs/>
                <w:color w:val="FF0000"/>
                <w:kern w:val="2"/>
                <w:sz w:val="24"/>
                <w:szCs w:val="24"/>
                <w:u w:val="single"/>
                <w:lang w:val="en-US" w:eastAsia="zh-CN"/>
              </w:rPr>
              <w:t>表4-1  全厂废气产排情况一览表</w:t>
            </w:r>
          </w:p>
          <w:tbl>
            <w:tblPr>
              <w:tblStyle w:val="1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70"/>
              <w:gridCol w:w="530"/>
              <w:gridCol w:w="585"/>
              <w:gridCol w:w="690"/>
              <w:gridCol w:w="699"/>
              <w:gridCol w:w="370"/>
              <w:gridCol w:w="520"/>
              <w:gridCol w:w="370"/>
              <w:gridCol w:w="597"/>
              <w:gridCol w:w="597"/>
              <w:gridCol w:w="373"/>
              <w:gridCol w:w="748"/>
              <w:gridCol w:w="823"/>
              <w:gridCol w:w="868"/>
              <w:gridCol w:w="597"/>
              <w:gridCol w:w="597"/>
              <w:gridCol w:w="672"/>
              <w:gridCol w:w="597"/>
              <w:gridCol w:w="370"/>
              <w:gridCol w:w="976"/>
              <w:gridCol w:w="908"/>
              <w:gridCol w:w="863"/>
              <w:gridCol w:w="8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产排污环节</w:t>
                  </w:r>
                </w:p>
              </w:tc>
              <w:tc>
                <w:tcPr>
                  <w:tcW w:w="182"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污染物种类</w:t>
                  </w:r>
                </w:p>
              </w:tc>
              <w:tc>
                <w:tcPr>
                  <w:tcW w:w="678" w:type="pct"/>
                  <w:gridSpan w:val="3"/>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产生情况</w:t>
                  </w:r>
                </w:p>
              </w:tc>
              <w:tc>
                <w:tcPr>
                  <w:tcW w:w="127"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排放方式</w:t>
                  </w:r>
                </w:p>
              </w:tc>
              <w:tc>
                <w:tcPr>
                  <w:tcW w:w="844" w:type="pct"/>
                  <w:gridSpan w:val="5"/>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治理设施</w:t>
                  </w:r>
                </w:p>
              </w:tc>
              <w:tc>
                <w:tcPr>
                  <w:tcW w:w="838" w:type="pct"/>
                  <w:gridSpan w:val="3"/>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排放情况</w:t>
                  </w:r>
                </w:p>
              </w:tc>
              <w:tc>
                <w:tcPr>
                  <w:tcW w:w="1621" w:type="pct"/>
                  <w:gridSpan w:val="7"/>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排放口基本情况</w:t>
                  </w:r>
                </w:p>
              </w:tc>
              <w:tc>
                <w:tcPr>
                  <w:tcW w:w="580" w:type="pct"/>
                  <w:gridSpan w:val="2"/>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p>
              </w:tc>
              <w:tc>
                <w:tcPr>
                  <w:tcW w:w="182"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p>
              </w:tc>
              <w:tc>
                <w:tcPr>
                  <w:tcW w:w="201"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产生量（t/a）</w:t>
                  </w:r>
                </w:p>
              </w:tc>
              <w:tc>
                <w:tcPr>
                  <w:tcW w:w="237"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产生速率（kg/h）</w:t>
                  </w:r>
                </w:p>
              </w:tc>
              <w:tc>
                <w:tcPr>
                  <w:tcW w:w="240"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产生最大浓度（mg/m</w:t>
                  </w:r>
                  <w:r>
                    <w:rPr>
                      <w:rFonts w:hint="eastAsia" w:cs="宋体"/>
                      <w:b/>
                      <w:bCs/>
                      <w:color w:val="FF0000"/>
                      <w:kern w:val="2"/>
                      <w:sz w:val="15"/>
                      <w:szCs w:val="15"/>
                      <w:u w:val="single"/>
                      <w:vertAlign w:val="superscript"/>
                      <w:lang w:val="en-US" w:eastAsia="zh-CN"/>
                    </w:rPr>
                    <w:t>3</w:t>
                  </w:r>
                  <w:r>
                    <w:rPr>
                      <w:rFonts w:hint="eastAsia" w:cs="宋体"/>
                      <w:b/>
                      <w:bCs/>
                      <w:color w:val="FF0000"/>
                      <w:kern w:val="2"/>
                      <w:sz w:val="15"/>
                      <w:szCs w:val="15"/>
                      <w:u w:val="single"/>
                      <w:vertAlign w:val="baseline"/>
                      <w:lang w:val="en-US" w:eastAsia="zh-CN"/>
                    </w:rPr>
                    <w:t>）</w:t>
                  </w:r>
                </w:p>
              </w:tc>
              <w:tc>
                <w:tcPr>
                  <w:tcW w:w="127"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p>
              </w:tc>
              <w:tc>
                <w:tcPr>
                  <w:tcW w:w="178"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名称</w:t>
                  </w:r>
                </w:p>
              </w:tc>
              <w:tc>
                <w:tcPr>
                  <w:tcW w:w="127"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处理能力</w:t>
                  </w:r>
                </w:p>
              </w:tc>
              <w:tc>
                <w:tcPr>
                  <w:tcW w:w="205"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收集效率（%）</w:t>
                  </w:r>
                </w:p>
              </w:tc>
              <w:tc>
                <w:tcPr>
                  <w:tcW w:w="205"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去除率（%）</w:t>
                  </w:r>
                </w:p>
              </w:tc>
              <w:tc>
                <w:tcPr>
                  <w:tcW w:w="128"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是否为可行技术</w:t>
                  </w:r>
                </w:p>
              </w:tc>
              <w:tc>
                <w:tcPr>
                  <w:tcW w:w="257"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排放量（t/a）</w:t>
                  </w:r>
                </w:p>
              </w:tc>
              <w:tc>
                <w:tcPr>
                  <w:tcW w:w="282"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eastAsia"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排放</w:t>
                  </w:r>
                </w:p>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速率（kg/h）</w:t>
                  </w:r>
                </w:p>
              </w:tc>
              <w:tc>
                <w:tcPr>
                  <w:tcW w:w="298"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最大排放浓度（mg/m</w:t>
                  </w:r>
                  <w:r>
                    <w:rPr>
                      <w:rFonts w:hint="eastAsia" w:cs="宋体"/>
                      <w:b/>
                      <w:bCs/>
                      <w:color w:val="FF0000"/>
                      <w:kern w:val="2"/>
                      <w:sz w:val="15"/>
                      <w:szCs w:val="15"/>
                      <w:u w:val="single"/>
                      <w:vertAlign w:val="superscript"/>
                      <w:lang w:val="en-US" w:eastAsia="zh-CN"/>
                    </w:rPr>
                    <w:t>3</w:t>
                  </w:r>
                  <w:r>
                    <w:rPr>
                      <w:rFonts w:hint="eastAsia" w:cs="宋体"/>
                      <w:b/>
                      <w:bCs/>
                      <w:color w:val="FF0000"/>
                      <w:kern w:val="2"/>
                      <w:sz w:val="15"/>
                      <w:szCs w:val="15"/>
                      <w:u w:val="single"/>
                      <w:vertAlign w:val="baseline"/>
                      <w:lang w:val="en-US" w:eastAsia="zh-CN"/>
                    </w:rPr>
                    <w:t>）</w:t>
                  </w:r>
                </w:p>
              </w:tc>
              <w:tc>
                <w:tcPr>
                  <w:tcW w:w="205"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高度（m）</w:t>
                  </w:r>
                </w:p>
              </w:tc>
              <w:tc>
                <w:tcPr>
                  <w:tcW w:w="205"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内径（m）</w:t>
                  </w:r>
                </w:p>
              </w:tc>
              <w:tc>
                <w:tcPr>
                  <w:tcW w:w="230"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温度（℃）</w:t>
                  </w:r>
                </w:p>
              </w:tc>
              <w:tc>
                <w:tcPr>
                  <w:tcW w:w="205"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编号及名称</w:t>
                  </w:r>
                </w:p>
              </w:tc>
              <w:tc>
                <w:tcPr>
                  <w:tcW w:w="127"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类型</w:t>
                  </w:r>
                </w:p>
              </w:tc>
              <w:tc>
                <w:tcPr>
                  <w:tcW w:w="647" w:type="pct"/>
                  <w:gridSpan w:val="2"/>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地理坐标</w:t>
                  </w:r>
                </w:p>
              </w:tc>
              <w:tc>
                <w:tcPr>
                  <w:tcW w:w="296"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浓度（mg/m</w:t>
                  </w:r>
                  <w:r>
                    <w:rPr>
                      <w:rFonts w:hint="eastAsia" w:cs="宋体"/>
                      <w:b/>
                      <w:bCs/>
                      <w:color w:val="FF0000"/>
                      <w:kern w:val="2"/>
                      <w:sz w:val="15"/>
                      <w:szCs w:val="15"/>
                      <w:u w:val="single"/>
                      <w:vertAlign w:val="superscript"/>
                      <w:lang w:val="en-US" w:eastAsia="zh-CN"/>
                    </w:rPr>
                    <w:t>3</w:t>
                  </w:r>
                  <w:r>
                    <w:rPr>
                      <w:rFonts w:hint="eastAsia" w:cs="宋体"/>
                      <w:b/>
                      <w:bCs/>
                      <w:color w:val="FF0000"/>
                      <w:kern w:val="2"/>
                      <w:sz w:val="15"/>
                      <w:szCs w:val="15"/>
                      <w:u w:val="single"/>
                      <w:vertAlign w:val="baseline"/>
                      <w:lang w:val="en-US" w:eastAsia="zh-CN"/>
                    </w:rPr>
                    <w:t>）</w:t>
                  </w:r>
                </w:p>
              </w:tc>
              <w:tc>
                <w:tcPr>
                  <w:tcW w:w="284"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速率（kg/h）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182"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201"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237"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240"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127"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178"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127"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205"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205"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128"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257"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282"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298"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205"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205"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230"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205"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127"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335"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经度/°</w:t>
                  </w:r>
                </w:p>
              </w:tc>
              <w:tc>
                <w:tcPr>
                  <w:tcW w:w="312"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b/>
                      <w:bCs/>
                      <w:color w:val="FF0000"/>
                      <w:kern w:val="2"/>
                      <w:sz w:val="15"/>
                      <w:szCs w:val="15"/>
                      <w:u w:val="single"/>
                      <w:vertAlign w:val="baseline"/>
                      <w:lang w:val="en-US" w:eastAsia="zh-CN"/>
                    </w:rPr>
                  </w:pPr>
                  <w:r>
                    <w:rPr>
                      <w:rFonts w:hint="eastAsia" w:cs="宋体"/>
                      <w:b/>
                      <w:bCs/>
                      <w:color w:val="FF0000"/>
                      <w:kern w:val="2"/>
                      <w:sz w:val="15"/>
                      <w:szCs w:val="15"/>
                      <w:u w:val="single"/>
                      <w:vertAlign w:val="baseline"/>
                      <w:lang w:val="en-US" w:eastAsia="zh-CN"/>
                    </w:rPr>
                    <w:t>纬度/°</w:t>
                  </w:r>
                </w:p>
              </w:tc>
              <w:tc>
                <w:tcPr>
                  <w:tcW w:w="296"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284"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破碎</w:t>
                  </w:r>
                </w:p>
              </w:tc>
              <w:tc>
                <w:tcPr>
                  <w:tcW w:w="182"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颗粒物</w:t>
                  </w:r>
                </w:p>
              </w:tc>
              <w:tc>
                <w:tcPr>
                  <w:tcW w:w="201"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0.6</w:t>
                  </w:r>
                </w:p>
              </w:tc>
              <w:tc>
                <w:tcPr>
                  <w:tcW w:w="237"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0.1250</w:t>
                  </w:r>
                </w:p>
              </w:tc>
              <w:tc>
                <w:tcPr>
                  <w:tcW w:w="240"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15.625</w:t>
                  </w:r>
                </w:p>
              </w:tc>
              <w:tc>
                <w:tcPr>
                  <w:tcW w:w="370"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有组织</w:t>
                  </w:r>
                </w:p>
              </w:tc>
              <w:tc>
                <w:tcPr>
                  <w:tcW w:w="520"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布袋除尘</w:t>
                  </w:r>
                </w:p>
              </w:tc>
              <w:tc>
                <w:tcPr>
                  <w:tcW w:w="370"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597"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90&amp;</w:t>
                  </w:r>
                </w:p>
              </w:tc>
              <w:tc>
                <w:tcPr>
                  <w:tcW w:w="597"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99%</w:t>
                  </w:r>
                </w:p>
              </w:tc>
              <w:tc>
                <w:tcPr>
                  <w:tcW w:w="373"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是</w:t>
                  </w:r>
                </w:p>
              </w:tc>
              <w:tc>
                <w:tcPr>
                  <w:tcW w:w="748"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0.0054</w:t>
                  </w:r>
                </w:p>
              </w:tc>
              <w:tc>
                <w:tcPr>
                  <w:tcW w:w="823"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0.0012</w:t>
                  </w:r>
                </w:p>
              </w:tc>
              <w:tc>
                <w:tcPr>
                  <w:tcW w:w="868"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0.15</w:t>
                  </w:r>
                </w:p>
              </w:tc>
              <w:tc>
                <w:tcPr>
                  <w:tcW w:w="597"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15</w:t>
                  </w:r>
                </w:p>
              </w:tc>
              <w:tc>
                <w:tcPr>
                  <w:tcW w:w="597"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0.25</w:t>
                  </w:r>
                </w:p>
              </w:tc>
              <w:tc>
                <w:tcPr>
                  <w:tcW w:w="672"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25</w:t>
                  </w:r>
                </w:p>
              </w:tc>
              <w:tc>
                <w:tcPr>
                  <w:tcW w:w="597"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TA001</w:t>
                  </w:r>
                </w:p>
              </w:tc>
              <w:tc>
                <w:tcPr>
                  <w:tcW w:w="370"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一般排放口</w:t>
                  </w:r>
                </w:p>
              </w:tc>
              <w:tc>
                <w:tcPr>
                  <w:tcW w:w="976"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112.908232</w:t>
                  </w:r>
                </w:p>
              </w:tc>
              <w:tc>
                <w:tcPr>
                  <w:tcW w:w="908"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28.628295</w:t>
                  </w:r>
                </w:p>
              </w:tc>
              <w:tc>
                <w:tcPr>
                  <w:tcW w:w="863"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30</w:t>
                  </w:r>
                </w:p>
              </w:tc>
              <w:tc>
                <w:tcPr>
                  <w:tcW w:w="827"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eastAsia" w:cs="宋体"/>
                      <w:color w:val="FF0000"/>
                      <w:kern w:val="2"/>
                      <w:sz w:val="15"/>
                      <w:szCs w:val="15"/>
                      <w:u w:val="single"/>
                      <w:vertAlign w:val="baseline"/>
                      <w:lang w:val="en-US" w:eastAsia="zh-CN"/>
                    </w:rPr>
                  </w:pPr>
                </w:p>
              </w:tc>
              <w:tc>
                <w:tcPr>
                  <w:tcW w:w="182"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eastAsia" w:cs="宋体"/>
                      <w:color w:val="FF0000"/>
                      <w:kern w:val="2"/>
                      <w:sz w:val="15"/>
                      <w:szCs w:val="15"/>
                      <w:u w:val="single"/>
                      <w:vertAlign w:val="baseline"/>
                      <w:lang w:val="en-US" w:eastAsia="zh-CN"/>
                    </w:rPr>
                  </w:pPr>
                </w:p>
              </w:tc>
              <w:tc>
                <w:tcPr>
                  <w:tcW w:w="201"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eastAsia" w:cs="宋体"/>
                      <w:color w:val="FF0000"/>
                      <w:kern w:val="2"/>
                      <w:sz w:val="15"/>
                      <w:szCs w:val="15"/>
                      <w:u w:val="single"/>
                      <w:vertAlign w:val="baseline"/>
                      <w:lang w:val="en-US" w:eastAsia="zh-CN"/>
                    </w:rPr>
                  </w:pPr>
                </w:p>
              </w:tc>
              <w:tc>
                <w:tcPr>
                  <w:tcW w:w="237"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eastAsia" w:cs="宋体"/>
                      <w:color w:val="FF0000"/>
                      <w:kern w:val="2"/>
                      <w:sz w:val="15"/>
                      <w:szCs w:val="15"/>
                      <w:u w:val="single"/>
                      <w:vertAlign w:val="baseline"/>
                      <w:lang w:val="en-US" w:eastAsia="zh-CN"/>
                    </w:rPr>
                  </w:pPr>
                </w:p>
              </w:tc>
              <w:tc>
                <w:tcPr>
                  <w:tcW w:w="240"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eastAsia" w:cs="宋体"/>
                      <w:color w:val="FF0000"/>
                      <w:kern w:val="2"/>
                      <w:sz w:val="15"/>
                      <w:szCs w:val="15"/>
                      <w:u w:val="single"/>
                      <w:vertAlign w:val="baseline"/>
                      <w:lang w:val="en-US" w:eastAsia="zh-CN"/>
                    </w:rPr>
                  </w:pPr>
                </w:p>
              </w:tc>
              <w:tc>
                <w:tcPr>
                  <w:tcW w:w="370"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无组织</w:t>
                  </w:r>
                </w:p>
              </w:tc>
              <w:tc>
                <w:tcPr>
                  <w:tcW w:w="520"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370"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597"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10%</w:t>
                  </w:r>
                </w:p>
              </w:tc>
              <w:tc>
                <w:tcPr>
                  <w:tcW w:w="597"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373"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748"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0.06</w:t>
                  </w:r>
                </w:p>
              </w:tc>
              <w:tc>
                <w:tcPr>
                  <w:tcW w:w="823"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0.0125</w:t>
                  </w:r>
                </w:p>
              </w:tc>
              <w:tc>
                <w:tcPr>
                  <w:tcW w:w="868"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597"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597"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672"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597"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370"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976"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908"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863"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1.0</w:t>
                  </w:r>
                </w:p>
              </w:tc>
              <w:tc>
                <w:tcPr>
                  <w:tcW w:w="827"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熔融成型</w:t>
                  </w:r>
                </w:p>
              </w:tc>
              <w:tc>
                <w:tcPr>
                  <w:tcW w:w="182"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挥发性有机物（以非甲烷总烃计）</w:t>
                  </w:r>
                </w:p>
              </w:tc>
              <w:tc>
                <w:tcPr>
                  <w:tcW w:w="201"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7.5</w:t>
                  </w:r>
                </w:p>
              </w:tc>
              <w:tc>
                <w:tcPr>
                  <w:tcW w:w="237"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1.562</w:t>
                  </w:r>
                </w:p>
              </w:tc>
              <w:tc>
                <w:tcPr>
                  <w:tcW w:w="240" w:type="pct"/>
                  <w:vMerge w:val="restar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39.05</w:t>
                  </w:r>
                </w:p>
              </w:tc>
              <w:tc>
                <w:tcPr>
                  <w:tcW w:w="127"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有组织</w:t>
                  </w:r>
                </w:p>
              </w:tc>
              <w:tc>
                <w:tcPr>
                  <w:tcW w:w="178"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eastAsia" w:cs="宋体"/>
                      <w:color w:val="FF0000"/>
                      <w:kern w:val="2"/>
                      <w:sz w:val="15"/>
                      <w:szCs w:val="15"/>
                      <w:u w:val="single"/>
                      <w:vertAlign w:val="baseline"/>
                      <w:lang w:val="en-US" w:eastAsia="zh-CN"/>
                    </w:rPr>
                  </w:pPr>
                  <w:r>
                    <w:rPr>
                      <w:rFonts w:hint="eastAsia" w:ascii="宋体" w:hAnsi="宋体" w:eastAsia="宋体" w:cs="宋体"/>
                      <w:color w:val="FF0000"/>
                      <w:kern w:val="2"/>
                      <w:sz w:val="15"/>
                      <w:szCs w:val="15"/>
                      <w:u w:val="single"/>
                      <w:vertAlign w:val="baseline"/>
                      <w:lang w:val="en-US" w:eastAsia="zh-CN"/>
                    </w:rPr>
                    <w:t>光催化+活性炭吸附</w:t>
                  </w:r>
                </w:p>
              </w:tc>
              <w:tc>
                <w:tcPr>
                  <w:tcW w:w="127"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205"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100%</w:t>
                  </w:r>
                </w:p>
              </w:tc>
              <w:tc>
                <w:tcPr>
                  <w:tcW w:w="597"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24%</w:t>
                  </w:r>
                </w:p>
              </w:tc>
              <w:tc>
                <w:tcPr>
                  <w:tcW w:w="373"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是</w:t>
                  </w:r>
                </w:p>
              </w:tc>
              <w:tc>
                <w:tcPr>
                  <w:tcW w:w="748"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5.7</w:t>
                  </w:r>
                </w:p>
              </w:tc>
              <w:tc>
                <w:tcPr>
                  <w:tcW w:w="823"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1.187</w:t>
                  </w:r>
                </w:p>
              </w:tc>
              <w:tc>
                <w:tcPr>
                  <w:tcW w:w="868"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29.67</w:t>
                  </w:r>
                </w:p>
              </w:tc>
              <w:tc>
                <w:tcPr>
                  <w:tcW w:w="597"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15</w:t>
                  </w:r>
                </w:p>
              </w:tc>
              <w:tc>
                <w:tcPr>
                  <w:tcW w:w="597"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0.7</w:t>
                  </w:r>
                </w:p>
              </w:tc>
              <w:tc>
                <w:tcPr>
                  <w:tcW w:w="672"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25</w:t>
                  </w:r>
                </w:p>
              </w:tc>
              <w:tc>
                <w:tcPr>
                  <w:tcW w:w="597" w:type="dxa"/>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TA002</w:t>
                  </w:r>
                </w:p>
              </w:tc>
              <w:tc>
                <w:tcPr>
                  <w:tcW w:w="127"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一般排放口</w:t>
                  </w:r>
                </w:p>
              </w:tc>
              <w:tc>
                <w:tcPr>
                  <w:tcW w:w="335" w:type="pct"/>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ascii="宋体" w:hAnsi="宋体" w:eastAsia="宋体" w:cs="宋体"/>
                      <w:color w:val="FF0000"/>
                      <w:kern w:val="2"/>
                      <w:sz w:val="15"/>
                      <w:szCs w:val="15"/>
                      <w:u w:val="single"/>
                      <w:vertAlign w:val="baseline"/>
                      <w:lang w:val="en-US" w:eastAsia="zh-CN" w:bidi="ar-SA"/>
                    </w:rPr>
                  </w:pPr>
                  <w:r>
                    <w:rPr>
                      <w:rFonts w:hint="eastAsia" w:cs="宋体"/>
                      <w:color w:val="FF0000"/>
                      <w:kern w:val="2"/>
                      <w:sz w:val="15"/>
                      <w:szCs w:val="15"/>
                      <w:u w:val="single"/>
                      <w:vertAlign w:val="baseline"/>
                      <w:lang w:val="en-US" w:eastAsia="zh-CN"/>
                    </w:rPr>
                    <w:t>112.908209</w:t>
                  </w:r>
                </w:p>
              </w:tc>
              <w:tc>
                <w:tcPr>
                  <w:tcW w:w="312" w:type="pct"/>
                  <w:tcBorders>
                    <w:tl2br w:val="nil"/>
                    <w:tr2bl w:val="nil"/>
                  </w:tcBorders>
                  <w:vAlign w:val="center"/>
                </w:tcPr>
                <w:p>
                  <w:pPr>
                    <w:pStyle w:val="12"/>
                    <w:numPr>
                      <w:ilvl w:val="0"/>
                      <w:numId w:val="0"/>
                    </w:numPr>
                    <w:adjustRightInd w:val="0"/>
                    <w:snapToGrid w:val="0"/>
                    <w:spacing w:before="0" w:beforeAutospacing="0" w:after="0" w:afterAutospacing="0" w:line="240" w:lineRule="auto"/>
                    <w:ind w:left="0" w:leftChars="0" w:firstLine="0" w:firstLineChars="0"/>
                    <w:jc w:val="center"/>
                    <w:rPr>
                      <w:rFonts w:hint="eastAsia" w:ascii="宋体" w:hAnsi="宋体" w:eastAsia="宋体" w:cs="宋体"/>
                      <w:color w:val="FF0000"/>
                      <w:kern w:val="2"/>
                      <w:sz w:val="15"/>
                      <w:szCs w:val="15"/>
                      <w:u w:val="single"/>
                      <w:vertAlign w:val="baseline"/>
                      <w:lang w:val="en-US" w:eastAsia="zh-CN" w:bidi="ar-SA"/>
                    </w:rPr>
                  </w:pPr>
                  <w:r>
                    <w:rPr>
                      <w:rFonts w:hint="eastAsia" w:cs="宋体"/>
                      <w:color w:val="FF0000"/>
                      <w:kern w:val="2"/>
                      <w:sz w:val="15"/>
                      <w:szCs w:val="15"/>
                      <w:u w:val="single"/>
                      <w:vertAlign w:val="baseline"/>
                      <w:lang w:val="en-US" w:eastAsia="zh-CN"/>
                    </w:rPr>
                    <w:t>28.628716</w:t>
                  </w:r>
                </w:p>
              </w:tc>
              <w:tc>
                <w:tcPr>
                  <w:tcW w:w="296"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100</w:t>
                  </w:r>
                </w:p>
              </w:tc>
              <w:tc>
                <w:tcPr>
                  <w:tcW w:w="284"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182"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201"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237"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240" w:type="pct"/>
                  <w:vMerge w:val="continue"/>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p>
              </w:tc>
              <w:tc>
                <w:tcPr>
                  <w:tcW w:w="127"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无组织</w:t>
                  </w:r>
                </w:p>
              </w:tc>
              <w:tc>
                <w:tcPr>
                  <w:tcW w:w="178"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127"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205"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205"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128"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257"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282"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298"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205"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205"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230"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205"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127"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335"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312"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c>
                <w:tcPr>
                  <w:tcW w:w="296"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4.0</w:t>
                  </w:r>
                </w:p>
              </w:tc>
              <w:tc>
                <w:tcPr>
                  <w:tcW w:w="284" w:type="pct"/>
                  <w:tcBorders>
                    <w:tl2br w:val="nil"/>
                    <w:tr2bl w:val="nil"/>
                  </w:tcBorders>
                  <w:vAlign w:val="center"/>
                </w:tcPr>
                <w:p>
                  <w:pPr>
                    <w:pStyle w:val="12"/>
                    <w:numPr>
                      <w:ilvl w:val="0"/>
                      <w:numId w:val="0"/>
                    </w:numPr>
                    <w:adjustRightInd w:val="0"/>
                    <w:snapToGrid w:val="0"/>
                    <w:spacing w:before="0" w:beforeAutospacing="0" w:after="0" w:afterAutospacing="0" w:line="240" w:lineRule="auto"/>
                    <w:jc w:val="center"/>
                    <w:rPr>
                      <w:rFonts w:hint="default" w:eastAsia="宋体" w:cs="宋体"/>
                      <w:color w:val="FF0000"/>
                      <w:kern w:val="2"/>
                      <w:sz w:val="15"/>
                      <w:szCs w:val="15"/>
                      <w:u w:val="single"/>
                      <w:vertAlign w:val="baseline"/>
                      <w:lang w:val="en-US" w:eastAsia="zh-CN"/>
                    </w:rPr>
                  </w:pPr>
                  <w:r>
                    <w:rPr>
                      <w:rFonts w:hint="eastAsia" w:cs="宋体"/>
                      <w:color w:val="FF0000"/>
                      <w:kern w:val="2"/>
                      <w:sz w:val="15"/>
                      <w:szCs w:val="15"/>
                      <w:u w:val="single"/>
                      <w:vertAlign w:val="baseline"/>
                      <w:lang w:val="en-US" w:eastAsia="zh-CN"/>
                    </w:rPr>
                    <w:t>/</w:t>
                  </w:r>
                </w:p>
              </w:tc>
            </w:tr>
          </w:tbl>
          <w:p>
            <w:pPr>
              <w:numPr>
                <w:ilvl w:val="0"/>
                <w:numId w:val="0"/>
              </w:numPr>
              <w:adjustRightInd w:val="0"/>
              <w:snapToGrid w:val="0"/>
              <w:spacing w:line="360" w:lineRule="auto"/>
              <w:jc w:val="both"/>
              <w:rPr>
                <w:rFonts w:hint="default" w:eastAsia="宋体"/>
                <w:color w:val="FF0000"/>
                <w:u w:val="single"/>
                <w:vertAlign w:val="baseline"/>
                <w:lang w:val="en-US" w:eastAsia="zh-CN"/>
              </w:rPr>
            </w:pPr>
          </w:p>
        </w:tc>
      </w:tr>
    </w:tbl>
    <w:p>
      <w:pPr>
        <w:pStyle w:val="2"/>
        <w:ind w:left="0" w:leftChars="0" w:firstLine="0" w:firstLineChars="0"/>
        <w:rPr>
          <w:rFonts w:hint="eastAsia"/>
          <w:color w:val="FF0000"/>
          <w:u w:val="single"/>
        </w:rPr>
        <w:sectPr>
          <w:pgSz w:w="16840" w:h="11907"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5"/>
        <w:gridCol w:w="82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35" w:type="dxa"/>
            <w:vAlign w:val="center"/>
          </w:tcPr>
          <w:p>
            <w:pPr>
              <w:adjustRightInd w:val="0"/>
              <w:snapToGrid w:val="0"/>
              <w:jc w:val="center"/>
              <w:rPr>
                <w:rFonts w:hint="eastAsia" w:ascii="宋体" w:hAnsi="宋体" w:cs="宋体"/>
                <w:bCs/>
                <w:color w:val="FF0000"/>
                <w:sz w:val="24"/>
                <w:szCs w:val="24"/>
                <w:u w:val="single"/>
              </w:rPr>
            </w:pPr>
            <w:r>
              <w:rPr>
                <w:rFonts w:hint="eastAsia" w:ascii="宋体" w:hAnsi="宋体" w:cs="宋体"/>
                <w:bCs/>
                <w:color w:val="FF0000"/>
                <w:sz w:val="24"/>
                <w:szCs w:val="24"/>
                <w:u w:val="single"/>
              </w:rPr>
              <w:t>运营</w:t>
            </w:r>
          </w:p>
          <w:p>
            <w:pPr>
              <w:adjustRightInd w:val="0"/>
              <w:snapToGrid w:val="0"/>
              <w:jc w:val="center"/>
              <w:rPr>
                <w:rFonts w:hint="eastAsia" w:ascii="宋体" w:hAnsi="宋体" w:cs="宋体"/>
                <w:bCs/>
                <w:color w:val="FF0000"/>
                <w:sz w:val="24"/>
                <w:szCs w:val="24"/>
                <w:u w:val="single"/>
              </w:rPr>
            </w:pPr>
            <w:r>
              <w:rPr>
                <w:rFonts w:hint="eastAsia" w:ascii="宋体" w:hAnsi="宋体" w:cs="宋体"/>
                <w:bCs/>
                <w:color w:val="FF0000"/>
                <w:sz w:val="24"/>
                <w:szCs w:val="24"/>
                <w:u w:val="single"/>
              </w:rPr>
              <w:t>期环</w:t>
            </w:r>
          </w:p>
          <w:p>
            <w:pPr>
              <w:adjustRightInd w:val="0"/>
              <w:snapToGrid w:val="0"/>
              <w:jc w:val="center"/>
              <w:rPr>
                <w:rFonts w:hint="eastAsia" w:ascii="宋体" w:hAnsi="宋体" w:cs="宋体"/>
                <w:bCs/>
                <w:color w:val="FF0000"/>
                <w:sz w:val="24"/>
                <w:szCs w:val="24"/>
                <w:u w:val="single"/>
              </w:rPr>
            </w:pPr>
            <w:r>
              <w:rPr>
                <w:rFonts w:hint="eastAsia" w:ascii="宋体" w:hAnsi="宋体" w:cs="宋体"/>
                <w:bCs/>
                <w:color w:val="FF0000"/>
                <w:sz w:val="24"/>
                <w:szCs w:val="24"/>
                <w:u w:val="single"/>
              </w:rPr>
              <w:t>境影</w:t>
            </w:r>
          </w:p>
          <w:p>
            <w:pPr>
              <w:adjustRightInd w:val="0"/>
              <w:snapToGrid w:val="0"/>
              <w:jc w:val="center"/>
              <w:rPr>
                <w:rFonts w:hint="eastAsia" w:ascii="宋体" w:hAnsi="宋体" w:cs="宋体"/>
                <w:bCs/>
                <w:color w:val="FF0000"/>
                <w:sz w:val="24"/>
                <w:szCs w:val="24"/>
                <w:u w:val="single"/>
              </w:rPr>
            </w:pPr>
            <w:r>
              <w:rPr>
                <w:rFonts w:hint="eastAsia" w:ascii="宋体" w:hAnsi="宋体" w:cs="宋体"/>
                <w:bCs/>
                <w:color w:val="FF0000"/>
                <w:sz w:val="24"/>
                <w:szCs w:val="24"/>
                <w:u w:val="single"/>
              </w:rPr>
              <w:t>响和</w:t>
            </w:r>
          </w:p>
          <w:p>
            <w:pPr>
              <w:adjustRightInd w:val="0"/>
              <w:snapToGrid w:val="0"/>
              <w:jc w:val="center"/>
              <w:rPr>
                <w:rFonts w:hint="eastAsia" w:ascii="宋体" w:hAnsi="宋体" w:cs="宋体"/>
                <w:bCs/>
                <w:color w:val="FF0000"/>
                <w:sz w:val="24"/>
                <w:szCs w:val="24"/>
                <w:u w:val="single"/>
              </w:rPr>
            </w:pPr>
            <w:r>
              <w:rPr>
                <w:rFonts w:hint="eastAsia" w:ascii="宋体" w:hAnsi="宋体" w:cs="宋体"/>
                <w:bCs/>
                <w:color w:val="FF0000"/>
                <w:sz w:val="24"/>
                <w:szCs w:val="24"/>
                <w:u w:val="single"/>
              </w:rPr>
              <w:t>保护</w:t>
            </w:r>
          </w:p>
          <w:p>
            <w:pPr>
              <w:jc w:val="center"/>
              <w:rPr>
                <w:rFonts w:hint="eastAsia"/>
                <w:color w:val="FF0000"/>
                <w:u w:val="single"/>
                <w:vertAlign w:val="baseline"/>
              </w:rPr>
            </w:pPr>
            <w:r>
              <w:rPr>
                <w:rFonts w:hint="eastAsia" w:ascii="宋体" w:hAnsi="宋体" w:cs="宋体"/>
                <w:bCs/>
                <w:color w:val="FF0000"/>
                <w:sz w:val="24"/>
                <w:szCs w:val="24"/>
                <w:u w:val="single"/>
              </w:rPr>
              <w:t>措施</w:t>
            </w:r>
          </w:p>
        </w:tc>
        <w:tc>
          <w:tcPr>
            <w:tcW w:w="8226" w:type="dxa"/>
          </w:tcPr>
          <w:p>
            <w:pPr>
              <w:numPr>
                <w:ilvl w:val="0"/>
                <w:numId w:val="0"/>
              </w:numPr>
              <w:adjustRightInd w:val="0"/>
              <w:snapToGrid w:val="0"/>
              <w:spacing w:line="360" w:lineRule="auto"/>
              <w:jc w:val="both"/>
              <w:rPr>
                <w:rFonts w:hint="default" w:ascii="宋体" w:hAnsi="宋体" w:cs="宋体"/>
                <w:bCs/>
                <w:color w:val="FF0000"/>
                <w:spacing w:val="-10"/>
                <w:sz w:val="24"/>
                <w:szCs w:val="24"/>
                <w:u w:val="single"/>
                <w:lang w:val="en-US" w:eastAsia="zh-CN"/>
              </w:rPr>
            </w:pPr>
            <w:r>
              <w:rPr>
                <w:rFonts w:hint="eastAsia" w:ascii="宋体" w:hAnsi="宋体" w:cs="宋体"/>
                <w:bCs/>
                <w:color w:val="FF0000"/>
                <w:spacing w:val="-10"/>
                <w:sz w:val="24"/>
                <w:szCs w:val="24"/>
                <w:u w:val="single"/>
                <w:lang w:val="en-US" w:eastAsia="zh-CN"/>
              </w:rPr>
              <w:t>废气源强核算过程：</w:t>
            </w:r>
          </w:p>
          <w:p>
            <w:pPr>
              <w:numPr>
                <w:ilvl w:val="0"/>
                <w:numId w:val="0"/>
              </w:numPr>
              <w:adjustRightInd w:val="0"/>
              <w:snapToGrid w:val="0"/>
              <w:spacing w:line="360" w:lineRule="auto"/>
              <w:ind w:firstLine="440" w:firstLineChars="200"/>
              <w:jc w:val="both"/>
              <w:rPr>
                <w:rFonts w:hint="default" w:ascii="宋体" w:hAnsi="宋体" w:cs="宋体"/>
                <w:bCs/>
                <w:color w:val="FF0000"/>
                <w:spacing w:val="-10"/>
                <w:sz w:val="24"/>
                <w:szCs w:val="24"/>
                <w:u w:val="single"/>
                <w:lang w:val="en-US" w:eastAsia="zh-CN"/>
              </w:rPr>
            </w:pPr>
            <w:r>
              <w:rPr>
                <w:rFonts w:hint="eastAsia" w:ascii="宋体" w:hAnsi="宋体" w:cs="宋体"/>
                <w:bCs/>
                <w:color w:val="FF0000"/>
                <w:spacing w:val="-10"/>
                <w:sz w:val="24"/>
                <w:szCs w:val="24"/>
                <w:u w:val="single"/>
                <w:lang w:val="en-US" w:eastAsia="zh-CN"/>
              </w:rPr>
              <w:t>本项目在熔融成型过程中产生挥发性有机物（以VOCs计），根据《排放源统计调查产排污核算方法》中292塑料制品行业系数手册中2922塑料板、管、型材制造行业系数表，详见下表。</w:t>
            </w:r>
          </w:p>
          <w:p>
            <w:pPr>
              <w:numPr>
                <w:ilvl w:val="0"/>
                <w:numId w:val="0"/>
              </w:numPr>
              <w:adjustRightInd w:val="0"/>
              <w:snapToGrid w:val="0"/>
              <w:spacing w:line="360" w:lineRule="auto"/>
              <w:jc w:val="center"/>
              <w:rPr>
                <w:rFonts w:hint="default" w:ascii="宋体" w:hAnsi="宋体" w:cs="宋体"/>
                <w:b/>
                <w:bCs w:val="0"/>
                <w:color w:val="FF0000"/>
                <w:spacing w:val="-10"/>
                <w:sz w:val="24"/>
                <w:szCs w:val="24"/>
                <w:u w:val="single"/>
                <w:lang w:val="en-US" w:eastAsia="zh-CN"/>
              </w:rPr>
            </w:pPr>
            <w:r>
              <w:rPr>
                <w:rFonts w:hint="eastAsia" w:ascii="宋体" w:hAnsi="宋体" w:cs="宋体"/>
                <w:b/>
                <w:bCs w:val="0"/>
                <w:color w:val="FF0000"/>
                <w:spacing w:val="-10"/>
                <w:sz w:val="24"/>
                <w:szCs w:val="24"/>
                <w:u w:val="single"/>
                <w:lang w:val="en-US" w:eastAsia="zh-CN"/>
              </w:rPr>
              <w:t>表4-2  2922塑料板、管、型材制造行业系数表</w:t>
            </w:r>
          </w:p>
          <w:tbl>
            <w:tblPr>
              <w:tblStyle w:val="15"/>
              <w:tblW w:w="4999"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8"/>
              <w:gridCol w:w="638"/>
              <w:gridCol w:w="721"/>
              <w:gridCol w:w="741"/>
              <w:gridCol w:w="791"/>
              <w:gridCol w:w="873"/>
              <w:gridCol w:w="750"/>
              <w:gridCol w:w="756"/>
              <w:gridCol w:w="904"/>
              <w:gridCol w:w="10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443" w:type="pc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产品名称</w:t>
                  </w:r>
                </w:p>
              </w:tc>
              <w:tc>
                <w:tcPr>
                  <w:tcW w:w="399" w:type="pc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原料名称</w:t>
                  </w:r>
                </w:p>
              </w:tc>
              <w:tc>
                <w:tcPr>
                  <w:tcW w:w="451" w:type="pc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工艺名称</w:t>
                  </w:r>
                </w:p>
              </w:tc>
              <w:tc>
                <w:tcPr>
                  <w:tcW w:w="464" w:type="pc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规模等级</w:t>
                  </w:r>
                </w:p>
              </w:tc>
              <w:tc>
                <w:tcPr>
                  <w:tcW w:w="495" w:type="pc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污染物类别</w:t>
                  </w:r>
                </w:p>
              </w:tc>
              <w:tc>
                <w:tcPr>
                  <w:tcW w:w="547" w:type="pc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污染物指标</w:t>
                  </w:r>
                </w:p>
              </w:tc>
              <w:tc>
                <w:tcPr>
                  <w:tcW w:w="469" w:type="pc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单位</w:t>
                  </w:r>
                </w:p>
              </w:tc>
              <w:tc>
                <w:tcPr>
                  <w:tcW w:w="473" w:type="pc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产污系数</w:t>
                  </w:r>
                </w:p>
              </w:tc>
              <w:tc>
                <w:tcPr>
                  <w:tcW w:w="566" w:type="pc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末端治理技术名称</w:t>
                  </w:r>
                </w:p>
              </w:tc>
              <w:tc>
                <w:tcPr>
                  <w:tcW w:w="687" w:type="pct"/>
                  <w:tcBorders>
                    <w:tl2br w:val="nil"/>
                    <w:tr2bl w:val="nil"/>
                  </w:tcBorders>
                  <w:vAlign w:val="center"/>
                </w:tcPr>
                <w:p>
                  <w:pPr>
                    <w:bidi w:val="0"/>
                    <w:jc w:val="center"/>
                    <w:rPr>
                      <w:rFonts w:hint="eastAsia"/>
                      <w:b/>
                      <w:bCs/>
                      <w:color w:val="FF0000"/>
                      <w:u w:val="single"/>
                      <w:lang w:val="en-US" w:eastAsia="zh-CN"/>
                    </w:rPr>
                  </w:pPr>
                  <w:r>
                    <w:rPr>
                      <w:rFonts w:hint="eastAsia"/>
                      <w:b/>
                      <w:bCs/>
                      <w:color w:val="FF0000"/>
                      <w:u w:val="single"/>
                      <w:lang w:val="en-US" w:eastAsia="zh-CN"/>
                    </w:rPr>
                    <w:t>末端治理技术平均去除效率（%）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443" w:type="pct"/>
                  <w:vMerge w:val="restar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塑料板、管、型材</w:t>
                  </w:r>
                </w:p>
              </w:tc>
              <w:tc>
                <w:tcPr>
                  <w:tcW w:w="399" w:type="pct"/>
                  <w:vMerge w:val="restar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树脂、助剂</w:t>
                  </w:r>
                </w:p>
              </w:tc>
              <w:tc>
                <w:tcPr>
                  <w:tcW w:w="451" w:type="pct"/>
                  <w:vMerge w:val="restar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配料-混合-挤出</w:t>
                  </w:r>
                </w:p>
              </w:tc>
              <w:tc>
                <w:tcPr>
                  <w:tcW w:w="464" w:type="pct"/>
                  <w:vMerge w:val="restar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所有规模</w:t>
                  </w:r>
                </w:p>
              </w:tc>
              <w:tc>
                <w:tcPr>
                  <w:tcW w:w="495" w:type="pct"/>
                  <w:vMerge w:val="restar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废气</w:t>
                  </w:r>
                </w:p>
              </w:tc>
              <w:tc>
                <w:tcPr>
                  <w:tcW w:w="547" w:type="pct"/>
                  <w:tcBorders>
                    <w:tl2br w:val="nil"/>
                    <w:tr2bl w:val="nil"/>
                  </w:tcBorders>
                  <w:vAlign w:val="center"/>
                </w:tcPr>
                <w:p>
                  <w:pPr>
                    <w:bidi w:val="0"/>
                    <w:jc w:val="center"/>
                    <w:rPr>
                      <w:rFonts w:hint="eastAsia"/>
                      <w:color w:val="FF0000"/>
                      <w:u w:val="single"/>
                      <w:lang w:val="en-US" w:eastAsia="zh-CN"/>
                    </w:rPr>
                  </w:pPr>
                  <w:r>
                    <w:rPr>
                      <w:rFonts w:hint="eastAsia"/>
                      <w:color w:val="FF0000"/>
                      <w:u w:val="single"/>
                      <w:lang w:val="en-US" w:eastAsia="zh-CN"/>
                    </w:rPr>
                    <w:t>颗粒物</w:t>
                  </w:r>
                </w:p>
              </w:tc>
              <w:tc>
                <w:tcPr>
                  <w:tcW w:w="469" w:type="pct"/>
                  <w:tcBorders>
                    <w:tl2br w:val="nil"/>
                    <w:tr2bl w:val="nil"/>
                  </w:tcBorders>
                  <w:vAlign w:val="center"/>
                </w:tcPr>
                <w:p>
                  <w:pPr>
                    <w:bidi w:val="0"/>
                    <w:jc w:val="center"/>
                    <w:rPr>
                      <w:rFonts w:hint="eastAsia"/>
                      <w:color w:val="FF0000"/>
                      <w:u w:val="single"/>
                      <w:lang w:val="en-US" w:eastAsia="zh-CN"/>
                    </w:rPr>
                  </w:pPr>
                  <w:r>
                    <w:rPr>
                      <w:rFonts w:hint="eastAsia"/>
                      <w:color w:val="FF0000"/>
                      <w:u w:val="single"/>
                      <w:lang w:val="en-US" w:eastAsia="zh-CN"/>
                    </w:rPr>
                    <w:t>千克/吨-产品</w:t>
                  </w:r>
                </w:p>
              </w:tc>
              <w:tc>
                <w:tcPr>
                  <w:tcW w:w="473" w:type="pct"/>
                  <w:tcBorders>
                    <w:tl2br w:val="nil"/>
                    <w:tr2bl w:val="nil"/>
                  </w:tcBorders>
                  <w:vAlign w:val="center"/>
                </w:tcPr>
                <w:p>
                  <w:pPr>
                    <w:bidi w:val="0"/>
                    <w:jc w:val="center"/>
                    <w:rPr>
                      <w:rFonts w:hint="eastAsia"/>
                      <w:color w:val="FF0000"/>
                      <w:u w:val="single"/>
                      <w:lang w:val="en-US" w:eastAsia="zh-CN"/>
                    </w:rPr>
                  </w:pPr>
                  <w:r>
                    <w:rPr>
                      <w:rFonts w:hint="eastAsia"/>
                      <w:color w:val="FF0000"/>
                      <w:u w:val="single"/>
                      <w:lang w:val="en-US" w:eastAsia="zh-CN"/>
                    </w:rPr>
                    <w:t>6.00</w:t>
                  </w:r>
                </w:p>
              </w:tc>
              <w:tc>
                <w:tcPr>
                  <w:tcW w:w="566" w:type="pct"/>
                  <w:tcBorders>
                    <w:tl2br w:val="nil"/>
                    <w:tr2bl w:val="nil"/>
                  </w:tcBorders>
                  <w:vAlign w:val="center"/>
                </w:tcPr>
                <w:p>
                  <w:pPr>
                    <w:bidi w:val="0"/>
                    <w:jc w:val="center"/>
                    <w:rPr>
                      <w:rFonts w:hint="eastAsia"/>
                      <w:color w:val="FF0000"/>
                      <w:u w:val="single"/>
                      <w:lang w:val="en-US" w:eastAsia="zh-CN"/>
                    </w:rPr>
                  </w:pPr>
                  <w:r>
                    <w:rPr>
                      <w:rFonts w:hint="eastAsia"/>
                      <w:color w:val="FF0000"/>
                      <w:u w:val="single"/>
                      <w:lang w:val="en-US" w:eastAsia="zh-CN"/>
                    </w:rPr>
                    <w:t>袋式除尘</w:t>
                  </w:r>
                </w:p>
              </w:tc>
              <w:tc>
                <w:tcPr>
                  <w:tcW w:w="687" w:type="pct"/>
                  <w:tcBorders>
                    <w:tl2br w:val="nil"/>
                    <w:tr2bl w:val="nil"/>
                  </w:tcBorders>
                  <w:vAlign w:val="center"/>
                </w:tcPr>
                <w:p>
                  <w:pPr>
                    <w:bidi w:val="0"/>
                    <w:jc w:val="center"/>
                    <w:rPr>
                      <w:rFonts w:hint="eastAsia"/>
                      <w:color w:val="FF0000"/>
                      <w:u w:val="single"/>
                      <w:lang w:val="en-US" w:eastAsia="zh-CN"/>
                    </w:rPr>
                  </w:pPr>
                </w:p>
                <w:p>
                  <w:pPr>
                    <w:bidi w:val="0"/>
                    <w:jc w:val="center"/>
                    <w:rPr>
                      <w:rFonts w:hint="eastAsia"/>
                      <w:color w:val="FF0000"/>
                      <w:u w:val="single"/>
                      <w:lang w:val="en-US" w:eastAsia="zh-CN"/>
                    </w:rPr>
                  </w:pPr>
                  <w:r>
                    <w:rPr>
                      <w:rFonts w:hint="eastAsia"/>
                      <w:color w:val="FF0000"/>
                      <w:u w:val="single"/>
                      <w:lang w:val="en-US" w:eastAsia="zh-CN"/>
                    </w:rPr>
                    <w:t>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443" w:type="pct"/>
                  <w:vMerge w:val="continue"/>
                  <w:tcBorders>
                    <w:tl2br w:val="nil"/>
                    <w:tr2bl w:val="nil"/>
                  </w:tcBorders>
                  <w:vAlign w:val="center"/>
                </w:tcPr>
                <w:p>
                  <w:pPr>
                    <w:bidi w:val="0"/>
                    <w:jc w:val="center"/>
                    <w:rPr>
                      <w:rFonts w:hint="eastAsia"/>
                      <w:color w:val="FF0000"/>
                      <w:u w:val="single"/>
                      <w:lang w:val="en-US" w:eastAsia="zh-CN"/>
                    </w:rPr>
                  </w:pPr>
                </w:p>
              </w:tc>
              <w:tc>
                <w:tcPr>
                  <w:tcW w:w="399" w:type="pct"/>
                  <w:vMerge w:val="continue"/>
                  <w:tcBorders>
                    <w:tl2br w:val="nil"/>
                    <w:tr2bl w:val="nil"/>
                  </w:tcBorders>
                  <w:vAlign w:val="center"/>
                </w:tcPr>
                <w:p>
                  <w:pPr>
                    <w:bidi w:val="0"/>
                    <w:jc w:val="center"/>
                    <w:rPr>
                      <w:rFonts w:hint="eastAsia"/>
                      <w:color w:val="FF0000"/>
                      <w:u w:val="single"/>
                      <w:lang w:val="en-US" w:eastAsia="zh-CN"/>
                    </w:rPr>
                  </w:pPr>
                </w:p>
              </w:tc>
              <w:tc>
                <w:tcPr>
                  <w:tcW w:w="451" w:type="pct"/>
                  <w:vMerge w:val="continue"/>
                  <w:tcBorders>
                    <w:tl2br w:val="nil"/>
                    <w:tr2bl w:val="nil"/>
                  </w:tcBorders>
                  <w:vAlign w:val="center"/>
                </w:tcPr>
                <w:p>
                  <w:pPr>
                    <w:bidi w:val="0"/>
                    <w:jc w:val="center"/>
                    <w:rPr>
                      <w:rFonts w:hint="eastAsia"/>
                      <w:color w:val="FF0000"/>
                      <w:u w:val="single"/>
                      <w:lang w:val="en-US" w:eastAsia="zh-CN"/>
                    </w:rPr>
                  </w:pPr>
                </w:p>
              </w:tc>
              <w:tc>
                <w:tcPr>
                  <w:tcW w:w="464" w:type="pct"/>
                  <w:vMerge w:val="continue"/>
                  <w:tcBorders>
                    <w:tl2br w:val="nil"/>
                    <w:tr2bl w:val="nil"/>
                  </w:tcBorders>
                  <w:vAlign w:val="center"/>
                </w:tcPr>
                <w:p>
                  <w:pPr>
                    <w:bidi w:val="0"/>
                    <w:jc w:val="center"/>
                    <w:rPr>
                      <w:rFonts w:hint="eastAsia"/>
                      <w:color w:val="FF0000"/>
                      <w:u w:val="single"/>
                      <w:lang w:val="en-US" w:eastAsia="zh-CN"/>
                    </w:rPr>
                  </w:pPr>
                </w:p>
              </w:tc>
              <w:tc>
                <w:tcPr>
                  <w:tcW w:w="495" w:type="pct"/>
                  <w:vMerge w:val="continue"/>
                  <w:tcBorders>
                    <w:tl2br w:val="nil"/>
                    <w:tr2bl w:val="nil"/>
                  </w:tcBorders>
                  <w:vAlign w:val="center"/>
                </w:tcPr>
                <w:p>
                  <w:pPr>
                    <w:bidi w:val="0"/>
                    <w:jc w:val="center"/>
                    <w:rPr>
                      <w:rFonts w:hint="eastAsia"/>
                      <w:color w:val="FF0000"/>
                      <w:u w:val="single"/>
                      <w:lang w:val="en-US" w:eastAsia="zh-CN"/>
                    </w:rPr>
                  </w:pPr>
                </w:p>
              </w:tc>
              <w:tc>
                <w:tcPr>
                  <w:tcW w:w="547" w:type="pc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挥发性有机物</w:t>
                  </w:r>
                </w:p>
              </w:tc>
              <w:tc>
                <w:tcPr>
                  <w:tcW w:w="469" w:type="pct"/>
                  <w:tcBorders>
                    <w:tl2br w:val="nil"/>
                    <w:tr2bl w:val="nil"/>
                  </w:tcBorders>
                  <w:vAlign w:val="center"/>
                </w:tcPr>
                <w:p>
                  <w:pPr>
                    <w:bidi w:val="0"/>
                    <w:jc w:val="center"/>
                    <w:rPr>
                      <w:rFonts w:hint="eastAsia"/>
                      <w:color w:val="FF0000"/>
                      <w:u w:val="single"/>
                      <w:lang w:val="en-US" w:eastAsia="zh-CN"/>
                    </w:rPr>
                  </w:pPr>
                  <w:r>
                    <w:rPr>
                      <w:rFonts w:hint="eastAsia"/>
                      <w:color w:val="FF0000"/>
                      <w:u w:val="single"/>
                      <w:lang w:val="en-US" w:eastAsia="zh-CN"/>
                    </w:rPr>
                    <w:t>千克/吨-产品</w:t>
                  </w:r>
                </w:p>
              </w:tc>
              <w:tc>
                <w:tcPr>
                  <w:tcW w:w="473" w:type="pc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1.50</w:t>
                  </w:r>
                </w:p>
              </w:tc>
              <w:tc>
                <w:tcPr>
                  <w:tcW w:w="566" w:type="pc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光催化+活性炭吸附</w:t>
                  </w:r>
                </w:p>
              </w:tc>
              <w:tc>
                <w:tcPr>
                  <w:tcW w:w="687" w:type="pct"/>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24</w:t>
                  </w:r>
                </w:p>
              </w:tc>
            </w:tr>
          </w:tbl>
          <w:p>
            <w:pPr>
              <w:numPr>
                <w:ilvl w:val="0"/>
                <w:numId w:val="0"/>
              </w:numPr>
              <w:adjustRightInd w:val="0"/>
              <w:snapToGrid w:val="0"/>
              <w:spacing w:line="360" w:lineRule="auto"/>
              <w:ind w:firstLine="440" w:firstLineChars="200"/>
              <w:jc w:val="both"/>
              <w:rPr>
                <w:rFonts w:hint="default" w:ascii="宋体" w:hAnsi="宋体" w:cs="宋体"/>
                <w:bCs/>
                <w:color w:val="FF0000"/>
                <w:spacing w:val="-10"/>
                <w:sz w:val="24"/>
                <w:szCs w:val="24"/>
                <w:u w:val="single"/>
                <w:lang w:val="en-US" w:eastAsia="zh-CN"/>
              </w:rPr>
            </w:pPr>
            <w:r>
              <w:rPr>
                <w:rFonts w:hint="eastAsia" w:ascii="宋体" w:hAnsi="宋体" w:cs="宋体"/>
                <w:bCs/>
                <w:color w:val="FF0000"/>
                <w:spacing w:val="-10"/>
                <w:sz w:val="24"/>
                <w:szCs w:val="24"/>
                <w:u w:val="single"/>
                <w:lang w:val="en-US" w:eastAsia="zh-CN"/>
              </w:rPr>
              <w:t>根据建设方提供资料，本项目浮体年产量5000t，不合格产品占总产量的2%，即项目每年有约100t不合格产品需要破碎后重返生产线。则项目破碎过程中颗粒物产生量为0.6t。建设单位拟在破碎设备口安装集气罩收集废气，废气经布袋除尘处理后，由15m高排气筒（TA001）排放至车间外。总风量为8000m</w:t>
            </w:r>
            <w:r>
              <w:rPr>
                <w:rFonts w:hint="eastAsia" w:ascii="宋体" w:hAnsi="宋体" w:cs="宋体"/>
                <w:bCs/>
                <w:color w:val="FF0000"/>
                <w:spacing w:val="-10"/>
                <w:sz w:val="24"/>
                <w:szCs w:val="24"/>
                <w:u w:val="single"/>
                <w:vertAlign w:val="superscript"/>
                <w:lang w:val="en-US" w:eastAsia="zh-CN"/>
              </w:rPr>
              <w:t>3</w:t>
            </w:r>
            <w:r>
              <w:rPr>
                <w:rFonts w:hint="eastAsia" w:ascii="宋体" w:hAnsi="宋体" w:cs="宋体"/>
                <w:bCs/>
                <w:color w:val="FF0000"/>
                <w:spacing w:val="-10"/>
                <w:sz w:val="24"/>
                <w:szCs w:val="24"/>
                <w:u w:val="single"/>
                <w:lang w:val="en-US" w:eastAsia="zh-CN"/>
              </w:rPr>
              <w:t>/h，年运行4800h，集气罩收集效率取90%，粉尘为除效率取99%。本项目破碎粉尘产生及排放情况见下表：</w:t>
            </w:r>
          </w:p>
          <w:p>
            <w:pPr>
              <w:numPr>
                <w:ilvl w:val="0"/>
                <w:numId w:val="0"/>
              </w:numPr>
              <w:adjustRightInd w:val="0"/>
              <w:snapToGrid w:val="0"/>
              <w:spacing w:line="360" w:lineRule="auto"/>
              <w:jc w:val="center"/>
              <w:rPr>
                <w:rFonts w:hint="default" w:ascii="宋体" w:hAnsi="宋体" w:cs="宋体"/>
                <w:b/>
                <w:bCs w:val="0"/>
                <w:color w:val="FF0000"/>
                <w:spacing w:val="-10"/>
                <w:sz w:val="24"/>
                <w:szCs w:val="24"/>
                <w:u w:val="single"/>
                <w:lang w:val="en-US" w:eastAsia="zh-CN"/>
              </w:rPr>
            </w:pPr>
            <w:r>
              <w:rPr>
                <w:rFonts w:hint="eastAsia" w:ascii="宋体" w:hAnsi="宋体" w:cs="宋体"/>
                <w:b/>
                <w:bCs w:val="0"/>
                <w:color w:val="FF0000"/>
                <w:spacing w:val="-10"/>
                <w:sz w:val="24"/>
                <w:szCs w:val="24"/>
                <w:u w:val="single"/>
                <w:lang w:val="en-US" w:eastAsia="zh-CN"/>
              </w:rPr>
              <w:t>表4-3  破碎粉尘产生及排放情况一览表</w:t>
            </w:r>
          </w:p>
          <w:tbl>
            <w:tblPr>
              <w:tblStyle w:val="15"/>
              <w:tblW w:w="4998"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00"/>
              <w:gridCol w:w="801"/>
              <w:gridCol w:w="956"/>
              <w:gridCol w:w="1044"/>
              <w:gridCol w:w="891"/>
              <w:gridCol w:w="718"/>
              <w:gridCol w:w="1127"/>
              <w:gridCol w:w="990"/>
              <w:gridCol w:w="10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51" w:type="pct"/>
                  <w:vMerge w:val="restar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污染物</w:t>
                  </w:r>
                </w:p>
              </w:tc>
              <w:tc>
                <w:tcPr>
                  <w:tcW w:w="1755" w:type="pct"/>
                  <w:gridSpan w:val="3"/>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产生情况</w:t>
                  </w:r>
                </w:p>
              </w:tc>
              <w:tc>
                <w:tcPr>
                  <w:tcW w:w="2992" w:type="pct"/>
                  <w:gridSpan w:val="5"/>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排放情况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51" w:type="pct"/>
                  <w:vMerge w:val="continue"/>
                  <w:tcBorders>
                    <w:tl2br w:val="nil"/>
                    <w:tr2bl w:val="nil"/>
                  </w:tcBorders>
                  <w:vAlign w:val="center"/>
                </w:tcPr>
                <w:p>
                  <w:pPr>
                    <w:bidi w:val="0"/>
                    <w:spacing w:line="240" w:lineRule="auto"/>
                    <w:jc w:val="center"/>
                    <w:rPr>
                      <w:rFonts w:hint="default"/>
                      <w:b/>
                      <w:bCs/>
                      <w:color w:val="FF0000"/>
                      <w:sz w:val="18"/>
                      <w:szCs w:val="18"/>
                      <w:u w:val="single"/>
                      <w:lang w:val="en-US" w:eastAsia="zh-CN"/>
                    </w:rPr>
                  </w:pPr>
                </w:p>
              </w:tc>
              <w:tc>
                <w:tcPr>
                  <w:tcW w:w="502" w:type="pct"/>
                  <w:vMerge w:val="restar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产生量</w:t>
                  </w:r>
                </w:p>
              </w:tc>
              <w:tc>
                <w:tcPr>
                  <w:tcW w:w="599" w:type="pct"/>
                  <w:vMerge w:val="restar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产生速率</w:t>
                  </w:r>
                </w:p>
              </w:tc>
              <w:tc>
                <w:tcPr>
                  <w:tcW w:w="654" w:type="pct"/>
                  <w:vMerge w:val="restar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产生浓度</w:t>
                  </w:r>
                </w:p>
              </w:tc>
              <w:tc>
                <w:tcPr>
                  <w:tcW w:w="1714" w:type="pct"/>
                  <w:gridSpan w:val="3"/>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有组织</w:t>
                  </w:r>
                </w:p>
              </w:tc>
              <w:tc>
                <w:tcPr>
                  <w:tcW w:w="1278" w:type="pct"/>
                  <w:gridSpan w:val="2"/>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51" w:type="pct"/>
                  <w:vMerge w:val="continue"/>
                  <w:tcBorders>
                    <w:tl2br w:val="nil"/>
                    <w:tr2bl w:val="nil"/>
                  </w:tcBorders>
                  <w:vAlign w:val="center"/>
                </w:tcPr>
                <w:p>
                  <w:pPr>
                    <w:bidi w:val="0"/>
                    <w:spacing w:line="240" w:lineRule="auto"/>
                    <w:jc w:val="center"/>
                    <w:rPr>
                      <w:rFonts w:hint="default"/>
                      <w:b/>
                      <w:bCs/>
                      <w:color w:val="FF0000"/>
                      <w:sz w:val="18"/>
                      <w:szCs w:val="18"/>
                      <w:u w:val="single"/>
                      <w:lang w:val="en-US" w:eastAsia="zh-CN"/>
                    </w:rPr>
                  </w:pPr>
                </w:p>
              </w:tc>
              <w:tc>
                <w:tcPr>
                  <w:tcW w:w="502" w:type="pct"/>
                  <w:vMerge w:val="continue"/>
                  <w:tcBorders>
                    <w:tl2br w:val="nil"/>
                    <w:tr2bl w:val="nil"/>
                  </w:tcBorders>
                  <w:vAlign w:val="center"/>
                </w:tcPr>
                <w:p>
                  <w:pPr>
                    <w:bidi w:val="0"/>
                    <w:spacing w:line="240" w:lineRule="auto"/>
                    <w:jc w:val="center"/>
                    <w:rPr>
                      <w:rFonts w:hint="default"/>
                      <w:b/>
                      <w:bCs/>
                      <w:color w:val="FF0000"/>
                      <w:sz w:val="18"/>
                      <w:szCs w:val="18"/>
                      <w:u w:val="single"/>
                      <w:lang w:val="en-US" w:eastAsia="zh-CN"/>
                    </w:rPr>
                  </w:pPr>
                </w:p>
              </w:tc>
              <w:tc>
                <w:tcPr>
                  <w:tcW w:w="599" w:type="pct"/>
                  <w:vMerge w:val="continue"/>
                  <w:tcBorders>
                    <w:tl2br w:val="nil"/>
                    <w:tr2bl w:val="nil"/>
                  </w:tcBorders>
                  <w:vAlign w:val="center"/>
                </w:tcPr>
                <w:p>
                  <w:pPr>
                    <w:bidi w:val="0"/>
                    <w:spacing w:line="240" w:lineRule="auto"/>
                    <w:jc w:val="center"/>
                    <w:rPr>
                      <w:rFonts w:hint="default"/>
                      <w:b/>
                      <w:bCs/>
                      <w:color w:val="FF0000"/>
                      <w:sz w:val="18"/>
                      <w:szCs w:val="18"/>
                      <w:u w:val="single"/>
                      <w:lang w:val="en-US" w:eastAsia="zh-CN"/>
                    </w:rPr>
                  </w:pPr>
                </w:p>
              </w:tc>
              <w:tc>
                <w:tcPr>
                  <w:tcW w:w="654" w:type="pct"/>
                  <w:vMerge w:val="continue"/>
                  <w:tcBorders>
                    <w:tl2br w:val="nil"/>
                    <w:tr2bl w:val="nil"/>
                  </w:tcBorders>
                  <w:vAlign w:val="center"/>
                </w:tcPr>
                <w:p>
                  <w:pPr>
                    <w:bidi w:val="0"/>
                    <w:spacing w:line="240" w:lineRule="auto"/>
                    <w:jc w:val="center"/>
                    <w:rPr>
                      <w:rFonts w:hint="default"/>
                      <w:b/>
                      <w:bCs/>
                      <w:color w:val="FF0000"/>
                      <w:sz w:val="18"/>
                      <w:szCs w:val="18"/>
                      <w:u w:val="single"/>
                      <w:lang w:val="en-US" w:eastAsia="zh-CN"/>
                    </w:rPr>
                  </w:pPr>
                </w:p>
              </w:tc>
              <w:tc>
                <w:tcPr>
                  <w:tcW w:w="558"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排放量</w:t>
                  </w:r>
                </w:p>
              </w:tc>
              <w:tc>
                <w:tcPr>
                  <w:tcW w:w="450"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排放速率</w:t>
                  </w:r>
                </w:p>
              </w:tc>
              <w:tc>
                <w:tcPr>
                  <w:tcW w:w="705"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排放浓度</w:t>
                  </w:r>
                </w:p>
              </w:tc>
              <w:tc>
                <w:tcPr>
                  <w:tcW w:w="620"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排放量</w:t>
                  </w:r>
                </w:p>
              </w:tc>
              <w:tc>
                <w:tcPr>
                  <w:tcW w:w="657"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排放速率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51"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颗粒物</w:t>
                  </w:r>
                </w:p>
              </w:tc>
              <w:tc>
                <w:tcPr>
                  <w:tcW w:w="502"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0.6t/a</w:t>
                  </w:r>
                </w:p>
              </w:tc>
              <w:tc>
                <w:tcPr>
                  <w:tcW w:w="599" w:type="pct"/>
                  <w:tcBorders>
                    <w:tl2br w:val="nil"/>
                    <w:tr2bl w:val="nil"/>
                  </w:tcBorders>
                  <w:vAlign w:val="center"/>
                </w:tcPr>
                <w:p>
                  <w:pPr>
                    <w:bidi w:val="0"/>
                    <w:spacing w:line="240" w:lineRule="auto"/>
                    <w:jc w:val="center"/>
                    <w:rPr>
                      <w:rFonts w:hint="eastAsia"/>
                      <w:color w:val="FF0000"/>
                      <w:sz w:val="18"/>
                      <w:szCs w:val="18"/>
                      <w:u w:val="single"/>
                      <w:lang w:val="en-US" w:eastAsia="zh-CN"/>
                    </w:rPr>
                  </w:pPr>
                  <w:r>
                    <w:rPr>
                      <w:rFonts w:hint="eastAsia"/>
                      <w:color w:val="FF0000"/>
                      <w:sz w:val="18"/>
                      <w:szCs w:val="18"/>
                      <w:u w:val="single"/>
                      <w:lang w:val="en-US" w:eastAsia="zh-CN"/>
                    </w:rPr>
                    <w:t>0.1250</w:t>
                  </w:r>
                </w:p>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kg/h</w:t>
                  </w:r>
                </w:p>
              </w:tc>
              <w:tc>
                <w:tcPr>
                  <w:tcW w:w="654" w:type="pct"/>
                  <w:tcBorders>
                    <w:tl2br w:val="nil"/>
                    <w:tr2bl w:val="nil"/>
                  </w:tcBorders>
                  <w:vAlign w:val="center"/>
                </w:tcPr>
                <w:p>
                  <w:pPr>
                    <w:bidi w:val="0"/>
                    <w:spacing w:line="240" w:lineRule="auto"/>
                    <w:jc w:val="center"/>
                    <w:rPr>
                      <w:rFonts w:hint="eastAsia"/>
                      <w:color w:val="FF0000"/>
                      <w:sz w:val="18"/>
                      <w:szCs w:val="18"/>
                      <w:u w:val="single"/>
                      <w:lang w:val="en-US" w:eastAsia="zh-CN"/>
                    </w:rPr>
                  </w:pPr>
                  <w:r>
                    <w:rPr>
                      <w:rFonts w:hint="eastAsia"/>
                      <w:color w:val="FF0000"/>
                      <w:sz w:val="18"/>
                      <w:szCs w:val="18"/>
                      <w:u w:val="single"/>
                      <w:lang w:val="en-US" w:eastAsia="zh-CN"/>
                    </w:rPr>
                    <w:t>15.625</w:t>
                  </w:r>
                </w:p>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mg/m</w:t>
                  </w:r>
                  <w:r>
                    <w:rPr>
                      <w:rFonts w:hint="eastAsia"/>
                      <w:color w:val="FF0000"/>
                      <w:sz w:val="18"/>
                      <w:szCs w:val="18"/>
                      <w:u w:val="single"/>
                      <w:vertAlign w:val="superscript"/>
                      <w:lang w:val="en-US" w:eastAsia="zh-CN"/>
                    </w:rPr>
                    <w:t>3</w:t>
                  </w:r>
                </w:p>
              </w:tc>
              <w:tc>
                <w:tcPr>
                  <w:tcW w:w="55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0.0054t/a</w:t>
                  </w:r>
                </w:p>
              </w:tc>
              <w:tc>
                <w:tcPr>
                  <w:tcW w:w="450" w:type="pct"/>
                  <w:tcBorders>
                    <w:tl2br w:val="nil"/>
                    <w:tr2bl w:val="nil"/>
                  </w:tcBorders>
                  <w:vAlign w:val="center"/>
                </w:tcPr>
                <w:p>
                  <w:pPr>
                    <w:bidi w:val="0"/>
                    <w:spacing w:line="240" w:lineRule="auto"/>
                    <w:jc w:val="center"/>
                    <w:rPr>
                      <w:rFonts w:hint="eastAsia"/>
                      <w:color w:val="FF0000"/>
                      <w:sz w:val="18"/>
                      <w:szCs w:val="18"/>
                      <w:u w:val="single"/>
                      <w:lang w:val="en-US" w:eastAsia="zh-CN"/>
                    </w:rPr>
                  </w:pPr>
                  <w:r>
                    <w:rPr>
                      <w:rFonts w:hint="eastAsia"/>
                      <w:color w:val="FF0000"/>
                      <w:sz w:val="18"/>
                      <w:szCs w:val="18"/>
                      <w:u w:val="single"/>
                      <w:lang w:val="en-US" w:eastAsia="zh-CN"/>
                    </w:rPr>
                    <w:t>0.0012</w:t>
                  </w:r>
                </w:p>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kg/h</w:t>
                  </w:r>
                </w:p>
              </w:tc>
              <w:tc>
                <w:tcPr>
                  <w:tcW w:w="705"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0.15mg/m</w:t>
                  </w:r>
                  <w:r>
                    <w:rPr>
                      <w:rFonts w:hint="eastAsia"/>
                      <w:color w:val="FF0000"/>
                      <w:sz w:val="18"/>
                      <w:szCs w:val="18"/>
                      <w:u w:val="single"/>
                      <w:vertAlign w:val="superscript"/>
                      <w:lang w:val="en-US" w:eastAsia="zh-CN"/>
                    </w:rPr>
                    <w:t>3</w:t>
                  </w:r>
                </w:p>
              </w:tc>
              <w:tc>
                <w:tcPr>
                  <w:tcW w:w="620"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0.06t/a</w:t>
                  </w:r>
                </w:p>
              </w:tc>
              <w:tc>
                <w:tcPr>
                  <w:tcW w:w="657"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0.0125kg/h</w:t>
                  </w:r>
                </w:p>
              </w:tc>
            </w:tr>
          </w:tbl>
          <w:p>
            <w:pPr>
              <w:numPr>
                <w:ilvl w:val="0"/>
                <w:numId w:val="0"/>
              </w:numPr>
              <w:adjustRightInd w:val="0"/>
              <w:snapToGrid w:val="0"/>
              <w:spacing w:line="360" w:lineRule="auto"/>
              <w:ind w:firstLine="440" w:firstLineChars="200"/>
              <w:jc w:val="both"/>
              <w:rPr>
                <w:rFonts w:hint="eastAsia" w:ascii="宋体" w:hAnsi="宋体" w:cs="宋体"/>
                <w:bCs/>
                <w:color w:val="FF0000"/>
                <w:spacing w:val="-10"/>
                <w:sz w:val="24"/>
                <w:szCs w:val="24"/>
                <w:u w:val="single"/>
                <w:lang w:val="en-US" w:eastAsia="zh-CN"/>
              </w:rPr>
            </w:pPr>
            <w:r>
              <w:rPr>
                <w:rFonts w:hint="eastAsia" w:ascii="宋体" w:hAnsi="宋体" w:cs="宋体"/>
                <w:bCs/>
                <w:color w:val="FF0000"/>
                <w:spacing w:val="-10"/>
                <w:sz w:val="24"/>
                <w:szCs w:val="24"/>
                <w:u w:val="single"/>
                <w:lang w:val="en-US" w:eastAsia="zh-CN"/>
              </w:rPr>
              <w:t>本项目熔融过程中挥发性有机物（以非甲烷总烃计）产生量为7.5t。项目熔融成型过程在全密闭设备内完成（温度在200℃左右），且设备均安装配套集气管道，收集后的废气经“UV光解催化氧化+活性炭”处理后，由15m高排气筒（TA002）排放至车间外。总风量为40000m</w:t>
            </w:r>
            <w:r>
              <w:rPr>
                <w:rFonts w:hint="eastAsia" w:ascii="宋体" w:hAnsi="宋体" w:cs="宋体"/>
                <w:bCs/>
                <w:color w:val="FF0000"/>
                <w:spacing w:val="-10"/>
                <w:sz w:val="24"/>
                <w:szCs w:val="24"/>
                <w:u w:val="single"/>
                <w:vertAlign w:val="superscript"/>
                <w:lang w:val="en-US" w:eastAsia="zh-CN"/>
              </w:rPr>
              <w:t>3</w:t>
            </w:r>
            <w:r>
              <w:rPr>
                <w:rFonts w:hint="eastAsia" w:ascii="宋体" w:hAnsi="宋体" w:cs="宋体"/>
                <w:bCs/>
                <w:color w:val="FF0000"/>
                <w:spacing w:val="-10"/>
                <w:sz w:val="24"/>
                <w:szCs w:val="24"/>
                <w:u w:val="single"/>
                <w:lang w:val="en-US" w:eastAsia="zh-CN"/>
              </w:rPr>
              <w:t>/h，年运行4800h，收集效率取100%，非甲烷总烃去除效率取24%。本项目熔融挥发性有机物产生及排放情况见下表：</w:t>
            </w:r>
          </w:p>
          <w:p>
            <w:pPr>
              <w:numPr>
                <w:ilvl w:val="0"/>
                <w:numId w:val="0"/>
              </w:numPr>
              <w:adjustRightInd w:val="0"/>
              <w:snapToGrid w:val="0"/>
              <w:spacing w:line="360" w:lineRule="auto"/>
              <w:jc w:val="center"/>
              <w:rPr>
                <w:rFonts w:hint="eastAsia" w:ascii="宋体" w:hAnsi="宋体" w:cs="宋体"/>
                <w:b/>
                <w:bCs w:val="0"/>
                <w:color w:val="FF0000"/>
                <w:spacing w:val="-10"/>
                <w:sz w:val="24"/>
                <w:szCs w:val="24"/>
                <w:u w:val="single"/>
                <w:lang w:val="en-US" w:eastAsia="zh-CN"/>
              </w:rPr>
            </w:pPr>
            <w:r>
              <w:rPr>
                <w:rFonts w:hint="eastAsia" w:ascii="宋体" w:hAnsi="宋体" w:cs="宋体"/>
                <w:b/>
                <w:bCs w:val="0"/>
                <w:color w:val="FF0000"/>
                <w:spacing w:val="-10"/>
                <w:sz w:val="24"/>
                <w:szCs w:val="24"/>
                <w:u w:val="single"/>
                <w:lang w:val="en-US" w:eastAsia="zh-CN"/>
              </w:rPr>
              <w:t>表4-4  挥发性有机物产生及排放情况一览表</w:t>
            </w:r>
          </w:p>
          <w:tbl>
            <w:tblPr>
              <w:tblStyle w:val="1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47"/>
              <w:gridCol w:w="820"/>
              <w:gridCol w:w="698"/>
              <w:gridCol w:w="1121"/>
              <w:gridCol w:w="683"/>
              <w:gridCol w:w="961"/>
              <w:gridCol w:w="1121"/>
              <w:gridCol w:w="530"/>
              <w:gridCol w:w="5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67" w:hRule="atLeast"/>
              </w:trPr>
              <w:tc>
                <w:tcPr>
                  <w:tcW w:w="906" w:type="pct"/>
                  <w:vMerge w:val="restar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污染物</w:t>
                  </w:r>
                </w:p>
              </w:tc>
              <w:tc>
                <w:tcPr>
                  <w:tcW w:w="1653" w:type="pct"/>
                  <w:gridSpan w:val="3"/>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产生情况</w:t>
                  </w:r>
                </w:p>
              </w:tc>
              <w:tc>
                <w:tcPr>
                  <w:tcW w:w="2439" w:type="pct"/>
                  <w:gridSpan w:val="5"/>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排放情况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06" w:type="pct"/>
                  <w:vMerge w:val="continue"/>
                  <w:tcBorders>
                    <w:tl2br w:val="nil"/>
                    <w:tr2bl w:val="nil"/>
                  </w:tcBorders>
                  <w:vAlign w:val="center"/>
                </w:tcPr>
                <w:p>
                  <w:pPr>
                    <w:bidi w:val="0"/>
                    <w:spacing w:line="240" w:lineRule="auto"/>
                    <w:jc w:val="center"/>
                    <w:rPr>
                      <w:rFonts w:hint="default"/>
                      <w:b/>
                      <w:bCs/>
                      <w:color w:val="FF0000"/>
                      <w:sz w:val="18"/>
                      <w:szCs w:val="18"/>
                      <w:u w:val="single"/>
                      <w:lang w:val="en-US" w:eastAsia="zh-CN"/>
                    </w:rPr>
                  </w:pPr>
                </w:p>
              </w:tc>
              <w:tc>
                <w:tcPr>
                  <w:tcW w:w="513" w:type="pct"/>
                  <w:vMerge w:val="restar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产生量</w:t>
                  </w:r>
                </w:p>
              </w:tc>
              <w:tc>
                <w:tcPr>
                  <w:tcW w:w="437" w:type="pct"/>
                  <w:vMerge w:val="restart"/>
                  <w:tcBorders>
                    <w:tl2br w:val="nil"/>
                    <w:tr2bl w:val="nil"/>
                  </w:tcBorders>
                  <w:vAlign w:val="center"/>
                </w:tcPr>
                <w:p>
                  <w:pPr>
                    <w:bidi w:val="0"/>
                    <w:spacing w:line="240" w:lineRule="auto"/>
                    <w:jc w:val="center"/>
                    <w:rPr>
                      <w:rFonts w:hint="eastAsia"/>
                      <w:b/>
                      <w:bCs/>
                      <w:color w:val="FF0000"/>
                      <w:sz w:val="18"/>
                      <w:szCs w:val="18"/>
                      <w:u w:val="single"/>
                      <w:lang w:val="en-US" w:eastAsia="zh-CN"/>
                    </w:rPr>
                  </w:pPr>
                  <w:r>
                    <w:rPr>
                      <w:rFonts w:hint="eastAsia"/>
                      <w:b/>
                      <w:bCs/>
                      <w:color w:val="FF0000"/>
                      <w:sz w:val="18"/>
                      <w:szCs w:val="18"/>
                      <w:u w:val="single"/>
                      <w:lang w:val="en-US" w:eastAsia="zh-CN"/>
                    </w:rPr>
                    <w:t>产生</w:t>
                  </w:r>
                </w:p>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速率</w:t>
                  </w:r>
                </w:p>
              </w:tc>
              <w:tc>
                <w:tcPr>
                  <w:tcW w:w="702" w:type="pct"/>
                  <w:vMerge w:val="restar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产生浓度</w:t>
                  </w:r>
                </w:p>
              </w:tc>
              <w:tc>
                <w:tcPr>
                  <w:tcW w:w="1732" w:type="pct"/>
                  <w:gridSpan w:val="3"/>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有组织</w:t>
                  </w:r>
                </w:p>
              </w:tc>
              <w:tc>
                <w:tcPr>
                  <w:tcW w:w="707" w:type="pct"/>
                  <w:gridSpan w:val="2"/>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06" w:type="pct"/>
                  <w:vMerge w:val="continue"/>
                  <w:tcBorders>
                    <w:tl2br w:val="nil"/>
                    <w:tr2bl w:val="nil"/>
                  </w:tcBorders>
                  <w:vAlign w:val="center"/>
                </w:tcPr>
                <w:p>
                  <w:pPr>
                    <w:bidi w:val="0"/>
                    <w:spacing w:line="240" w:lineRule="auto"/>
                    <w:jc w:val="center"/>
                    <w:rPr>
                      <w:rFonts w:hint="default"/>
                      <w:b/>
                      <w:bCs/>
                      <w:color w:val="FF0000"/>
                      <w:sz w:val="18"/>
                      <w:szCs w:val="18"/>
                      <w:u w:val="single"/>
                      <w:lang w:val="en-US" w:eastAsia="zh-CN"/>
                    </w:rPr>
                  </w:pPr>
                </w:p>
              </w:tc>
              <w:tc>
                <w:tcPr>
                  <w:tcW w:w="513" w:type="pct"/>
                  <w:vMerge w:val="continue"/>
                  <w:tcBorders>
                    <w:tl2br w:val="nil"/>
                    <w:tr2bl w:val="nil"/>
                  </w:tcBorders>
                  <w:vAlign w:val="center"/>
                </w:tcPr>
                <w:p>
                  <w:pPr>
                    <w:bidi w:val="0"/>
                    <w:spacing w:line="240" w:lineRule="auto"/>
                    <w:jc w:val="center"/>
                    <w:rPr>
                      <w:rFonts w:hint="default"/>
                      <w:b/>
                      <w:bCs/>
                      <w:color w:val="FF0000"/>
                      <w:sz w:val="18"/>
                      <w:szCs w:val="18"/>
                      <w:u w:val="single"/>
                      <w:lang w:val="en-US" w:eastAsia="zh-CN"/>
                    </w:rPr>
                  </w:pPr>
                </w:p>
              </w:tc>
              <w:tc>
                <w:tcPr>
                  <w:tcW w:w="437" w:type="pct"/>
                  <w:vMerge w:val="continue"/>
                  <w:tcBorders>
                    <w:tl2br w:val="nil"/>
                    <w:tr2bl w:val="nil"/>
                  </w:tcBorders>
                  <w:vAlign w:val="center"/>
                </w:tcPr>
                <w:p>
                  <w:pPr>
                    <w:bidi w:val="0"/>
                    <w:spacing w:line="240" w:lineRule="auto"/>
                    <w:jc w:val="center"/>
                    <w:rPr>
                      <w:rFonts w:hint="default"/>
                      <w:b/>
                      <w:bCs/>
                      <w:color w:val="FF0000"/>
                      <w:sz w:val="18"/>
                      <w:szCs w:val="18"/>
                      <w:u w:val="single"/>
                      <w:lang w:val="en-US" w:eastAsia="zh-CN"/>
                    </w:rPr>
                  </w:pPr>
                </w:p>
              </w:tc>
              <w:tc>
                <w:tcPr>
                  <w:tcW w:w="702" w:type="pct"/>
                  <w:vMerge w:val="continue"/>
                  <w:tcBorders>
                    <w:tl2br w:val="nil"/>
                    <w:tr2bl w:val="nil"/>
                  </w:tcBorders>
                  <w:vAlign w:val="center"/>
                </w:tcPr>
                <w:p>
                  <w:pPr>
                    <w:bidi w:val="0"/>
                    <w:spacing w:line="240" w:lineRule="auto"/>
                    <w:jc w:val="center"/>
                    <w:rPr>
                      <w:rFonts w:hint="default"/>
                      <w:b/>
                      <w:bCs/>
                      <w:color w:val="FF0000"/>
                      <w:sz w:val="18"/>
                      <w:szCs w:val="18"/>
                      <w:u w:val="single"/>
                      <w:lang w:val="en-US" w:eastAsia="zh-CN"/>
                    </w:rPr>
                  </w:pPr>
                </w:p>
              </w:tc>
              <w:tc>
                <w:tcPr>
                  <w:tcW w:w="427"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排放量</w:t>
                  </w:r>
                </w:p>
              </w:tc>
              <w:tc>
                <w:tcPr>
                  <w:tcW w:w="602"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排放速率</w:t>
                  </w:r>
                </w:p>
              </w:tc>
              <w:tc>
                <w:tcPr>
                  <w:tcW w:w="702"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排放浓度</w:t>
                  </w:r>
                </w:p>
              </w:tc>
              <w:tc>
                <w:tcPr>
                  <w:tcW w:w="332"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排放量</w:t>
                  </w:r>
                </w:p>
              </w:tc>
              <w:tc>
                <w:tcPr>
                  <w:tcW w:w="375"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排放速率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06"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挥发性有机物（以非甲烷总烃计）</w:t>
                  </w:r>
                </w:p>
              </w:tc>
              <w:tc>
                <w:tcPr>
                  <w:tcW w:w="513"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7.5t/a</w:t>
                  </w:r>
                </w:p>
              </w:tc>
              <w:tc>
                <w:tcPr>
                  <w:tcW w:w="437"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1.562kg/h</w:t>
                  </w:r>
                </w:p>
              </w:tc>
              <w:tc>
                <w:tcPr>
                  <w:tcW w:w="702"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39.05mg/m</w:t>
                  </w:r>
                  <w:r>
                    <w:rPr>
                      <w:rFonts w:hint="eastAsia"/>
                      <w:color w:val="FF0000"/>
                      <w:sz w:val="18"/>
                      <w:szCs w:val="18"/>
                      <w:u w:val="single"/>
                      <w:vertAlign w:val="superscript"/>
                      <w:lang w:val="en-US" w:eastAsia="zh-CN"/>
                    </w:rPr>
                    <w:t>3</w:t>
                  </w:r>
                </w:p>
              </w:tc>
              <w:tc>
                <w:tcPr>
                  <w:tcW w:w="427"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5.7t/a</w:t>
                  </w:r>
                </w:p>
              </w:tc>
              <w:tc>
                <w:tcPr>
                  <w:tcW w:w="602"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1.187</w:t>
                  </w:r>
                </w:p>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kg/h</w:t>
                  </w:r>
                </w:p>
              </w:tc>
              <w:tc>
                <w:tcPr>
                  <w:tcW w:w="702"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29.67mg/m</w:t>
                  </w:r>
                  <w:r>
                    <w:rPr>
                      <w:rFonts w:hint="eastAsia"/>
                      <w:color w:val="FF0000"/>
                      <w:sz w:val="18"/>
                      <w:szCs w:val="18"/>
                      <w:u w:val="single"/>
                      <w:vertAlign w:val="superscript"/>
                      <w:lang w:val="en-US" w:eastAsia="zh-CN"/>
                    </w:rPr>
                    <w:t>3</w:t>
                  </w:r>
                </w:p>
              </w:tc>
              <w:tc>
                <w:tcPr>
                  <w:tcW w:w="332"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w:t>
                  </w:r>
                </w:p>
              </w:tc>
              <w:tc>
                <w:tcPr>
                  <w:tcW w:w="375"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w:t>
                  </w:r>
                </w:p>
              </w:tc>
            </w:tr>
          </w:tbl>
          <w:p>
            <w:pPr>
              <w:numPr>
                <w:ilvl w:val="0"/>
                <w:numId w:val="0"/>
              </w:numPr>
              <w:adjustRightInd w:val="0"/>
              <w:snapToGrid w:val="0"/>
              <w:spacing w:line="360" w:lineRule="auto"/>
              <w:jc w:val="both"/>
              <w:rPr>
                <w:rFonts w:hint="default" w:ascii="宋体" w:hAnsi="宋体" w:cs="宋体"/>
                <w:bCs/>
                <w:color w:val="FF0000"/>
                <w:spacing w:val="-10"/>
                <w:sz w:val="24"/>
                <w:szCs w:val="24"/>
                <w:u w:val="single"/>
                <w:lang w:val="en-US" w:eastAsia="zh-CN"/>
              </w:rPr>
            </w:pPr>
            <w:r>
              <w:rPr>
                <w:rFonts w:hint="eastAsia" w:ascii="宋体" w:hAnsi="宋体" w:cs="宋体"/>
                <w:bCs/>
                <w:color w:val="FF0000"/>
                <w:spacing w:val="-10"/>
                <w:sz w:val="24"/>
                <w:szCs w:val="24"/>
                <w:u w:val="single"/>
                <w:lang w:val="en-US" w:eastAsia="zh-CN"/>
              </w:rPr>
              <w:t>（2）监测计划</w:t>
            </w:r>
          </w:p>
          <w:p>
            <w:pPr>
              <w:pStyle w:val="12"/>
              <w:numPr>
                <w:ilvl w:val="0"/>
                <w:numId w:val="0"/>
              </w:numPr>
              <w:adjustRightInd w:val="0"/>
              <w:snapToGrid w:val="0"/>
              <w:spacing w:before="0" w:beforeAutospacing="0" w:after="0" w:afterAutospacing="0" w:line="360" w:lineRule="auto"/>
              <w:ind w:leftChars="0" w:firstLine="480" w:firstLineChars="200"/>
              <w:jc w:val="both"/>
              <w:rPr>
                <w:rFonts w:hint="eastAsia" w:cs="宋体"/>
                <w:color w:val="FF0000"/>
                <w:kern w:val="2"/>
                <w:sz w:val="24"/>
                <w:szCs w:val="24"/>
                <w:u w:val="single"/>
                <w:lang w:val="en-US" w:eastAsia="zh-CN"/>
              </w:rPr>
            </w:pPr>
            <w:r>
              <w:rPr>
                <w:rFonts w:hint="eastAsia" w:cs="宋体"/>
                <w:color w:val="FF0000"/>
                <w:kern w:val="2"/>
                <w:sz w:val="24"/>
                <w:szCs w:val="24"/>
                <w:u w:val="single"/>
                <w:lang w:val="en-US" w:eastAsia="zh-CN"/>
              </w:rPr>
              <w:t>根据《排污许可证申请与核发技术规范 橡胶和塑料制品工业》（HJ1122-2020），项目废气监测计划如下表所示。</w:t>
            </w:r>
          </w:p>
          <w:p>
            <w:pPr>
              <w:pStyle w:val="12"/>
              <w:numPr>
                <w:ilvl w:val="0"/>
                <w:numId w:val="0"/>
              </w:numPr>
              <w:adjustRightInd w:val="0"/>
              <w:snapToGrid w:val="0"/>
              <w:spacing w:before="0" w:beforeAutospacing="0" w:after="0" w:afterAutospacing="0" w:line="360" w:lineRule="auto"/>
              <w:jc w:val="center"/>
              <w:rPr>
                <w:rFonts w:hint="default" w:cs="宋体"/>
                <w:b/>
                <w:bCs/>
                <w:color w:val="FF0000"/>
                <w:kern w:val="2"/>
                <w:sz w:val="24"/>
                <w:szCs w:val="24"/>
                <w:u w:val="single"/>
                <w:vertAlign w:val="baseline"/>
                <w:lang w:val="en-US" w:eastAsia="zh-CN"/>
              </w:rPr>
            </w:pPr>
            <w:r>
              <w:rPr>
                <w:rFonts w:hint="eastAsia" w:cs="宋体"/>
                <w:b/>
                <w:bCs/>
                <w:color w:val="FF0000"/>
                <w:kern w:val="2"/>
                <w:sz w:val="24"/>
                <w:szCs w:val="24"/>
                <w:u w:val="single"/>
                <w:lang w:val="en-US" w:eastAsia="zh-CN"/>
              </w:rPr>
              <w:t>表4-5  简化管理排污单位废气监测点位、监测指标及最低监测频次一览表</w:t>
            </w:r>
          </w:p>
          <w:tbl>
            <w:tblPr>
              <w:tblStyle w:val="15"/>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00"/>
              <w:gridCol w:w="1600"/>
              <w:gridCol w:w="2056"/>
              <w:gridCol w:w="1185"/>
              <w:gridCol w:w="155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000" w:type="dxa"/>
                  <w:gridSpan w:val="5"/>
                  <w:tcBorders>
                    <w:tl2br w:val="nil"/>
                    <w:tr2bl w:val="nil"/>
                  </w:tcBorders>
                  <w:vAlign w:val="center"/>
                </w:tcPr>
                <w:p>
                  <w:pPr>
                    <w:bidi w:val="0"/>
                    <w:jc w:val="center"/>
                    <w:rPr>
                      <w:rFonts w:hint="default"/>
                      <w:color w:val="FF0000"/>
                      <w:u w:val="single"/>
                      <w:lang w:val="en-US" w:eastAsia="zh-CN"/>
                    </w:rPr>
                  </w:pPr>
                  <w:r>
                    <w:rPr>
                      <w:rFonts w:hint="eastAsia"/>
                      <w:b/>
                      <w:bCs/>
                      <w:color w:val="FF0000"/>
                      <w:u w:val="single"/>
                      <w:lang w:val="en-US" w:eastAsia="zh-CN"/>
                    </w:rPr>
                    <w:t>有组织排放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00" w:type="dxa"/>
                  <w:vMerge w:val="restar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行业类别</w:t>
                  </w:r>
                </w:p>
              </w:tc>
              <w:tc>
                <w:tcPr>
                  <w:tcW w:w="1600" w:type="dxa"/>
                  <w:vMerge w:val="restar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监测点位</w:t>
                  </w:r>
                </w:p>
              </w:tc>
              <w:tc>
                <w:tcPr>
                  <w:tcW w:w="2056" w:type="dxa"/>
                  <w:vMerge w:val="restar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监测指标</w:t>
                  </w:r>
                </w:p>
              </w:tc>
              <w:tc>
                <w:tcPr>
                  <w:tcW w:w="1185" w:type="dxa"/>
                  <w:vMerge w:val="restart"/>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执行标准</w:t>
                  </w:r>
                </w:p>
              </w:tc>
              <w:tc>
                <w:tcPr>
                  <w:tcW w:w="1559" w:type="dxa"/>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最低监测频次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00" w:type="dxa"/>
                  <w:vMerge w:val="continue"/>
                  <w:tcBorders>
                    <w:tl2br w:val="nil"/>
                    <w:tr2bl w:val="nil"/>
                  </w:tcBorders>
                  <w:vAlign w:val="center"/>
                </w:tcPr>
                <w:p>
                  <w:pPr>
                    <w:bidi w:val="0"/>
                    <w:jc w:val="center"/>
                    <w:rPr>
                      <w:rFonts w:hint="eastAsia"/>
                      <w:b/>
                      <w:bCs/>
                      <w:color w:val="FF0000"/>
                      <w:u w:val="single"/>
                      <w:lang w:val="en-US" w:eastAsia="zh-CN"/>
                    </w:rPr>
                  </w:pPr>
                </w:p>
              </w:tc>
              <w:tc>
                <w:tcPr>
                  <w:tcW w:w="1600" w:type="dxa"/>
                  <w:vMerge w:val="continue"/>
                  <w:tcBorders>
                    <w:tl2br w:val="nil"/>
                    <w:tr2bl w:val="nil"/>
                  </w:tcBorders>
                  <w:vAlign w:val="center"/>
                </w:tcPr>
                <w:p>
                  <w:pPr>
                    <w:bidi w:val="0"/>
                    <w:jc w:val="center"/>
                    <w:rPr>
                      <w:rFonts w:hint="eastAsia"/>
                      <w:b/>
                      <w:bCs/>
                      <w:color w:val="FF0000"/>
                      <w:u w:val="single"/>
                      <w:lang w:val="en-US" w:eastAsia="zh-CN"/>
                    </w:rPr>
                  </w:pPr>
                </w:p>
              </w:tc>
              <w:tc>
                <w:tcPr>
                  <w:tcW w:w="2056" w:type="dxa"/>
                  <w:vMerge w:val="continue"/>
                  <w:tcBorders>
                    <w:tl2br w:val="nil"/>
                    <w:tr2bl w:val="nil"/>
                  </w:tcBorders>
                  <w:vAlign w:val="center"/>
                </w:tcPr>
                <w:p>
                  <w:pPr>
                    <w:bidi w:val="0"/>
                    <w:jc w:val="center"/>
                    <w:rPr>
                      <w:rFonts w:hint="eastAsia"/>
                      <w:b/>
                      <w:bCs/>
                      <w:color w:val="FF0000"/>
                      <w:u w:val="single"/>
                      <w:lang w:val="en-US" w:eastAsia="zh-CN"/>
                    </w:rPr>
                  </w:pPr>
                </w:p>
              </w:tc>
              <w:tc>
                <w:tcPr>
                  <w:tcW w:w="1185" w:type="dxa"/>
                  <w:vMerge w:val="continue"/>
                  <w:tcBorders>
                    <w:tl2br w:val="nil"/>
                    <w:tr2bl w:val="nil"/>
                  </w:tcBorders>
                  <w:vAlign w:val="center"/>
                </w:tcPr>
                <w:p>
                  <w:pPr>
                    <w:bidi w:val="0"/>
                    <w:jc w:val="center"/>
                    <w:rPr>
                      <w:rFonts w:hint="eastAsia"/>
                      <w:b/>
                      <w:bCs/>
                      <w:color w:val="FF0000"/>
                      <w:u w:val="single"/>
                      <w:lang w:val="en-US" w:eastAsia="zh-CN"/>
                    </w:rPr>
                  </w:pPr>
                </w:p>
              </w:tc>
              <w:tc>
                <w:tcPr>
                  <w:tcW w:w="1559" w:type="dxa"/>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一般排放口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00" w:type="dxa"/>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塑料板、管、型材制造</w:t>
                  </w:r>
                </w:p>
              </w:tc>
              <w:tc>
                <w:tcPr>
                  <w:tcW w:w="1600" w:type="dxa"/>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混料、挤出、成型废气排放口</w:t>
                  </w:r>
                </w:p>
              </w:tc>
              <w:tc>
                <w:tcPr>
                  <w:tcW w:w="2056" w:type="dxa"/>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非甲烷总烃</w:t>
                  </w:r>
                </w:p>
              </w:tc>
              <w:tc>
                <w:tcPr>
                  <w:tcW w:w="1185" w:type="dxa"/>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GB31572</w:t>
                  </w:r>
                </w:p>
              </w:tc>
              <w:tc>
                <w:tcPr>
                  <w:tcW w:w="1559" w:type="dxa"/>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1次/年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000" w:type="dxa"/>
                  <w:gridSpan w:val="5"/>
                  <w:tcBorders>
                    <w:tl2br w:val="nil"/>
                    <w:tr2bl w:val="nil"/>
                  </w:tcBorders>
                  <w:vAlign w:val="center"/>
                </w:tcPr>
                <w:p>
                  <w:pPr>
                    <w:bidi w:val="0"/>
                    <w:jc w:val="center"/>
                    <w:rPr>
                      <w:rFonts w:hint="default"/>
                      <w:color w:val="FF0000"/>
                      <w:u w:val="single"/>
                      <w:lang w:val="en-US" w:eastAsia="zh-CN"/>
                    </w:rPr>
                  </w:pPr>
                  <w:r>
                    <w:rPr>
                      <w:rFonts w:hint="eastAsia"/>
                      <w:b/>
                      <w:bCs/>
                      <w:color w:val="FF0000"/>
                      <w:u w:val="single"/>
                      <w:lang w:val="en-US" w:eastAsia="zh-CN"/>
                    </w:rPr>
                    <w:t>无组织排放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00" w:type="dxa"/>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监测点位</w:t>
                  </w:r>
                </w:p>
              </w:tc>
              <w:tc>
                <w:tcPr>
                  <w:tcW w:w="1600" w:type="dxa"/>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监测指标</w:t>
                  </w:r>
                </w:p>
              </w:tc>
              <w:tc>
                <w:tcPr>
                  <w:tcW w:w="2056" w:type="dxa"/>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监测指标</w:t>
                  </w:r>
                </w:p>
              </w:tc>
              <w:tc>
                <w:tcPr>
                  <w:tcW w:w="1185" w:type="dxa"/>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执行标准</w:t>
                  </w:r>
                </w:p>
              </w:tc>
              <w:tc>
                <w:tcPr>
                  <w:tcW w:w="1559" w:type="dxa"/>
                  <w:tcBorders>
                    <w:tl2br w:val="nil"/>
                    <w:tr2bl w:val="nil"/>
                  </w:tcBorders>
                  <w:vAlign w:val="center"/>
                </w:tcPr>
                <w:p>
                  <w:pPr>
                    <w:bidi w:val="0"/>
                    <w:jc w:val="center"/>
                    <w:rPr>
                      <w:rFonts w:hint="default"/>
                      <w:b/>
                      <w:bCs/>
                      <w:color w:val="FF0000"/>
                      <w:u w:val="single"/>
                      <w:lang w:val="en-US" w:eastAsia="zh-CN"/>
                    </w:rPr>
                  </w:pPr>
                  <w:r>
                    <w:rPr>
                      <w:rFonts w:hint="eastAsia"/>
                      <w:b/>
                      <w:bCs/>
                      <w:color w:val="FF0000"/>
                      <w:u w:val="single"/>
                      <w:lang w:val="en-US" w:eastAsia="zh-CN"/>
                    </w:rPr>
                    <w:t>最低监测频次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00" w:type="dxa"/>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厂界</w:t>
                  </w:r>
                </w:p>
              </w:tc>
              <w:tc>
                <w:tcPr>
                  <w:tcW w:w="3656" w:type="dxa"/>
                  <w:gridSpan w:val="2"/>
                  <w:tcBorders>
                    <w:tl2br w:val="nil"/>
                    <w:tr2bl w:val="nil"/>
                  </w:tcBorders>
                  <w:vAlign w:val="center"/>
                </w:tcPr>
                <w:p>
                  <w:pPr>
                    <w:bidi w:val="0"/>
                    <w:jc w:val="center"/>
                    <w:rPr>
                      <w:rFonts w:hint="eastAsia"/>
                      <w:color w:val="FF0000"/>
                      <w:u w:val="single"/>
                      <w:lang w:val="en-US" w:eastAsia="zh-CN"/>
                    </w:rPr>
                  </w:pPr>
                  <w:r>
                    <w:rPr>
                      <w:rFonts w:hint="eastAsia"/>
                      <w:color w:val="FF0000"/>
                      <w:u w:val="single"/>
                      <w:lang w:val="en-US" w:eastAsia="zh-CN"/>
                    </w:rPr>
                    <w:t>颗粒物、非甲烷总烃</w:t>
                  </w:r>
                </w:p>
              </w:tc>
              <w:tc>
                <w:tcPr>
                  <w:tcW w:w="1185" w:type="dxa"/>
                  <w:tcBorders>
                    <w:tl2br w:val="nil"/>
                    <w:tr2bl w:val="nil"/>
                  </w:tcBorders>
                  <w:vAlign w:val="center"/>
                </w:tcPr>
                <w:p>
                  <w:pPr>
                    <w:bidi w:val="0"/>
                    <w:jc w:val="center"/>
                    <w:rPr>
                      <w:rFonts w:hint="eastAsia"/>
                      <w:color w:val="FF0000"/>
                      <w:u w:val="single"/>
                      <w:lang w:val="en-US" w:eastAsia="zh-CN"/>
                    </w:rPr>
                  </w:pPr>
                  <w:r>
                    <w:rPr>
                      <w:rFonts w:hint="eastAsia"/>
                      <w:color w:val="FF0000"/>
                      <w:u w:val="single"/>
                      <w:lang w:val="en-US" w:eastAsia="zh-CN"/>
                    </w:rPr>
                    <w:t>GB31572</w:t>
                  </w:r>
                </w:p>
              </w:tc>
              <w:tc>
                <w:tcPr>
                  <w:tcW w:w="1559" w:type="dxa"/>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1次/年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00" w:type="dxa"/>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厂区内</w:t>
                  </w:r>
                </w:p>
              </w:tc>
              <w:tc>
                <w:tcPr>
                  <w:tcW w:w="3656" w:type="dxa"/>
                  <w:gridSpan w:val="2"/>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非甲烷总烃</w:t>
                  </w:r>
                </w:p>
              </w:tc>
              <w:tc>
                <w:tcPr>
                  <w:tcW w:w="1185" w:type="dxa"/>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GB37822</w:t>
                  </w:r>
                </w:p>
              </w:tc>
              <w:tc>
                <w:tcPr>
                  <w:tcW w:w="1559" w:type="dxa"/>
                  <w:tcBorders>
                    <w:tl2br w:val="nil"/>
                    <w:tr2bl w:val="nil"/>
                  </w:tcBorders>
                  <w:vAlign w:val="center"/>
                </w:tcPr>
                <w:p>
                  <w:pPr>
                    <w:bidi w:val="0"/>
                    <w:jc w:val="center"/>
                    <w:rPr>
                      <w:rFonts w:hint="default"/>
                      <w:color w:val="FF0000"/>
                      <w:u w:val="single"/>
                      <w:lang w:val="en-US" w:eastAsia="zh-CN"/>
                    </w:rPr>
                  </w:pPr>
                  <w:r>
                    <w:rPr>
                      <w:rFonts w:hint="eastAsia"/>
                      <w:color w:val="FF0000"/>
                      <w:u w:val="single"/>
                      <w:lang w:val="en-US" w:eastAsia="zh-CN"/>
                    </w:rPr>
                    <w:t>各地根据当地环境保护需要自行确定</w:t>
                  </w:r>
                </w:p>
              </w:tc>
            </w:tr>
          </w:tbl>
          <w:p>
            <w:pPr>
              <w:numPr>
                <w:ilvl w:val="0"/>
                <w:numId w:val="0"/>
              </w:numPr>
              <w:adjustRightInd w:val="0"/>
              <w:snapToGrid w:val="0"/>
              <w:spacing w:line="360" w:lineRule="auto"/>
              <w:jc w:val="both"/>
              <w:rPr>
                <w:rFonts w:hint="default" w:ascii="宋体" w:hAnsi="宋体" w:cs="宋体"/>
                <w:bCs/>
                <w:color w:val="FF0000"/>
                <w:spacing w:val="-10"/>
                <w:sz w:val="24"/>
                <w:szCs w:val="24"/>
                <w:u w:val="single"/>
                <w:lang w:val="en-US" w:eastAsia="zh-CN"/>
              </w:rPr>
            </w:pPr>
            <w:r>
              <w:rPr>
                <w:rFonts w:hint="eastAsia" w:ascii="宋体" w:hAnsi="宋体" w:cs="宋体"/>
                <w:bCs/>
                <w:color w:val="FF0000"/>
                <w:spacing w:val="-10"/>
                <w:sz w:val="24"/>
                <w:szCs w:val="24"/>
                <w:u w:val="single"/>
                <w:lang w:val="en-US" w:eastAsia="zh-CN"/>
              </w:rPr>
              <w:t>（3）废气达标情况分析</w:t>
            </w:r>
          </w:p>
          <w:p>
            <w:pPr>
              <w:pStyle w:val="12"/>
              <w:numPr>
                <w:ilvl w:val="0"/>
                <w:numId w:val="0"/>
              </w:numPr>
              <w:adjustRightInd w:val="0"/>
              <w:snapToGrid w:val="0"/>
              <w:spacing w:before="0" w:beforeAutospacing="0" w:after="0" w:afterAutospacing="0" w:line="360" w:lineRule="auto"/>
              <w:ind w:leftChars="0" w:firstLine="440" w:firstLineChars="200"/>
              <w:jc w:val="both"/>
              <w:rPr>
                <w:rFonts w:hint="eastAsia" w:cs="宋体"/>
                <w:color w:val="FF0000"/>
                <w:kern w:val="2"/>
                <w:sz w:val="24"/>
                <w:szCs w:val="24"/>
                <w:u w:val="single"/>
                <w:lang w:val="en-US" w:eastAsia="zh-CN"/>
              </w:rPr>
            </w:pPr>
            <w:r>
              <w:rPr>
                <w:rFonts w:hint="eastAsia" w:ascii="宋体" w:hAnsi="宋体" w:cs="宋体"/>
                <w:bCs/>
                <w:color w:val="FF0000"/>
                <w:spacing w:val="-10"/>
                <w:sz w:val="24"/>
                <w:szCs w:val="24"/>
                <w:u w:val="single"/>
                <w:lang w:val="en-US" w:eastAsia="zh-CN"/>
              </w:rPr>
              <w:t>项目颗粒物经“集气罩+布袋除尘设备”处理后，由15m高排气筒（TA001）排放至车间外，有组织排放浓度为0.15</w:t>
            </w:r>
            <w:r>
              <w:rPr>
                <w:rFonts w:hint="eastAsia" w:cs="宋体"/>
                <w:color w:val="FF0000"/>
                <w:kern w:val="2"/>
                <w:sz w:val="24"/>
                <w:szCs w:val="24"/>
                <w:u w:val="single"/>
                <w:lang w:val="en-US" w:eastAsia="zh-CN"/>
              </w:rPr>
              <w:t>mg/m</w:t>
            </w:r>
            <w:r>
              <w:rPr>
                <w:rFonts w:hint="eastAsia" w:cs="宋体"/>
                <w:color w:val="FF0000"/>
                <w:kern w:val="2"/>
                <w:sz w:val="24"/>
                <w:szCs w:val="24"/>
                <w:u w:val="single"/>
                <w:vertAlign w:val="superscript"/>
                <w:lang w:val="en-US" w:eastAsia="zh-CN"/>
              </w:rPr>
              <w:t>3</w:t>
            </w:r>
            <w:r>
              <w:rPr>
                <w:rFonts w:hint="eastAsia" w:cs="宋体"/>
                <w:color w:val="FF0000"/>
                <w:kern w:val="2"/>
                <w:sz w:val="24"/>
                <w:szCs w:val="24"/>
                <w:u w:val="single"/>
                <w:lang w:val="en-US" w:eastAsia="zh-CN"/>
              </w:rPr>
              <w:t>，排放速率为0.0012kg/h，满足《合成树脂工业污染物排放标准》（GB31572-2015）表4大气污染物排放限值标准30mg/m</w:t>
            </w:r>
            <w:r>
              <w:rPr>
                <w:rFonts w:hint="eastAsia" w:cs="宋体"/>
                <w:color w:val="FF0000"/>
                <w:kern w:val="2"/>
                <w:sz w:val="24"/>
                <w:szCs w:val="24"/>
                <w:u w:val="single"/>
                <w:vertAlign w:val="superscript"/>
                <w:lang w:val="en-US" w:eastAsia="zh-CN"/>
              </w:rPr>
              <w:t>3</w:t>
            </w:r>
            <w:r>
              <w:rPr>
                <w:rFonts w:hint="eastAsia" w:cs="宋体"/>
                <w:color w:val="FF0000"/>
                <w:kern w:val="2"/>
                <w:sz w:val="24"/>
                <w:szCs w:val="24"/>
                <w:u w:val="single"/>
                <w:lang w:val="en-US" w:eastAsia="zh-CN"/>
              </w:rPr>
              <w:t>。</w:t>
            </w:r>
          </w:p>
          <w:p>
            <w:pPr>
              <w:pStyle w:val="12"/>
              <w:numPr>
                <w:ilvl w:val="0"/>
                <w:numId w:val="0"/>
              </w:numPr>
              <w:adjustRightInd w:val="0"/>
              <w:snapToGrid w:val="0"/>
              <w:spacing w:before="0" w:beforeAutospacing="0" w:after="0" w:afterAutospacing="0" w:line="360" w:lineRule="auto"/>
              <w:ind w:leftChars="0" w:firstLine="440" w:firstLineChars="200"/>
              <w:jc w:val="both"/>
              <w:rPr>
                <w:rFonts w:hint="eastAsia" w:cs="宋体"/>
                <w:color w:val="FF0000"/>
                <w:kern w:val="2"/>
                <w:sz w:val="24"/>
                <w:szCs w:val="24"/>
                <w:u w:val="single"/>
                <w:lang w:val="en-US" w:eastAsia="zh-CN"/>
              </w:rPr>
            </w:pPr>
            <w:r>
              <w:rPr>
                <w:rFonts w:hint="eastAsia" w:ascii="宋体" w:hAnsi="宋体" w:cs="宋体"/>
                <w:bCs/>
                <w:color w:val="FF0000"/>
                <w:spacing w:val="-10"/>
                <w:sz w:val="24"/>
                <w:szCs w:val="24"/>
                <w:u w:val="single"/>
                <w:lang w:val="en-US" w:eastAsia="zh-CN"/>
              </w:rPr>
              <w:t>挥发性有机物经“UV光解催化氧化+活性炭”处理后，由15m高排气筒（TA00</w:t>
            </w:r>
            <w:r>
              <w:rPr>
                <w:rFonts w:hint="eastAsia" w:cs="宋体"/>
                <w:bCs/>
                <w:color w:val="FF0000"/>
                <w:spacing w:val="-10"/>
                <w:sz w:val="24"/>
                <w:szCs w:val="24"/>
                <w:u w:val="single"/>
                <w:lang w:val="en-US" w:eastAsia="zh-CN"/>
              </w:rPr>
              <w:t>2</w:t>
            </w:r>
            <w:r>
              <w:rPr>
                <w:rFonts w:hint="eastAsia" w:ascii="宋体" w:hAnsi="宋体" w:cs="宋体"/>
                <w:bCs/>
                <w:color w:val="FF0000"/>
                <w:spacing w:val="-10"/>
                <w:sz w:val="24"/>
                <w:szCs w:val="24"/>
                <w:u w:val="single"/>
                <w:lang w:val="en-US" w:eastAsia="zh-CN"/>
              </w:rPr>
              <w:t>）排放至车间外，有组织排放浓度为</w:t>
            </w:r>
            <w:r>
              <w:rPr>
                <w:rFonts w:hint="eastAsia" w:cs="宋体"/>
                <w:bCs/>
                <w:color w:val="FF0000"/>
                <w:spacing w:val="-10"/>
                <w:sz w:val="24"/>
                <w:szCs w:val="24"/>
                <w:u w:val="single"/>
                <w:lang w:val="en-US" w:eastAsia="zh-CN"/>
              </w:rPr>
              <w:t>29.67</w:t>
            </w:r>
            <w:r>
              <w:rPr>
                <w:rFonts w:hint="eastAsia" w:cs="宋体"/>
                <w:color w:val="FF0000"/>
                <w:kern w:val="2"/>
                <w:sz w:val="24"/>
                <w:szCs w:val="24"/>
                <w:u w:val="single"/>
                <w:lang w:val="en-US" w:eastAsia="zh-CN"/>
              </w:rPr>
              <w:t>mg/m</w:t>
            </w:r>
            <w:r>
              <w:rPr>
                <w:rFonts w:hint="eastAsia" w:cs="宋体"/>
                <w:color w:val="FF0000"/>
                <w:kern w:val="2"/>
                <w:sz w:val="24"/>
                <w:szCs w:val="24"/>
                <w:u w:val="single"/>
                <w:vertAlign w:val="superscript"/>
                <w:lang w:val="en-US" w:eastAsia="zh-CN"/>
              </w:rPr>
              <w:t>3</w:t>
            </w:r>
            <w:r>
              <w:rPr>
                <w:rFonts w:hint="eastAsia" w:cs="宋体"/>
                <w:color w:val="FF0000"/>
                <w:kern w:val="2"/>
                <w:sz w:val="24"/>
                <w:szCs w:val="24"/>
                <w:u w:val="single"/>
                <w:lang w:val="en-US" w:eastAsia="zh-CN"/>
              </w:rPr>
              <w:t>，排放速率为1.187kg/h，满足《合成树脂工业污染物排放标准》（GB31572-2015）表4大气污染物排放限值标准100mg/m</w:t>
            </w:r>
            <w:r>
              <w:rPr>
                <w:rFonts w:hint="eastAsia" w:cs="宋体"/>
                <w:color w:val="FF0000"/>
                <w:kern w:val="2"/>
                <w:sz w:val="24"/>
                <w:szCs w:val="24"/>
                <w:u w:val="single"/>
                <w:vertAlign w:val="superscript"/>
                <w:lang w:val="en-US" w:eastAsia="zh-CN"/>
              </w:rPr>
              <w:t>3</w:t>
            </w:r>
            <w:r>
              <w:rPr>
                <w:rFonts w:hint="eastAsia" w:cs="宋体"/>
                <w:color w:val="FF0000"/>
                <w:kern w:val="2"/>
                <w:sz w:val="24"/>
                <w:szCs w:val="24"/>
                <w:u w:val="single"/>
                <w:lang w:val="en-US" w:eastAsia="zh-CN"/>
              </w:rPr>
              <w:t>。</w:t>
            </w:r>
          </w:p>
          <w:p>
            <w:pPr>
              <w:pStyle w:val="12"/>
              <w:numPr>
                <w:ilvl w:val="0"/>
                <w:numId w:val="0"/>
              </w:numPr>
              <w:adjustRightInd w:val="0"/>
              <w:snapToGrid w:val="0"/>
              <w:spacing w:before="0" w:beforeAutospacing="0" w:after="0" w:afterAutospacing="0" w:line="360" w:lineRule="auto"/>
              <w:ind w:leftChars="0" w:firstLine="480" w:firstLineChars="200"/>
              <w:jc w:val="both"/>
              <w:rPr>
                <w:rFonts w:hint="default" w:ascii="宋体" w:hAnsi="宋体" w:cs="宋体"/>
                <w:bCs/>
                <w:color w:val="FF0000"/>
                <w:spacing w:val="-10"/>
                <w:sz w:val="24"/>
                <w:szCs w:val="24"/>
                <w:u w:val="single"/>
                <w:lang w:val="en-US" w:eastAsia="zh-CN"/>
              </w:rPr>
            </w:pPr>
            <w:r>
              <w:rPr>
                <w:rFonts w:hint="eastAsia" w:cs="宋体"/>
                <w:color w:val="FF0000"/>
                <w:kern w:val="2"/>
                <w:sz w:val="24"/>
                <w:szCs w:val="24"/>
                <w:u w:val="single"/>
                <w:lang w:val="en-US" w:eastAsia="zh-CN"/>
              </w:rPr>
              <w:t>综上，本项目废气经过处理后均可达标排放，对周围环境影响可接受。</w:t>
            </w:r>
          </w:p>
          <w:p>
            <w:pPr>
              <w:numPr>
                <w:ilvl w:val="0"/>
                <w:numId w:val="0"/>
              </w:numPr>
              <w:adjustRightInd w:val="0"/>
              <w:snapToGrid w:val="0"/>
              <w:spacing w:line="360" w:lineRule="auto"/>
              <w:jc w:val="both"/>
              <w:rPr>
                <w:rFonts w:hint="default" w:ascii="宋体" w:hAnsi="宋体" w:cs="宋体"/>
                <w:bCs/>
                <w:color w:val="FF0000"/>
                <w:spacing w:val="-10"/>
                <w:sz w:val="24"/>
                <w:szCs w:val="24"/>
                <w:u w:val="single"/>
                <w:lang w:val="en-US" w:eastAsia="zh-CN"/>
              </w:rPr>
            </w:pPr>
            <w:r>
              <w:rPr>
                <w:rFonts w:hint="eastAsia" w:ascii="宋体" w:hAnsi="宋体" w:cs="宋体"/>
                <w:bCs/>
                <w:color w:val="FF0000"/>
                <w:spacing w:val="-10"/>
                <w:sz w:val="24"/>
                <w:szCs w:val="24"/>
                <w:u w:val="single"/>
                <w:lang w:val="en-US" w:eastAsia="zh-CN"/>
              </w:rPr>
              <w:t>（4）非正常排放量核算</w:t>
            </w:r>
          </w:p>
          <w:p>
            <w:pPr>
              <w:numPr>
                <w:ilvl w:val="0"/>
                <w:numId w:val="0"/>
              </w:numPr>
              <w:adjustRightInd w:val="0"/>
              <w:snapToGrid w:val="0"/>
              <w:spacing w:line="360" w:lineRule="auto"/>
              <w:ind w:firstLine="440" w:firstLineChars="200"/>
              <w:jc w:val="both"/>
              <w:rPr>
                <w:rFonts w:hint="default" w:ascii="宋体" w:hAnsi="宋体" w:cs="宋体"/>
                <w:bCs/>
                <w:color w:val="FF0000"/>
                <w:spacing w:val="-10"/>
                <w:sz w:val="24"/>
                <w:szCs w:val="24"/>
                <w:u w:val="single"/>
                <w:lang w:val="en-US" w:eastAsia="zh-CN"/>
              </w:rPr>
            </w:pPr>
            <w:r>
              <w:rPr>
                <w:rFonts w:hint="eastAsia" w:ascii="宋体" w:hAnsi="宋体" w:cs="宋体"/>
                <w:bCs/>
                <w:color w:val="FF0000"/>
                <w:spacing w:val="-10"/>
                <w:sz w:val="24"/>
                <w:szCs w:val="24"/>
                <w:u w:val="single"/>
                <w:lang w:val="en-US" w:eastAsia="zh-CN"/>
              </w:rPr>
              <w:t>项目污染物非正常排放量核算如下：</w:t>
            </w:r>
          </w:p>
          <w:p>
            <w:pPr>
              <w:pStyle w:val="12"/>
              <w:numPr>
                <w:ilvl w:val="0"/>
                <w:numId w:val="0"/>
              </w:numPr>
              <w:adjustRightInd w:val="0"/>
              <w:snapToGrid w:val="0"/>
              <w:spacing w:before="0" w:beforeAutospacing="0" w:after="0" w:afterAutospacing="0" w:line="360" w:lineRule="auto"/>
              <w:jc w:val="center"/>
              <w:rPr>
                <w:rFonts w:hint="default" w:cs="宋体"/>
                <w:b/>
                <w:bCs/>
                <w:color w:val="FF0000"/>
                <w:kern w:val="2"/>
                <w:sz w:val="24"/>
                <w:szCs w:val="24"/>
                <w:u w:val="single"/>
                <w:vertAlign w:val="baseline"/>
                <w:lang w:val="en-US" w:eastAsia="zh-CN"/>
              </w:rPr>
            </w:pPr>
            <w:r>
              <w:rPr>
                <w:rFonts w:hint="eastAsia" w:cs="宋体"/>
                <w:b/>
                <w:bCs/>
                <w:color w:val="FF0000"/>
                <w:kern w:val="2"/>
                <w:sz w:val="24"/>
                <w:szCs w:val="24"/>
                <w:u w:val="single"/>
                <w:lang w:val="en-US" w:eastAsia="zh-CN"/>
              </w:rPr>
              <w:t>表4-6  污染物非正常排放量核算</w:t>
            </w:r>
          </w:p>
          <w:tbl>
            <w:tblPr>
              <w:tblStyle w:val="15"/>
              <w:tblW w:w="8096"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4"/>
              <w:gridCol w:w="1122"/>
              <w:gridCol w:w="975"/>
              <w:gridCol w:w="1127"/>
              <w:gridCol w:w="1195"/>
              <w:gridCol w:w="1009"/>
              <w:gridCol w:w="790"/>
              <w:gridCol w:w="11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714" w:type="dxa"/>
                  <w:tcBorders>
                    <w:tl2br w:val="nil"/>
                    <w:tr2bl w:val="nil"/>
                  </w:tcBorders>
                  <w:vAlign w:val="center"/>
                </w:tcPr>
                <w:p>
                  <w:pPr>
                    <w:bidi w:val="0"/>
                    <w:spacing w:line="240" w:lineRule="auto"/>
                    <w:jc w:val="center"/>
                    <w:rPr>
                      <w:rFonts w:hint="default"/>
                      <w:b/>
                      <w:bCs/>
                      <w:color w:val="FF0000"/>
                      <w:u w:val="single"/>
                      <w:lang w:val="en-US" w:eastAsia="zh-CN"/>
                    </w:rPr>
                  </w:pPr>
                  <w:r>
                    <w:rPr>
                      <w:rFonts w:hint="eastAsia"/>
                      <w:b/>
                      <w:bCs/>
                      <w:color w:val="FF0000"/>
                      <w:u w:val="single"/>
                      <w:lang w:val="en-US" w:eastAsia="zh-CN"/>
                    </w:rPr>
                    <w:t>污染源</w:t>
                  </w:r>
                </w:p>
              </w:tc>
              <w:tc>
                <w:tcPr>
                  <w:tcW w:w="1122" w:type="dxa"/>
                  <w:tcBorders>
                    <w:tl2br w:val="nil"/>
                    <w:tr2bl w:val="nil"/>
                  </w:tcBorders>
                  <w:vAlign w:val="center"/>
                </w:tcPr>
                <w:p>
                  <w:pPr>
                    <w:bidi w:val="0"/>
                    <w:spacing w:line="240" w:lineRule="auto"/>
                    <w:jc w:val="center"/>
                    <w:rPr>
                      <w:rFonts w:hint="default"/>
                      <w:b/>
                      <w:bCs/>
                      <w:color w:val="FF0000"/>
                      <w:u w:val="single"/>
                      <w:lang w:val="en-US" w:eastAsia="zh-CN"/>
                    </w:rPr>
                  </w:pPr>
                  <w:r>
                    <w:rPr>
                      <w:rFonts w:hint="eastAsia"/>
                      <w:b/>
                      <w:bCs/>
                      <w:color w:val="FF0000"/>
                      <w:u w:val="single"/>
                      <w:lang w:val="en-US" w:eastAsia="zh-CN"/>
                    </w:rPr>
                    <w:t>非正常排放原因</w:t>
                  </w:r>
                </w:p>
              </w:tc>
              <w:tc>
                <w:tcPr>
                  <w:tcW w:w="975" w:type="dxa"/>
                  <w:tcBorders>
                    <w:tl2br w:val="nil"/>
                    <w:tr2bl w:val="nil"/>
                  </w:tcBorders>
                  <w:vAlign w:val="center"/>
                </w:tcPr>
                <w:p>
                  <w:pPr>
                    <w:bidi w:val="0"/>
                    <w:spacing w:line="240" w:lineRule="auto"/>
                    <w:jc w:val="center"/>
                    <w:rPr>
                      <w:rFonts w:hint="default"/>
                      <w:b/>
                      <w:bCs/>
                      <w:color w:val="FF0000"/>
                      <w:u w:val="single"/>
                      <w:lang w:val="en-US" w:eastAsia="zh-CN"/>
                    </w:rPr>
                  </w:pPr>
                  <w:r>
                    <w:rPr>
                      <w:rFonts w:hint="eastAsia"/>
                      <w:b/>
                      <w:bCs/>
                      <w:color w:val="FF0000"/>
                      <w:u w:val="single"/>
                      <w:lang w:val="en-US" w:eastAsia="zh-CN"/>
                    </w:rPr>
                    <w:t>污染物名称</w:t>
                  </w:r>
                </w:p>
              </w:tc>
              <w:tc>
                <w:tcPr>
                  <w:tcW w:w="1127" w:type="dxa"/>
                  <w:tcBorders>
                    <w:tl2br w:val="nil"/>
                    <w:tr2bl w:val="nil"/>
                  </w:tcBorders>
                  <w:vAlign w:val="center"/>
                </w:tcPr>
                <w:p>
                  <w:pPr>
                    <w:bidi w:val="0"/>
                    <w:spacing w:line="240" w:lineRule="auto"/>
                    <w:jc w:val="center"/>
                    <w:rPr>
                      <w:rFonts w:hint="default"/>
                      <w:b/>
                      <w:bCs/>
                      <w:color w:val="FF0000"/>
                      <w:u w:val="single"/>
                      <w:lang w:val="en-US" w:eastAsia="zh-CN"/>
                    </w:rPr>
                  </w:pPr>
                  <w:r>
                    <w:rPr>
                      <w:rFonts w:hint="eastAsia"/>
                      <w:b/>
                      <w:bCs/>
                      <w:color w:val="FF0000"/>
                      <w:u w:val="single"/>
                      <w:lang w:val="en-US" w:eastAsia="zh-CN"/>
                    </w:rPr>
                    <w:t>非正常排放速率（kg/h）</w:t>
                  </w:r>
                </w:p>
              </w:tc>
              <w:tc>
                <w:tcPr>
                  <w:tcW w:w="1195" w:type="dxa"/>
                  <w:tcBorders>
                    <w:tl2br w:val="nil"/>
                    <w:tr2bl w:val="nil"/>
                  </w:tcBorders>
                  <w:vAlign w:val="center"/>
                </w:tcPr>
                <w:p>
                  <w:pPr>
                    <w:bidi w:val="0"/>
                    <w:spacing w:line="240" w:lineRule="auto"/>
                    <w:jc w:val="center"/>
                    <w:rPr>
                      <w:rFonts w:hint="default"/>
                      <w:b/>
                      <w:bCs/>
                      <w:color w:val="FF0000"/>
                      <w:u w:val="single"/>
                      <w:lang w:val="en-US" w:eastAsia="zh-CN"/>
                    </w:rPr>
                  </w:pPr>
                  <w:r>
                    <w:rPr>
                      <w:rFonts w:hint="eastAsia"/>
                      <w:b/>
                      <w:bCs/>
                      <w:color w:val="FF0000"/>
                      <w:u w:val="single"/>
                      <w:lang w:val="en-US" w:eastAsia="zh-CN"/>
                    </w:rPr>
                    <w:t>非正常排放浓度（mg/m</w:t>
                  </w:r>
                  <w:r>
                    <w:rPr>
                      <w:rFonts w:hint="eastAsia"/>
                      <w:b/>
                      <w:bCs/>
                      <w:color w:val="FF0000"/>
                      <w:u w:val="single"/>
                      <w:vertAlign w:val="superscript"/>
                      <w:lang w:val="en-US" w:eastAsia="zh-CN"/>
                    </w:rPr>
                    <w:t>3</w:t>
                  </w:r>
                  <w:r>
                    <w:rPr>
                      <w:rFonts w:hint="eastAsia"/>
                      <w:b/>
                      <w:bCs/>
                      <w:color w:val="FF0000"/>
                      <w:u w:val="single"/>
                      <w:lang w:val="en-US" w:eastAsia="zh-CN"/>
                    </w:rPr>
                    <w:t>）</w:t>
                  </w:r>
                </w:p>
              </w:tc>
              <w:tc>
                <w:tcPr>
                  <w:tcW w:w="1009" w:type="dxa"/>
                  <w:tcBorders>
                    <w:tl2br w:val="nil"/>
                    <w:tr2bl w:val="nil"/>
                  </w:tcBorders>
                  <w:vAlign w:val="center"/>
                </w:tcPr>
                <w:p>
                  <w:pPr>
                    <w:bidi w:val="0"/>
                    <w:spacing w:line="240" w:lineRule="auto"/>
                    <w:jc w:val="center"/>
                    <w:rPr>
                      <w:rFonts w:hint="default"/>
                      <w:b/>
                      <w:bCs/>
                      <w:color w:val="FF0000"/>
                      <w:u w:val="single"/>
                      <w:lang w:val="en-US" w:eastAsia="zh-CN"/>
                    </w:rPr>
                  </w:pPr>
                  <w:r>
                    <w:rPr>
                      <w:rFonts w:hint="eastAsia"/>
                      <w:b/>
                      <w:bCs/>
                      <w:color w:val="FF0000"/>
                      <w:u w:val="single"/>
                      <w:lang w:val="en-US" w:eastAsia="zh-CN"/>
                    </w:rPr>
                    <w:t>单次持续时间</w:t>
                  </w:r>
                </w:p>
              </w:tc>
              <w:tc>
                <w:tcPr>
                  <w:tcW w:w="790" w:type="dxa"/>
                  <w:tcBorders>
                    <w:tl2br w:val="nil"/>
                    <w:tr2bl w:val="nil"/>
                  </w:tcBorders>
                  <w:vAlign w:val="center"/>
                </w:tcPr>
                <w:p>
                  <w:pPr>
                    <w:bidi w:val="0"/>
                    <w:spacing w:line="240" w:lineRule="auto"/>
                    <w:jc w:val="center"/>
                    <w:rPr>
                      <w:rFonts w:hint="default"/>
                      <w:b/>
                      <w:bCs/>
                      <w:color w:val="FF0000"/>
                      <w:u w:val="single"/>
                      <w:lang w:val="en-US" w:eastAsia="zh-CN"/>
                    </w:rPr>
                  </w:pPr>
                  <w:r>
                    <w:rPr>
                      <w:rFonts w:hint="eastAsia"/>
                      <w:b/>
                      <w:bCs/>
                      <w:color w:val="FF0000"/>
                      <w:u w:val="single"/>
                      <w:lang w:val="en-US" w:eastAsia="zh-CN"/>
                    </w:rPr>
                    <w:t>年发生频次/次</w:t>
                  </w:r>
                </w:p>
              </w:tc>
              <w:tc>
                <w:tcPr>
                  <w:tcW w:w="1164" w:type="dxa"/>
                  <w:tcBorders>
                    <w:tl2br w:val="nil"/>
                    <w:tr2bl w:val="nil"/>
                  </w:tcBorders>
                  <w:vAlign w:val="center"/>
                </w:tcPr>
                <w:p>
                  <w:pPr>
                    <w:bidi w:val="0"/>
                    <w:spacing w:line="240" w:lineRule="auto"/>
                    <w:jc w:val="center"/>
                    <w:rPr>
                      <w:rFonts w:hint="default"/>
                      <w:b/>
                      <w:bCs/>
                      <w:color w:val="FF0000"/>
                      <w:u w:val="single"/>
                      <w:lang w:val="en-US" w:eastAsia="zh-CN"/>
                    </w:rPr>
                  </w:pPr>
                  <w:r>
                    <w:rPr>
                      <w:rFonts w:hint="eastAsia"/>
                      <w:b/>
                      <w:bCs/>
                      <w:color w:val="FF0000"/>
                      <w:u w:val="single"/>
                      <w:lang w:val="en-US" w:eastAsia="zh-CN"/>
                    </w:rPr>
                    <w:t>应对措施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714" w:type="dxa"/>
                  <w:tcBorders>
                    <w:tl2br w:val="nil"/>
                    <w:tr2bl w:val="nil"/>
                  </w:tcBorders>
                  <w:vAlign w:val="center"/>
                </w:tcPr>
                <w:p>
                  <w:pPr>
                    <w:bidi w:val="0"/>
                    <w:spacing w:line="240" w:lineRule="auto"/>
                    <w:jc w:val="center"/>
                    <w:rPr>
                      <w:rFonts w:hint="eastAsia"/>
                      <w:color w:val="FF0000"/>
                      <w:u w:val="single"/>
                      <w:lang w:val="en-US" w:eastAsia="zh-CN"/>
                    </w:rPr>
                  </w:pPr>
                  <w:r>
                    <w:rPr>
                      <w:rFonts w:hint="eastAsia"/>
                      <w:color w:val="FF0000"/>
                      <w:u w:val="single"/>
                      <w:lang w:val="en-US" w:eastAsia="zh-CN"/>
                    </w:rPr>
                    <w:t>破碎</w:t>
                  </w:r>
                </w:p>
              </w:tc>
              <w:tc>
                <w:tcPr>
                  <w:tcW w:w="1122" w:type="dxa"/>
                  <w:tcBorders>
                    <w:tl2br w:val="nil"/>
                    <w:tr2bl w:val="nil"/>
                  </w:tcBorders>
                  <w:vAlign w:val="center"/>
                </w:tcPr>
                <w:p>
                  <w:pPr>
                    <w:bidi w:val="0"/>
                    <w:spacing w:line="240" w:lineRule="auto"/>
                    <w:jc w:val="center"/>
                    <w:rPr>
                      <w:rFonts w:hint="eastAsia"/>
                      <w:color w:val="FF0000"/>
                      <w:u w:val="single"/>
                      <w:lang w:val="en-US" w:eastAsia="zh-CN"/>
                    </w:rPr>
                  </w:pPr>
                  <w:r>
                    <w:rPr>
                      <w:rFonts w:hint="eastAsia"/>
                      <w:color w:val="FF0000"/>
                      <w:u w:val="single"/>
                      <w:lang w:val="en-US" w:eastAsia="zh-CN"/>
                    </w:rPr>
                    <w:t>设备故障</w:t>
                  </w:r>
                </w:p>
              </w:tc>
              <w:tc>
                <w:tcPr>
                  <w:tcW w:w="975" w:type="dxa"/>
                  <w:tcBorders>
                    <w:tl2br w:val="nil"/>
                    <w:tr2bl w:val="nil"/>
                  </w:tcBorders>
                  <w:vAlign w:val="center"/>
                </w:tcPr>
                <w:p>
                  <w:pPr>
                    <w:bidi w:val="0"/>
                    <w:spacing w:line="240" w:lineRule="auto"/>
                    <w:jc w:val="center"/>
                    <w:rPr>
                      <w:rFonts w:hint="eastAsia"/>
                      <w:color w:val="FF0000"/>
                      <w:u w:val="single"/>
                      <w:lang w:val="en-US" w:eastAsia="zh-CN"/>
                    </w:rPr>
                  </w:pPr>
                  <w:r>
                    <w:rPr>
                      <w:rFonts w:hint="eastAsia"/>
                      <w:color w:val="FF0000"/>
                      <w:u w:val="single"/>
                      <w:lang w:val="en-US" w:eastAsia="zh-CN"/>
                    </w:rPr>
                    <w:t>颗粒物</w:t>
                  </w:r>
                </w:p>
              </w:tc>
              <w:tc>
                <w:tcPr>
                  <w:tcW w:w="1127" w:type="dxa"/>
                  <w:tcBorders>
                    <w:tl2br w:val="nil"/>
                    <w:tr2bl w:val="nil"/>
                  </w:tcBorders>
                  <w:vAlign w:val="center"/>
                </w:tcPr>
                <w:p>
                  <w:pPr>
                    <w:bidi w:val="0"/>
                    <w:spacing w:line="240" w:lineRule="auto"/>
                    <w:jc w:val="center"/>
                    <w:rPr>
                      <w:rFonts w:hint="eastAsia"/>
                      <w:color w:val="FF0000"/>
                      <w:u w:val="single"/>
                      <w:lang w:val="en-US" w:eastAsia="zh-CN"/>
                    </w:rPr>
                  </w:pPr>
                  <w:r>
                    <w:rPr>
                      <w:rFonts w:hint="eastAsia"/>
                      <w:color w:val="FF0000"/>
                      <w:u w:val="single"/>
                      <w:lang w:val="en-US" w:eastAsia="zh-CN"/>
                    </w:rPr>
                    <w:t>0.125</w:t>
                  </w:r>
                </w:p>
              </w:tc>
              <w:tc>
                <w:tcPr>
                  <w:tcW w:w="1195" w:type="dxa"/>
                  <w:tcBorders>
                    <w:tl2br w:val="nil"/>
                    <w:tr2bl w:val="nil"/>
                  </w:tcBorders>
                  <w:vAlign w:val="center"/>
                </w:tcPr>
                <w:p>
                  <w:pPr>
                    <w:bidi w:val="0"/>
                    <w:spacing w:line="240" w:lineRule="auto"/>
                    <w:jc w:val="center"/>
                    <w:rPr>
                      <w:rFonts w:hint="eastAsia"/>
                      <w:color w:val="FF0000"/>
                      <w:u w:val="single"/>
                      <w:lang w:val="en-US" w:eastAsia="zh-CN"/>
                    </w:rPr>
                  </w:pPr>
                  <w:r>
                    <w:rPr>
                      <w:rFonts w:hint="eastAsia"/>
                      <w:color w:val="FF0000"/>
                      <w:u w:val="single"/>
                      <w:lang w:val="en-US" w:eastAsia="zh-CN"/>
                    </w:rPr>
                    <w:t>15.625</w:t>
                  </w:r>
                </w:p>
              </w:tc>
              <w:tc>
                <w:tcPr>
                  <w:tcW w:w="1009" w:type="dxa"/>
                  <w:tcBorders>
                    <w:tl2br w:val="nil"/>
                    <w:tr2bl w:val="nil"/>
                  </w:tcBorders>
                  <w:vAlign w:val="center"/>
                </w:tcPr>
                <w:p>
                  <w:pPr>
                    <w:bidi w:val="0"/>
                    <w:spacing w:line="240" w:lineRule="auto"/>
                    <w:jc w:val="center"/>
                    <w:rPr>
                      <w:rFonts w:hint="eastAsia"/>
                      <w:color w:val="FF0000"/>
                      <w:u w:val="single"/>
                      <w:lang w:val="en-US" w:eastAsia="zh-CN"/>
                    </w:rPr>
                  </w:pPr>
                  <w:r>
                    <w:rPr>
                      <w:rFonts w:hint="eastAsia"/>
                      <w:color w:val="FF0000"/>
                      <w:u w:val="single"/>
                      <w:lang w:val="en-US" w:eastAsia="zh-CN"/>
                    </w:rPr>
                    <w:t>0~30min</w:t>
                  </w:r>
                </w:p>
              </w:tc>
              <w:tc>
                <w:tcPr>
                  <w:tcW w:w="790" w:type="dxa"/>
                  <w:tcBorders>
                    <w:tl2br w:val="nil"/>
                    <w:tr2bl w:val="nil"/>
                  </w:tcBorders>
                  <w:vAlign w:val="center"/>
                </w:tcPr>
                <w:p>
                  <w:pPr>
                    <w:bidi w:val="0"/>
                    <w:spacing w:line="240" w:lineRule="auto"/>
                    <w:jc w:val="center"/>
                    <w:rPr>
                      <w:rFonts w:hint="eastAsia"/>
                      <w:color w:val="FF0000"/>
                      <w:u w:val="single"/>
                      <w:lang w:val="en-US" w:eastAsia="zh-CN"/>
                    </w:rPr>
                  </w:pPr>
                  <w:r>
                    <w:rPr>
                      <w:rFonts w:hint="eastAsia"/>
                      <w:color w:val="FF0000"/>
                      <w:u w:val="single"/>
                      <w:lang w:val="en-US" w:eastAsia="zh-CN"/>
                    </w:rPr>
                    <w:t>1</w:t>
                  </w:r>
                </w:p>
              </w:tc>
              <w:tc>
                <w:tcPr>
                  <w:tcW w:w="1164" w:type="dxa"/>
                  <w:vMerge w:val="restart"/>
                  <w:tcBorders>
                    <w:tl2br w:val="nil"/>
                    <w:tr2bl w:val="nil"/>
                  </w:tcBorders>
                  <w:vAlign w:val="center"/>
                </w:tcPr>
                <w:p>
                  <w:pPr>
                    <w:bidi w:val="0"/>
                    <w:spacing w:line="240" w:lineRule="auto"/>
                    <w:jc w:val="center"/>
                    <w:rPr>
                      <w:rFonts w:hint="default"/>
                      <w:color w:val="FF0000"/>
                      <w:u w:val="single"/>
                      <w:lang w:val="en-US" w:eastAsia="zh-CN"/>
                    </w:rPr>
                  </w:pPr>
                  <w:r>
                    <w:rPr>
                      <w:rFonts w:hint="eastAsia"/>
                      <w:color w:val="FF0000"/>
                      <w:u w:val="single"/>
                      <w:lang w:val="en-US" w:eastAsia="zh-CN"/>
                    </w:rPr>
                    <w:t>加强管理定期检查废气处理设施,一旦发生故障，立即停产检修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714" w:type="dxa"/>
                  <w:tcBorders>
                    <w:tl2br w:val="nil"/>
                    <w:tr2bl w:val="nil"/>
                  </w:tcBorders>
                  <w:vAlign w:val="center"/>
                </w:tcPr>
                <w:p>
                  <w:pPr>
                    <w:bidi w:val="0"/>
                    <w:spacing w:line="240" w:lineRule="auto"/>
                    <w:jc w:val="center"/>
                    <w:rPr>
                      <w:rFonts w:hint="default" w:ascii="Times New Roman" w:hAnsi="Times New Roman" w:eastAsia="宋体" w:cs="Times New Roman"/>
                      <w:color w:val="FF0000"/>
                      <w:kern w:val="2"/>
                      <w:sz w:val="21"/>
                      <w:szCs w:val="24"/>
                      <w:u w:val="single"/>
                      <w:lang w:val="en-US" w:eastAsia="zh-CN" w:bidi="ar-SA"/>
                    </w:rPr>
                  </w:pPr>
                  <w:r>
                    <w:rPr>
                      <w:rFonts w:hint="eastAsia"/>
                      <w:color w:val="FF0000"/>
                      <w:u w:val="single"/>
                      <w:lang w:val="en-US" w:eastAsia="zh-CN"/>
                    </w:rPr>
                    <w:t>熔融成型</w:t>
                  </w:r>
                </w:p>
              </w:tc>
              <w:tc>
                <w:tcPr>
                  <w:tcW w:w="1122" w:type="dxa"/>
                  <w:tcBorders>
                    <w:tl2br w:val="nil"/>
                    <w:tr2bl w:val="nil"/>
                  </w:tcBorders>
                  <w:vAlign w:val="center"/>
                </w:tcPr>
                <w:p>
                  <w:pPr>
                    <w:bidi w:val="0"/>
                    <w:spacing w:line="240" w:lineRule="auto"/>
                    <w:jc w:val="center"/>
                    <w:rPr>
                      <w:rFonts w:hint="default" w:ascii="Times New Roman" w:hAnsi="Times New Roman" w:eastAsia="宋体" w:cs="Times New Roman"/>
                      <w:color w:val="FF0000"/>
                      <w:kern w:val="2"/>
                      <w:sz w:val="21"/>
                      <w:szCs w:val="24"/>
                      <w:u w:val="single"/>
                      <w:lang w:val="en-US" w:eastAsia="zh-CN" w:bidi="ar-SA"/>
                    </w:rPr>
                  </w:pPr>
                  <w:r>
                    <w:rPr>
                      <w:rFonts w:hint="eastAsia"/>
                      <w:color w:val="FF0000"/>
                      <w:u w:val="single"/>
                      <w:lang w:val="en-US" w:eastAsia="zh-CN"/>
                    </w:rPr>
                    <w:t>设备故障</w:t>
                  </w:r>
                </w:p>
              </w:tc>
              <w:tc>
                <w:tcPr>
                  <w:tcW w:w="975" w:type="dxa"/>
                  <w:tcBorders>
                    <w:tl2br w:val="nil"/>
                    <w:tr2bl w:val="nil"/>
                  </w:tcBorders>
                  <w:vAlign w:val="center"/>
                </w:tcPr>
                <w:p>
                  <w:pPr>
                    <w:bidi w:val="0"/>
                    <w:spacing w:line="240" w:lineRule="auto"/>
                    <w:jc w:val="center"/>
                    <w:rPr>
                      <w:rFonts w:hint="default" w:ascii="Times New Roman" w:hAnsi="Times New Roman" w:eastAsia="宋体" w:cs="Times New Roman"/>
                      <w:color w:val="FF0000"/>
                      <w:kern w:val="2"/>
                      <w:sz w:val="21"/>
                      <w:szCs w:val="24"/>
                      <w:u w:val="single"/>
                      <w:lang w:val="en-US" w:eastAsia="zh-CN" w:bidi="ar-SA"/>
                    </w:rPr>
                  </w:pPr>
                  <w:r>
                    <w:rPr>
                      <w:rFonts w:hint="eastAsia"/>
                      <w:color w:val="FF0000"/>
                      <w:u w:val="single"/>
                      <w:lang w:val="en-US" w:eastAsia="zh-CN"/>
                    </w:rPr>
                    <w:t>非甲烷总烃</w:t>
                  </w:r>
                </w:p>
              </w:tc>
              <w:tc>
                <w:tcPr>
                  <w:tcW w:w="1127" w:type="dxa"/>
                  <w:tcBorders>
                    <w:tl2br w:val="nil"/>
                    <w:tr2bl w:val="nil"/>
                  </w:tcBorders>
                  <w:vAlign w:val="center"/>
                </w:tcPr>
                <w:p>
                  <w:pPr>
                    <w:bidi w:val="0"/>
                    <w:spacing w:line="240" w:lineRule="auto"/>
                    <w:jc w:val="center"/>
                    <w:rPr>
                      <w:rFonts w:hint="default" w:ascii="Times New Roman" w:hAnsi="Times New Roman" w:eastAsia="宋体" w:cs="Times New Roman"/>
                      <w:color w:val="FF0000"/>
                      <w:kern w:val="2"/>
                      <w:sz w:val="21"/>
                      <w:szCs w:val="24"/>
                      <w:u w:val="single"/>
                      <w:lang w:val="en-US" w:eastAsia="zh-CN" w:bidi="ar-SA"/>
                    </w:rPr>
                  </w:pPr>
                  <w:r>
                    <w:rPr>
                      <w:rFonts w:hint="eastAsia"/>
                      <w:color w:val="FF0000"/>
                      <w:u w:val="single"/>
                      <w:lang w:val="en-US" w:eastAsia="zh-CN"/>
                    </w:rPr>
                    <w:t>1.5621</w:t>
                  </w:r>
                </w:p>
              </w:tc>
              <w:tc>
                <w:tcPr>
                  <w:tcW w:w="1195" w:type="dxa"/>
                  <w:tcBorders>
                    <w:tl2br w:val="nil"/>
                    <w:tr2bl w:val="nil"/>
                  </w:tcBorders>
                  <w:vAlign w:val="center"/>
                </w:tcPr>
                <w:p>
                  <w:pPr>
                    <w:bidi w:val="0"/>
                    <w:spacing w:line="240" w:lineRule="auto"/>
                    <w:jc w:val="center"/>
                    <w:rPr>
                      <w:rFonts w:hint="default" w:ascii="Times New Roman" w:hAnsi="Times New Roman" w:eastAsia="宋体" w:cs="Times New Roman"/>
                      <w:color w:val="FF0000"/>
                      <w:kern w:val="2"/>
                      <w:sz w:val="21"/>
                      <w:szCs w:val="24"/>
                      <w:u w:val="single"/>
                      <w:lang w:val="en-US" w:eastAsia="zh-CN" w:bidi="ar-SA"/>
                    </w:rPr>
                  </w:pPr>
                  <w:r>
                    <w:rPr>
                      <w:rFonts w:hint="eastAsia"/>
                      <w:color w:val="FF0000"/>
                      <w:u w:val="single"/>
                      <w:lang w:val="en-US" w:eastAsia="zh-CN"/>
                    </w:rPr>
                    <w:t>31.24</w:t>
                  </w:r>
                </w:p>
              </w:tc>
              <w:tc>
                <w:tcPr>
                  <w:tcW w:w="1009" w:type="dxa"/>
                  <w:tcBorders>
                    <w:tl2br w:val="nil"/>
                    <w:tr2bl w:val="nil"/>
                  </w:tcBorders>
                  <w:vAlign w:val="center"/>
                </w:tcPr>
                <w:p>
                  <w:pPr>
                    <w:bidi w:val="0"/>
                    <w:spacing w:line="240" w:lineRule="auto"/>
                    <w:jc w:val="center"/>
                    <w:rPr>
                      <w:rFonts w:hint="default" w:ascii="Times New Roman" w:hAnsi="Times New Roman" w:eastAsia="宋体" w:cs="Times New Roman"/>
                      <w:color w:val="FF0000"/>
                      <w:kern w:val="2"/>
                      <w:sz w:val="21"/>
                      <w:szCs w:val="24"/>
                      <w:u w:val="single"/>
                      <w:lang w:val="en-US" w:eastAsia="zh-CN" w:bidi="ar-SA"/>
                    </w:rPr>
                  </w:pPr>
                  <w:r>
                    <w:rPr>
                      <w:rFonts w:hint="eastAsia"/>
                      <w:color w:val="FF0000"/>
                      <w:u w:val="single"/>
                      <w:lang w:val="en-US" w:eastAsia="zh-CN"/>
                    </w:rPr>
                    <w:t>0~30min</w:t>
                  </w:r>
                </w:p>
              </w:tc>
              <w:tc>
                <w:tcPr>
                  <w:tcW w:w="790" w:type="dxa"/>
                  <w:tcBorders>
                    <w:tl2br w:val="nil"/>
                    <w:tr2bl w:val="nil"/>
                  </w:tcBorders>
                  <w:vAlign w:val="center"/>
                </w:tcPr>
                <w:p>
                  <w:pPr>
                    <w:bidi w:val="0"/>
                    <w:spacing w:line="240" w:lineRule="auto"/>
                    <w:jc w:val="center"/>
                    <w:rPr>
                      <w:rFonts w:hint="default" w:ascii="Times New Roman" w:hAnsi="Times New Roman" w:eastAsia="宋体" w:cs="Times New Roman"/>
                      <w:color w:val="FF0000"/>
                      <w:kern w:val="2"/>
                      <w:sz w:val="21"/>
                      <w:szCs w:val="24"/>
                      <w:u w:val="single"/>
                      <w:lang w:val="en-US" w:eastAsia="zh-CN" w:bidi="ar-SA"/>
                    </w:rPr>
                  </w:pPr>
                  <w:r>
                    <w:rPr>
                      <w:rFonts w:hint="eastAsia"/>
                      <w:color w:val="FF0000"/>
                      <w:u w:val="single"/>
                      <w:lang w:val="en-US" w:eastAsia="zh-CN"/>
                    </w:rPr>
                    <w:t>1</w:t>
                  </w:r>
                </w:p>
              </w:tc>
              <w:tc>
                <w:tcPr>
                  <w:tcW w:w="1164" w:type="dxa"/>
                  <w:vMerge w:val="continue"/>
                  <w:tcBorders>
                    <w:tl2br w:val="nil"/>
                    <w:tr2bl w:val="nil"/>
                  </w:tcBorders>
                  <w:vAlign w:val="center"/>
                </w:tcPr>
                <w:p>
                  <w:pPr>
                    <w:bidi w:val="0"/>
                    <w:spacing w:line="240" w:lineRule="auto"/>
                    <w:jc w:val="center"/>
                    <w:rPr>
                      <w:rFonts w:hint="default"/>
                      <w:color w:val="FF0000"/>
                      <w:u w:val="single"/>
                      <w:lang w:val="en-US" w:eastAsia="zh-CN"/>
                    </w:rPr>
                  </w:pPr>
                </w:p>
              </w:tc>
            </w:tr>
          </w:tbl>
          <w:p>
            <w:pPr>
              <w:numPr>
                <w:ilvl w:val="0"/>
                <w:numId w:val="0"/>
              </w:numPr>
              <w:adjustRightInd w:val="0"/>
              <w:snapToGrid w:val="0"/>
              <w:spacing w:line="360" w:lineRule="auto"/>
              <w:jc w:val="both"/>
              <w:rPr>
                <w:rFonts w:hint="eastAsia" w:ascii="宋体" w:hAnsi="宋体" w:cs="宋体"/>
                <w:bCs/>
                <w:color w:val="FF0000"/>
                <w:spacing w:val="-10"/>
                <w:sz w:val="24"/>
                <w:szCs w:val="24"/>
                <w:u w:val="single"/>
                <w:lang w:val="en-US" w:eastAsia="zh-CN"/>
              </w:rPr>
            </w:pPr>
          </w:p>
          <w:p>
            <w:pPr>
              <w:numPr>
                <w:ilvl w:val="0"/>
                <w:numId w:val="0"/>
              </w:numPr>
              <w:adjustRightInd w:val="0"/>
              <w:snapToGrid w:val="0"/>
              <w:spacing w:line="360" w:lineRule="auto"/>
              <w:jc w:val="both"/>
              <w:rPr>
                <w:rFonts w:hint="default" w:eastAsia="宋体"/>
                <w:color w:val="FF0000"/>
                <w:u w:val="single"/>
                <w:vertAlign w:val="baseline"/>
                <w:lang w:val="en-US" w:eastAsia="zh-CN"/>
              </w:rPr>
            </w:pPr>
          </w:p>
        </w:tc>
      </w:tr>
    </w:tbl>
    <w:p>
      <w:pPr>
        <w:rPr>
          <w:rFonts w:hint="eastAsia"/>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tbl>
      <w:tblPr>
        <w:tblStyle w:val="15"/>
        <w:tblW w:w="15495" w:type="dxa"/>
        <w:tblInd w:w="-9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2"/>
        <w:gridCol w:w="147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22" w:hRule="atLeast"/>
        </w:trPr>
        <w:tc>
          <w:tcPr>
            <w:tcW w:w="702" w:type="dxa"/>
            <w:vAlign w:val="center"/>
          </w:tcPr>
          <w:p>
            <w:pPr>
              <w:adjustRightInd w:val="0"/>
              <w:snapToGrid w:val="0"/>
              <w:jc w:val="center"/>
              <w:rPr>
                <w:rFonts w:hint="eastAsia" w:ascii="宋体" w:hAnsi="宋体" w:cs="宋体"/>
                <w:bCs/>
                <w:sz w:val="24"/>
                <w:szCs w:val="24"/>
              </w:rPr>
            </w:pPr>
            <w:r>
              <w:rPr>
                <w:rFonts w:hint="eastAsia" w:ascii="宋体" w:hAnsi="宋体" w:cs="宋体"/>
                <w:bCs/>
                <w:sz w:val="24"/>
                <w:szCs w:val="24"/>
              </w:rPr>
              <w:t>运营</w:t>
            </w:r>
          </w:p>
          <w:p>
            <w:pPr>
              <w:adjustRightInd w:val="0"/>
              <w:snapToGrid w:val="0"/>
              <w:jc w:val="center"/>
              <w:rPr>
                <w:rFonts w:hint="eastAsia" w:ascii="宋体" w:hAnsi="宋体" w:cs="宋体"/>
                <w:bCs/>
                <w:sz w:val="24"/>
                <w:szCs w:val="24"/>
              </w:rPr>
            </w:pPr>
            <w:r>
              <w:rPr>
                <w:rFonts w:hint="eastAsia" w:ascii="宋体" w:hAnsi="宋体" w:cs="宋体"/>
                <w:bCs/>
                <w:sz w:val="24"/>
                <w:szCs w:val="24"/>
              </w:rPr>
              <w:t>期环</w:t>
            </w:r>
          </w:p>
          <w:p>
            <w:pPr>
              <w:adjustRightInd w:val="0"/>
              <w:snapToGrid w:val="0"/>
              <w:jc w:val="center"/>
              <w:rPr>
                <w:rFonts w:hint="eastAsia" w:ascii="宋体" w:hAnsi="宋体" w:cs="宋体"/>
                <w:bCs/>
                <w:sz w:val="24"/>
                <w:szCs w:val="24"/>
              </w:rPr>
            </w:pPr>
            <w:r>
              <w:rPr>
                <w:rFonts w:hint="eastAsia" w:ascii="宋体" w:hAnsi="宋体" w:cs="宋体"/>
                <w:bCs/>
                <w:sz w:val="24"/>
                <w:szCs w:val="24"/>
              </w:rPr>
              <w:t>境影</w:t>
            </w:r>
          </w:p>
          <w:p>
            <w:pPr>
              <w:adjustRightInd w:val="0"/>
              <w:snapToGrid w:val="0"/>
              <w:jc w:val="center"/>
              <w:rPr>
                <w:rFonts w:hint="eastAsia" w:ascii="宋体" w:hAnsi="宋体" w:cs="宋体"/>
                <w:bCs/>
                <w:sz w:val="24"/>
                <w:szCs w:val="24"/>
              </w:rPr>
            </w:pPr>
            <w:r>
              <w:rPr>
                <w:rFonts w:hint="eastAsia" w:ascii="宋体" w:hAnsi="宋体" w:cs="宋体"/>
                <w:bCs/>
                <w:sz w:val="24"/>
                <w:szCs w:val="24"/>
              </w:rPr>
              <w:t>响和</w:t>
            </w:r>
          </w:p>
          <w:p>
            <w:pPr>
              <w:adjustRightInd w:val="0"/>
              <w:snapToGrid w:val="0"/>
              <w:jc w:val="center"/>
              <w:rPr>
                <w:rFonts w:hint="eastAsia" w:ascii="宋体" w:hAnsi="宋体" w:cs="宋体"/>
                <w:bCs/>
                <w:sz w:val="24"/>
                <w:szCs w:val="24"/>
              </w:rPr>
            </w:pPr>
            <w:r>
              <w:rPr>
                <w:rFonts w:hint="eastAsia" w:ascii="宋体" w:hAnsi="宋体" w:cs="宋体"/>
                <w:bCs/>
                <w:sz w:val="24"/>
                <w:szCs w:val="24"/>
              </w:rPr>
              <w:t>保护</w:t>
            </w:r>
          </w:p>
          <w:p>
            <w:pPr>
              <w:adjustRightInd w:val="0"/>
              <w:snapToGrid w:val="0"/>
              <w:jc w:val="center"/>
              <w:rPr>
                <w:rFonts w:hint="eastAsia"/>
                <w:vertAlign w:val="baseline"/>
              </w:rPr>
            </w:pPr>
            <w:r>
              <w:rPr>
                <w:rFonts w:hint="eastAsia" w:ascii="宋体" w:hAnsi="宋体" w:cs="宋体"/>
                <w:bCs/>
                <w:sz w:val="24"/>
                <w:szCs w:val="24"/>
              </w:rPr>
              <w:t>措施</w:t>
            </w:r>
          </w:p>
        </w:tc>
        <w:tc>
          <w:tcPr>
            <w:tcW w:w="14793" w:type="dxa"/>
            <w:vAlign w:val="top"/>
          </w:tcPr>
          <w:p>
            <w:pPr>
              <w:numPr>
                <w:ilvl w:val="0"/>
                <w:numId w:val="0"/>
              </w:numPr>
              <w:adjustRightInd w:val="0"/>
              <w:snapToGrid w:val="0"/>
              <w:spacing w:line="360" w:lineRule="auto"/>
              <w:ind w:leftChars="0"/>
              <w:jc w:val="both"/>
              <w:rPr>
                <w:rFonts w:hint="default"/>
                <w:b/>
                <w:bCs/>
                <w:sz w:val="24"/>
                <w:szCs w:val="24"/>
                <w:vertAlign w:val="baseline"/>
                <w:lang w:val="en-US" w:eastAsia="zh-CN"/>
              </w:rPr>
            </w:pPr>
            <w:r>
              <w:rPr>
                <w:rFonts w:hint="eastAsia"/>
                <w:b/>
                <w:bCs/>
                <w:sz w:val="24"/>
                <w:szCs w:val="24"/>
                <w:vertAlign w:val="baseline"/>
                <w:lang w:val="en-US" w:eastAsia="zh-CN"/>
              </w:rPr>
              <w:t>2.废水</w:t>
            </w:r>
          </w:p>
          <w:p>
            <w:pPr>
              <w:pStyle w:val="12"/>
              <w:numPr>
                <w:ilvl w:val="0"/>
                <w:numId w:val="0"/>
              </w:numPr>
              <w:adjustRightInd w:val="0"/>
              <w:snapToGrid w:val="0"/>
              <w:spacing w:before="0" w:beforeAutospacing="0" w:after="0" w:afterAutospacing="0" w:line="360" w:lineRule="auto"/>
              <w:ind w:firstLine="480" w:firstLineChars="200"/>
              <w:jc w:val="both"/>
              <w:rPr>
                <w:rFonts w:hint="eastAsia" w:cs="宋体"/>
                <w:kern w:val="2"/>
                <w:sz w:val="24"/>
                <w:szCs w:val="24"/>
                <w:lang w:val="en-US" w:eastAsia="zh-CN"/>
              </w:rPr>
            </w:pPr>
            <w:r>
              <w:rPr>
                <w:rFonts w:hint="eastAsia" w:cs="宋体"/>
                <w:kern w:val="2"/>
                <w:sz w:val="24"/>
                <w:szCs w:val="24"/>
                <w:lang w:val="en-US" w:eastAsia="zh-CN"/>
              </w:rPr>
              <w:t>（1）源强核算</w:t>
            </w:r>
          </w:p>
          <w:p>
            <w:pPr>
              <w:pStyle w:val="12"/>
              <w:numPr>
                <w:ilvl w:val="0"/>
                <w:numId w:val="0"/>
              </w:numPr>
              <w:adjustRightInd w:val="0"/>
              <w:snapToGrid w:val="0"/>
              <w:spacing w:before="0" w:beforeAutospacing="0" w:after="0" w:afterAutospacing="0" w:line="360" w:lineRule="auto"/>
              <w:ind w:firstLine="480" w:firstLineChars="200"/>
              <w:jc w:val="both"/>
              <w:rPr>
                <w:rFonts w:hint="eastAsia" w:cs="宋体"/>
                <w:kern w:val="2"/>
                <w:sz w:val="24"/>
                <w:szCs w:val="24"/>
                <w:lang w:val="en-US" w:eastAsia="zh-CN"/>
              </w:rPr>
            </w:pPr>
            <w:r>
              <w:rPr>
                <w:rFonts w:hint="eastAsia" w:cs="宋体"/>
                <w:kern w:val="2"/>
                <w:sz w:val="24"/>
                <w:szCs w:val="24"/>
                <w:lang w:val="en-US" w:eastAsia="zh-CN"/>
              </w:rPr>
              <w:t>本项目用水为生活用水和冷却循环水补水，外排废水主要为生活污水，根据水平衡分析（详见表2-5和图2-1），项目建成后全厂废水排放情况详见表</w:t>
            </w:r>
            <w:r>
              <w:rPr>
                <w:rFonts w:hint="eastAsia" w:cs="宋体"/>
                <w:b w:val="0"/>
                <w:bCs w:val="0"/>
                <w:color w:val="000000" w:themeColor="text1"/>
                <w:kern w:val="2"/>
                <w:sz w:val="24"/>
                <w:szCs w:val="24"/>
                <w:lang w:val="en-US" w:eastAsia="zh-CN"/>
                <w14:textFill>
                  <w14:solidFill>
                    <w14:schemeClr w14:val="tx1"/>
                  </w14:solidFill>
                </w14:textFill>
              </w:rPr>
              <w:t>4-7</w:t>
            </w:r>
            <w:r>
              <w:rPr>
                <w:rFonts w:hint="eastAsia" w:cs="宋体"/>
                <w:color w:val="000000" w:themeColor="text1"/>
                <w:kern w:val="2"/>
                <w:sz w:val="24"/>
                <w:szCs w:val="24"/>
                <w:lang w:val="en-US" w:eastAsia="zh-CN"/>
                <w14:textFill>
                  <w14:solidFill>
                    <w14:schemeClr w14:val="tx1"/>
                  </w14:solidFill>
                </w14:textFill>
              </w:rPr>
              <w:t>。</w:t>
            </w:r>
          </w:p>
          <w:p>
            <w:pPr>
              <w:pStyle w:val="12"/>
              <w:numPr>
                <w:ilvl w:val="0"/>
                <w:numId w:val="0"/>
              </w:numPr>
              <w:adjustRightInd w:val="0"/>
              <w:snapToGrid w:val="0"/>
              <w:spacing w:before="0" w:beforeAutospacing="0" w:after="0" w:afterAutospacing="0" w:line="360" w:lineRule="auto"/>
              <w:jc w:val="center"/>
              <w:rPr>
                <w:rFonts w:hint="default" w:eastAsia="宋体" w:cs="宋体"/>
                <w:b/>
                <w:bCs/>
                <w:color w:val="000000" w:themeColor="text1"/>
                <w:kern w:val="2"/>
                <w:sz w:val="24"/>
                <w:szCs w:val="24"/>
                <w:vertAlign w:val="baseline"/>
                <w:lang w:val="en-US" w:eastAsia="zh-CN"/>
                <w14:textFill>
                  <w14:solidFill>
                    <w14:schemeClr w14:val="tx1"/>
                  </w14:solidFill>
                </w14:textFill>
              </w:rPr>
            </w:pPr>
            <w:r>
              <w:rPr>
                <w:rFonts w:hint="eastAsia" w:cs="宋体"/>
                <w:b/>
                <w:bCs/>
                <w:color w:val="000000" w:themeColor="text1"/>
                <w:kern w:val="2"/>
                <w:sz w:val="24"/>
                <w:szCs w:val="24"/>
                <w:lang w:val="en-US" w:eastAsia="zh-CN"/>
                <w14:textFill>
                  <w14:solidFill>
                    <w14:schemeClr w14:val="tx1"/>
                  </w14:solidFill>
                </w14:textFill>
              </w:rPr>
              <w:t>表4-7  全厂废水产排情况一览表</w:t>
            </w:r>
          </w:p>
          <w:tbl>
            <w:tblPr>
              <w:tblStyle w:val="15"/>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97"/>
              <w:gridCol w:w="397"/>
              <w:gridCol w:w="724"/>
              <w:gridCol w:w="660"/>
              <w:gridCol w:w="780"/>
              <w:gridCol w:w="465"/>
              <w:gridCol w:w="435"/>
              <w:gridCol w:w="465"/>
              <w:gridCol w:w="705"/>
              <w:gridCol w:w="499"/>
              <w:gridCol w:w="705"/>
              <w:gridCol w:w="731"/>
              <w:gridCol w:w="420"/>
              <w:gridCol w:w="495"/>
              <w:gridCol w:w="1035"/>
              <w:gridCol w:w="840"/>
              <w:gridCol w:w="375"/>
              <w:gridCol w:w="1110"/>
              <w:gridCol w:w="1035"/>
              <w:gridCol w:w="1575"/>
              <w:gridCol w:w="6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7"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产排污环节</w:t>
                  </w:r>
                </w:p>
              </w:tc>
              <w:tc>
                <w:tcPr>
                  <w:tcW w:w="397"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类别</w:t>
                  </w:r>
                </w:p>
              </w:tc>
              <w:tc>
                <w:tcPr>
                  <w:tcW w:w="724"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污染物种类</w:t>
                  </w:r>
                </w:p>
              </w:tc>
              <w:tc>
                <w:tcPr>
                  <w:tcW w:w="1440" w:type="dxa"/>
                  <w:gridSpan w:val="2"/>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产生情况</w:t>
                  </w:r>
                </w:p>
              </w:tc>
              <w:tc>
                <w:tcPr>
                  <w:tcW w:w="2070" w:type="dxa"/>
                  <w:gridSpan w:val="4"/>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治理设施</w:t>
                  </w:r>
                </w:p>
              </w:tc>
              <w:tc>
                <w:tcPr>
                  <w:tcW w:w="499"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废水排放量</w:t>
                  </w:r>
                </w:p>
              </w:tc>
              <w:tc>
                <w:tcPr>
                  <w:tcW w:w="1436" w:type="dxa"/>
                  <w:gridSpan w:val="2"/>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排放情况</w:t>
                  </w:r>
                </w:p>
              </w:tc>
              <w:tc>
                <w:tcPr>
                  <w:tcW w:w="420"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排放方式</w:t>
                  </w:r>
                </w:p>
              </w:tc>
              <w:tc>
                <w:tcPr>
                  <w:tcW w:w="495"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排放去向</w:t>
                  </w:r>
                </w:p>
              </w:tc>
              <w:tc>
                <w:tcPr>
                  <w:tcW w:w="1035"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排放规律</w:t>
                  </w:r>
                </w:p>
              </w:tc>
              <w:tc>
                <w:tcPr>
                  <w:tcW w:w="3360" w:type="dxa"/>
                  <w:gridSpan w:val="4"/>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排放口基本情况</w:t>
                  </w:r>
                </w:p>
              </w:tc>
              <w:tc>
                <w:tcPr>
                  <w:tcW w:w="2212" w:type="dxa"/>
                  <w:gridSpan w:val="2"/>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7"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397"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724"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660"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产生浓度</w:t>
                  </w:r>
                </w:p>
              </w:tc>
              <w:tc>
                <w:tcPr>
                  <w:tcW w:w="780"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产生量</w:t>
                  </w:r>
                </w:p>
              </w:tc>
              <w:tc>
                <w:tcPr>
                  <w:tcW w:w="465"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处理能力</w:t>
                  </w:r>
                </w:p>
              </w:tc>
              <w:tc>
                <w:tcPr>
                  <w:tcW w:w="435"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治理工艺</w:t>
                  </w:r>
                </w:p>
              </w:tc>
              <w:tc>
                <w:tcPr>
                  <w:tcW w:w="465"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治理效率</w:t>
                  </w:r>
                </w:p>
              </w:tc>
              <w:tc>
                <w:tcPr>
                  <w:tcW w:w="705"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是否为可行技术</w:t>
                  </w:r>
                </w:p>
              </w:tc>
              <w:tc>
                <w:tcPr>
                  <w:tcW w:w="499"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705"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排放浓度</w:t>
                  </w:r>
                </w:p>
              </w:tc>
              <w:tc>
                <w:tcPr>
                  <w:tcW w:w="731"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排放量</w:t>
                  </w:r>
                </w:p>
              </w:tc>
              <w:tc>
                <w:tcPr>
                  <w:tcW w:w="420"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495"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1035"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840"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编号及名称</w:t>
                  </w:r>
                </w:p>
              </w:tc>
              <w:tc>
                <w:tcPr>
                  <w:tcW w:w="375"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类型</w:t>
                  </w:r>
                </w:p>
              </w:tc>
              <w:tc>
                <w:tcPr>
                  <w:tcW w:w="2145" w:type="dxa"/>
                  <w:gridSpan w:val="2"/>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地理坐标</w:t>
                  </w:r>
                </w:p>
              </w:tc>
              <w:tc>
                <w:tcPr>
                  <w:tcW w:w="1575" w:type="dxa"/>
                  <w:vMerge w:val="restart"/>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名称</w:t>
                  </w:r>
                </w:p>
              </w:tc>
              <w:tc>
                <w:tcPr>
                  <w:tcW w:w="637" w:type="dxa"/>
                  <w:vMerge w:val="restart"/>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浓度</w:t>
                  </w:r>
                </w:p>
                <w:p>
                  <w:pPr>
                    <w:bidi w:val="0"/>
                    <w:spacing w:line="240" w:lineRule="auto"/>
                    <w:jc w:val="center"/>
                    <w:rPr>
                      <w:rFonts w:hint="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限制</w:t>
                  </w:r>
                </w:p>
                <w:p>
                  <w:pPr>
                    <w:bidi w:val="0"/>
                    <w:spacing w:line="240" w:lineRule="auto"/>
                    <w:jc w:val="center"/>
                    <w:rPr>
                      <w:rFonts w:hint="default"/>
                      <w:b/>
                      <w:bCs/>
                      <w:color w:val="000000" w:themeColor="text1"/>
                      <w:sz w:val="18"/>
                      <w:szCs w:val="18"/>
                      <w:lang w:val="en-US" w:eastAsia="zh-CN"/>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7"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397"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724"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660"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780"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465"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435"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465"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705"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499"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705"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731"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420"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495"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1035"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840"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375"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1110" w:type="dxa"/>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经度/°</w:t>
                  </w:r>
                </w:p>
              </w:tc>
              <w:tc>
                <w:tcPr>
                  <w:tcW w:w="1035" w:type="dxa"/>
                  <w:tcBorders>
                    <w:tl2br w:val="nil"/>
                    <w:tr2bl w:val="nil"/>
                  </w:tcBorders>
                  <w:vAlign w:val="center"/>
                </w:tcPr>
                <w:p>
                  <w:pPr>
                    <w:bidi w:val="0"/>
                    <w:spacing w:line="240" w:lineRule="auto"/>
                    <w:jc w:val="center"/>
                    <w:rPr>
                      <w:rFonts w:hint="default"/>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纬度/°</w:t>
                  </w:r>
                </w:p>
              </w:tc>
              <w:tc>
                <w:tcPr>
                  <w:tcW w:w="1575"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c>
                <w:tcPr>
                  <w:tcW w:w="637" w:type="dxa"/>
                  <w:vMerge w:val="continue"/>
                  <w:tcBorders>
                    <w:tl2br w:val="nil"/>
                    <w:tr2bl w:val="nil"/>
                  </w:tcBorders>
                  <w:vAlign w:val="center"/>
                </w:tcPr>
                <w:p>
                  <w:pPr>
                    <w:bidi w:val="0"/>
                    <w:spacing w:line="240" w:lineRule="auto"/>
                    <w:jc w:val="center"/>
                    <w:rPr>
                      <w:rFonts w:hint="eastAsia"/>
                      <w:b/>
                      <w:bCs/>
                      <w:color w:val="000000" w:themeColor="text1"/>
                      <w:sz w:val="18"/>
                      <w:szCs w:val="18"/>
                      <w:lang w:val="en-US" w:eastAsia="zh-CN"/>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47" w:hRule="atLeast"/>
              </w:trPr>
              <w:tc>
                <w:tcPr>
                  <w:tcW w:w="397" w:type="dxa"/>
                  <w:vMerge w:val="restart"/>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职工生活</w:t>
                  </w:r>
                </w:p>
              </w:tc>
              <w:tc>
                <w:tcPr>
                  <w:tcW w:w="397" w:type="dxa"/>
                  <w:vMerge w:val="restart"/>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生活污水</w:t>
                  </w:r>
                </w:p>
              </w:tc>
              <w:tc>
                <w:tcPr>
                  <w:tcW w:w="724" w:type="dxa"/>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COD</w:t>
                  </w:r>
                  <w:r>
                    <w:rPr>
                      <w:rFonts w:hint="eastAsia"/>
                      <w:b w:val="0"/>
                      <w:bCs w:val="0"/>
                      <w:color w:val="000000" w:themeColor="text1"/>
                      <w:sz w:val="18"/>
                      <w:szCs w:val="18"/>
                      <w:vertAlign w:val="subscript"/>
                      <w:lang w:val="en-US" w:eastAsia="zh-CN"/>
                      <w14:textFill>
                        <w14:solidFill>
                          <w14:schemeClr w14:val="tx1"/>
                        </w14:solidFill>
                      </w14:textFill>
                    </w:rPr>
                    <w:t>cr</w:t>
                  </w:r>
                </w:p>
              </w:tc>
              <w:tc>
                <w:tcPr>
                  <w:tcW w:w="660" w:type="dxa"/>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300</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mg/L</w:t>
                  </w:r>
                </w:p>
              </w:tc>
              <w:tc>
                <w:tcPr>
                  <w:tcW w:w="780" w:type="dxa"/>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0.1944</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t/a</w:t>
                  </w:r>
                </w:p>
              </w:tc>
              <w:tc>
                <w:tcPr>
                  <w:tcW w:w="465" w:type="dxa"/>
                  <w:vMerge w:val="restart"/>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5</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t/d</w:t>
                  </w:r>
                </w:p>
              </w:tc>
              <w:tc>
                <w:tcPr>
                  <w:tcW w:w="435" w:type="dxa"/>
                  <w:vMerge w:val="restart"/>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化粪池</w:t>
                  </w:r>
                </w:p>
              </w:tc>
              <w:tc>
                <w:tcPr>
                  <w:tcW w:w="465" w:type="dxa"/>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10</w:t>
                  </w:r>
                </w:p>
              </w:tc>
              <w:tc>
                <w:tcPr>
                  <w:tcW w:w="705" w:type="dxa"/>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是</w:t>
                  </w:r>
                </w:p>
              </w:tc>
              <w:tc>
                <w:tcPr>
                  <w:tcW w:w="499" w:type="dxa"/>
                  <w:vMerge w:val="restart"/>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648</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t/a</w:t>
                  </w:r>
                </w:p>
              </w:tc>
              <w:tc>
                <w:tcPr>
                  <w:tcW w:w="705" w:type="dxa"/>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270</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mg/L</w:t>
                  </w:r>
                </w:p>
              </w:tc>
              <w:tc>
                <w:tcPr>
                  <w:tcW w:w="731" w:type="dxa"/>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0.175</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t/a</w:t>
                  </w:r>
                </w:p>
              </w:tc>
              <w:tc>
                <w:tcPr>
                  <w:tcW w:w="420" w:type="dxa"/>
                  <w:vMerge w:val="restart"/>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间接排放</w:t>
                  </w:r>
                </w:p>
              </w:tc>
              <w:tc>
                <w:tcPr>
                  <w:tcW w:w="495" w:type="dxa"/>
                  <w:vMerge w:val="restart"/>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湘阴县第二污水处理厂</w:t>
                  </w:r>
                </w:p>
              </w:tc>
              <w:tc>
                <w:tcPr>
                  <w:tcW w:w="1035" w:type="dxa"/>
                  <w:vMerge w:val="restart"/>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间断排放，排放期间流量不稳定且无规 律，但不属于冲击型排放</w:t>
                  </w:r>
                </w:p>
              </w:tc>
              <w:tc>
                <w:tcPr>
                  <w:tcW w:w="840" w:type="dxa"/>
                  <w:vMerge w:val="restart"/>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DW001，废水总排口</w:t>
                  </w:r>
                </w:p>
              </w:tc>
              <w:tc>
                <w:tcPr>
                  <w:tcW w:w="375" w:type="dxa"/>
                  <w:vMerge w:val="restart"/>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一般排放口</w:t>
                  </w:r>
                </w:p>
              </w:tc>
              <w:tc>
                <w:tcPr>
                  <w:tcW w:w="1110" w:type="dxa"/>
                  <w:vMerge w:val="restart"/>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112.910416</w:t>
                  </w:r>
                </w:p>
              </w:tc>
              <w:tc>
                <w:tcPr>
                  <w:tcW w:w="1035" w:type="dxa"/>
                  <w:vMerge w:val="restart"/>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28.632116</w:t>
                  </w:r>
                </w:p>
              </w:tc>
              <w:tc>
                <w:tcPr>
                  <w:tcW w:w="1575" w:type="dxa"/>
                  <w:vMerge w:val="restart"/>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《污水综合排放标准》</w:t>
                  </w:r>
                </w:p>
              </w:tc>
              <w:tc>
                <w:tcPr>
                  <w:tcW w:w="637" w:type="dxa"/>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500</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47" w:hRule="atLeast"/>
              </w:trPr>
              <w:tc>
                <w:tcPr>
                  <w:tcW w:w="397"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397"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724" w:type="dxa"/>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SS</w:t>
                  </w:r>
                </w:p>
              </w:tc>
              <w:tc>
                <w:tcPr>
                  <w:tcW w:w="660" w:type="dxa"/>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200</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mg/L</w:t>
                  </w:r>
                </w:p>
              </w:tc>
              <w:tc>
                <w:tcPr>
                  <w:tcW w:w="780" w:type="dxa"/>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0.1296</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t/a</w:t>
                  </w:r>
                </w:p>
              </w:tc>
              <w:tc>
                <w:tcPr>
                  <w:tcW w:w="465"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435"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465" w:type="dxa"/>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20</w:t>
                  </w:r>
                </w:p>
              </w:tc>
              <w:tc>
                <w:tcPr>
                  <w:tcW w:w="705" w:type="dxa"/>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是</w:t>
                  </w:r>
                </w:p>
              </w:tc>
              <w:tc>
                <w:tcPr>
                  <w:tcW w:w="499"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705" w:type="dxa"/>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160</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mg/L</w:t>
                  </w:r>
                </w:p>
              </w:tc>
              <w:tc>
                <w:tcPr>
                  <w:tcW w:w="731" w:type="dxa"/>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0.1037</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t/a</w:t>
                  </w:r>
                </w:p>
              </w:tc>
              <w:tc>
                <w:tcPr>
                  <w:tcW w:w="420"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495"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1035"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840"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375"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1110"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1035"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1575"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637" w:type="dxa"/>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400</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47" w:hRule="atLeast"/>
              </w:trPr>
              <w:tc>
                <w:tcPr>
                  <w:tcW w:w="397"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397"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724" w:type="dxa"/>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NH</w:t>
                  </w:r>
                  <w:r>
                    <w:rPr>
                      <w:rFonts w:hint="eastAsia"/>
                      <w:b w:val="0"/>
                      <w:bCs w:val="0"/>
                      <w:color w:val="000000" w:themeColor="text1"/>
                      <w:sz w:val="18"/>
                      <w:szCs w:val="18"/>
                      <w:vertAlign w:val="subscript"/>
                      <w:lang w:val="en-US" w:eastAsia="zh-CN"/>
                      <w14:textFill>
                        <w14:solidFill>
                          <w14:schemeClr w14:val="tx1"/>
                        </w14:solidFill>
                      </w14:textFill>
                    </w:rPr>
                    <w:t>3</w:t>
                  </w:r>
                  <w:r>
                    <w:rPr>
                      <w:rFonts w:hint="eastAsia"/>
                      <w:b w:val="0"/>
                      <w:bCs w:val="0"/>
                      <w:color w:val="000000" w:themeColor="text1"/>
                      <w:sz w:val="18"/>
                      <w:szCs w:val="18"/>
                      <w:lang w:val="en-US" w:eastAsia="zh-CN"/>
                      <w14:textFill>
                        <w14:solidFill>
                          <w14:schemeClr w14:val="tx1"/>
                        </w14:solidFill>
                      </w14:textFill>
                    </w:rPr>
                    <w:t>-N</w:t>
                  </w:r>
                </w:p>
              </w:tc>
              <w:tc>
                <w:tcPr>
                  <w:tcW w:w="660" w:type="dxa"/>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30</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mg/L</w:t>
                  </w:r>
                </w:p>
              </w:tc>
              <w:tc>
                <w:tcPr>
                  <w:tcW w:w="780" w:type="dxa"/>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0.0195</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t/a</w:t>
                  </w:r>
                </w:p>
              </w:tc>
              <w:tc>
                <w:tcPr>
                  <w:tcW w:w="465"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435"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465" w:type="dxa"/>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10</w:t>
                  </w:r>
                </w:p>
              </w:tc>
              <w:tc>
                <w:tcPr>
                  <w:tcW w:w="705" w:type="dxa"/>
                  <w:tcBorders>
                    <w:tl2br w:val="nil"/>
                    <w:tr2bl w:val="nil"/>
                  </w:tcBorders>
                  <w:vAlign w:val="center"/>
                </w:tcPr>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是</w:t>
                  </w:r>
                </w:p>
              </w:tc>
              <w:tc>
                <w:tcPr>
                  <w:tcW w:w="499"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705" w:type="dxa"/>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27</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mg/L</w:t>
                  </w:r>
                </w:p>
              </w:tc>
              <w:tc>
                <w:tcPr>
                  <w:tcW w:w="731" w:type="dxa"/>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0.0175</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t/a</w:t>
                  </w:r>
                </w:p>
              </w:tc>
              <w:tc>
                <w:tcPr>
                  <w:tcW w:w="420"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495"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1035"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840"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375"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1110"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1035" w:type="dxa"/>
                  <w:vMerge w:val="continue"/>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p>
              </w:tc>
              <w:tc>
                <w:tcPr>
                  <w:tcW w:w="1575" w:type="dxa"/>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《污水排入城镇下水道水质标准》</w:t>
                  </w:r>
                </w:p>
              </w:tc>
              <w:tc>
                <w:tcPr>
                  <w:tcW w:w="637" w:type="dxa"/>
                  <w:tcBorders>
                    <w:tl2br w:val="nil"/>
                    <w:tr2bl w:val="nil"/>
                  </w:tcBorders>
                  <w:vAlign w:val="center"/>
                </w:tcPr>
                <w:p>
                  <w:pPr>
                    <w:bidi w:val="0"/>
                    <w:spacing w:line="240" w:lineRule="auto"/>
                    <w:jc w:val="center"/>
                    <w:rPr>
                      <w:rFonts w:hint="eastAsia"/>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45</w:t>
                  </w:r>
                </w:p>
                <w:p>
                  <w:pPr>
                    <w:bidi w:val="0"/>
                    <w:spacing w:line="240" w:lineRule="auto"/>
                    <w:jc w:val="center"/>
                    <w:rPr>
                      <w:rFonts w:hint="default"/>
                      <w:b w:val="0"/>
                      <w:bCs w:val="0"/>
                      <w:color w:val="000000" w:themeColor="text1"/>
                      <w:sz w:val="18"/>
                      <w:szCs w:val="18"/>
                      <w:lang w:val="en-US" w:eastAsia="zh-CN"/>
                      <w14:textFill>
                        <w14:solidFill>
                          <w14:schemeClr w14:val="tx1"/>
                        </w14:solidFill>
                      </w14:textFill>
                    </w:rPr>
                  </w:pPr>
                  <w:r>
                    <w:rPr>
                      <w:rFonts w:hint="eastAsia"/>
                      <w:b w:val="0"/>
                      <w:bCs w:val="0"/>
                      <w:color w:val="000000" w:themeColor="text1"/>
                      <w:sz w:val="18"/>
                      <w:szCs w:val="18"/>
                      <w:lang w:val="en-US" w:eastAsia="zh-CN"/>
                      <w14:textFill>
                        <w14:solidFill>
                          <w14:schemeClr w14:val="tx1"/>
                        </w14:solidFill>
                      </w14:textFill>
                    </w:rPr>
                    <w:t>mg/L</w:t>
                  </w:r>
                </w:p>
              </w:tc>
            </w:tr>
          </w:tbl>
          <w:p>
            <w:pPr>
              <w:numPr>
                <w:ilvl w:val="0"/>
                <w:numId w:val="0"/>
              </w:numPr>
              <w:adjustRightInd w:val="0"/>
              <w:snapToGrid w:val="0"/>
              <w:spacing w:line="360" w:lineRule="auto"/>
              <w:jc w:val="both"/>
              <w:rPr>
                <w:rFonts w:hint="default" w:eastAsia="宋体"/>
                <w:vertAlign w:val="baseline"/>
                <w:lang w:val="en-US" w:eastAsia="zh-CN"/>
              </w:rPr>
            </w:pPr>
          </w:p>
        </w:tc>
      </w:tr>
    </w:tbl>
    <w:p>
      <w:pPr>
        <w:pStyle w:val="2"/>
        <w:rPr>
          <w:rFonts w:hint="eastAsia"/>
        </w:rPr>
        <w:sectPr>
          <w:pgSz w:w="16840" w:h="11907" w:orient="landscape"/>
          <w:pgMar w:top="1531" w:right="1701" w:bottom="1531" w:left="2127" w:header="851" w:footer="851" w:gutter="0"/>
          <w:pgBorders>
            <w:top w:val="none" w:sz="0" w:space="0"/>
            <w:left w:val="none" w:sz="0" w:space="0"/>
            <w:bottom w:val="none" w:sz="0" w:space="0"/>
            <w:right w:val="none" w:sz="0" w:space="0"/>
          </w:pgBorders>
          <w:cols w:space="720" w:num="1"/>
          <w:docGrid w:linePitch="312" w:charSpace="0"/>
        </w:sect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83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5" w:hRule="atLeast"/>
        </w:trPr>
        <w:tc>
          <w:tcPr>
            <w:tcW w:w="835" w:type="dxa"/>
            <w:vAlign w:val="center"/>
          </w:tcPr>
          <w:p>
            <w:pPr>
              <w:adjustRightInd w:val="0"/>
              <w:snapToGrid w:val="0"/>
              <w:jc w:val="center"/>
              <w:rPr>
                <w:rFonts w:hint="eastAsia" w:ascii="宋体" w:hAnsi="宋体" w:cs="宋体"/>
                <w:bCs/>
                <w:sz w:val="24"/>
                <w:szCs w:val="24"/>
              </w:rPr>
            </w:pPr>
            <w:r>
              <w:rPr>
                <w:rFonts w:hint="eastAsia" w:ascii="宋体" w:hAnsi="宋体" w:cs="宋体"/>
                <w:bCs/>
                <w:sz w:val="24"/>
                <w:szCs w:val="24"/>
              </w:rPr>
              <w:t>运营</w:t>
            </w:r>
          </w:p>
          <w:p>
            <w:pPr>
              <w:adjustRightInd w:val="0"/>
              <w:snapToGrid w:val="0"/>
              <w:jc w:val="center"/>
              <w:rPr>
                <w:rFonts w:hint="eastAsia" w:ascii="宋体" w:hAnsi="宋体" w:cs="宋体"/>
                <w:bCs/>
                <w:sz w:val="24"/>
                <w:szCs w:val="24"/>
              </w:rPr>
            </w:pPr>
            <w:r>
              <w:rPr>
                <w:rFonts w:hint="eastAsia" w:ascii="宋体" w:hAnsi="宋体" w:cs="宋体"/>
                <w:bCs/>
                <w:sz w:val="24"/>
                <w:szCs w:val="24"/>
              </w:rPr>
              <w:t>期环</w:t>
            </w:r>
          </w:p>
          <w:p>
            <w:pPr>
              <w:adjustRightInd w:val="0"/>
              <w:snapToGrid w:val="0"/>
              <w:jc w:val="center"/>
              <w:rPr>
                <w:rFonts w:hint="eastAsia" w:ascii="宋体" w:hAnsi="宋体" w:cs="宋体"/>
                <w:bCs/>
                <w:sz w:val="24"/>
                <w:szCs w:val="24"/>
              </w:rPr>
            </w:pPr>
            <w:r>
              <w:rPr>
                <w:rFonts w:hint="eastAsia" w:ascii="宋体" w:hAnsi="宋体" w:cs="宋体"/>
                <w:bCs/>
                <w:sz w:val="24"/>
                <w:szCs w:val="24"/>
              </w:rPr>
              <w:t>境影</w:t>
            </w:r>
          </w:p>
          <w:p>
            <w:pPr>
              <w:adjustRightInd w:val="0"/>
              <w:snapToGrid w:val="0"/>
              <w:jc w:val="center"/>
              <w:rPr>
                <w:rFonts w:hint="eastAsia" w:ascii="宋体" w:hAnsi="宋体" w:cs="宋体"/>
                <w:bCs/>
                <w:sz w:val="24"/>
                <w:szCs w:val="24"/>
              </w:rPr>
            </w:pPr>
            <w:r>
              <w:rPr>
                <w:rFonts w:hint="eastAsia" w:ascii="宋体" w:hAnsi="宋体" w:cs="宋体"/>
                <w:bCs/>
                <w:sz w:val="24"/>
                <w:szCs w:val="24"/>
              </w:rPr>
              <w:t>响和</w:t>
            </w:r>
          </w:p>
          <w:p>
            <w:pPr>
              <w:adjustRightInd w:val="0"/>
              <w:snapToGrid w:val="0"/>
              <w:jc w:val="center"/>
              <w:rPr>
                <w:rFonts w:hint="eastAsia" w:ascii="宋体" w:hAnsi="宋体" w:cs="宋体"/>
                <w:bCs/>
                <w:sz w:val="24"/>
                <w:szCs w:val="24"/>
              </w:rPr>
            </w:pPr>
            <w:r>
              <w:rPr>
                <w:rFonts w:hint="eastAsia" w:ascii="宋体" w:hAnsi="宋体" w:cs="宋体"/>
                <w:bCs/>
                <w:sz w:val="24"/>
                <w:szCs w:val="24"/>
              </w:rPr>
              <w:t>保护</w:t>
            </w:r>
          </w:p>
          <w:p>
            <w:pPr>
              <w:jc w:val="center"/>
              <w:rPr>
                <w:rFonts w:hint="eastAsia"/>
                <w:vertAlign w:val="baseline"/>
              </w:rPr>
            </w:pPr>
            <w:r>
              <w:rPr>
                <w:rFonts w:hint="eastAsia" w:ascii="宋体" w:hAnsi="宋体" w:cs="宋体"/>
                <w:bCs/>
                <w:sz w:val="24"/>
                <w:szCs w:val="24"/>
              </w:rPr>
              <w:t>措施</w:t>
            </w:r>
          </w:p>
        </w:tc>
        <w:tc>
          <w:tcPr>
            <w:tcW w:w="8226" w:type="dxa"/>
          </w:tcPr>
          <w:p>
            <w:pPr>
              <w:pStyle w:val="12"/>
              <w:numPr>
                <w:ilvl w:val="0"/>
                <w:numId w:val="0"/>
              </w:numPr>
              <w:adjustRightInd w:val="0"/>
              <w:snapToGrid w:val="0"/>
              <w:spacing w:before="0" w:beforeAutospacing="0" w:after="0" w:afterAutospacing="0" w:line="360" w:lineRule="auto"/>
              <w:ind w:leftChars="0" w:firstLine="480" w:firstLineChars="200"/>
              <w:jc w:val="both"/>
              <w:rPr>
                <w:rFonts w:hint="eastAsia" w:cs="宋体"/>
                <w:kern w:val="2"/>
                <w:sz w:val="24"/>
                <w:szCs w:val="24"/>
                <w:lang w:val="en-US" w:eastAsia="zh-CN"/>
              </w:rPr>
            </w:pPr>
            <w:r>
              <w:rPr>
                <w:rFonts w:hint="eastAsia" w:cs="宋体"/>
                <w:kern w:val="2"/>
                <w:sz w:val="24"/>
                <w:szCs w:val="24"/>
                <w:lang w:val="en-US" w:eastAsia="zh-CN"/>
              </w:rPr>
              <w:t>（2）废水处理达标可行性分析</w:t>
            </w:r>
          </w:p>
          <w:p>
            <w:pPr>
              <w:pStyle w:val="12"/>
              <w:numPr>
                <w:ilvl w:val="0"/>
                <w:numId w:val="0"/>
              </w:numPr>
              <w:adjustRightInd w:val="0"/>
              <w:snapToGrid w:val="0"/>
              <w:spacing w:before="0" w:beforeAutospacing="0" w:after="0" w:afterAutospacing="0" w:line="360" w:lineRule="auto"/>
              <w:ind w:leftChars="0" w:firstLine="480" w:firstLineChars="200"/>
              <w:jc w:val="both"/>
              <w:rPr>
                <w:rFonts w:hint="eastAsia" w:cs="宋体"/>
                <w:kern w:val="2"/>
                <w:sz w:val="24"/>
                <w:szCs w:val="24"/>
                <w:lang w:val="en-US" w:eastAsia="zh-CN"/>
              </w:rPr>
            </w:pPr>
            <w:r>
              <w:rPr>
                <w:rFonts w:hint="eastAsia" w:cs="宋体"/>
                <w:kern w:val="2"/>
                <w:sz w:val="24"/>
                <w:szCs w:val="24"/>
                <w:lang w:val="en-US" w:eastAsia="zh-CN"/>
              </w:rPr>
              <w:t>①水污染控制和水环境影响减缓措施有效性评价</w:t>
            </w:r>
          </w:p>
          <w:p>
            <w:pPr>
              <w:pStyle w:val="12"/>
              <w:adjustRightInd w:val="0"/>
              <w:snapToGrid w:val="0"/>
              <w:spacing w:before="0" w:beforeAutospacing="0" w:after="0" w:afterAutospacing="0" w:line="360" w:lineRule="auto"/>
              <w:ind w:firstLine="480" w:firstLineChars="200"/>
              <w:jc w:val="both"/>
              <w:rPr>
                <w:rFonts w:hint="eastAsia" w:cs="宋体"/>
                <w:kern w:val="2"/>
                <w:sz w:val="24"/>
                <w:szCs w:val="24"/>
                <w:lang w:val="en-US" w:eastAsia="zh-CN"/>
              </w:rPr>
            </w:pPr>
            <w:r>
              <w:rPr>
                <w:rFonts w:hint="eastAsia" w:cs="宋体"/>
                <w:kern w:val="2"/>
                <w:sz w:val="24"/>
                <w:szCs w:val="24"/>
                <w:lang w:val="en-US" w:eastAsia="zh-CN"/>
              </w:rPr>
              <w:t>本项目生活污水经化粪池预处理，各污染物排放达到《污水综合排放标准》（GB8978-1996）表4中三级标准，氨氮达到《污水排入城镇下水道水质标准》（GB/T31962-2015）表1中B级限值后，排入市政污水管网，经入湘阴县第二污水处理厂处理达到《城镇污水处理厂污染物排放标准》(GB 18918-2002)一级A标准排入湘江。</w:t>
            </w:r>
          </w:p>
          <w:p>
            <w:pPr>
              <w:pStyle w:val="12"/>
              <w:adjustRightInd w:val="0"/>
              <w:snapToGrid w:val="0"/>
              <w:spacing w:before="0" w:beforeAutospacing="0" w:after="0" w:afterAutospacing="0" w:line="360" w:lineRule="auto"/>
              <w:ind w:firstLine="480" w:firstLineChars="200"/>
              <w:jc w:val="both"/>
              <w:rPr>
                <w:rFonts w:hint="default" w:cs="宋体"/>
                <w:kern w:val="2"/>
                <w:sz w:val="24"/>
                <w:szCs w:val="24"/>
                <w:lang w:val="en-US" w:eastAsia="zh-CN"/>
              </w:rPr>
            </w:pPr>
            <w:r>
              <w:rPr>
                <w:rFonts w:hint="eastAsia" w:cs="宋体"/>
                <w:kern w:val="2"/>
                <w:sz w:val="24"/>
                <w:szCs w:val="24"/>
                <w:lang w:val="en-US" w:eastAsia="zh-CN"/>
              </w:rPr>
              <w:t>②污水接管可行性分析</w:t>
            </w:r>
          </w:p>
          <w:p>
            <w:pPr>
              <w:pStyle w:val="12"/>
              <w:adjustRightInd w:val="0"/>
              <w:snapToGrid w:val="0"/>
              <w:spacing w:before="0" w:beforeAutospacing="0" w:after="0" w:afterAutospacing="0" w:line="360" w:lineRule="auto"/>
              <w:ind w:firstLine="480" w:firstLineChars="200"/>
              <w:jc w:val="both"/>
              <w:rPr>
                <w:rFonts w:hint="eastAsia" w:cs="宋体"/>
                <w:kern w:val="2"/>
                <w:sz w:val="24"/>
                <w:szCs w:val="24"/>
                <w:lang w:val="en-US" w:eastAsia="zh-CN"/>
              </w:rPr>
            </w:pPr>
            <w:r>
              <w:rPr>
                <w:rFonts w:hint="eastAsia" w:cs="宋体"/>
                <w:kern w:val="2"/>
                <w:sz w:val="24"/>
                <w:szCs w:val="24"/>
                <w:lang w:val="en-US" w:eastAsia="zh-CN"/>
              </w:rPr>
              <w:t>湘阴县第二污水处理厂已于2016年11月试运行，洋沙湖片区企业外排废水进入湘阴县第二污水处理厂处理达标后外排。湘阴县第二污水处理厂位于湘阴县工业园内，总占地面积约60亩，设计处理能力为2万m</w:t>
            </w:r>
            <w:r>
              <w:rPr>
                <w:rFonts w:hint="eastAsia" w:cs="宋体"/>
                <w:kern w:val="2"/>
                <w:sz w:val="24"/>
                <w:szCs w:val="24"/>
                <w:vertAlign w:val="superscript"/>
                <w:lang w:val="en-US" w:eastAsia="zh-CN"/>
              </w:rPr>
              <w:t>3</w:t>
            </w:r>
            <w:r>
              <w:rPr>
                <w:rFonts w:hint="eastAsia" w:cs="宋体"/>
                <w:kern w:val="2"/>
                <w:sz w:val="24"/>
                <w:szCs w:val="24"/>
                <w:lang w:val="en-US" w:eastAsia="zh-CN"/>
              </w:rPr>
              <w:t>/d，水处理工艺采用“水解酸化+AAO”工艺，处理达《城镇污水处理厂污染物排放标准》（GB18918-2002）一级A标准后排入湘江。</w:t>
            </w:r>
          </w:p>
          <w:p>
            <w:pPr>
              <w:pStyle w:val="12"/>
              <w:adjustRightInd w:val="0"/>
              <w:snapToGrid w:val="0"/>
              <w:spacing w:before="0" w:beforeAutospacing="0" w:after="0" w:afterAutospacing="0" w:line="360" w:lineRule="auto"/>
              <w:ind w:firstLine="480" w:firstLineChars="200"/>
              <w:jc w:val="both"/>
              <w:rPr>
                <w:rFonts w:hint="eastAsia" w:cs="宋体"/>
                <w:kern w:val="2"/>
                <w:sz w:val="24"/>
                <w:szCs w:val="24"/>
                <w:lang w:val="en-US" w:eastAsia="zh-CN"/>
              </w:rPr>
            </w:pPr>
            <w:r>
              <w:rPr>
                <w:rFonts w:hint="eastAsia" w:cs="宋体"/>
                <w:kern w:val="2"/>
                <w:sz w:val="24"/>
                <w:szCs w:val="24"/>
                <w:lang w:val="en-US" w:eastAsia="zh-CN"/>
              </w:rPr>
              <w:t>项目处于湘阴县第二污水处理厂纳污范围内，区域污水管网已与污水处理厂对接，项目建成营运后，污水排放量为4.24m</w:t>
            </w:r>
            <w:r>
              <w:rPr>
                <w:rFonts w:hint="eastAsia" w:cs="宋体"/>
                <w:kern w:val="2"/>
                <w:sz w:val="24"/>
                <w:szCs w:val="24"/>
                <w:vertAlign w:val="superscript"/>
                <w:lang w:val="en-US" w:eastAsia="zh-CN"/>
              </w:rPr>
              <w:t>3</w:t>
            </w:r>
            <w:r>
              <w:rPr>
                <w:rFonts w:hint="eastAsia" w:cs="宋体"/>
                <w:kern w:val="2"/>
                <w:sz w:val="24"/>
                <w:szCs w:val="24"/>
                <w:lang w:val="en-US" w:eastAsia="zh-CN"/>
              </w:rPr>
              <w:t>/d，主要来自于劳动人员的生活废水，主要污染物为COD</w:t>
            </w:r>
            <w:r>
              <w:rPr>
                <w:rFonts w:hint="eastAsia" w:cs="宋体"/>
                <w:kern w:val="2"/>
                <w:sz w:val="24"/>
                <w:szCs w:val="24"/>
                <w:vertAlign w:val="subscript"/>
                <w:lang w:val="en-US" w:eastAsia="zh-CN"/>
              </w:rPr>
              <w:t>Cr</w:t>
            </w:r>
            <w:r>
              <w:rPr>
                <w:rFonts w:hint="eastAsia" w:cs="宋体"/>
                <w:kern w:val="2"/>
                <w:sz w:val="24"/>
                <w:szCs w:val="24"/>
                <w:lang w:val="en-US" w:eastAsia="zh-CN"/>
              </w:rPr>
              <w:t>、NH</w:t>
            </w:r>
            <w:r>
              <w:rPr>
                <w:rFonts w:hint="eastAsia" w:cs="宋体"/>
                <w:kern w:val="2"/>
                <w:sz w:val="24"/>
                <w:szCs w:val="24"/>
                <w:vertAlign w:val="subscript"/>
                <w:lang w:val="en-US" w:eastAsia="zh-CN"/>
              </w:rPr>
              <w:t>3</w:t>
            </w:r>
            <w:r>
              <w:rPr>
                <w:rFonts w:hint="eastAsia" w:cs="宋体"/>
                <w:kern w:val="2"/>
                <w:sz w:val="24"/>
                <w:szCs w:val="24"/>
                <w:lang w:val="en-US" w:eastAsia="zh-CN"/>
              </w:rPr>
              <w:t>-N、SS、，均为湘阴县第二污水处理厂污水处理厂常规处理项目。生活污水经化粪池处理后进入园区污水管网汇入湘阴县第二污水处理厂，不会对该厂水质、水量造成冲击。因此，本项目污水纳入湘阴县第二污水处理厂集中处理是可行可靠的。</w:t>
            </w:r>
          </w:p>
          <w:p>
            <w:pPr>
              <w:pStyle w:val="12"/>
              <w:numPr>
                <w:ilvl w:val="0"/>
                <w:numId w:val="0"/>
              </w:numPr>
              <w:adjustRightInd w:val="0"/>
              <w:snapToGrid w:val="0"/>
              <w:spacing w:before="0" w:beforeAutospacing="0" w:after="0" w:afterAutospacing="0" w:line="360" w:lineRule="auto"/>
              <w:ind w:leftChars="0" w:firstLine="480" w:firstLineChars="200"/>
              <w:jc w:val="both"/>
              <w:rPr>
                <w:rFonts w:hint="eastAsia" w:cs="宋体"/>
                <w:kern w:val="2"/>
                <w:sz w:val="24"/>
                <w:szCs w:val="24"/>
                <w:lang w:val="en-US" w:eastAsia="zh-CN"/>
              </w:rPr>
            </w:pPr>
            <w:r>
              <w:rPr>
                <w:rFonts w:hint="eastAsia" w:cs="宋体"/>
                <w:kern w:val="2"/>
                <w:sz w:val="24"/>
                <w:szCs w:val="24"/>
                <w:lang w:val="en-US" w:eastAsia="zh-CN"/>
              </w:rPr>
              <w:t>（3）监测计划</w:t>
            </w:r>
          </w:p>
          <w:p>
            <w:pPr>
              <w:pStyle w:val="12"/>
              <w:numPr>
                <w:ilvl w:val="0"/>
                <w:numId w:val="0"/>
              </w:numPr>
              <w:adjustRightInd w:val="0"/>
              <w:snapToGrid w:val="0"/>
              <w:spacing w:before="0" w:beforeAutospacing="0" w:after="0" w:afterAutospacing="0" w:line="360" w:lineRule="auto"/>
              <w:ind w:leftChars="0" w:firstLine="480" w:firstLineChars="200"/>
              <w:jc w:val="both"/>
              <w:rPr>
                <w:rFonts w:hint="eastAsia" w:cs="宋体"/>
                <w:kern w:val="2"/>
                <w:sz w:val="24"/>
                <w:szCs w:val="24"/>
                <w:lang w:val="en-US" w:eastAsia="zh-CN"/>
              </w:rPr>
            </w:pPr>
            <w:r>
              <w:rPr>
                <w:rFonts w:hint="eastAsia" w:cs="宋体"/>
                <w:kern w:val="2"/>
                <w:sz w:val="24"/>
                <w:szCs w:val="24"/>
                <w:lang w:val="en-US" w:eastAsia="zh-CN"/>
              </w:rPr>
              <w:t>根据《排污许可证申请与核发技术规范 橡胶和塑料制品工业》（HJ1122-2020），项目废水监测计划如下表所示。</w:t>
            </w:r>
          </w:p>
          <w:p>
            <w:pPr>
              <w:pStyle w:val="12"/>
              <w:numPr>
                <w:ilvl w:val="0"/>
                <w:numId w:val="0"/>
              </w:numPr>
              <w:adjustRightInd w:val="0"/>
              <w:snapToGrid w:val="0"/>
              <w:spacing w:before="0" w:beforeAutospacing="0" w:after="0" w:afterAutospacing="0" w:line="360" w:lineRule="auto"/>
              <w:jc w:val="center"/>
              <w:rPr>
                <w:rFonts w:hint="default" w:cs="宋体"/>
                <w:b/>
                <w:bCs/>
                <w:kern w:val="2"/>
                <w:sz w:val="24"/>
                <w:szCs w:val="24"/>
                <w:vertAlign w:val="baseline"/>
                <w:lang w:val="en-US" w:eastAsia="zh-CN"/>
              </w:rPr>
            </w:pPr>
            <w:r>
              <w:rPr>
                <w:rFonts w:hint="eastAsia" w:cs="宋体"/>
                <w:b/>
                <w:bCs/>
                <w:kern w:val="2"/>
                <w:sz w:val="24"/>
                <w:szCs w:val="24"/>
                <w:lang w:val="en-US" w:eastAsia="zh-CN"/>
              </w:rPr>
              <w:t>表4-8  项目监测废水监测计划</w:t>
            </w:r>
          </w:p>
          <w:tbl>
            <w:tblPr>
              <w:tblStyle w:val="14"/>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70"/>
              <w:gridCol w:w="3735"/>
              <w:gridCol w:w="1077"/>
              <w:gridCol w:w="1077"/>
              <w:gridCol w:w="111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63" w:type="pct"/>
                  <w:vMerge w:val="restart"/>
                  <w:noWrap w:val="0"/>
                  <w:vAlign w:val="center"/>
                </w:tcPr>
                <w:p>
                  <w:pPr>
                    <w:jc w:val="center"/>
                    <w:rPr>
                      <w:rFonts w:hint="eastAsia" w:eastAsia="宋体"/>
                      <w:b/>
                      <w:bCs/>
                      <w:szCs w:val="21"/>
                      <w:lang w:eastAsia="zh-CN"/>
                    </w:rPr>
                  </w:pPr>
                  <w:r>
                    <w:rPr>
                      <w:rFonts w:hint="eastAsia"/>
                      <w:b/>
                      <w:bCs/>
                      <w:szCs w:val="21"/>
                      <w:lang w:val="en-US" w:eastAsia="zh-CN"/>
                    </w:rPr>
                    <w:t>监测点位</w:t>
                  </w:r>
                </w:p>
              </w:tc>
              <w:tc>
                <w:tcPr>
                  <w:tcW w:w="2313" w:type="pct"/>
                  <w:vMerge w:val="restart"/>
                  <w:noWrap w:val="0"/>
                  <w:vAlign w:val="center"/>
                </w:tcPr>
                <w:p>
                  <w:pPr>
                    <w:jc w:val="center"/>
                    <w:rPr>
                      <w:rFonts w:hint="eastAsia" w:eastAsia="宋体"/>
                      <w:b/>
                      <w:bCs/>
                      <w:szCs w:val="21"/>
                      <w:lang w:val="en-US" w:eastAsia="zh-CN"/>
                    </w:rPr>
                  </w:pPr>
                  <w:r>
                    <w:rPr>
                      <w:rFonts w:hint="eastAsia"/>
                      <w:b/>
                      <w:bCs/>
                      <w:szCs w:val="21"/>
                      <w:lang w:val="en-US" w:eastAsia="zh-CN"/>
                    </w:rPr>
                    <w:t>监测指标</w:t>
                  </w:r>
                </w:p>
              </w:tc>
              <w:tc>
                <w:tcPr>
                  <w:tcW w:w="667" w:type="pct"/>
                  <w:vMerge w:val="restart"/>
                  <w:noWrap w:val="0"/>
                  <w:vAlign w:val="center"/>
                </w:tcPr>
                <w:p>
                  <w:pPr>
                    <w:jc w:val="center"/>
                    <w:rPr>
                      <w:rFonts w:hint="eastAsia" w:eastAsia="宋体"/>
                      <w:b/>
                      <w:bCs/>
                      <w:szCs w:val="21"/>
                      <w:lang w:val="en-US" w:eastAsia="zh-CN"/>
                    </w:rPr>
                  </w:pPr>
                  <w:r>
                    <w:rPr>
                      <w:rFonts w:hint="eastAsia"/>
                      <w:b/>
                      <w:bCs/>
                      <w:szCs w:val="21"/>
                      <w:lang w:val="en-US" w:eastAsia="zh-CN"/>
                    </w:rPr>
                    <w:t>执行标准</w:t>
                  </w:r>
                </w:p>
              </w:tc>
              <w:tc>
                <w:tcPr>
                  <w:tcW w:w="1355" w:type="pct"/>
                  <w:gridSpan w:val="2"/>
                  <w:noWrap w:val="0"/>
                  <w:vAlign w:val="center"/>
                </w:tcPr>
                <w:p>
                  <w:pPr>
                    <w:jc w:val="center"/>
                    <w:rPr>
                      <w:rFonts w:hint="default" w:eastAsia="宋体"/>
                      <w:b/>
                      <w:bCs/>
                      <w:szCs w:val="21"/>
                      <w:lang w:val="en-US" w:eastAsia="zh-CN"/>
                    </w:rPr>
                  </w:pPr>
                  <w:r>
                    <w:rPr>
                      <w:rFonts w:hint="eastAsia"/>
                      <w:b/>
                      <w:bCs/>
                      <w:szCs w:val="21"/>
                      <w:lang w:val="en-US" w:eastAsia="zh-CN"/>
                    </w:rPr>
                    <w:t>最低监测频次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63" w:type="pct"/>
                  <w:vMerge w:val="continue"/>
                  <w:noWrap w:val="0"/>
                  <w:vAlign w:val="center"/>
                </w:tcPr>
                <w:p>
                  <w:pPr>
                    <w:jc w:val="center"/>
                    <w:rPr>
                      <w:rFonts w:hint="default" w:eastAsia="宋体"/>
                      <w:b/>
                      <w:bCs/>
                      <w:szCs w:val="21"/>
                      <w:lang w:val="en-US" w:eastAsia="zh-CN"/>
                    </w:rPr>
                  </w:pPr>
                </w:p>
              </w:tc>
              <w:tc>
                <w:tcPr>
                  <w:tcW w:w="2313" w:type="pct"/>
                  <w:vMerge w:val="continue"/>
                  <w:noWrap w:val="0"/>
                  <w:vAlign w:val="center"/>
                </w:tcPr>
                <w:p>
                  <w:pPr>
                    <w:jc w:val="center"/>
                    <w:rPr>
                      <w:b/>
                      <w:bCs/>
                      <w:szCs w:val="21"/>
                    </w:rPr>
                  </w:pPr>
                </w:p>
              </w:tc>
              <w:tc>
                <w:tcPr>
                  <w:tcW w:w="667" w:type="pct"/>
                  <w:vMerge w:val="continue"/>
                  <w:noWrap w:val="0"/>
                  <w:vAlign w:val="center"/>
                </w:tcPr>
                <w:p>
                  <w:pPr>
                    <w:jc w:val="center"/>
                    <w:rPr>
                      <w:rFonts w:hint="default" w:eastAsia="宋体"/>
                      <w:b/>
                      <w:bCs/>
                      <w:szCs w:val="21"/>
                      <w:lang w:val="en-US" w:eastAsia="zh-CN"/>
                    </w:rPr>
                  </w:pPr>
                </w:p>
              </w:tc>
              <w:tc>
                <w:tcPr>
                  <w:tcW w:w="667" w:type="pct"/>
                  <w:noWrap w:val="0"/>
                  <w:vAlign w:val="center"/>
                </w:tcPr>
                <w:p>
                  <w:pPr>
                    <w:jc w:val="center"/>
                    <w:rPr>
                      <w:b/>
                      <w:bCs/>
                      <w:szCs w:val="21"/>
                      <w:lang w:val="de-DE"/>
                    </w:rPr>
                  </w:pPr>
                  <w:r>
                    <w:rPr>
                      <w:rFonts w:hint="eastAsia"/>
                      <w:b/>
                      <w:bCs/>
                      <w:szCs w:val="21"/>
                      <w:lang w:val="en-US" w:eastAsia="zh-CN"/>
                    </w:rPr>
                    <w:t>直接排放</w:t>
                  </w:r>
                </w:p>
              </w:tc>
              <w:tc>
                <w:tcPr>
                  <w:tcW w:w="688" w:type="pct"/>
                  <w:noWrap w:val="0"/>
                  <w:vAlign w:val="center"/>
                </w:tcPr>
                <w:p>
                  <w:pPr>
                    <w:jc w:val="center"/>
                    <w:rPr>
                      <w:rFonts w:hint="eastAsia" w:eastAsia="宋体"/>
                      <w:b/>
                      <w:bCs/>
                      <w:szCs w:val="21"/>
                      <w:lang w:eastAsia="zh-CN"/>
                    </w:rPr>
                  </w:pPr>
                  <w:r>
                    <w:rPr>
                      <w:rFonts w:hint="eastAsia"/>
                      <w:b/>
                      <w:bCs/>
                      <w:szCs w:val="21"/>
                      <w:lang w:val="en-US" w:eastAsia="zh-CN"/>
                    </w:rPr>
                    <w:t>间接排放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63"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生活污水排放口</w:t>
                  </w:r>
                </w:p>
              </w:tc>
              <w:tc>
                <w:tcPr>
                  <w:tcW w:w="2313" w:type="pct"/>
                  <w:noWrap w:val="0"/>
                  <w:vAlign w:val="center"/>
                </w:tcPr>
                <w:p>
                  <w:pPr>
                    <w:jc w:val="center"/>
                    <w:rPr>
                      <w:rFonts w:hint="eastAsia"/>
                      <w:szCs w:val="21"/>
                      <w:lang w:val="en-US" w:eastAsia="zh-CN"/>
                    </w:rPr>
                  </w:pPr>
                  <w:r>
                    <w:rPr>
                      <w:rFonts w:hint="eastAsia"/>
                      <w:szCs w:val="21"/>
                      <w:lang w:val="en-US" w:eastAsia="zh-CN"/>
                    </w:rPr>
                    <w:t>pH 值、悬浮物、化学需氧量、五日生化需氧量、氨氮、石油类、动植物油</w:t>
                  </w:r>
                </w:p>
              </w:tc>
              <w:tc>
                <w:tcPr>
                  <w:tcW w:w="667" w:type="pct"/>
                  <w:noWrap w:val="0"/>
                  <w:vAlign w:val="center"/>
                </w:tcPr>
                <w:p>
                  <w:pPr>
                    <w:jc w:val="center"/>
                    <w:rPr>
                      <w:rFonts w:hint="default"/>
                      <w:szCs w:val="21"/>
                      <w:lang w:val="en-US" w:eastAsia="zh-CN"/>
                    </w:rPr>
                  </w:pPr>
                  <w:r>
                    <w:rPr>
                      <w:rFonts w:hint="eastAsia"/>
                      <w:szCs w:val="21"/>
                      <w:lang w:val="en-US" w:eastAsia="zh-CN"/>
                    </w:rPr>
                    <w:t>GB8978</w:t>
                  </w:r>
                </w:p>
              </w:tc>
              <w:tc>
                <w:tcPr>
                  <w:tcW w:w="667" w:type="pct"/>
                  <w:noWrap w:val="0"/>
                  <w:vAlign w:val="center"/>
                </w:tcPr>
                <w:p>
                  <w:pPr>
                    <w:jc w:val="center"/>
                    <w:rPr>
                      <w:rFonts w:hint="default"/>
                      <w:szCs w:val="21"/>
                      <w:lang w:val="en-US" w:eastAsia="zh-CN"/>
                    </w:rPr>
                  </w:pPr>
                  <w:r>
                    <w:rPr>
                      <w:rFonts w:hint="eastAsia"/>
                      <w:szCs w:val="21"/>
                      <w:lang w:val="en-US" w:eastAsia="zh-CN"/>
                    </w:rPr>
                    <w:t>1次/半年</w:t>
                  </w:r>
                </w:p>
              </w:tc>
              <w:tc>
                <w:tcPr>
                  <w:tcW w:w="688" w:type="pct"/>
                  <w:noWrap w:val="0"/>
                  <w:vAlign w:val="center"/>
                </w:tcPr>
                <w:p>
                  <w:pPr>
                    <w:jc w:val="center"/>
                    <w:rPr>
                      <w:rFonts w:hint="eastAsia" w:eastAsia="宋体"/>
                      <w:szCs w:val="21"/>
                      <w:lang w:val="en-US" w:eastAsia="zh-CN"/>
                    </w:rPr>
                  </w:pPr>
                  <w:r>
                    <w:rPr>
                      <w:rFonts w:hint="eastAsia"/>
                      <w:szCs w:val="21"/>
                      <w:lang w:val="en-US" w:eastAsia="zh-CN"/>
                    </w:rPr>
                    <w:t>/</w:t>
                  </w:r>
                </w:p>
              </w:tc>
            </w:tr>
          </w:tbl>
          <w:p>
            <w:pPr>
              <w:pStyle w:val="12"/>
              <w:adjustRightInd w:val="0"/>
              <w:snapToGrid w:val="0"/>
              <w:spacing w:before="0" w:beforeAutospacing="0" w:after="0" w:afterAutospacing="0" w:line="360" w:lineRule="auto"/>
              <w:ind w:firstLine="480" w:firstLineChars="200"/>
              <w:jc w:val="both"/>
              <w:rPr>
                <w:rFonts w:hint="default" w:cs="宋体"/>
                <w:kern w:val="2"/>
                <w:sz w:val="24"/>
                <w:szCs w:val="24"/>
                <w:lang w:val="en-US" w:eastAsia="zh-CN"/>
              </w:rPr>
            </w:pPr>
            <w:r>
              <w:rPr>
                <w:rFonts w:hint="eastAsia" w:cs="宋体"/>
                <w:kern w:val="2"/>
                <w:sz w:val="24"/>
                <w:szCs w:val="24"/>
                <w:lang w:val="en-US" w:eastAsia="zh-CN"/>
              </w:rPr>
              <w:t>（4）废水达标情况分析</w:t>
            </w:r>
          </w:p>
          <w:p>
            <w:pPr>
              <w:pStyle w:val="12"/>
              <w:adjustRightInd w:val="0"/>
              <w:snapToGrid w:val="0"/>
              <w:spacing w:before="0" w:beforeAutospacing="0" w:after="0" w:afterAutospacing="0" w:line="360" w:lineRule="auto"/>
              <w:ind w:firstLine="480" w:firstLineChars="200"/>
              <w:jc w:val="both"/>
              <w:rPr>
                <w:rFonts w:hint="default" w:cs="宋体"/>
                <w:kern w:val="2"/>
                <w:sz w:val="24"/>
                <w:szCs w:val="24"/>
                <w:lang w:val="en-US" w:eastAsia="zh-CN"/>
              </w:rPr>
            </w:pPr>
            <w:r>
              <w:rPr>
                <w:rFonts w:hint="eastAsia" w:cs="宋体"/>
                <w:kern w:val="2"/>
                <w:sz w:val="24"/>
                <w:szCs w:val="24"/>
                <w:lang w:val="en-US" w:eastAsia="zh-CN"/>
              </w:rPr>
              <w:t>项目运营期生活污水排放量为648t/a。生活污水经化粪池预处理，各污染物排放达到《污水综合排放标准》（GB8978-1996）表4中三级标准，氨氮达到《污水排入城镇下水道水质标准》（GB/T31962-2015）表1中B级限值后，排入市政污水管网，经入湘阴县第二污水处理厂处理达到《城镇污水处理厂污染物排放标准》(GB 18918-2002)一级A标准排入湘江。项目废水对纳污水体湘江影响较小。</w:t>
            </w:r>
          </w:p>
          <w:p>
            <w:pPr>
              <w:numPr>
                <w:ilvl w:val="0"/>
                <w:numId w:val="0"/>
              </w:numPr>
              <w:adjustRightInd w:val="0"/>
              <w:snapToGrid w:val="0"/>
              <w:spacing w:line="360" w:lineRule="auto"/>
              <w:ind w:leftChars="0"/>
              <w:jc w:val="both"/>
              <w:rPr>
                <w:rFonts w:hint="eastAsia"/>
                <w:b/>
                <w:bCs/>
                <w:sz w:val="24"/>
                <w:szCs w:val="24"/>
                <w:vertAlign w:val="baseline"/>
                <w:lang w:val="en-US" w:eastAsia="zh-CN"/>
              </w:rPr>
            </w:pPr>
            <w:r>
              <w:rPr>
                <w:rFonts w:hint="eastAsia"/>
                <w:b/>
                <w:bCs/>
                <w:sz w:val="24"/>
                <w:szCs w:val="24"/>
                <w:vertAlign w:val="baseline"/>
                <w:lang w:val="en-US" w:eastAsia="zh-CN"/>
              </w:rPr>
              <w:t>3.噪声</w:t>
            </w:r>
          </w:p>
          <w:p>
            <w:pPr>
              <w:numPr>
                <w:ilvl w:val="0"/>
                <w:numId w:val="0"/>
              </w:numPr>
              <w:adjustRightInd w:val="0"/>
              <w:snapToGrid w:val="0"/>
              <w:spacing w:line="360" w:lineRule="auto"/>
              <w:jc w:val="both"/>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（1）源强分析</w:t>
            </w:r>
          </w:p>
          <w:p>
            <w:pPr>
              <w:numPr>
                <w:ilvl w:val="0"/>
                <w:numId w:val="0"/>
              </w:numPr>
              <w:adjustRightInd w:val="0"/>
              <w:snapToGrid w:val="0"/>
              <w:spacing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本项目运营期噪声主要来自于冷却塔、空压机等设备运作时产生的噪声，噪声值为75~80dB(A)，设备噪声源强见下表。</w:t>
            </w:r>
          </w:p>
          <w:p>
            <w:pPr>
              <w:numPr>
                <w:ilvl w:val="0"/>
                <w:numId w:val="0"/>
              </w:numPr>
              <w:adjustRightInd w:val="0"/>
              <w:snapToGrid w:val="0"/>
              <w:spacing w:line="360" w:lineRule="auto"/>
              <w:jc w:val="center"/>
              <w:rPr>
                <w:rFonts w:hint="default" w:ascii="宋体" w:hAnsi="宋体" w:eastAsia="宋体" w:cs="宋体"/>
                <w:b/>
                <w:bCs/>
                <w:kern w:val="2"/>
                <w:sz w:val="24"/>
                <w:szCs w:val="24"/>
                <w:lang w:val="en-US" w:eastAsia="zh-CN" w:bidi="ar-SA"/>
              </w:rPr>
            </w:pPr>
            <w:r>
              <w:rPr>
                <w:rFonts w:hint="eastAsia" w:ascii="宋体" w:hAnsi="宋体" w:cs="宋体"/>
                <w:b/>
                <w:bCs/>
                <w:kern w:val="2"/>
                <w:sz w:val="24"/>
                <w:szCs w:val="24"/>
                <w:lang w:val="en-US" w:eastAsia="zh-CN" w:bidi="ar-SA"/>
              </w:rPr>
              <w:t>表4-9  设备噪声源强表</w:t>
            </w:r>
          </w:p>
          <w:tbl>
            <w:tblPr>
              <w:tblStyle w:val="15"/>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81"/>
              <w:gridCol w:w="1170"/>
              <w:gridCol w:w="1560"/>
              <w:gridCol w:w="675"/>
              <w:gridCol w:w="1628"/>
              <w:gridCol w:w="1143"/>
              <w:gridCol w:w="11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tcBorders>
                    <w:tl2br w:val="nil"/>
                    <w:tr2bl w:val="nil"/>
                  </w:tcBorders>
                  <w:vAlign w:val="center"/>
                </w:tcPr>
                <w:p>
                  <w:pPr>
                    <w:bidi w:val="0"/>
                    <w:jc w:val="center"/>
                    <w:rPr>
                      <w:rFonts w:hint="default"/>
                      <w:b/>
                      <w:bCs/>
                      <w:lang w:val="en-US" w:eastAsia="zh-CN"/>
                    </w:rPr>
                  </w:pPr>
                  <w:r>
                    <w:rPr>
                      <w:rFonts w:hint="eastAsia"/>
                      <w:b/>
                      <w:bCs/>
                      <w:lang w:val="en-US" w:eastAsia="zh-CN"/>
                    </w:rPr>
                    <w:t>声源位置</w:t>
                  </w:r>
                </w:p>
              </w:tc>
              <w:tc>
                <w:tcPr>
                  <w:tcW w:w="1170" w:type="dxa"/>
                  <w:tcBorders>
                    <w:tl2br w:val="nil"/>
                    <w:tr2bl w:val="nil"/>
                  </w:tcBorders>
                  <w:vAlign w:val="center"/>
                </w:tcPr>
                <w:p>
                  <w:pPr>
                    <w:bidi w:val="0"/>
                    <w:jc w:val="center"/>
                    <w:rPr>
                      <w:rFonts w:hint="default"/>
                      <w:b/>
                      <w:bCs/>
                      <w:lang w:val="en-US" w:eastAsia="zh-CN"/>
                    </w:rPr>
                  </w:pPr>
                  <w:r>
                    <w:rPr>
                      <w:rFonts w:hint="eastAsia"/>
                      <w:b/>
                      <w:bCs/>
                      <w:lang w:val="en-US" w:eastAsia="zh-CN"/>
                    </w:rPr>
                    <w:t>设备名称</w:t>
                  </w:r>
                </w:p>
              </w:tc>
              <w:tc>
                <w:tcPr>
                  <w:tcW w:w="1560" w:type="dxa"/>
                  <w:tcBorders>
                    <w:tl2br w:val="nil"/>
                    <w:tr2bl w:val="nil"/>
                  </w:tcBorders>
                  <w:vAlign w:val="center"/>
                </w:tcPr>
                <w:p>
                  <w:pPr>
                    <w:bidi w:val="0"/>
                    <w:jc w:val="center"/>
                    <w:rPr>
                      <w:rFonts w:hint="default"/>
                      <w:b/>
                      <w:bCs/>
                      <w:lang w:val="en-US" w:eastAsia="zh-CN"/>
                    </w:rPr>
                  </w:pPr>
                  <w:r>
                    <w:rPr>
                      <w:rFonts w:hint="eastAsia"/>
                      <w:b/>
                      <w:bCs/>
                      <w:lang w:val="en-US" w:eastAsia="zh-CN"/>
                    </w:rPr>
                    <w:t>单台噪声源强</w:t>
                  </w:r>
                </w:p>
              </w:tc>
              <w:tc>
                <w:tcPr>
                  <w:tcW w:w="675" w:type="dxa"/>
                  <w:tcBorders>
                    <w:tl2br w:val="nil"/>
                    <w:tr2bl w:val="nil"/>
                  </w:tcBorders>
                  <w:vAlign w:val="center"/>
                </w:tcPr>
                <w:p>
                  <w:pPr>
                    <w:bidi w:val="0"/>
                    <w:jc w:val="center"/>
                    <w:rPr>
                      <w:rFonts w:hint="default"/>
                      <w:b/>
                      <w:bCs/>
                      <w:lang w:val="en-US" w:eastAsia="zh-CN"/>
                    </w:rPr>
                  </w:pPr>
                  <w:r>
                    <w:rPr>
                      <w:rFonts w:hint="eastAsia"/>
                      <w:b/>
                      <w:bCs/>
                      <w:lang w:val="en-US" w:eastAsia="zh-CN"/>
                    </w:rPr>
                    <w:t>数量</w:t>
                  </w:r>
                </w:p>
              </w:tc>
              <w:tc>
                <w:tcPr>
                  <w:tcW w:w="1628" w:type="dxa"/>
                  <w:tcBorders>
                    <w:tl2br w:val="nil"/>
                    <w:tr2bl w:val="nil"/>
                  </w:tcBorders>
                  <w:vAlign w:val="center"/>
                </w:tcPr>
                <w:p>
                  <w:pPr>
                    <w:bidi w:val="0"/>
                    <w:jc w:val="center"/>
                    <w:rPr>
                      <w:rFonts w:hint="default"/>
                      <w:b/>
                      <w:bCs/>
                      <w:lang w:val="en-US" w:eastAsia="zh-CN"/>
                    </w:rPr>
                  </w:pPr>
                  <w:r>
                    <w:rPr>
                      <w:rFonts w:hint="eastAsia"/>
                      <w:b/>
                      <w:bCs/>
                      <w:lang w:val="en-US" w:eastAsia="zh-CN"/>
                    </w:rPr>
                    <w:t>降噪措施</w:t>
                  </w:r>
                </w:p>
              </w:tc>
              <w:tc>
                <w:tcPr>
                  <w:tcW w:w="1143" w:type="dxa"/>
                  <w:tcBorders>
                    <w:tl2br w:val="nil"/>
                    <w:tr2bl w:val="nil"/>
                  </w:tcBorders>
                  <w:vAlign w:val="center"/>
                </w:tcPr>
                <w:p>
                  <w:pPr>
                    <w:bidi w:val="0"/>
                    <w:jc w:val="center"/>
                    <w:rPr>
                      <w:rFonts w:hint="default"/>
                      <w:b/>
                      <w:bCs/>
                      <w:lang w:val="en-US" w:eastAsia="zh-CN"/>
                    </w:rPr>
                  </w:pPr>
                  <w:r>
                    <w:rPr>
                      <w:rFonts w:hint="eastAsia"/>
                      <w:b/>
                      <w:bCs/>
                      <w:lang w:val="en-US" w:eastAsia="zh-CN"/>
                    </w:rPr>
                    <w:t>降噪效果</w:t>
                  </w:r>
                </w:p>
              </w:tc>
              <w:tc>
                <w:tcPr>
                  <w:tcW w:w="1143" w:type="dxa"/>
                  <w:tcBorders>
                    <w:tl2br w:val="nil"/>
                    <w:tr2bl w:val="nil"/>
                  </w:tcBorders>
                  <w:vAlign w:val="center"/>
                </w:tcPr>
                <w:p>
                  <w:pPr>
                    <w:bidi w:val="0"/>
                    <w:jc w:val="center"/>
                    <w:rPr>
                      <w:rFonts w:hint="default"/>
                      <w:b/>
                      <w:bCs/>
                      <w:lang w:val="en-US" w:eastAsia="zh-CN"/>
                    </w:rPr>
                  </w:pPr>
                  <w:r>
                    <w:rPr>
                      <w:rFonts w:hint="eastAsia"/>
                      <w:b/>
                      <w:bCs/>
                      <w:lang w:val="en-US" w:eastAsia="zh-CN"/>
                    </w:rPr>
                    <w:t>持续时间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tcBorders>
                    <w:tl2br w:val="nil"/>
                    <w:tr2bl w:val="nil"/>
                  </w:tcBorders>
                  <w:vAlign w:val="center"/>
                </w:tcPr>
                <w:p>
                  <w:pPr>
                    <w:bidi w:val="0"/>
                    <w:jc w:val="center"/>
                    <w:rPr>
                      <w:rFonts w:hint="default"/>
                      <w:lang w:val="en-US" w:eastAsia="zh-CN"/>
                    </w:rPr>
                  </w:pPr>
                  <w:r>
                    <w:rPr>
                      <w:rFonts w:hint="eastAsia"/>
                      <w:lang w:val="en-US" w:eastAsia="zh-CN"/>
                    </w:rPr>
                    <w:t>车间</w:t>
                  </w:r>
                </w:p>
              </w:tc>
              <w:tc>
                <w:tcPr>
                  <w:tcW w:w="1170" w:type="dxa"/>
                  <w:tcBorders>
                    <w:tl2br w:val="nil"/>
                    <w:tr2bl w:val="nil"/>
                  </w:tcBorders>
                  <w:vAlign w:val="center"/>
                </w:tcPr>
                <w:p>
                  <w:pPr>
                    <w:bidi w:val="0"/>
                    <w:jc w:val="center"/>
                    <w:rPr>
                      <w:rFonts w:hint="default"/>
                      <w:lang w:val="en-US" w:eastAsia="zh-CN"/>
                    </w:rPr>
                  </w:pPr>
                  <w:r>
                    <w:rPr>
                      <w:rFonts w:hint="eastAsia"/>
                      <w:lang w:val="en-US" w:eastAsia="zh-CN"/>
                    </w:rPr>
                    <w:t>冷却塔</w:t>
                  </w:r>
                </w:p>
              </w:tc>
              <w:tc>
                <w:tcPr>
                  <w:tcW w:w="1560" w:type="dxa"/>
                  <w:tcBorders>
                    <w:tl2br w:val="nil"/>
                    <w:tr2bl w:val="nil"/>
                  </w:tcBorders>
                  <w:vAlign w:val="center"/>
                </w:tcPr>
                <w:p>
                  <w:pPr>
                    <w:bidi w:val="0"/>
                    <w:jc w:val="center"/>
                    <w:rPr>
                      <w:rFonts w:hint="default"/>
                      <w:lang w:val="en-US" w:eastAsia="zh-CN"/>
                    </w:rPr>
                  </w:pPr>
                  <w:r>
                    <w:rPr>
                      <w:rFonts w:hint="eastAsia"/>
                      <w:lang w:val="en-US" w:eastAsia="zh-CN"/>
                    </w:rPr>
                    <w:t>78</w:t>
                  </w:r>
                </w:p>
              </w:tc>
              <w:tc>
                <w:tcPr>
                  <w:tcW w:w="675" w:type="dxa"/>
                  <w:tcBorders>
                    <w:tl2br w:val="nil"/>
                    <w:tr2bl w:val="nil"/>
                  </w:tcBorders>
                  <w:vAlign w:val="center"/>
                </w:tcPr>
                <w:p>
                  <w:pPr>
                    <w:bidi w:val="0"/>
                    <w:jc w:val="center"/>
                    <w:rPr>
                      <w:rFonts w:hint="default"/>
                      <w:lang w:val="en-US" w:eastAsia="zh-CN"/>
                    </w:rPr>
                  </w:pPr>
                  <w:r>
                    <w:rPr>
                      <w:rFonts w:hint="eastAsia"/>
                      <w:lang w:val="en-US" w:eastAsia="zh-CN"/>
                    </w:rPr>
                    <w:t>1</w:t>
                  </w:r>
                </w:p>
              </w:tc>
              <w:tc>
                <w:tcPr>
                  <w:tcW w:w="1628" w:type="dxa"/>
                  <w:tcBorders>
                    <w:tl2br w:val="nil"/>
                    <w:tr2bl w:val="nil"/>
                  </w:tcBorders>
                  <w:vAlign w:val="center"/>
                </w:tcPr>
                <w:p>
                  <w:pPr>
                    <w:bidi w:val="0"/>
                    <w:jc w:val="center"/>
                    <w:rPr>
                      <w:rFonts w:hint="default"/>
                      <w:lang w:val="en-US" w:eastAsia="zh-CN"/>
                    </w:rPr>
                  </w:pPr>
                  <w:r>
                    <w:rPr>
                      <w:rFonts w:hint="eastAsia"/>
                      <w:lang w:val="en-US" w:eastAsia="zh-CN"/>
                    </w:rPr>
                    <w:t>基础减振、厂房隔声</w:t>
                  </w:r>
                </w:p>
              </w:tc>
              <w:tc>
                <w:tcPr>
                  <w:tcW w:w="1143" w:type="dxa"/>
                  <w:tcBorders>
                    <w:tl2br w:val="nil"/>
                    <w:tr2bl w:val="nil"/>
                  </w:tcBorders>
                  <w:vAlign w:val="center"/>
                </w:tcPr>
                <w:p>
                  <w:pPr>
                    <w:bidi w:val="0"/>
                    <w:jc w:val="center"/>
                    <w:rPr>
                      <w:rFonts w:hint="default"/>
                      <w:lang w:val="en-US" w:eastAsia="zh-CN"/>
                    </w:rPr>
                  </w:pPr>
                  <w:r>
                    <w:rPr>
                      <w:rFonts w:hint="eastAsia"/>
                      <w:lang w:val="en-US" w:eastAsia="zh-CN"/>
                    </w:rPr>
                    <w:t>15</w:t>
                  </w:r>
                </w:p>
              </w:tc>
              <w:tc>
                <w:tcPr>
                  <w:tcW w:w="1143" w:type="dxa"/>
                  <w:tcBorders>
                    <w:tl2br w:val="nil"/>
                    <w:tr2bl w:val="nil"/>
                  </w:tcBorders>
                  <w:vAlign w:val="center"/>
                </w:tcPr>
                <w:p>
                  <w:pPr>
                    <w:bidi w:val="0"/>
                    <w:jc w:val="center"/>
                    <w:rPr>
                      <w:rFonts w:hint="default"/>
                      <w:lang w:val="en-US" w:eastAsia="zh-CN"/>
                    </w:rPr>
                  </w:pPr>
                  <w:r>
                    <w:rPr>
                      <w:rFonts w:hint="eastAsia"/>
                      <w:lang w:val="en-US" w:eastAsia="zh-CN"/>
                    </w:rPr>
                    <w:t>16h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tcBorders>
                    <w:tl2br w:val="nil"/>
                    <w:tr2bl w:val="nil"/>
                  </w:tcBorders>
                  <w:vAlign w:val="center"/>
                </w:tcPr>
                <w:p>
                  <w:pPr>
                    <w:bidi w:val="0"/>
                    <w:jc w:val="center"/>
                    <w:rPr>
                      <w:rFonts w:hint="default"/>
                      <w:lang w:val="en-US" w:eastAsia="zh-CN"/>
                    </w:rPr>
                  </w:pPr>
                  <w:r>
                    <w:rPr>
                      <w:rFonts w:hint="eastAsia"/>
                      <w:lang w:val="en-US" w:eastAsia="zh-CN"/>
                    </w:rPr>
                    <w:t>车间</w:t>
                  </w:r>
                </w:p>
              </w:tc>
              <w:tc>
                <w:tcPr>
                  <w:tcW w:w="1170" w:type="dxa"/>
                  <w:tcBorders>
                    <w:tl2br w:val="nil"/>
                    <w:tr2bl w:val="nil"/>
                  </w:tcBorders>
                  <w:vAlign w:val="center"/>
                </w:tcPr>
                <w:p>
                  <w:pPr>
                    <w:bidi w:val="0"/>
                    <w:jc w:val="center"/>
                    <w:rPr>
                      <w:rFonts w:hint="default"/>
                      <w:lang w:val="en-US" w:eastAsia="zh-CN"/>
                    </w:rPr>
                  </w:pPr>
                  <w:r>
                    <w:rPr>
                      <w:rFonts w:hint="eastAsia"/>
                      <w:lang w:val="en-US" w:eastAsia="zh-CN"/>
                    </w:rPr>
                    <w:t>空压机</w:t>
                  </w:r>
                </w:p>
              </w:tc>
              <w:tc>
                <w:tcPr>
                  <w:tcW w:w="1560" w:type="dxa"/>
                  <w:tcBorders>
                    <w:tl2br w:val="nil"/>
                    <w:tr2bl w:val="nil"/>
                  </w:tcBorders>
                  <w:vAlign w:val="center"/>
                </w:tcPr>
                <w:p>
                  <w:pPr>
                    <w:bidi w:val="0"/>
                    <w:jc w:val="center"/>
                    <w:rPr>
                      <w:rFonts w:hint="default"/>
                      <w:lang w:val="en-US" w:eastAsia="zh-CN"/>
                    </w:rPr>
                  </w:pPr>
                  <w:r>
                    <w:rPr>
                      <w:rFonts w:hint="eastAsia"/>
                      <w:lang w:val="en-US" w:eastAsia="zh-CN"/>
                    </w:rPr>
                    <w:t>80</w:t>
                  </w:r>
                </w:p>
              </w:tc>
              <w:tc>
                <w:tcPr>
                  <w:tcW w:w="675" w:type="dxa"/>
                  <w:tcBorders>
                    <w:tl2br w:val="nil"/>
                    <w:tr2bl w:val="nil"/>
                  </w:tcBorders>
                  <w:vAlign w:val="center"/>
                </w:tcPr>
                <w:p>
                  <w:pPr>
                    <w:bidi w:val="0"/>
                    <w:jc w:val="center"/>
                    <w:rPr>
                      <w:rFonts w:hint="default"/>
                      <w:lang w:val="en-US" w:eastAsia="zh-CN"/>
                    </w:rPr>
                  </w:pPr>
                  <w:r>
                    <w:rPr>
                      <w:rFonts w:hint="eastAsia"/>
                      <w:lang w:val="en-US" w:eastAsia="zh-CN"/>
                    </w:rPr>
                    <w:t>4</w:t>
                  </w:r>
                </w:p>
              </w:tc>
              <w:tc>
                <w:tcPr>
                  <w:tcW w:w="1628" w:type="dxa"/>
                  <w:tcBorders>
                    <w:tl2br w:val="nil"/>
                    <w:tr2bl w:val="nil"/>
                  </w:tcBorders>
                  <w:vAlign w:val="center"/>
                </w:tcPr>
                <w:p>
                  <w:pPr>
                    <w:bidi w:val="0"/>
                    <w:jc w:val="center"/>
                    <w:rPr>
                      <w:rFonts w:hint="eastAsia"/>
                      <w:lang w:val="en-US" w:eastAsia="zh-CN"/>
                    </w:rPr>
                  </w:pPr>
                  <w:r>
                    <w:rPr>
                      <w:rFonts w:hint="eastAsia"/>
                      <w:lang w:val="en-US" w:eastAsia="zh-CN"/>
                    </w:rPr>
                    <w:t>基础减振、厂房隔声</w:t>
                  </w:r>
                </w:p>
              </w:tc>
              <w:tc>
                <w:tcPr>
                  <w:tcW w:w="1143" w:type="dxa"/>
                  <w:tcBorders>
                    <w:tl2br w:val="nil"/>
                    <w:tr2bl w:val="nil"/>
                  </w:tcBorders>
                  <w:vAlign w:val="center"/>
                </w:tcPr>
                <w:p>
                  <w:pPr>
                    <w:bidi w:val="0"/>
                    <w:jc w:val="center"/>
                    <w:rPr>
                      <w:rFonts w:hint="default"/>
                      <w:lang w:val="en-US" w:eastAsia="zh-CN"/>
                    </w:rPr>
                  </w:pPr>
                  <w:r>
                    <w:rPr>
                      <w:rFonts w:hint="eastAsia"/>
                      <w:lang w:val="en-US" w:eastAsia="zh-CN"/>
                    </w:rPr>
                    <w:t>15</w:t>
                  </w:r>
                </w:p>
              </w:tc>
              <w:tc>
                <w:tcPr>
                  <w:tcW w:w="1143" w:type="dxa"/>
                  <w:tcBorders>
                    <w:tl2br w:val="nil"/>
                    <w:tr2bl w:val="nil"/>
                  </w:tcBorders>
                  <w:vAlign w:val="center"/>
                </w:tcPr>
                <w:p>
                  <w:pPr>
                    <w:bidi w:val="0"/>
                    <w:jc w:val="center"/>
                    <w:rPr>
                      <w:rFonts w:hint="default"/>
                      <w:lang w:val="en-US" w:eastAsia="zh-CN"/>
                    </w:rPr>
                  </w:pPr>
                  <w:r>
                    <w:rPr>
                      <w:rFonts w:hint="eastAsia"/>
                      <w:lang w:val="en-US" w:eastAsia="zh-CN"/>
                    </w:rPr>
                    <w:t>16h</w:t>
                  </w:r>
                </w:p>
              </w:tc>
            </w:tr>
          </w:tbl>
          <w:p>
            <w:pPr>
              <w:numPr>
                <w:ilvl w:val="0"/>
                <w:numId w:val="0"/>
              </w:numPr>
              <w:adjustRightInd w:val="0"/>
              <w:snapToGrid w:val="0"/>
              <w:spacing w:line="360" w:lineRule="auto"/>
              <w:jc w:val="both"/>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（2）影响预测</w:t>
            </w:r>
          </w:p>
          <w:p>
            <w:pPr>
              <w:numPr>
                <w:ilvl w:val="0"/>
                <w:numId w:val="0"/>
              </w:numPr>
              <w:adjustRightInd w:val="0"/>
              <w:snapToGrid w:val="0"/>
              <w:spacing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①预测内容和预测因子</w:t>
            </w:r>
          </w:p>
          <w:p>
            <w:pPr>
              <w:numPr>
                <w:ilvl w:val="0"/>
                <w:numId w:val="0"/>
              </w:numPr>
              <w:adjustRightInd w:val="0"/>
              <w:snapToGrid w:val="0"/>
              <w:spacing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预测内容：拟建项目厂区东、南、西、北厂界。</w:t>
            </w:r>
          </w:p>
          <w:p>
            <w:pPr>
              <w:numPr>
                <w:ilvl w:val="0"/>
                <w:numId w:val="0"/>
              </w:numPr>
              <w:adjustRightInd w:val="0"/>
              <w:snapToGrid w:val="0"/>
              <w:spacing w:line="360" w:lineRule="auto"/>
              <w:ind w:firstLine="480" w:firstLineChars="200"/>
              <w:jc w:val="both"/>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lang w:val="en-US" w:eastAsia="zh-CN" w:bidi="ar-SA"/>
              </w:rPr>
              <w:t>预测因子：昼、夜间等效声级L</w:t>
            </w:r>
            <w:r>
              <w:rPr>
                <w:rFonts w:hint="eastAsia" w:ascii="宋体" w:hAnsi="宋体" w:cs="宋体"/>
                <w:kern w:val="2"/>
                <w:sz w:val="24"/>
                <w:szCs w:val="24"/>
                <w:vertAlign w:val="subscript"/>
                <w:lang w:val="en-US" w:eastAsia="zh-CN" w:bidi="ar-SA"/>
              </w:rPr>
              <w:t>d</w:t>
            </w:r>
            <w:r>
              <w:rPr>
                <w:rFonts w:hint="eastAsia" w:ascii="宋体" w:hAnsi="宋体" w:cs="宋体"/>
                <w:kern w:val="2"/>
                <w:sz w:val="24"/>
                <w:szCs w:val="24"/>
                <w:vertAlign w:val="baseline"/>
                <w:lang w:val="en-US" w:eastAsia="zh-CN" w:bidi="ar-SA"/>
              </w:rPr>
              <w:t>、L</w:t>
            </w:r>
            <w:r>
              <w:rPr>
                <w:rFonts w:hint="eastAsia" w:ascii="宋体" w:hAnsi="宋体" w:cs="宋体"/>
                <w:kern w:val="2"/>
                <w:sz w:val="24"/>
                <w:szCs w:val="24"/>
                <w:vertAlign w:val="subscript"/>
                <w:lang w:val="en-US" w:eastAsia="zh-CN" w:bidi="ar-SA"/>
              </w:rPr>
              <w:t>n</w:t>
            </w:r>
            <w:r>
              <w:rPr>
                <w:rFonts w:hint="eastAsia" w:ascii="宋体" w:hAnsi="宋体" w:cs="宋体"/>
                <w:kern w:val="2"/>
                <w:sz w:val="24"/>
                <w:szCs w:val="24"/>
                <w:vertAlign w:val="baseline"/>
                <w:lang w:val="en-US" w:eastAsia="zh-CN" w:bidi="ar-SA"/>
              </w:rPr>
              <w:t>。</w:t>
            </w:r>
          </w:p>
          <w:p>
            <w:pPr>
              <w:numPr>
                <w:ilvl w:val="0"/>
                <w:numId w:val="0"/>
              </w:numPr>
              <w:adjustRightInd w:val="0"/>
              <w:snapToGrid w:val="0"/>
              <w:spacing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②预测模式</w:t>
            </w:r>
          </w:p>
          <w:p>
            <w:pPr>
              <w:numPr>
                <w:ilvl w:val="0"/>
                <w:numId w:val="0"/>
              </w:numPr>
              <w:adjustRightInd w:val="0"/>
              <w:snapToGrid w:val="0"/>
              <w:spacing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建设项目声源在预测点产生的等效声级贡献值（L</w:t>
            </w:r>
            <w:r>
              <w:rPr>
                <w:rFonts w:hint="eastAsia" w:ascii="宋体" w:hAnsi="宋体" w:cs="宋体"/>
                <w:kern w:val="2"/>
                <w:sz w:val="21"/>
                <w:szCs w:val="21"/>
                <w:vertAlign w:val="baseline"/>
                <w:lang w:val="en-US" w:eastAsia="zh-CN" w:bidi="ar-SA"/>
              </w:rPr>
              <w:t>eqg</w:t>
            </w:r>
            <w:r>
              <w:rPr>
                <w:rFonts w:hint="eastAsia" w:ascii="宋体" w:hAnsi="宋体" w:cs="宋体"/>
                <w:kern w:val="2"/>
                <w:sz w:val="24"/>
                <w:szCs w:val="24"/>
                <w:lang w:val="en-US" w:eastAsia="zh-CN" w:bidi="ar-SA"/>
              </w:rPr>
              <w:t>）计算公式：</w:t>
            </w:r>
          </w:p>
          <w:p>
            <w:pPr>
              <w:numPr>
                <w:ilvl w:val="0"/>
                <w:numId w:val="0"/>
              </w:numPr>
              <w:adjustRightInd w:val="0"/>
              <w:snapToGrid w:val="0"/>
              <w:spacing w:line="360" w:lineRule="auto"/>
              <w:jc w:val="center"/>
              <w:rPr>
                <w:rFonts w:hint="eastAsia" w:ascii="宋体" w:hAnsi="宋体" w:eastAsia="宋体" w:cs="宋体"/>
                <w:kern w:val="2"/>
                <w:sz w:val="24"/>
                <w:szCs w:val="24"/>
                <w:lang w:val="en-US" w:eastAsia="zh-CN" w:bidi="ar-SA"/>
              </w:rPr>
            </w:pPr>
            <w:r>
              <w:rPr>
                <w:sz w:val="24"/>
                <w:szCs w:val="24"/>
              </w:rPr>
              <w:drawing>
                <wp:inline distT="0" distB="0" distL="114300" distR="114300">
                  <wp:extent cx="2079625" cy="601345"/>
                  <wp:effectExtent l="0" t="0" r="15875" b="825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8"/>
                          <a:stretch>
                            <a:fillRect/>
                          </a:stretch>
                        </pic:blipFill>
                        <pic:spPr>
                          <a:xfrm>
                            <a:off x="0" y="0"/>
                            <a:ext cx="2079625" cy="601345"/>
                          </a:xfrm>
                          <a:prstGeom prst="rect">
                            <a:avLst/>
                          </a:prstGeom>
                          <a:noFill/>
                          <a:ln>
                            <a:noFill/>
                          </a:ln>
                        </pic:spPr>
                      </pic:pic>
                    </a:graphicData>
                  </a:graphic>
                </wp:inline>
              </w:drawing>
            </w:r>
          </w:p>
          <w:p>
            <w:pPr>
              <w:numPr>
                <w:ilvl w:val="0"/>
                <w:numId w:val="0"/>
              </w:numPr>
              <w:adjustRightInd w:val="0"/>
              <w:snapToGrid w:val="0"/>
              <w:spacing w:line="360" w:lineRule="auto"/>
              <w:ind w:firstLine="960" w:firstLineChars="400"/>
              <w:jc w:val="both"/>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L</w:t>
            </w:r>
            <w:r>
              <w:rPr>
                <w:rFonts w:hint="eastAsia" w:ascii="宋体" w:hAnsi="宋体" w:cs="宋体"/>
                <w:kern w:val="2"/>
                <w:sz w:val="21"/>
                <w:szCs w:val="21"/>
                <w:lang w:val="en-US" w:eastAsia="zh-CN" w:bidi="ar-SA"/>
              </w:rPr>
              <w:t>eqg:</w:t>
            </w:r>
            <w:r>
              <w:rPr>
                <w:rFonts w:hint="eastAsia" w:ascii="宋体" w:hAnsi="宋体" w:cs="宋体"/>
                <w:kern w:val="2"/>
                <w:sz w:val="24"/>
                <w:szCs w:val="24"/>
                <w:lang w:val="en-US" w:eastAsia="zh-CN" w:bidi="ar-SA"/>
              </w:rPr>
              <w:t>建设项目声源在预测点的等效声级贡献值，dB（A）；</w:t>
            </w:r>
          </w:p>
          <w:p>
            <w:pPr>
              <w:numPr>
                <w:ilvl w:val="0"/>
                <w:numId w:val="0"/>
              </w:numPr>
              <w:adjustRightInd w:val="0"/>
              <w:snapToGrid w:val="0"/>
              <w:spacing w:line="360" w:lineRule="auto"/>
              <w:ind w:firstLine="960" w:firstLineChars="400"/>
              <w:jc w:val="both"/>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L</w:t>
            </w:r>
            <w:r>
              <w:rPr>
                <w:rFonts w:hint="eastAsia" w:ascii="宋体" w:hAnsi="宋体" w:cs="宋体"/>
                <w:kern w:val="2"/>
                <w:sz w:val="21"/>
                <w:szCs w:val="21"/>
                <w:lang w:val="en-US" w:eastAsia="zh-CN" w:bidi="ar-SA"/>
              </w:rPr>
              <w:t>Ai:</w:t>
            </w:r>
            <w:r>
              <w:rPr>
                <w:rFonts w:hint="eastAsia" w:ascii="宋体" w:hAnsi="宋体" w:cs="宋体"/>
                <w:kern w:val="2"/>
                <w:sz w:val="24"/>
                <w:szCs w:val="24"/>
                <w:lang w:val="en-US" w:eastAsia="zh-CN" w:bidi="ar-SA"/>
              </w:rPr>
              <w:t>i声源在预测点产生的A声级，dB（A）；</w:t>
            </w:r>
          </w:p>
          <w:p>
            <w:pPr>
              <w:numPr>
                <w:ilvl w:val="0"/>
                <w:numId w:val="0"/>
              </w:numPr>
              <w:adjustRightInd w:val="0"/>
              <w:snapToGrid w:val="0"/>
              <w:spacing w:line="360" w:lineRule="auto"/>
              <w:ind w:firstLine="960" w:firstLineChars="400"/>
              <w:jc w:val="both"/>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T：预测计算的时间段，s；</w:t>
            </w:r>
          </w:p>
          <w:p>
            <w:pPr>
              <w:numPr>
                <w:ilvl w:val="0"/>
                <w:numId w:val="0"/>
              </w:numPr>
              <w:adjustRightInd w:val="0"/>
              <w:snapToGrid w:val="0"/>
              <w:spacing w:line="360" w:lineRule="auto"/>
              <w:ind w:firstLine="960" w:firstLineChars="400"/>
              <w:jc w:val="both"/>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t</w:t>
            </w:r>
            <w:r>
              <w:rPr>
                <w:rFonts w:hint="eastAsia" w:ascii="宋体" w:hAnsi="宋体" w:cs="宋体"/>
                <w:kern w:val="2"/>
                <w:sz w:val="21"/>
                <w:szCs w:val="21"/>
                <w:vertAlign w:val="baseline"/>
                <w:lang w:val="en-US" w:eastAsia="zh-CN" w:bidi="ar-SA"/>
              </w:rPr>
              <w:t>i</w:t>
            </w:r>
            <w:r>
              <w:rPr>
                <w:rFonts w:hint="eastAsia" w:ascii="宋体" w:hAnsi="宋体" w:cs="宋体"/>
                <w:kern w:val="2"/>
                <w:sz w:val="24"/>
                <w:szCs w:val="24"/>
                <w:lang w:val="en-US" w:eastAsia="zh-CN" w:bidi="ar-SA"/>
              </w:rPr>
              <w:t>:i声源在T时间段内的运行时间，s。</w:t>
            </w:r>
          </w:p>
          <w:p>
            <w:pPr>
              <w:numPr>
                <w:ilvl w:val="0"/>
                <w:numId w:val="0"/>
              </w:numPr>
              <w:adjustRightInd w:val="0"/>
              <w:snapToGrid w:val="0"/>
              <w:spacing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预测点的预测等效声级（Leq）计算公式：</w:t>
            </w:r>
          </w:p>
          <w:p>
            <w:pPr>
              <w:numPr>
                <w:ilvl w:val="0"/>
                <w:numId w:val="0"/>
              </w:numPr>
              <w:adjustRightInd w:val="0"/>
              <w:snapToGrid w:val="0"/>
              <w:spacing w:line="360" w:lineRule="auto"/>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drawing>
                <wp:inline distT="0" distB="0" distL="114300" distR="114300">
                  <wp:extent cx="2235200" cy="394970"/>
                  <wp:effectExtent l="0" t="0" r="12700" b="5080"/>
                  <wp:docPr id="3"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1"/>
                          <pic:cNvPicPr>
                            <a:picLocks noChangeAspect="1"/>
                          </pic:cNvPicPr>
                        </pic:nvPicPr>
                        <pic:blipFill>
                          <a:blip r:embed="rId19"/>
                          <a:stretch>
                            <a:fillRect/>
                          </a:stretch>
                        </pic:blipFill>
                        <pic:spPr>
                          <a:xfrm>
                            <a:off x="0" y="0"/>
                            <a:ext cx="2235200" cy="394970"/>
                          </a:xfrm>
                          <a:prstGeom prst="rect">
                            <a:avLst/>
                          </a:prstGeom>
                        </pic:spPr>
                      </pic:pic>
                    </a:graphicData>
                  </a:graphic>
                </wp:inline>
              </w:drawing>
            </w:r>
          </w:p>
          <w:p>
            <w:pPr>
              <w:numPr>
                <w:ilvl w:val="0"/>
                <w:numId w:val="0"/>
              </w:numPr>
              <w:adjustRightInd w:val="0"/>
              <w:snapToGrid w:val="0"/>
              <w:spacing w:line="360" w:lineRule="auto"/>
              <w:ind w:firstLine="960" w:firstLineChars="400"/>
              <w:jc w:val="both"/>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L</w:t>
            </w:r>
            <w:r>
              <w:rPr>
                <w:rFonts w:hint="eastAsia" w:ascii="宋体" w:hAnsi="宋体" w:cs="宋体"/>
                <w:kern w:val="2"/>
                <w:sz w:val="21"/>
                <w:szCs w:val="21"/>
                <w:lang w:val="en-US" w:eastAsia="zh-CN" w:bidi="ar-SA"/>
              </w:rPr>
              <w:t>eqg</w:t>
            </w:r>
            <w:r>
              <w:rPr>
                <w:rFonts w:hint="eastAsia" w:ascii="宋体" w:hAnsi="宋体" w:cs="宋体"/>
                <w:kern w:val="2"/>
                <w:sz w:val="24"/>
                <w:szCs w:val="24"/>
                <w:lang w:val="en-US" w:eastAsia="zh-CN" w:bidi="ar-SA"/>
              </w:rPr>
              <w:t>——建设项目声源在预测点的等效声级贡献值，dB（A）；</w:t>
            </w:r>
          </w:p>
          <w:p>
            <w:pPr>
              <w:numPr>
                <w:ilvl w:val="0"/>
                <w:numId w:val="0"/>
              </w:numPr>
              <w:adjustRightInd w:val="0"/>
              <w:snapToGrid w:val="0"/>
              <w:spacing w:line="360" w:lineRule="auto"/>
              <w:ind w:firstLine="960" w:firstLineChars="400"/>
              <w:jc w:val="both"/>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L</w:t>
            </w:r>
            <w:r>
              <w:rPr>
                <w:rFonts w:hint="eastAsia" w:ascii="宋体" w:hAnsi="宋体" w:cs="宋体"/>
                <w:kern w:val="2"/>
                <w:sz w:val="21"/>
                <w:szCs w:val="21"/>
                <w:lang w:val="en-US" w:eastAsia="zh-CN" w:bidi="ar-SA"/>
              </w:rPr>
              <w:t>eqb</w:t>
            </w:r>
            <w:r>
              <w:rPr>
                <w:rFonts w:hint="eastAsia" w:ascii="宋体" w:hAnsi="宋体" w:cs="宋体"/>
                <w:kern w:val="2"/>
                <w:sz w:val="24"/>
                <w:szCs w:val="24"/>
                <w:lang w:val="en-US" w:eastAsia="zh-CN" w:bidi="ar-SA"/>
              </w:rPr>
              <w:t>——预测点的背景值，dB（A）。</w:t>
            </w:r>
          </w:p>
          <w:p>
            <w:pPr>
              <w:numPr>
                <w:ilvl w:val="0"/>
                <w:numId w:val="0"/>
              </w:numPr>
              <w:adjustRightInd w:val="0"/>
              <w:snapToGrid w:val="0"/>
              <w:spacing w:line="360" w:lineRule="auto"/>
              <w:jc w:val="both"/>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（3）预测结果：</w:t>
            </w:r>
          </w:p>
          <w:p>
            <w:pPr>
              <w:numPr>
                <w:ilvl w:val="0"/>
                <w:numId w:val="0"/>
              </w:numPr>
              <w:adjustRightInd w:val="0"/>
              <w:snapToGrid w:val="0"/>
              <w:spacing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噪声预测结果见下表：</w:t>
            </w:r>
          </w:p>
          <w:p>
            <w:pPr>
              <w:numPr>
                <w:ilvl w:val="0"/>
                <w:numId w:val="0"/>
              </w:numPr>
              <w:adjustRightInd w:val="0"/>
              <w:snapToGrid w:val="0"/>
              <w:spacing w:line="360" w:lineRule="auto"/>
              <w:jc w:val="center"/>
              <w:rPr>
                <w:rFonts w:hint="default" w:ascii="宋体" w:hAnsi="宋体" w:eastAsia="宋体" w:cs="宋体"/>
                <w:kern w:val="2"/>
                <w:sz w:val="24"/>
                <w:szCs w:val="24"/>
                <w:lang w:val="en-US" w:eastAsia="zh-CN" w:bidi="ar-SA"/>
              </w:rPr>
            </w:pPr>
            <w:r>
              <w:rPr>
                <w:rFonts w:hint="eastAsia" w:ascii="宋体" w:hAnsi="宋体" w:cs="宋体"/>
                <w:b/>
                <w:bCs/>
                <w:kern w:val="2"/>
                <w:sz w:val="24"/>
                <w:szCs w:val="24"/>
                <w:lang w:val="en-US" w:eastAsia="zh-CN" w:bidi="ar-SA"/>
              </w:rPr>
              <w:t>表4-10  噪声预测结果一览表</w:t>
            </w:r>
            <w:r>
              <w:rPr>
                <w:rFonts w:hint="eastAsia" w:ascii="宋体" w:hAnsi="宋体" w:cs="宋体"/>
                <w:kern w:val="2"/>
                <w:sz w:val="24"/>
                <w:szCs w:val="24"/>
                <w:lang w:val="en-US" w:eastAsia="zh-CN" w:bidi="ar-SA"/>
              </w:rPr>
              <w:t xml:space="preserve">  </w:t>
            </w:r>
            <w:r>
              <w:rPr>
                <w:rFonts w:hint="eastAsia" w:ascii="宋体" w:hAnsi="宋体" w:cs="宋体"/>
                <w:kern w:val="2"/>
                <w:sz w:val="18"/>
                <w:szCs w:val="18"/>
                <w:lang w:val="en-US" w:eastAsia="zh-CN" w:bidi="ar-SA"/>
              </w:rPr>
              <w:t>单位：dB（A）</w:t>
            </w:r>
          </w:p>
          <w:tbl>
            <w:tblPr>
              <w:tblStyle w:val="14"/>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764"/>
              <w:gridCol w:w="1501"/>
              <w:gridCol w:w="1307"/>
              <w:gridCol w:w="873"/>
              <w:gridCol w:w="1307"/>
              <w:gridCol w:w="131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2" w:hRule="atLeast"/>
              </w:trPr>
              <w:tc>
                <w:tcPr>
                  <w:tcW w:w="1093" w:type="pct"/>
                  <w:noWrap w:val="0"/>
                  <w:vAlign w:val="center"/>
                </w:tcPr>
                <w:p>
                  <w:pPr>
                    <w:spacing w:line="240" w:lineRule="auto"/>
                    <w:jc w:val="center"/>
                    <w:rPr>
                      <w:b/>
                      <w:bCs/>
                      <w:szCs w:val="21"/>
                    </w:rPr>
                  </w:pPr>
                  <w:r>
                    <w:rPr>
                      <w:b/>
                      <w:bCs/>
                      <w:szCs w:val="21"/>
                    </w:rPr>
                    <w:t>噪声源与</w:t>
                  </w:r>
                </w:p>
                <w:p>
                  <w:pPr>
                    <w:spacing w:line="240" w:lineRule="auto"/>
                    <w:jc w:val="center"/>
                    <w:rPr>
                      <w:b/>
                      <w:bCs/>
                      <w:szCs w:val="21"/>
                    </w:rPr>
                  </w:pPr>
                  <w:r>
                    <w:rPr>
                      <w:b/>
                      <w:bCs/>
                      <w:szCs w:val="21"/>
                    </w:rPr>
                    <w:t>厂界距离</w:t>
                  </w:r>
                </w:p>
              </w:tc>
              <w:tc>
                <w:tcPr>
                  <w:tcW w:w="930" w:type="pct"/>
                  <w:noWrap w:val="0"/>
                  <w:vAlign w:val="center"/>
                </w:tcPr>
                <w:p>
                  <w:pPr>
                    <w:spacing w:line="240" w:lineRule="auto"/>
                    <w:jc w:val="center"/>
                    <w:rPr>
                      <w:b/>
                      <w:bCs/>
                      <w:szCs w:val="21"/>
                    </w:rPr>
                  </w:pPr>
                  <w:r>
                    <w:rPr>
                      <w:b/>
                      <w:bCs/>
                      <w:szCs w:val="21"/>
                    </w:rPr>
                    <w:t>昼间本底值</w:t>
                  </w:r>
                </w:p>
              </w:tc>
              <w:tc>
                <w:tcPr>
                  <w:tcW w:w="810" w:type="pct"/>
                  <w:noWrap w:val="0"/>
                  <w:vAlign w:val="center"/>
                </w:tcPr>
                <w:p>
                  <w:pPr>
                    <w:spacing w:line="240" w:lineRule="auto"/>
                    <w:jc w:val="center"/>
                    <w:rPr>
                      <w:b/>
                      <w:bCs/>
                      <w:szCs w:val="21"/>
                    </w:rPr>
                  </w:pPr>
                  <w:r>
                    <w:rPr>
                      <w:b/>
                      <w:bCs/>
                      <w:szCs w:val="21"/>
                    </w:rPr>
                    <w:t>夜间本底值</w:t>
                  </w:r>
                </w:p>
              </w:tc>
              <w:tc>
                <w:tcPr>
                  <w:tcW w:w="541" w:type="pct"/>
                  <w:noWrap w:val="0"/>
                  <w:vAlign w:val="center"/>
                </w:tcPr>
                <w:p>
                  <w:pPr>
                    <w:spacing w:line="240" w:lineRule="auto"/>
                    <w:jc w:val="center"/>
                    <w:rPr>
                      <w:b/>
                      <w:bCs/>
                      <w:szCs w:val="21"/>
                    </w:rPr>
                  </w:pPr>
                  <w:r>
                    <w:rPr>
                      <w:b/>
                      <w:bCs/>
                      <w:szCs w:val="21"/>
                    </w:rPr>
                    <w:t>贡献值</w:t>
                  </w:r>
                </w:p>
              </w:tc>
              <w:tc>
                <w:tcPr>
                  <w:tcW w:w="810" w:type="pct"/>
                  <w:noWrap w:val="0"/>
                  <w:vAlign w:val="center"/>
                </w:tcPr>
                <w:p>
                  <w:pPr>
                    <w:spacing w:line="240" w:lineRule="auto"/>
                    <w:jc w:val="center"/>
                    <w:rPr>
                      <w:b/>
                      <w:bCs/>
                      <w:szCs w:val="21"/>
                    </w:rPr>
                  </w:pPr>
                  <w:r>
                    <w:rPr>
                      <w:b/>
                      <w:bCs/>
                      <w:szCs w:val="21"/>
                    </w:rPr>
                    <w:t>昼间预测值</w:t>
                  </w:r>
                </w:p>
              </w:tc>
              <w:tc>
                <w:tcPr>
                  <w:tcW w:w="814" w:type="pct"/>
                  <w:noWrap w:val="0"/>
                  <w:vAlign w:val="center"/>
                </w:tcPr>
                <w:p>
                  <w:pPr>
                    <w:spacing w:line="240" w:lineRule="auto"/>
                    <w:jc w:val="center"/>
                    <w:rPr>
                      <w:b/>
                      <w:bCs/>
                      <w:szCs w:val="21"/>
                    </w:rPr>
                  </w:pPr>
                  <w:r>
                    <w:rPr>
                      <w:b/>
                      <w:bCs/>
                      <w:szCs w:val="21"/>
                    </w:rPr>
                    <w:t>夜间预测值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2" w:hRule="atLeast"/>
              </w:trPr>
              <w:tc>
                <w:tcPr>
                  <w:tcW w:w="1093" w:type="pct"/>
                  <w:noWrap w:val="0"/>
                  <w:vAlign w:val="center"/>
                </w:tcPr>
                <w:p>
                  <w:pPr>
                    <w:spacing w:line="240" w:lineRule="auto"/>
                    <w:jc w:val="center"/>
                    <w:rPr>
                      <w:szCs w:val="21"/>
                    </w:rPr>
                  </w:pPr>
                  <w:r>
                    <w:rPr>
                      <w:szCs w:val="21"/>
                    </w:rPr>
                    <w:t>东厂界</w:t>
                  </w:r>
                </w:p>
              </w:tc>
              <w:tc>
                <w:tcPr>
                  <w:tcW w:w="930" w:type="pct"/>
                  <w:noWrap w:val="0"/>
                  <w:vAlign w:val="center"/>
                </w:tcPr>
                <w:p>
                  <w:pPr>
                    <w:pStyle w:val="25"/>
                    <w:adjustRightInd w:val="0"/>
                    <w:snapToGrid w:val="0"/>
                    <w:spacing w:line="240" w:lineRule="auto"/>
                    <w:ind w:firstLine="0" w:firstLineChars="0"/>
                    <w:jc w:val="center"/>
                    <w:rPr>
                      <w:szCs w:val="21"/>
                    </w:rPr>
                  </w:pPr>
                  <w:r>
                    <w:rPr>
                      <w:sz w:val="21"/>
                      <w:szCs w:val="21"/>
                    </w:rPr>
                    <w:t>54.7</w:t>
                  </w:r>
                </w:p>
              </w:tc>
              <w:tc>
                <w:tcPr>
                  <w:tcW w:w="810" w:type="pct"/>
                  <w:noWrap w:val="0"/>
                  <w:vAlign w:val="center"/>
                </w:tcPr>
                <w:p>
                  <w:pPr>
                    <w:spacing w:line="240" w:lineRule="auto"/>
                    <w:jc w:val="center"/>
                    <w:rPr>
                      <w:szCs w:val="21"/>
                    </w:rPr>
                  </w:pPr>
                  <w:r>
                    <w:rPr>
                      <w:szCs w:val="21"/>
                    </w:rPr>
                    <w:t>44.6</w:t>
                  </w:r>
                </w:p>
              </w:tc>
              <w:tc>
                <w:tcPr>
                  <w:tcW w:w="541" w:type="pct"/>
                  <w:noWrap w:val="0"/>
                  <w:vAlign w:val="center"/>
                </w:tcPr>
                <w:p>
                  <w:pPr>
                    <w:spacing w:line="240" w:lineRule="auto"/>
                    <w:jc w:val="center"/>
                    <w:rPr>
                      <w:szCs w:val="21"/>
                    </w:rPr>
                  </w:pPr>
                  <w:r>
                    <w:rPr>
                      <w:szCs w:val="21"/>
                    </w:rPr>
                    <w:t>54</w:t>
                  </w:r>
                </w:p>
              </w:tc>
              <w:tc>
                <w:tcPr>
                  <w:tcW w:w="810" w:type="pct"/>
                  <w:noWrap w:val="0"/>
                  <w:vAlign w:val="center"/>
                </w:tcPr>
                <w:p>
                  <w:pPr>
                    <w:spacing w:line="240" w:lineRule="auto"/>
                    <w:jc w:val="center"/>
                    <w:rPr>
                      <w:szCs w:val="21"/>
                    </w:rPr>
                  </w:pPr>
                  <w:r>
                    <w:rPr>
                      <w:szCs w:val="21"/>
                    </w:rPr>
                    <w:t>57.37</w:t>
                  </w:r>
                </w:p>
              </w:tc>
              <w:tc>
                <w:tcPr>
                  <w:tcW w:w="814" w:type="pct"/>
                  <w:noWrap w:val="0"/>
                  <w:vAlign w:val="center"/>
                </w:tcPr>
                <w:p>
                  <w:pPr>
                    <w:spacing w:line="240" w:lineRule="auto"/>
                    <w:jc w:val="center"/>
                    <w:rPr>
                      <w:szCs w:val="21"/>
                    </w:rPr>
                  </w:pPr>
                  <w:r>
                    <w:rPr>
                      <w:szCs w:val="21"/>
                    </w:rPr>
                    <w:t>54.47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2" w:hRule="atLeast"/>
              </w:trPr>
              <w:tc>
                <w:tcPr>
                  <w:tcW w:w="1093" w:type="pct"/>
                  <w:noWrap w:val="0"/>
                  <w:vAlign w:val="center"/>
                </w:tcPr>
                <w:p>
                  <w:pPr>
                    <w:spacing w:line="240" w:lineRule="auto"/>
                    <w:jc w:val="center"/>
                    <w:rPr>
                      <w:szCs w:val="21"/>
                      <w:vertAlign w:val="subscript"/>
                    </w:rPr>
                  </w:pPr>
                  <w:r>
                    <w:rPr>
                      <w:szCs w:val="21"/>
                    </w:rPr>
                    <w:t>南厂界</w:t>
                  </w:r>
                </w:p>
              </w:tc>
              <w:tc>
                <w:tcPr>
                  <w:tcW w:w="930" w:type="pct"/>
                  <w:noWrap w:val="0"/>
                  <w:vAlign w:val="center"/>
                </w:tcPr>
                <w:p>
                  <w:pPr>
                    <w:pStyle w:val="25"/>
                    <w:adjustRightInd w:val="0"/>
                    <w:snapToGrid w:val="0"/>
                    <w:spacing w:line="240" w:lineRule="auto"/>
                    <w:ind w:firstLine="0" w:firstLineChars="0"/>
                    <w:jc w:val="center"/>
                    <w:rPr>
                      <w:szCs w:val="21"/>
                    </w:rPr>
                  </w:pPr>
                  <w:r>
                    <w:rPr>
                      <w:sz w:val="21"/>
                      <w:szCs w:val="21"/>
                    </w:rPr>
                    <w:t>56.4</w:t>
                  </w:r>
                </w:p>
              </w:tc>
              <w:tc>
                <w:tcPr>
                  <w:tcW w:w="810" w:type="pct"/>
                  <w:noWrap w:val="0"/>
                  <w:vAlign w:val="center"/>
                </w:tcPr>
                <w:p>
                  <w:pPr>
                    <w:spacing w:line="240" w:lineRule="auto"/>
                    <w:jc w:val="center"/>
                    <w:rPr>
                      <w:szCs w:val="21"/>
                    </w:rPr>
                  </w:pPr>
                  <w:r>
                    <w:rPr>
                      <w:szCs w:val="21"/>
                    </w:rPr>
                    <w:t>46.6</w:t>
                  </w:r>
                </w:p>
              </w:tc>
              <w:tc>
                <w:tcPr>
                  <w:tcW w:w="541" w:type="pct"/>
                  <w:noWrap w:val="0"/>
                  <w:vAlign w:val="center"/>
                </w:tcPr>
                <w:p>
                  <w:pPr>
                    <w:spacing w:line="240" w:lineRule="auto"/>
                    <w:jc w:val="center"/>
                    <w:rPr>
                      <w:szCs w:val="21"/>
                    </w:rPr>
                  </w:pPr>
                  <w:r>
                    <w:rPr>
                      <w:szCs w:val="21"/>
                    </w:rPr>
                    <w:t>54</w:t>
                  </w:r>
                </w:p>
              </w:tc>
              <w:tc>
                <w:tcPr>
                  <w:tcW w:w="810" w:type="pct"/>
                  <w:noWrap w:val="0"/>
                  <w:vAlign w:val="center"/>
                </w:tcPr>
                <w:p>
                  <w:pPr>
                    <w:spacing w:line="240" w:lineRule="auto"/>
                    <w:jc w:val="center"/>
                    <w:rPr>
                      <w:szCs w:val="21"/>
                    </w:rPr>
                  </w:pPr>
                  <w:r>
                    <w:rPr>
                      <w:szCs w:val="21"/>
                    </w:rPr>
                    <w:t>58.37</w:t>
                  </w:r>
                </w:p>
              </w:tc>
              <w:tc>
                <w:tcPr>
                  <w:tcW w:w="814" w:type="pct"/>
                  <w:noWrap w:val="0"/>
                  <w:vAlign w:val="center"/>
                </w:tcPr>
                <w:p>
                  <w:pPr>
                    <w:spacing w:line="240" w:lineRule="auto"/>
                    <w:jc w:val="center"/>
                    <w:rPr>
                      <w:szCs w:val="21"/>
                    </w:rPr>
                  </w:pPr>
                  <w:r>
                    <w:rPr>
                      <w:szCs w:val="21"/>
                    </w:rPr>
                    <w:t>54.73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2" w:hRule="atLeast"/>
              </w:trPr>
              <w:tc>
                <w:tcPr>
                  <w:tcW w:w="1093" w:type="pct"/>
                  <w:noWrap w:val="0"/>
                  <w:vAlign w:val="center"/>
                </w:tcPr>
                <w:p>
                  <w:pPr>
                    <w:spacing w:line="240" w:lineRule="auto"/>
                    <w:jc w:val="center"/>
                    <w:rPr>
                      <w:szCs w:val="21"/>
                    </w:rPr>
                  </w:pPr>
                  <w:r>
                    <w:rPr>
                      <w:szCs w:val="21"/>
                    </w:rPr>
                    <w:t>西厂界</w:t>
                  </w:r>
                </w:p>
              </w:tc>
              <w:tc>
                <w:tcPr>
                  <w:tcW w:w="930" w:type="pct"/>
                  <w:noWrap w:val="0"/>
                  <w:vAlign w:val="center"/>
                </w:tcPr>
                <w:p>
                  <w:pPr>
                    <w:pStyle w:val="25"/>
                    <w:adjustRightInd w:val="0"/>
                    <w:snapToGrid w:val="0"/>
                    <w:spacing w:line="240" w:lineRule="auto"/>
                    <w:ind w:firstLine="0" w:firstLineChars="0"/>
                    <w:jc w:val="center"/>
                    <w:rPr>
                      <w:szCs w:val="21"/>
                    </w:rPr>
                  </w:pPr>
                  <w:r>
                    <w:rPr>
                      <w:sz w:val="21"/>
                      <w:szCs w:val="21"/>
                    </w:rPr>
                    <w:t>53.8</w:t>
                  </w:r>
                </w:p>
              </w:tc>
              <w:tc>
                <w:tcPr>
                  <w:tcW w:w="810" w:type="pct"/>
                  <w:noWrap w:val="0"/>
                  <w:vAlign w:val="center"/>
                </w:tcPr>
                <w:p>
                  <w:pPr>
                    <w:spacing w:line="240" w:lineRule="auto"/>
                    <w:jc w:val="center"/>
                    <w:rPr>
                      <w:szCs w:val="21"/>
                    </w:rPr>
                  </w:pPr>
                  <w:r>
                    <w:rPr>
                      <w:szCs w:val="21"/>
                    </w:rPr>
                    <w:t>44.4</w:t>
                  </w:r>
                </w:p>
              </w:tc>
              <w:tc>
                <w:tcPr>
                  <w:tcW w:w="541" w:type="pct"/>
                  <w:noWrap w:val="0"/>
                  <w:vAlign w:val="center"/>
                </w:tcPr>
                <w:p>
                  <w:pPr>
                    <w:spacing w:line="240" w:lineRule="auto"/>
                    <w:jc w:val="center"/>
                    <w:rPr>
                      <w:szCs w:val="21"/>
                    </w:rPr>
                  </w:pPr>
                  <w:r>
                    <w:rPr>
                      <w:szCs w:val="21"/>
                    </w:rPr>
                    <w:t>52</w:t>
                  </w:r>
                </w:p>
              </w:tc>
              <w:tc>
                <w:tcPr>
                  <w:tcW w:w="810" w:type="pct"/>
                  <w:noWrap w:val="0"/>
                  <w:vAlign w:val="center"/>
                </w:tcPr>
                <w:p>
                  <w:pPr>
                    <w:spacing w:line="240" w:lineRule="auto"/>
                    <w:jc w:val="center"/>
                    <w:rPr>
                      <w:szCs w:val="21"/>
                    </w:rPr>
                  </w:pPr>
                  <w:r>
                    <w:rPr>
                      <w:szCs w:val="21"/>
                    </w:rPr>
                    <w:t>56</w:t>
                  </w:r>
                </w:p>
              </w:tc>
              <w:tc>
                <w:tcPr>
                  <w:tcW w:w="814" w:type="pct"/>
                  <w:noWrap w:val="0"/>
                  <w:vAlign w:val="center"/>
                </w:tcPr>
                <w:p>
                  <w:pPr>
                    <w:spacing w:line="240" w:lineRule="auto"/>
                    <w:jc w:val="center"/>
                    <w:rPr>
                      <w:szCs w:val="21"/>
                    </w:rPr>
                  </w:pPr>
                  <w:r>
                    <w:rPr>
                      <w:szCs w:val="21"/>
                    </w:rPr>
                    <w:t>52.7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2" w:hRule="atLeast"/>
              </w:trPr>
              <w:tc>
                <w:tcPr>
                  <w:tcW w:w="1093" w:type="pct"/>
                  <w:noWrap w:val="0"/>
                  <w:vAlign w:val="center"/>
                </w:tcPr>
                <w:p>
                  <w:pPr>
                    <w:spacing w:line="240" w:lineRule="auto"/>
                    <w:jc w:val="center"/>
                    <w:rPr>
                      <w:szCs w:val="21"/>
                    </w:rPr>
                  </w:pPr>
                  <w:r>
                    <w:rPr>
                      <w:szCs w:val="21"/>
                    </w:rPr>
                    <w:t>北厂界</w:t>
                  </w:r>
                </w:p>
              </w:tc>
              <w:tc>
                <w:tcPr>
                  <w:tcW w:w="930" w:type="pct"/>
                  <w:noWrap w:val="0"/>
                  <w:vAlign w:val="center"/>
                </w:tcPr>
                <w:p>
                  <w:pPr>
                    <w:pStyle w:val="25"/>
                    <w:adjustRightInd w:val="0"/>
                    <w:snapToGrid w:val="0"/>
                    <w:spacing w:line="240" w:lineRule="auto"/>
                    <w:ind w:firstLine="0" w:firstLineChars="0"/>
                    <w:jc w:val="center"/>
                    <w:rPr>
                      <w:szCs w:val="21"/>
                    </w:rPr>
                  </w:pPr>
                  <w:r>
                    <w:rPr>
                      <w:sz w:val="21"/>
                      <w:szCs w:val="21"/>
                    </w:rPr>
                    <w:t>56.0</w:t>
                  </w:r>
                </w:p>
              </w:tc>
              <w:tc>
                <w:tcPr>
                  <w:tcW w:w="810" w:type="pct"/>
                  <w:noWrap w:val="0"/>
                  <w:vAlign w:val="center"/>
                </w:tcPr>
                <w:p>
                  <w:pPr>
                    <w:spacing w:line="240" w:lineRule="auto"/>
                    <w:jc w:val="center"/>
                    <w:rPr>
                      <w:szCs w:val="21"/>
                    </w:rPr>
                  </w:pPr>
                  <w:r>
                    <w:rPr>
                      <w:szCs w:val="21"/>
                    </w:rPr>
                    <w:t>47.1</w:t>
                  </w:r>
                </w:p>
              </w:tc>
              <w:tc>
                <w:tcPr>
                  <w:tcW w:w="541" w:type="pct"/>
                  <w:noWrap w:val="0"/>
                  <w:vAlign w:val="center"/>
                </w:tcPr>
                <w:p>
                  <w:pPr>
                    <w:spacing w:line="240" w:lineRule="auto"/>
                    <w:jc w:val="center"/>
                    <w:rPr>
                      <w:szCs w:val="21"/>
                    </w:rPr>
                  </w:pPr>
                  <w:r>
                    <w:rPr>
                      <w:szCs w:val="21"/>
                    </w:rPr>
                    <w:t>42</w:t>
                  </w:r>
                </w:p>
              </w:tc>
              <w:tc>
                <w:tcPr>
                  <w:tcW w:w="810" w:type="pct"/>
                  <w:noWrap w:val="0"/>
                  <w:vAlign w:val="center"/>
                </w:tcPr>
                <w:p>
                  <w:pPr>
                    <w:spacing w:line="240" w:lineRule="auto"/>
                    <w:jc w:val="center"/>
                    <w:rPr>
                      <w:szCs w:val="21"/>
                    </w:rPr>
                  </w:pPr>
                  <w:r>
                    <w:rPr>
                      <w:szCs w:val="21"/>
                    </w:rPr>
                    <w:t>56.17</w:t>
                  </w:r>
                </w:p>
              </w:tc>
              <w:tc>
                <w:tcPr>
                  <w:tcW w:w="814" w:type="pct"/>
                  <w:noWrap w:val="0"/>
                  <w:vAlign w:val="center"/>
                </w:tcPr>
                <w:p>
                  <w:pPr>
                    <w:spacing w:line="240" w:lineRule="auto"/>
                    <w:jc w:val="center"/>
                    <w:rPr>
                      <w:szCs w:val="21"/>
                    </w:rPr>
                  </w:pPr>
                  <w:r>
                    <w:rPr>
                      <w:szCs w:val="21"/>
                    </w:rPr>
                    <w:t>48.27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2" w:hRule="atLeast"/>
              </w:trPr>
              <w:tc>
                <w:tcPr>
                  <w:tcW w:w="1093" w:type="pct"/>
                  <w:noWrap w:val="0"/>
                  <w:vAlign w:val="center"/>
                </w:tcPr>
                <w:p>
                  <w:pPr>
                    <w:spacing w:line="240" w:lineRule="auto"/>
                    <w:jc w:val="center"/>
                    <w:rPr>
                      <w:szCs w:val="21"/>
                    </w:rPr>
                  </w:pPr>
                  <w:r>
                    <w:rPr>
                      <w:szCs w:val="21"/>
                    </w:rPr>
                    <w:t>评价标准</w:t>
                  </w:r>
                </w:p>
              </w:tc>
              <w:tc>
                <w:tcPr>
                  <w:tcW w:w="3906" w:type="pct"/>
                  <w:gridSpan w:val="5"/>
                  <w:noWrap w:val="0"/>
                  <w:vAlign w:val="center"/>
                </w:tcPr>
                <w:p>
                  <w:pPr>
                    <w:spacing w:line="240" w:lineRule="auto"/>
                    <w:jc w:val="left"/>
                    <w:rPr>
                      <w:szCs w:val="21"/>
                    </w:rPr>
                  </w:pPr>
                  <w:r>
                    <w:rPr>
                      <w:b w:val="0"/>
                      <w:bCs w:val="0"/>
                      <w:color w:val="000000" w:themeColor="text1"/>
                      <w:szCs w:val="21"/>
                      <w14:textFill>
                        <w14:solidFill>
                          <w14:schemeClr w14:val="tx1"/>
                        </w14:solidFill>
                      </w14:textFill>
                    </w:rPr>
                    <w:t>项目厂界</w:t>
                  </w:r>
                  <w:r>
                    <w:rPr>
                      <w:rFonts w:hint="eastAsia"/>
                      <w:b w:val="0"/>
                      <w:bCs w:val="0"/>
                      <w:color w:val="000000" w:themeColor="text1"/>
                      <w:szCs w:val="21"/>
                      <w14:textFill>
                        <w14:solidFill>
                          <w14:schemeClr w14:val="tx1"/>
                        </w14:solidFill>
                      </w14:textFill>
                    </w:rPr>
                    <w:t>南侧</w:t>
                  </w:r>
                  <w:r>
                    <w:rPr>
                      <w:b w:val="0"/>
                      <w:bCs w:val="0"/>
                      <w:color w:val="000000" w:themeColor="text1"/>
                      <w:szCs w:val="21"/>
                      <w14:textFill>
                        <w14:solidFill>
                          <w14:schemeClr w14:val="tx1"/>
                        </w14:solidFill>
                      </w14:textFill>
                    </w:rPr>
                    <w:t>、</w:t>
                  </w:r>
                  <w:r>
                    <w:rPr>
                      <w:rFonts w:hint="eastAsia"/>
                      <w:b w:val="0"/>
                      <w:bCs w:val="0"/>
                      <w:color w:val="000000" w:themeColor="text1"/>
                      <w:szCs w:val="21"/>
                      <w14:textFill>
                        <w14:solidFill>
                          <w14:schemeClr w14:val="tx1"/>
                        </w14:solidFill>
                      </w14:textFill>
                    </w:rPr>
                    <w:t>西</w:t>
                  </w:r>
                  <w:r>
                    <w:rPr>
                      <w:b w:val="0"/>
                      <w:bCs w:val="0"/>
                      <w:color w:val="000000" w:themeColor="text1"/>
                      <w:szCs w:val="21"/>
                      <w14:textFill>
                        <w14:solidFill>
                          <w14:schemeClr w14:val="tx1"/>
                        </w14:solidFill>
                      </w14:textFill>
                    </w:rPr>
                    <w:t>侧执行中3类昼间：65dB(A)，夜间：55dB(A)</w:t>
                  </w:r>
                </w:p>
              </w:tc>
            </w:tr>
          </w:tbl>
          <w:p>
            <w:pPr>
              <w:pStyle w:val="25"/>
              <w:adjustRightInd w:val="0"/>
              <w:snapToGrid w:val="0"/>
              <w:spacing w:line="360" w:lineRule="auto"/>
              <w:ind w:firstLine="480"/>
              <w:rPr>
                <w:b w:val="0"/>
                <w:bCs w:val="0"/>
                <w:color w:val="000000" w:themeColor="text1"/>
                <w:sz w:val="24"/>
                <w:szCs w:val="24"/>
                <w14:textFill>
                  <w14:solidFill>
                    <w14:schemeClr w14:val="tx1"/>
                  </w14:solidFill>
                </w14:textFill>
              </w:rPr>
            </w:pPr>
            <w:r>
              <w:rPr>
                <w:b w:val="0"/>
                <w:bCs w:val="0"/>
                <w:color w:val="000000" w:themeColor="text1"/>
                <w:sz w:val="24"/>
                <w:szCs w:val="24"/>
                <w14:textFill>
                  <w14:solidFill>
                    <w14:schemeClr w14:val="tx1"/>
                  </w14:solidFill>
                </w14:textFill>
              </w:rPr>
              <w:t>由预测结果可知，项目在所有生产设备试运行时厂界</w:t>
            </w:r>
            <w:r>
              <w:rPr>
                <w:rFonts w:hint="eastAsia"/>
                <w:b w:val="0"/>
                <w:bCs w:val="0"/>
                <w:color w:val="000000" w:themeColor="text1"/>
                <w:sz w:val="24"/>
                <w:szCs w:val="24"/>
                <w:lang w:val="en-US" w:eastAsia="zh-CN"/>
                <w14:textFill>
                  <w14:solidFill>
                    <w14:schemeClr w14:val="tx1"/>
                  </w14:solidFill>
                </w14:textFill>
              </w:rPr>
              <w:t>四周</w:t>
            </w:r>
            <w:r>
              <w:rPr>
                <w:b w:val="0"/>
                <w:bCs w:val="0"/>
                <w:color w:val="000000" w:themeColor="text1"/>
                <w:sz w:val="24"/>
                <w:szCs w:val="24"/>
                <w14:textFill>
                  <w14:solidFill>
                    <w14:schemeClr w14:val="tx1"/>
                  </w14:solidFill>
                </w14:textFill>
              </w:rPr>
              <w:t>声环境能够满足《工业企业厂界环境噪声排放标准》（GB12348-2008）</w:t>
            </w:r>
            <w:r>
              <w:rPr>
                <w:rFonts w:hint="eastAsia"/>
                <w:b w:val="0"/>
                <w:bCs w:val="0"/>
                <w:color w:val="000000" w:themeColor="text1"/>
                <w:sz w:val="24"/>
                <w:szCs w:val="24"/>
                <w:lang w:val="en-US" w:eastAsia="zh-CN"/>
                <w14:textFill>
                  <w14:solidFill>
                    <w14:schemeClr w14:val="tx1"/>
                  </w14:solidFill>
                </w14:textFill>
              </w:rPr>
              <w:t>3</w:t>
            </w:r>
            <w:r>
              <w:rPr>
                <w:b w:val="0"/>
                <w:bCs w:val="0"/>
                <w:color w:val="000000" w:themeColor="text1"/>
                <w:sz w:val="24"/>
                <w:szCs w:val="24"/>
                <w14:textFill>
                  <w14:solidFill>
                    <w14:schemeClr w14:val="tx1"/>
                  </w14:solidFill>
                </w14:textFill>
              </w:rPr>
              <w:t>类标准。</w:t>
            </w:r>
          </w:p>
          <w:p>
            <w:pPr>
              <w:numPr>
                <w:ilvl w:val="0"/>
                <w:numId w:val="0"/>
              </w:numPr>
              <w:adjustRightInd w:val="0"/>
              <w:snapToGrid w:val="0"/>
              <w:spacing w:line="360" w:lineRule="auto"/>
              <w:jc w:val="both"/>
              <w:rPr>
                <w:rFonts w:hint="default" w:ascii="宋体" w:hAnsi="宋体" w:eastAsia="宋体" w:cs="宋体"/>
                <w:kern w:val="2"/>
                <w:sz w:val="24"/>
                <w:szCs w:val="24"/>
                <w:lang w:val="en-US" w:eastAsia="zh-CN" w:bidi="ar-SA"/>
              </w:rPr>
            </w:pPr>
            <w:r>
              <w:rPr>
                <w:rFonts w:hint="eastAsia" w:ascii="宋体" w:hAnsi="宋体" w:cs="宋体"/>
                <w:kern w:val="2"/>
                <w:sz w:val="24"/>
                <w:szCs w:val="24"/>
                <w:lang w:val="en-US" w:eastAsia="zh-CN" w:bidi="ar-SA"/>
              </w:rPr>
              <w:t>（4）噪声监测</w:t>
            </w:r>
          </w:p>
          <w:p>
            <w:pPr>
              <w:pStyle w:val="12"/>
              <w:numPr>
                <w:ilvl w:val="0"/>
                <w:numId w:val="0"/>
              </w:numPr>
              <w:adjustRightInd w:val="0"/>
              <w:snapToGrid w:val="0"/>
              <w:spacing w:before="0" w:beforeAutospacing="0" w:after="0" w:afterAutospacing="0" w:line="360" w:lineRule="auto"/>
              <w:ind w:leftChars="0" w:firstLine="480" w:firstLineChars="200"/>
              <w:jc w:val="both"/>
              <w:rPr>
                <w:rFonts w:hint="eastAsia" w:cs="宋体"/>
                <w:kern w:val="2"/>
                <w:sz w:val="24"/>
                <w:szCs w:val="24"/>
                <w:lang w:val="en-US" w:eastAsia="zh-CN"/>
              </w:rPr>
            </w:pPr>
            <w:r>
              <w:rPr>
                <w:rFonts w:hint="eastAsia" w:cs="宋体"/>
                <w:kern w:val="2"/>
                <w:sz w:val="24"/>
                <w:szCs w:val="24"/>
                <w:lang w:val="en-US" w:eastAsia="zh-CN"/>
              </w:rPr>
              <w:t>根据《排污单位自行监测技术指南 总则》（HJ819-2017），项目噪声监测计划如下表所示。</w:t>
            </w:r>
          </w:p>
          <w:p>
            <w:pPr>
              <w:pStyle w:val="12"/>
              <w:numPr>
                <w:ilvl w:val="0"/>
                <w:numId w:val="0"/>
              </w:numPr>
              <w:adjustRightInd w:val="0"/>
              <w:snapToGrid w:val="0"/>
              <w:spacing w:before="0" w:beforeAutospacing="0" w:after="0" w:afterAutospacing="0" w:line="360" w:lineRule="auto"/>
              <w:jc w:val="center"/>
              <w:rPr>
                <w:rFonts w:hint="default" w:cs="宋体"/>
                <w:b/>
                <w:bCs/>
                <w:kern w:val="2"/>
                <w:sz w:val="24"/>
                <w:szCs w:val="24"/>
                <w:vertAlign w:val="baseline"/>
                <w:lang w:val="en-US" w:eastAsia="zh-CN"/>
              </w:rPr>
            </w:pPr>
            <w:r>
              <w:rPr>
                <w:rFonts w:hint="eastAsia" w:cs="宋体"/>
                <w:b/>
                <w:bCs/>
                <w:kern w:val="2"/>
                <w:sz w:val="24"/>
                <w:szCs w:val="24"/>
                <w:lang w:val="en-US" w:eastAsia="zh-CN"/>
              </w:rPr>
              <w:t>表4-11  项目监测噪声监测计划</w:t>
            </w:r>
          </w:p>
          <w:tbl>
            <w:tblPr>
              <w:tblStyle w:val="14"/>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35"/>
              <w:gridCol w:w="1090"/>
              <w:gridCol w:w="1849"/>
              <w:gridCol w:w="2335"/>
              <w:gridCol w:w="146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502" w:type="pct"/>
                  <w:gridSpan w:val="2"/>
                  <w:noWrap w:val="0"/>
                  <w:vAlign w:val="center"/>
                </w:tcPr>
                <w:p>
                  <w:pPr>
                    <w:jc w:val="center"/>
                    <w:rPr>
                      <w:b/>
                      <w:bCs/>
                      <w:szCs w:val="21"/>
                    </w:rPr>
                  </w:pPr>
                  <w:r>
                    <w:rPr>
                      <w:b/>
                      <w:bCs/>
                      <w:szCs w:val="21"/>
                    </w:rPr>
                    <w:t>类型</w:t>
                  </w:r>
                </w:p>
              </w:tc>
              <w:tc>
                <w:tcPr>
                  <w:tcW w:w="1145" w:type="pct"/>
                  <w:noWrap w:val="0"/>
                  <w:vAlign w:val="center"/>
                </w:tcPr>
                <w:p>
                  <w:pPr>
                    <w:jc w:val="center"/>
                    <w:rPr>
                      <w:b/>
                      <w:bCs/>
                      <w:szCs w:val="21"/>
                    </w:rPr>
                  </w:pPr>
                  <w:r>
                    <w:rPr>
                      <w:b/>
                      <w:bCs/>
                      <w:szCs w:val="21"/>
                    </w:rPr>
                    <w:t>监测点位</w:t>
                  </w:r>
                </w:p>
              </w:tc>
              <w:tc>
                <w:tcPr>
                  <w:tcW w:w="1446" w:type="pct"/>
                  <w:noWrap w:val="0"/>
                  <w:vAlign w:val="center"/>
                </w:tcPr>
                <w:p>
                  <w:pPr>
                    <w:jc w:val="center"/>
                    <w:rPr>
                      <w:b/>
                      <w:bCs/>
                      <w:szCs w:val="21"/>
                    </w:rPr>
                  </w:pPr>
                  <w:r>
                    <w:rPr>
                      <w:b/>
                      <w:bCs/>
                      <w:szCs w:val="21"/>
                    </w:rPr>
                    <w:t>监测项目</w:t>
                  </w:r>
                </w:p>
              </w:tc>
              <w:tc>
                <w:tcPr>
                  <w:tcW w:w="905" w:type="pct"/>
                  <w:noWrap w:val="0"/>
                  <w:vAlign w:val="center"/>
                </w:tcPr>
                <w:p>
                  <w:pPr>
                    <w:jc w:val="center"/>
                    <w:rPr>
                      <w:b/>
                      <w:bCs/>
                      <w:szCs w:val="21"/>
                    </w:rPr>
                  </w:pPr>
                  <w:r>
                    <w:rPr>
                      <w:b/>
                      <w:bCs/>
                      <w:szCs w:val="21"/>
                    </w:rPr>
                    <w:t>监测频次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27" w:type="pct"/>
                  <w:noWrap w:val="0"/>
                  <w:vAlign w:val="center"/>
                </w:tcPr>
                <w:p>
                  <w:pPr>
                    <w:jc w:val="center"/>
                    <w:rPr>
                      <w:szCs w:val="21"/>
                    </w:rPr>
                  </w:pPr>
                  <w:r>
                    <w:rPr>
                      <w:szCs w:val="21"/>
                    </w:rPr>
                    <w:t>污染源监测</w:t>
                  </w:r>
                </w:p>
              </w:tc>
              <w:tc>
                <w:tcPr>
                  <w:tcW w:w="674" w:type="pct"/>
                  <w:noWrap w:val="0"/>
                  <w:vAlign w:val="center"/>
                </w:tcPr>
                <w:p>
                  <w:pPr>
                    <w:jc w:val="center"/>
                    <w:rPr>
                      <w:szCs w:val="21"/>
                    </w:rPr>
                  </w:pPr>
                  <w:r>
                    <w:rPr>
                      <w:rFonts w:hint="eastAsia"/>
                      <w:szCs w:val="21"/>
                      <w:lang w:val="en-US" w:eastAsia="zh-CN"/>
                    </w:rPr>
                    <w:t>噪声</w:t>
                  </w:r>
                </w:p>
              </w:tc>
              <w:tc>
                <w:tcPr>
                  <w:tcW w:w="1145" w:type="pct"/>
                  <w:noWrap w:val="0"/>
                  <w:vAlign w:val="center"/>
                </w:tcPr>
                <w:p>
                  <w:pPr>
                    <w:jc w:val="center"/>
                    <w:rPr>
                      <w:rFonts w:hint="default" w:eastAsia="宋体"/>
                      <w:szCs w:val="21"/>
                      <w:lang w:val="en-US" w:eastAsia="zh-CN"/>
                    </w:rPr>
                  </w:pPr>
                  <w:r>
                    <w:rPr>
                      <w:rFonts w:hint="eastAsia"/>
                      <w:szCs w:val="21"/>
                      <w:lang w:val="en-US" w:eastAsia="zh-CN"/>
                    </w:rPr>
                    <w:t>厂界四周</w:t>
                  </w:r>
                </w:p>
              </w:tc>
              <w:tc>
                <w:tcPr>
                  <w:tcW w:w="1446" w:type="pct"/>
                  <w:noWrap w:val="0"/>
                  <w:vAlign w:val="center"/>
                </w:tcPr>
                <w:p>
                  <w:pPr>
                    <w:jc w:val="center"/>
                    <w:rPr>
                      <w:rFonts w:hint="default"/>
                      <w:szCs w:val="21"/>
                      <w:lang w:val="en-US"/>
                    </w:rPr>
                  </w:pPr>
                  <w:r>
                    <w:rPr>
                      <w:rFonts w:hint="eastAsia"/>
                      <w:szCs w:val="21"/>
                      <w:lang w:val="en-US" w:eastAsia="zh-CN"/>
                    </w:rPr>
                    <w:t>连续等效A声级</w:t>
                  </w:r>
                </w:p>
              </w:tc>
              <w:tc>
                <w:tcPr>
                  <w:tcW w:w="905" w:type="pct"/>
                  <w:noWrap w:val="0"/>
                  <w:vAlign w:val="center"/>
                </w:tcPr>
                <w:p>
                  <w:pPr>
                    <w:jc w:val="center"/>
                    <w:rPr>
                      <w:szCs w:val="21"/>
                    </w:rPr>
                  </w:pPr>
                  <w:r>
                    <w:rPr>
                      <w:rFonts w:hint="eastAsia"/>
                      <w:szCs w:val="21"/>
                      <w:lang w:val="en-US" w:eastAsia="zh-CN"/>
                    </w:rPr>
                    <w:t>1</w:t>
                  </w:r>
                  <w:r>
                    <w:rPr>
                      <w:szCs w:val="21"/>
                    </w:rPr>
                    <w:t>年1次</w:t>
                  </w:r>
                </w:p>
              </w:tc>
            </w:tr>
          </w:tbl>
          <w:p>
            <w:pPr>
              <w:numPr>
                <w:ilvl w:val="0"/>
                <w:numId w:val="0"/>
              </w:numPr>
              <w:adjustRightInd w:val="0"/>
              <w:snapToGrid w:val="0"/>
              <w:spacing w:line="360" w:lineRule="auto"/>
              <w:jc w:val="both"/>
              <w:rPr>
                <w:rFonts w:hint="default" w:ascii="宋体" w:hAnsi="宋体" w:eastAsia="宋体" w:cs="宋体"/>
                <w:b/>
                <w:bCs/>
                <w:color w:val="FF0000"/>
                <w:kern w:val="2"/>
                <w:sz w:val="24"/>
                <w:szCs w:val="24"/>
                <w:u w:val="single"/>
                <w:lang w:val="en-US" w:eastAsia="zh-CN" w:bidi="ar-SA"/>
              </w:rPr>
            </w:pPr>
            <w:r>
              <w:rPr>
                <w:rFonts w:hint="eastAsia" w:ascii="宋体" w:hAnsi="宋体" w:cs="宋体"/>
                <w:b/>
                <w:bCs/>
                <w:color w:val="FF0000"/>
                <w:kern w:val="2"/>
                <w:sz w:val="24"/>
                <w:szCs w:val="24"/>
                <w:u w:val="single"/>
                <w:lang w:val="en-US" w:eastAsia="zh-CN" w:bidi="ar-SA"/>
              </w:rPr>
              <w:t>4.固体废物</w:t>
            </w:r>
          </w:p>
          <w:p>
            <w:pPr>
              <w:numPr>
                <w:ilvl w:val="0"/>
                <w:numId w:val="0"/>
              </w:numPr>
              <w:adjustRightInd w:val="0"/>
              <w:snapToGrid w:val="0"/>
              <w:spacing w:line="360" w:lineRule="auto"/>
              <w:jc w:val="both"/>
              <w:rPr>
                <w:rFonts w:hint="default" w:ascii="宋体" w:hAnsi="宋体" w:eastAsia="宋体" w:cs="宋体"/>
                <w:color w:val="FF0000"/>
                <w:kern w:val="2"/>
                <w:sz w:val="24"/>
                <w:szCs w:val="24"/>
                <w:u w:val="single"/>
                <w:lang w:val="en-US" w:eastAsia="zh-CN" w:bidi="ar-SA"/>
              </w:rPr>
            </w:pPr>
            <w:r>
              <w:rPr>
                <w:rFonts w:hint="eastAsia" w:ascii="宋体" w:hAnsi="宋体" w:cs="宋体"/>
                <w:color w:val="FF0000"/>
                <w:kern w:val="2"/>
                <w:sz w:val="24"/>
                <w:szCs w:val="24"/>
                <w:u w:val="single"/>
                <w:lang w:val="en-US" w:eastAsia="zh-CN" w:bidi="ar-SA"/>
              </w:rPr>
              <w:t>（1）固体废物产生、处置情况</w:t>
            </w:r>
          </w:p>
          <w:p>
            <w:pPr>
              <w:numPr>
                <w:ilvl w:val="0"/>
                <w:numId w:val="0"/>
              </w:numPr>
              <w:adjustRightInd w:val="0"/>
              <w:snapToGrid w:val="0"/>
              <w:spacing w:line="360" w:lineRule="auto"/>
              <w:ind w:firstLine="480" w:firstLineChars="200"/>
              <w:jc w:val="both"/>
              <w:rPr>
                <w:rFonts w:hint="eastAsia" w:ascii="宋体" w:hAnsi="宋体" w:cs="宋体"/>
                <w:color w:val="FF0000"/>
                <w:kern w:val="2"/>
                <w:sz w:val="24"/>
                <w:szCs w:val="24"/>
                <w:u w:val="single"/>
                <w:lang w:val="en-US" w:eastAsia="zh-CN" w:bidi="ar-SA"/>
              </w:rPr>
            </w:pPr>
            <w:r>
              <w:rPr>
                <w:rFonts w:hint="eastAsia" w:ascii="宋体" w:hAnsi="宋体" w:cs="宋体"/>
                <w:color w:val="FF0000"/>
                <w:kern w:val="2"/>
                <w:sz w:val="24"/>
                <w:szCs w:val="24"/>
                <w:u w:val="single"/>
                <w:lang w:val="en-US" w:eastAsia="zh-CN" w:bidi="ar-SA"/>
              </w:rPr>
              <w:t>项目产生的固废主要有生活垃圾、废包装材料、除尘灰、废活性炭、废UV灯管。</w:t>
            </w:r>
          </w:p>
          <w:p>
            <w:pPr>
              <w:numPr>
                <w:ilvl w:val="0"/>
                <w:numId w:val="0"/>
              </w:numPr>
              <w:adjustRightInd w:val="0"/>
              <w:snapToGrid w:val="0"/>
              <w:spacing w:line="360" w:lineRule="auto"/>
              <w:ind w:firstLine="480" w:firstLineChars="200"/>
              <w:jc w:val="both"/>
              <w:rPr>
                <w:rFonts w:hint="default" w:ascii="宋体" w:hAnsi="宋体" w:eastAsia="宋体" w:cs="宋体"/>
                <w:color w:val="FF0000"/>
                <w:kern w:val="2"/>
                <w:sz w:val="24"/>
                <w:szCs w:val="24"/>
                <w:u w:val="single"/>
                <w:lang w:val="en-US" w:eastAsia="zh-CN" w:bidi="ar-SA"/>
              </w:rPr>
            </w:pPr>
            <w:r>
              <w:rPr>
                <w:rFonts w:hint="eastAsia" w:ascii="宋体" w:hAnsi="宋体" w:cs="宋体"/>
                <w:color w:val="FF0000"/>
                <w:kern w:val="2"/>
                <w:sz w:val="24"/>
                <w:szCs w:val="24"/>
                <w:u w:val="single"/>
                <w:lang w:val="en-US" w:eastAsia="zh-CN" w:bidi="ar-SA"/>
              </w:rPr>
              <w:t>①生活垃圾</w:t>
            </w:r>
          </w:p>
          <w:p>
            <w:pPr>
              <w:numPr>
                <w:ilvl w:val="0"/>
                <w:numId w:val="0"/>
              </w:numPr>
              <w:adjustRightInd w:val="0"/>
              <w:snapToGrid w:val="0"/>
              <w:spacing w:line="360" w:lineRule="auto"/>
              <w:ind w:firstLine="480" w:firstLineChars="200"/>
              <w:jc w:val="both"/>
              <w:rPr>
                <w:rFonts w:hint="default" w:ascii="宋体" w:hAnsi="宋体" w:eastAsia="宋体" w:cs="宋体"/>
                <w:color w:val="FF0000"/>
                <w:kern w:val="2"/>
                <w:sz w:val="24"/>
                <w:szCs w:val="24"/>
                <w:u w:val="single"/>
                <w:lang w:val="en-US" w:eastAsia="zh-CN" w:bidi="ar-SA"/>
              </w:rPr>
            </w:pPr>
            <w:r>
              <w:rPr>
                <w:rFonts w:hint="eastAsia" w:ascii="宋体" w:hAnsi="宋体" w:cs="宋体"/>
                <w:color w:val="FF0000"/>
                <w:kern w:val="2"/>
                <w:sz w:val="24"/>
                <w:szCs w:val="24"/>
                <w:u w:val="single"/>
                <w:lang w:val="en-US" w:eastAsia="zh-CN" w:bidi="ar-SA"/>
              </w:rPr>
              <w:t>本项目共有职工60人，根据《第一次全国污染源普查城镇生活源产排污系数手册》可知，员工日常垃圾产量平均1.0kg/人·d计。则本项目生活垃圾产生量为18t/a，生活垃圾属于一般固废，本环评建议分类收集后，再交由环卫部门处置。</w:t>
            </w:r>
          </w:p>
          <w:p>
            <w:pPr>
              <w:numPr>
                <w:ilvl w:val="0"/>
                <w:numId w:val="0"/>
              </w:numPr>
              <w:adjustRightInd w:val="0"/>
              <w:snapToGrid w:val="0"/>
              <w:spacing w:line="360" w:lineRule="auto"/>
              <w:ind w:firstLine="480" w:firstLineChars="200"/>
              <w:jc w:val="both"/>
              <w:rPr>
                <w:rFonts w:hint="eastAsia" w:ascii="宋体" w:hAnsi="宋体" w:cs="宋体"/>
                <w:color w:val="FF0000"/>
                <w:kern w:val="2"/>
                <w:sz w:val="24"/>
                <w:szCs w:val="24"/>
                <w:u w:val="single"/>
                <w:lang w:val="en-US" w:eastAsia="zh-CN" w:bidi="ar-SA"/>
              </w:rPr>
            </w:pPr>
            <w:r>
              <w:rPr>
                <w:rFonts w:hint="eastAsia" w:ascii="宋体" w:hAnsi="宋体" w:cs="宋体"/>
                <w:color w:val="FF0000"/>
                <w:kern w:val="2"/>
                <w:sz w:val="24"/>
                <w:szCs w:val="24"/>
                <w:u w:val="single"/>
                <w:lang w:val="en-US" w:eastAsia="zh-CN" w:bidi="ar-SA"/>
              </w:rPr>
              <w:t>②废包装材料</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cs="宋体"/>
                <w:color w:val="FF0000"/>
                <w:kern w:val="2"/>
                <w:sz w:val="24"/>
                <w:szCs w:val="24"/>
                <w:u w:val="single"/>
                <w:lang w:val="en-US" w:eastAsia="zh-CN" w:bidi="ar-SA"/>
              </w:rPr>
            </w:pPr>
            <w:r>
              <w:rPr>
                <w:rFonts w:hint="eastAsia" w:ascii="宋体" w:hAnsi="宋体" w:cs="宋体"/>
                <w:color w:val="FF0000"/>
                <w:kern w:val="2"/>
                <w:sz w:val="24"/>
                <w:szCs w:val="24"/>
                <w:u w:val="single"/>
                <w:lang w:val="en-US" w:eastAsia="zh-CN" w:bidi="ar-SA"/>
              </w:rPr>
              <w:t>根据建设单位提供的资料，废包装材料的产量约为0.5t/a，集中收集后暂存于车间内一般工业固废暂存处，定期外售。</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cs="宋体"/>
                <w:color w:val="FF0000"/>
                <w:kern w:val="2"/>
                <w:sz w:val="24"/>
                <w:szCs w:val="24"/>
                <w:u w:val="single"/>
                <w:lang w:val="en-US" w:eastAsia="zh-CN" w:bidi="ar-SA"/>
              </w:rPr>
            </w:pPr>
            <w:r>
              <w:rPr>
                <w:rFonts w:hint="eastAsia" w:ascii="宋体" w:hAnsi="宋体" w:cs="宋体"/>
                <w:color w:val="FF0000"/>
                <w:kern w:val="2"/>
                <w:sz w:val="24"/>
                <w:szCs w:val="24"/>
                <w:u w:val="single"/>
                <w:lang w:val="en-US" w:eastAsia="zh-CN" w:bidi="ar-SA"/>
              </w:rPr>
              <w:t>③废过滤网</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cs="宋体"/>
                <w:color w:val="FF0000"/>
                <w:kern w:val="2"/>
                <w:sz w:val="24"/>
                <w:szCs w:val="24"/>
                <w:u w:val="single"/>
                <w:lang w:val="en-US" w:eastAsia="zh-CN" w:bidi="ar-SA"/>
              </w:rPr>
            </w:pPr>
            <w:r>
              <w:rPr>
                <w:rFonts w:hint="default" w:ascii="Times New Roman" w:hAnsi="Times New Roman" w:eastAsia="宋体" w:cs="Times New Roman"/>
                <w:caps w:val="0"/>
                <w:smallCaps w:val="0"/>
                <w:color w:val="FF0000"/>
                <w:spacing w:val="0"/>
                <w:w w:val="100"/>
                <w:position w:val="0"/>
                <w:sz w:val="24"/>
                <w:u w:val="single"/>
              </w:rPr>
              <w:t>热熔挤出工序所使用的滤网随着使用时间的延长，网眼会逐渐变小直至不能使用，更换下来的废滤网为一般废物，产生量约为0.</w:t>
            </w:r>
            <w:r>
              <w:rPr>
                <w:rFonts w:hint="eastAsia" w:cs="Times New Roman"/>
                <w:caps w:val="0"/>
                <w:smallCaps w:val="0"/>
                <w:color w:val="FF0000"/>
                <w:spacing w:val="0"/>
                <w:w w:val="100"/>
                <w:position w:val="0"/>
                <w:sz w:val="24"/>
                <w:u w:val="single"/>
                <w:lang w:val="en-US" w:eastAsia="zh-CN"/>
              </w:rPr>
              <w:t>2</w:t>
            </w:r>
            <w:r>
              <w:rPr>
                <w:rFonts w:hint="default" w:ascii="Times New Roman" w:hAnsi="Times New Roman" w:eastAsia="宋体" w:cs="Times New Roman"/>
                <w:caps w:val="0"/>
                <w:smallCaps w:val="0"/>
                <w:color w:val="FF0000"/>
                <w:spacing w:val="0"/>
                <w:w w:val="100"/>
                <w:position w:val="0"/>
                <w:sz w:val="24"/>
                <w:u w:val="single"/>
              </w:rPr>
              <w:t>t/a</w:t>
            </w:r>
            <w:r>
              <w:rPr>
                <w:rFonts w:hint="eastAsia" w:cs="Times New Roman"/>
                <w:caps w:val="0"/>
                <w:smallCaps w:val="0"/>
                <w:color w:val="FF0000"/>
                <w:spacing w:val="0"/>
                <w:w w:val="100"/>
                <w:position w:val="0"/>
                <w:sz w:val="24"/>
                <w:u w:val="single"/>
                <w:lang w:eastAsia="zh-CN"/>
              </w:rPr>
              <w:t>，</w:t>
            </w:r>
            <w:r>
              <w:rPr>
                <w:rFonts w:hint="default" w:ascii="Times New Roman" w:hAnsi="Times New Roman" w:eastAsia="宋体" w:cs="Times New Roman"/>
                <w:caps w:val="0"/>
                <w:smallCaps w:val="0"/>
                <w:color w:val="FF0000"/>
                <w:spacing w:val="0"/>
                <w:w w:val="100"/>
                <w:position w:val="0"/>
                <w:sz w:val="24"/>
                <w:u w:val="single"/>
              </w:rPr>
              <w:t>废滤网不可自行处理</w:t>
            </w:r>
            <w:r>
              <w:rPr>
                <w:rFonts w:hint="eastAsia" w:cs="Times New Roman"/>
                <w:caps w:val="0"/>
                <w:smallCaps w:val="0"/>
                <w:color w:val="FF0000"/>
                <w:spacing w:val="0"/>
                <w:w w:val="100"/>
                <w:position w:val="0"/>
                <w:sz w:val="24"/>
                <w:u w:val="single"/>
                <w:lang w:eastAsia="zh-CN"/>
              </w:rPr>
              <w:t>，</w:t>
            </w:r>
            <w:r>
              <w:rPr>
                <w:rFonts w:hint="eastAsia" w:ascii="宋体" w:hAnsi="宋体" w:cs="宋体"/>
                <w:color w:val="FF0000"/>
                <w:kern w:val="2"/>
                <w:sz w:val="24"/>
                <w:szCs w:val="24"/>
                <w:u w:val="single"/>
                <w:lang w:val="en-US" w:eastAsia="zh-CN" w:bidi="ar-SA"/>
              </w:rPr>
              <w:t>集中收集后暂存于车间内一般工业固废暂存处，定期外售。</w:t>
            </w:r>
          </w:p>
          <w:p>
            <w:pPr>
              <w:numPr>
                <w:ilvl w:val="0"/>
                <w:numId w:val="0"/>
              </w:numPr>
              <w:adjustRightInd w:val="0"/>
              <w:snapToGrid w:val="0"/>
              <w:spacing w:line="360" w:lineRule="auto"/>
              <w:ind w:firstLine="480" w:firstLineChars="200"/>
              <w:jc w:val="both"/>
              <w:rPr>
                <w:rFonts w:hint="default" w:ascii="宋体" w:hAnsi="宋体" w:cs="宋体"/>
                <w:color w:val="FF0000"/>
                <w:kern w:val="2"/>
                <w:sz w:val="24"/>
                <w:szCs w:val="24"/>
                <w:u w:val="single"/>
                <w:lang w:val="en-US" w:eastAsia="zh-CN" w:bidi="ar-SA"/>
              </w:rPr>
            </w:pPr>
            <w:r>
              <w:rPr>
                <w:rFonts w:hint="eastAsia" w:ascii="宋体" w:hAnsi="宋体" w:cs="宋体"/>
                <w:color w:val="FF0000"/>
                <w:kern w:val="2"/>
                <w:sz w:val="24"/>
                <w:szCs w:val="24"/>
                <w:u w:val="single"/>
                <w:lang w:val="en-US" w:eastAsia="zh-CN" w:bidi="ar-SA"/>
              </w:rPr>
              <w:t>④除尘灰</w:t>
            </w:r>
          </w:p>
          <w:p>
            <w:pPr>
              <w:numPr>
                <w:ilvl w:val="0"/>
                <w:numId w:val="0"/>
              </w:numPr>
              <w:adjustRightInd w:val="0"/>
              <w:snapToGrid w:val="0"/>
              <w:spacing w:line="360" w:lineRule="auto"/>
              <w:ind w:firstLine="480" w:firstLineChars="200"/>
              <w:jc w:val="both"/>
              <w:rPr>
                <w:rFonts w:hint="default" w:ascii="宋体" w:hAnsi="宋体" w:cs="宋体"/>
                <w:color w:val="FF0000"/>
                <w:kern w:val="2"/>
                <w:sz w:val="24"/>
                <w:szCs w:val="24"/>
                <w:u w:val="single"/>
                <w:lang w:val="en-US" w:eastAsia="zh-CN" w:bidi="ar-SA"/>
              </w:rPr>
            </w:pPr>
            <w:r>
              <w:rPr>
                <w:rFonts w:hint="eastAsia" w:ascii="宋体" w:hAnsi="宋体" w:cs="宋体"/>
                <w:color w:val="FF0000"/>
                <w:kern w:val="2"/>
                <w:sz w:val="24"/>
                <w:szCs w:val="24"/>
                <w:u w:val="single"/>
                <w:lang w:val="en-US" w:eastAsia="zh-CN" w:bidi="ar-SA"/>
              </w:rPr>
              <w:t>袋式除尘过程中会产生除尘灰，项目袋式除尘收集的除尘灰的量为0.5346t/a，集中收集后作为原料回用于生产，不外排。</w:t>
            </w:r>
          </w:p>
          <w:p>
            <w:pPr>
              <w:numPr>
                <w:ilvl w:val="0"/>
                <w:numId w:val="0"/>
              </w:numPr>
              <w:adjustRightInd w:val="0"/>
              <w:snapToGrid w:val="0"/>
              <w:spacing w:line="360" w:lineRule="auto"/>
              <w:ind w:firstLine="480" w:firstLineChars="200"/>
              <w:jc w:val="both"/>
              <w:rPr>
                <w:rFonts w:hint="default" w:ascii="宋体" w:hAnsi="宋体" w:cs="宋体"/>
                <w:color w:val="FF0000"/>
                <w:kern w:val="2"/>
                <w:sz w:val="24"/>
                <w:szCs w:val="24"/>
                <w:u w:val="single"/>
                <w:lang w:val="en-US" w:eastAsia="zh-CN" w:bidi="ar-SA"/>
              </w:rPr>
            </w:pPr>
            <w:r>
              <w:rPr>
                <w:rFonts w:hint="eastAsia" w:ascii="宋体" w:hAnsi="宋体" w:cs="宋体"/>
                <w:color w:val="FF0000"/>
                <w:kern w:val="2"/>
                <w:sz w:val="24"/>
                <w:szCs w:val="24"/>
                <w:u w:val="single"/>
                <w:lang w:val="en-US" w:eastAsia="zh-CN" w:bidi="ar-SA"/>
              </w:rPr>
              <w:t>⑤废活性炭</w:t>
            </w:r>
          </w:p>
          <w:p>
            <w:pPr>
              <w:numPr>
                <w:ilvl w:val="0"/>
                <w:numId w:val="0"/>
              </w:numPr>
              <w:adjustRightInd w:val="0"/>
              <w:snapToGrid w:val="0"/>
              <w:spacing w:line="360" w:lineRule="auto"/>
              <w:ind w:firstLine="480" w:firstLineChars="200"/>
              <w:jc w:val="both"/>
              <w:rPr>
                <w:rFonts w:hint="default" w:ascii="宋体" w:hAnsi="宋体" w:eastAsia="宋体" w:cs="宋体"/>
                <w:color w:val="FF0000"/>
                <w:kern w:val="2"/>
                <w:sz w:val="24"/>
                <w:szCs w:val="24"/>
                <w:u w:val="single"/>
                <w:lang w:val="en-US" w:eastAsia="zh-CN" w:bidi="ar-SA"/>
              </w:rPr>
            </w:pPr>
            <w:r>
              <w:rPr>
                <w:rFonts w:hint="eastAsia" w:ascii="宋体" w:hAnsi="宋体" w:cs="宋体"/>
                <w:color w:val="FF0000"/>
                <w:kern w:val="2"/>
                <w:sz w:val="24"/>
                <w:szCs w:val="24"/>
                <w:u w:val="single"/>
                <w:lang w:val="en-US" w:eastAsia="zh-CN" w:bidi="ar-SA"/>
              </w:rPr>
              <w:t>本项目采用“</w:t>
            </w:r>
            <w:r>
              <w:rPr>
                <w:rFonts w:hint="eastAsia" w:ascii="宋体" w:hAnsi="宋体" w:cs="宋体"/>
                <w:bCs/>
                <w:color w:val="FF0000"/>
                <w:spacing w:val="-10"/>
                <w:sz w:val="24"/>
                <w:szCs w:val="24"/>
                <w:u w:val="single"/>
                <w:lang w:val="en-US" w:eastAsia="zh-CN"/>
              </w:rPr>
              <w:t>UV光解催化氧化+活性炭</w:t>
            </w:r>
            <w:r>
              <w:rPr>
                <w:rFonts w:hint="eastAsia" w:ascii="宋体" w:hAnsi="宋体" w:cs="宋体"/>
                <w:color w:val="FF0000"/>
                <w:kern w:val="2"/>
                <w:sz w:val="24"/>
                <w:szCs w:val="24"/>
                <w:u w:val="single"/>
                <w:lang w:val="en-US" w:eastAsia="zh-CN" w:bidi="ar-SA"/>
              </w:rPr>
              <w:t>”处理挥发性有机物，废活性炭产生量为1.35t/a。本项目废活性炭属于危险废物（HW49），应统一存放在危废暂存间，收集后委托有资质单位处置。</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宋体" w:hAnsi="宋体" w:eastAsia="宋体" w:cs="宋体"/>
                <w:color w:val="FF0000"/>
                <w:kern w:val="2"/>
                <w:sz w:val="24"/>
                <w:szCs w:val="24"/>
                <w:u w:val="single"/>
                <w:lang w:val="en-US" w:eastAsia="zh-CN" w:bidi="ar-SA"/>
              </w:rPr>
            </w:pPr>
            <w:r>
              <w:rPr>
                <w:rFonts w:hint="eastAsia" w:ascii="宋体" w:hAnsi="宋体" w:cs="宋体"/>
                <w:color w:val="FF0000"/>
                <w:kern w:val="2"/>
                <w:sz w:val="24"/>
                <w:szCs w:val="24"/>
                <w:u w:val="single"/>
                <w:lang w:val="en-US" w:eastAsia="zh-CN" w:bidi="ar-SA"/>
              </w:rPr>
              <w:t>⑥废UV灯管</w:t>
            </w:r>
          </w:p>
          <w:p>
            <w:pPr>
              <w:spacing w:line="360" w:lineRule="auto"/>
              <w:ind w:firstLine="480" w:firstLineChars="200"/>
              <w:rPr>
                <w:rFonts w:hint="eastAsia" w:ascii="宋体" w:hAnsi="宋体" w:cs="宋体"/>
                <w:color w:val="FF0000"/>
                <w:kern w:val="2"/>
                <w:sz w:val="24"/>
                <w:szCs w:val="24"/>
                <w:u w:val="single"/>
                <w:lang w:val="en-US" w:eastAsia="zh-CN" w:bidi="ar-SA"/>
              </w:rPr>
            </w:pPr>
            <w:r>
              <w:rPr>
                <w:rFonts w:hint="eastAsia" w:ascii="宋体" w:hAnsi="宋体" w:cs="宋体"/>
                <w:color w:val="FF0000"/>
                <w:kern w:val="2"/>
                <w:sz w:val="24"/>
                <w:szCs w:val="24"/>
                <w:u w:val="single"/>
                <w:lang w:val="en-US" w:eastAsia="zh-CN" w:bidi="ar-SA"/>
              </w:rPr>
              <w:t>本项目采用“</w:t>
            </w:r>
            <w:r>
              <w:rPr>
                <w:rFonts w:hint="eastAsia" w:ascii="宋体" w:hAnsi="宋体" w:cs="宋体"/>
                <w:bCs/>
                <w:color w:val="FF0000"/>
                <w:spacing w:val="-10"/>
                <w:sz w:val="24"/>
                <w:szCs w:val="24"/>
                <w:u w:val="single"/>
                <w:lang w:val="en-US" w:eastAsia="zh-CN"/>
              </w:rPr>
              <w:t>UV光解催化氧化+活性炭</w:t>
            </w:r>
            <w:r>
              <w:rPr>
                <w:rFonts w:hint="eastAsia" w:ascii="宋体" w:hAnsi="宋体" w:cs="宋体"/>
                <w:color w:val="FF0000"/>
                <w:kern w:val="2"/>
                <w:sz w:val="24"/>
                <w:szCs w:val="24"/>
                <w:u w:val="single"/>
                <w:lang w:val="en-US" w:eastAsia="zh-CN" w:bidi="ar-SA"/>
              </w:rPr>
              <w:t>”处理挥发性有机物，废UV灯管产生量约为0.03t/a.废UV灯管属于危险废物（HW29）,应统一存放在危废暂存间，收集后委托有资质单位处置。</w:t>
            </w:r>
          </w:p>
          <w:p>
            <w:pPr>
              <w:spacing w:line="360" w:lineRule="auto"/>
              <w:ind w:firstLine="480" w:firstLineChars="200"/>
              <w:rPr>
                <w:rFonts w:hint="eastAsia"/>
                <w:color w:val="FF0000"/>
                <w:sz w:val="24"/>
                <w:szCs w:val="24"/>
                <w:u w:val="single"/>
                <w:vertAlign w:val="baseline"/>
                <w:lang w:val="en-US" w:eastAsia="zh-CN"/>
              </w:rPr>
            </w:pPr>
            <w:r>
              <w:rPr>
                <w:rFonts w:hint="eastAsia"/>
                <w:color w:val="FF0000"/>
                <w:sz w:val="24"/>
                <w:szCs w:val="24"/>
                <w:u w:val="single"/>
                <w:vertAlign w:val="baseline"/>
                <w:lang w:val="en-US" w:eastAsia="zh-CN"/>
              </w:rPr>
              <w:t>项目固废产生情况详见表4-12。</w:t>
            </w:r>
          </w:p>
          <w:p>
            <w:pPr>
              <w:spacing w:line="360" w:lineRule="auto"/>
              <w:jc w:val="center"/>
              <w:rPr>
                <w:rFonts w:hint="default"/>
                <w:b/>
                <w:bCs/>
                <w:color w:val="FF0000"/>
                <w:sz w:val="24"/>
                <w:szCs w:val="24"/>
                <w:u w:val="single"/>
                <w:vertAlign w:val="baseline"/>
                <w:lang w:val="en-US" w:eastAsia="zh-CN"/>
              </w:rPr>
            </w:pPr>
            <w:r>
              <w:rPr>
                <w:rFonts w:hint="eastAsia"/>
                <w:b/>
                <w:bCs/>
                <w:color w:val="FF0000"/>
                <w:sz w:val="24"/>
                <w:szCs w:val="24"/>
                <w:u w:val="single"/>
                <w:vertAlign w:val="baseline"/>
                <w:lang w:val="en-US" w:eastAsia="zh-CN"/>
              </w:rPr>
              <w:t>表4-12  项目固废产生情况汇总表</w:t>
            </w:r>
          </w:p>
          <w:tbl>
            <w:tblPr>
              <w:tblStyle w:val="15"/>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37"/>
              <w:gridCol w:w="477"/>
              <w:gridCol w:w="696"/>
              <w:gridCol w:w="567"/>
              <w:gridCol w:w="401"/>
              <w:gridCol w:w="892"/>
              <w:gridCol w:w="417"/>
              <w:gridCol w:w="601"/>
              <w:gridCol w:w="659"/>
              <w:gridCol w:w="1935"/>
              <w:gridCol w:w="9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1"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产生环节</w:t>
                  </w:r>
                </w:p>
              </w:tc>
              <w:tc>
                <w:tcPr>
                  <w:tcW w:w="295"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名称</w:t>
                  </w:r>
                </w:p>
              </w:tc>
              <w:tc>
                <w:tcPr>
                  <w:tcW w:w="431"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属性</w:t>
                  </w:r>
                </w:p>
              </w:tc>
              <w:tc>
                <w:tcPr>
                  <w:tcW w:w="351"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主要有毒有害物质</w:t>
                  </w:r>
                </w:p>
              </w:tc>
              <w:tc>
                <w:tcPr>
                  <w:tcW w:w="248"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物理性状</w:t>
                  </w:r>
                </w:p>
              </w:tc>
              <w:tc>
                <w:tcPr>
                  <w:tcW w:w="552" w:type="pct"/>
                  <w:tcBorders>
                    <w:tl2br w:val="nil"/>
                    <w:tr2bl w:val="nil"/>
                  </w:tcBorders>
                  <w:vAlign w:val="center"/>
                </w:tcPr>
                <w:p>
                  <w:pPr>
                    <w:bidi w:val="0"/>
                    <w:spacing w:line="240" w:lineRule="auto"/>
                    <w:jc w:val="center"/>
                    <w:rPr>
                      <w:rFonts w:hint="default" w:ascii="Times New Roman" w:hAnsi="Times New Roman" w:eastAsia="宋体" w:cs="Times New Roman"/>
                      <w:b/>
                      <w:bCs/>
                      <w:color w:val="FF0000"/>
                      <w:kern w:val="2"/>
                      <w:sz w:val="18"/>
                      <w:szCs w:val="18"/>
                      <w:u w:val="single"/>
                      <w:lang w:val="en-US" w:eastAsia="zh-CN" w:bidi="ar-SA"/>
                    </w:rPr>
                  </w:pPr>
                  <w:r>
                    <w:rPr>
                      <w:rFonts w:hint="eastAsia"/>
                      <w:b/>
                      <w:bCs/>
                      <w:color w:val="FF0000"/>
                      <w:sz w:val="18"/>
                      <w:szCs w:val="18"/>
                      <w:u w:val="single"/>
                      <w:lang w:val="en-US" w:eastAsia="zh-CN"/>
                    </w:rPr>
                    <w:t>产生量</w:t>
                  </w:r>
                </w:p>
              </w:tc>
              <w:tc>
                <w:tcPr>
                  <w:tcW w:w="258" w:type="pct"/>
                  <w:tcBorders>
                    <w:tl2br w:val="nil"/>
                    <w:tr2bl w:val="nil"/>
                  </w:tcBorders>
                  <w:vAlign w:val="center"/>
                </w:tcPr>
                <w:p>
                  <w:pPr>
                    <w:bidi w:val="0"/>
                    <w:spacing w:line="240" w:lineRule="auto"/>
                    <w:jc w:val="center"/>
                    <w:rPr>
                      <w:rFonts w:hint="default" w:ascii="Times New Roman" w:hAnsi="Times New Roman" w:eastAsia="宋体" w:cs="Times New Roman"/>
                      <w:b/>
                      <w:bCs/>
                      <w:color w:val="FF0000"/>
                      <w:kern w:val="2"/>
                      <w:sz w:val="18"/>
                      <w:szCs w:val="18"/>
                      <w:u w:val="single"/>
                      <w:lang w:val="en-US" w:eastAsia="zh-CN" w:bidi="ar-SA"/>
                    </w:rPr>
                  </w:pPr>
                  <w:r>
                    <w:rPr>
                      <w:rFonts w:hint="eastAsia"/>
                      <w:b/>
                      <w:bCs/>
                      <w:color w:val="FF0000"/>
                      <w:sz w:val="18"/>
                      <w:szCs w:val="18"/>
                      <w:u w:val="single"/>
                      <w:lang w:val="en-US" w:eastAsia="zh-CN"/>
                    </w:rPr>
                    <w:t>贮存方式</w:t>
                  </w:r>
                </w:p>
              </w:tc>
              <w:tc>
                <w:tcPr>
                  <w:tcW w:w="372" w:type="pct"/>
                  <w:tcBorders>
                    <w:tl2br w:val="nil"/>
                    <w:tr2bl w:val="nil"/>
                  </w:tcBorders>
                  <w:vAlign w:val="center"/>
                </w:tcPr>
                <w:p>
                  <w:pPr>
                    <w:bidi w:val="0"/>
                    <w:spacing w:line="240" w:lineRule="auto"/>
                    <w:jc w:val="center"/>
                    <w:rPr>
                      <w:rFonts w:hint="default" w:ascii="Times New Roman" w:hAnsi="Times New Roman" w:eastAsia="宋体" w:cs="Times New Roman"/>
                      <w:b/>
                      <w:bCs/>
                      <w:color w:val="FF0000"/>
                      <w:kern w:val="2"/>
                      <w:sz w:val="18"/>
                      <w:szCs w:val="18"/>
                      <w:u w:val="single"/>
                      <w:lang w:val="en-US" w:eastAsia="zh-CN" w:bidi="ar-SA"/>
                    </w:rPr>
                  </w:pPr>
                  <w:r>
                    <w:rPr>
                      <w:rFonts w:hint="eastAsia"/>
                      <w:b/>
                      <w:bCs/>
                      <w:color w:val="FF0000"/>
                      <w:sz w:val="18"/>
                      <w:szCs w:val="18"/>
                      <w:u w:val="single"/>
                      <w:lang w:val="en-US" w:eastAsia="zh-CN"/>
                    </w:rPr>
                    <w:t>贮存周期</w:t>
                  </w:r>
                </w:p>
              </w:tc>
              <w:tc>
                <w:tcPr>
                  <w:tcW w:w="408" w:type="pct"/>
                  <w:tcBorders>
                    <w:tl2br w:val="nil"/>
                    <w:tr2bl w:val="nil"/>
                  </w:tcBorders>
                  <w:vAlign w:val="center"/>
                </w:tcPr>
                <w:p>
                  <w:pPr>
                    <w:bidi w:val="0"/>
                    <w:spacing w:line="240" w:lineRule="auto"/>
                    <w:jc w:val="center"/>
                    <w:rPr>
                      <w:rFonts w:hint="default" w:ascii="Times New Roman" w:hAnsi="Times New Roman" w:eastAsia="宋体" w:cs="Times New Roman"/>
                      <w:b/>
                      <w:bCs/>
                      <w:color w:val="FF0000"/>
                      <w:kern w:val="2"/>
                      <w:sz w:val="18"/>
                      <w:szCs w:val="18"/>
                      <w:u w:val="single"/>
                      <w:lang w:val="en-US" w:eastAsia="zh-CN" w:bidi="ar-SA"/>
                    </w:rPr>
                  </w:pPr>
                  <w:r>
                    <w:rPr>
                      <w:rFonts w:hint="eastAsia"/>
                      <w:b/>
                      <w:bCs/>
                      <w:color w:val="FF0000"/>
                      <w:sz w:val="18"/>
                      <w:szCs w:val="18"/>
                      <w:u w:val="single"/>
                      <w:lang w:val="en-US" w:eastAsia="zh-CN"/>
                    </w:rPr>
                    <w:t>利用处置方式</w:t>
                  </w:r>
                </w:p>
              </w:tc>
              <w:tc>
                <w:tcPr>
                  <w:tcW w:w="1198"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去向</w:t>
                  </w:r>
                </w:p>
              </w:tc>
              <w:tc>
                <w:tcPr>
                  <w:tcW w:w="610" w:type="pct"/>
                  <w:tcBorders>
                    <w:tl2br w:val="nil"/>
                    <w:tr2bl w:val="nil"/>
                  </w:tcBorders>
                  <w:vAlign w:val="center"/>
                </w:tcPr>
                <w:p>
                  <w:pPr>
                    <w:bidi w:val="0"/>
                    <w:spacing w:line="240" w:lineRule="auto"/>
                    <w:jc w:val="center"/>
                    <w:rPr>
                      <w:rFonts w:hint="default"/>
                      <w:b/>
                      <w:bCs/>
                      <w:color w:val="FF0000"/>
                      <w:sz w:val="18"/>
                      <w:szCs w:val="18"/>
                      <w:u w:val="single"/>
                      <w:lang w:val="en-US" w:eastAsia="zh-CN"/>
                    </w:rPr>
                  </w:pPr>
                  <w:r>
                    <w:rPr>
                      <w:rFonts w:hint="eastAsia"/>
                      <w:b/>
                      <w:bCs/>
                      <w:color w:val="FF0000"/>
                      <w:sz w:val="18"/>
                      <w:szCs w:val="18"/>
                      <w:u w:val="single"/>
                      <w:lang w:val="en-US" w:eastAsia="zh-CN"/>
                    </w:rPr>
                    <w:t>利用/处置量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1"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职工生活</w:t>
                  </w:r>
                </w:p>
              </w:tc>
              <w:tc>
                <w:tcPr>
                  <w:tcW w:w="295"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生活垃圾</w:t>
                  </w:r>
                </w:p>
              </w:tc>
              <w:tc>
                <w:tcPr>
                  <w:tcW w:w="431"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一般固废</w:t>
                  </w:r>
                </w:p>
              </w:tc>
              <w:tc>
                <w:tcPr>
                  <w:tcW w:w="351"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w:t>
                  </w:r>
                </w:p>
              </w:tc>
              <w:tc>
                <w:tcPr>
                  <w:tcW w:w="24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固态</w:t>
                  </w:r>
                </w:p>
              </w:tc>
              <w:tc>
                <w:tcPr>
                  <w:tcW w:w="552"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18t/a</w:t>
                  </w:r>
                </w:p>
              </w:tc>
              <w:tc>
                <w:tcPr>
                  <w:tcW w:w="25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垃圾桶</w:t>
                  </w:r>
                </w:p>
              </w:tc>
              <w:tc>
                <w:tcPr>
                  <w:tcW w:w="372"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1~3天</w:t>
                  </w:r>
                </w:p>
              </w:tc>
              <w:tc>
                <w:tcPr>
                  <w:tcW w:w="40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委托处置</w:t>
                  </w:r>
                </w:p>
              </w:tc>
              <w:tc>
                <w:tcPr>
                  <w:tcW w:w="119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环卫部门处置</w:t>
                  </w:r>
                </w:p>
              </w:tc>
              <w:tc>
                <w:tcPr>
                  <w:tcW w:w="610"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18t/a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1"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下料</w:t>
                  </w:r>
                </w:p>
              </w:tc>
              <w:tc>
                <w:tcPr>
                  <w:tcW w:w="295"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废包装材料</w:t>
                  </w:r>
                </w:p>
              </w:tc>
              <w:tc>
                <w:tcPr>
                  <w:tcW w:w="431"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一般固废</w:t>
                  </w:r>
                </w:p>
              </w:tc>
              <w:tc>
                <w:tcPr>
                  <w:tcW w:w="351"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w:t>
                  </w:r>
                </w:p>
              </w:tc>
              <w:tc>
                <w:tcPr>
                  <w:tcW w:w="24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固态</w:t>
                  </w:r>
                </w:p>
              </w:tc>
              <w:tc>
                <w:tcPr>
                  <w:tcW w:w="552"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0.5t/a</w:t>
                  </w:r>
                </w:p>
              </w:tc>
              <w:tc>
                <w:tcPr>
                  <w:tcW w:w="25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散装</w:t>
                  </w:r>
                </w:p>
              </w:tc>
              <w:tc>
                <w:tcPr>
                  <w:tcW w:w="372"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1个月</w:t>
                  </w:r>
                </w:p>
              </w:tc>
              <w:tc>
                <w:tcPr>
                  <w:tcW w:w="40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委托处置</w:t>
                  </w:r>
                </w:p>
              </w:tc>
              <w:tc>
                <w:tcPr>
                  <w:tcW w:w="119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物资回收站</w:t>
                  </w:r>
                </w:p>
              </w:tc>
              <w:tc>
                <w:tcPr>
                  <w:tcW w:w="610"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0.5t/a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1" w:type="pct"/>
                  <w:tcBorders>
                    <w:tl2br w:val="nil"/>
                    <w:tr2bl w:val="nil"/>
                  </w:tcBorders>
                  <w:vAlign w:val="center"/>
                </w:tcPr>
                <w:p>
                  <w:pPr>
                    <w:bidi w:val="0"/>
                    <w:spacing w:line="240" w:lineRule="auto"/>
                    <w:jc w:val="center"/>
                    <w:rPr>
                      <w:rFonts w:hint="default" w:ascii="Times New Roman" w:hAnsi="Times New Roman" w:eastAsia="宋体" w:cs="Times New Roman"/>
                      <w:color w:val="FF0000"/>
                      <w:kern w:val="2"/>
                      <w:sz w:val="18"/>
                      <w:szCs w:val="18"/>
                      <w:u w:val="single"/>
                      <w:lang w:val="en-US" w:eastAsia="zh-CN" w:bidi="ar-SA"/>
                    </w:rPr>
                  </w:pPr>
                  <w:r>
                    <w:rPr>
                      <w:rFonts w:hint="eastAsia" w:cs="Times New Roman"/>
                      <w:color w:val="FF0000"/>
                      <w:kern w:val="2"/>
                      <w:sz w:val="18"/>
                      <w:szCs w:val="18"/>
                      <w:u w:val="single"/>
                      <w:lang w:val="en-US" w:eastAsia="zh-CN" w:bidi="ar-SA"/>
                    </w:rPr>
                    <w:t>熔融成型</w:t>
                  </w:r>
                </w:p>
              </w:tc>
              <w:tc>
                <w:tcPr>
                  <w:tcW w:w="295" w:type="pct"/>
                  <w:tcBorders>
                    <w:tl2br w:val="nil"/>
                    <w:tr2bl w:val="nil"/>
                  </w:tcBorders>
                  <w:vAlign w:val="center"/>
                </w:tcPr>
                <w:p>
                  <w:pPr>
                    <w:bidi w:val="0"/>
                    <w:spacing w:line="240" w:lineRule="auto"/>
                    <w:jc w:val="center"/>
                    <w:rPr>
                      <w:rFonts w:hint="eastAsia" w:ascii="Times New Roman" w:hAnsi="Times New Roman" w:eastAsia="宋体" w:cs="Times New Roman"/>
                      <w:color w:val="FF0000"/>
                      <w:kern w:val="2"/>
                      <w:sz w:val="18"/>
                      <w:szCs w:val="18"/>
                      <w:u w:val="single"/>
                      <w:lang w:val="en-US" w:eastAsia="zh-CN" w:bidi="ar-SA"/>
                    </w:rPr>
                  </w:pPr>
                  <w:r>
                    <w:rPr>
                      <w:rFonts w:hint="eastAsia"/>
                      <w:color w:val="FF0000"/>
                      <w:sz w:val="18"/>
                      <w:szCs w:val="18"/>
                      <w:u w:val="single"/>
                      <w:lang w:val="en-US" w:eastAsia="zh-CN"/>
                    </w:rPr>
                    <w:t>废过滤网</w:t>
                  </w:r>
                </w:p>
              </w:tc>
              <w:tc>
                <w:tcPr>
                  <w:tcW w:w="431" w:type="pct"/>
                  <w:tcBorders>
                    <w:tl2br w:val="nil"/>
                    <w:tr2bl w:val="nil"/>
                  </w:tcBorders>
                  <w:vAlign w:val="center"/>
                </w:tcPr>
                <w:p>
                  <w:pPr>
                    <w:bidi w:val="0"/>
                    <w:spacing w:line="240" w:lineRule="auto"/>
                    <w:jc w:val="center"/>
                    <w:rPr>
                      <w:rFonts w:hint="eastAsia" w:ascii="Times New Roman" w:hAnsi="Times New Roman" w:eastAsia="宋体" w:cs="Times New Roman"/>
                      <w:color w:val="FF0000"/>
                      <w:kern w:val="2"/>
                      <w:sz w:val="18"/>
                      <w:szCs w:val="18"/>
                      <w:u w:val="single"/>
                      <w:lang w:val="en-US" w:eastAsia="zh-CN" w:bidi="ar-SA"/>
                    </w:rPr>
                  </w:pPr>
                  <w:r>
                    <w:rPr>
                      <w:rFonts w:hint="eastAsia"/>
                      <w:color w:val="FF0000"/>
                      <w:sz w:val="18"/>
                      <w:szCs w:val="18"/>
                      <w:u w:val="single"/>
                      <w:lang w:val="en-US" w:eastAsia="zh-CN"/>
                    </w:rPr>
                    <w:t>一般固废</w:t>
                  </w:r>
                </w:p>
              </w:tc>
              <w:tc>
                <w:tcPr>
                  <w:tcW w:w="351" w:type="pct"/>
                  <w:tcBorders>
                    <w:tl2br w:val="nil"/>
                    <w:tr2bl w:val="nil"/>
                  </w:tcBorders>
                  <w:vAlign w:val="center"/>
                </w:tcPr>
                <w:p>
                  <w:pPr>
                    <w:bidi w:val="0"/>
                    <w:spacing w:line="240" w:lineRule="auto"/>
                    <w:jc w:val="center"/>
                    <w:rPr>
                      <w:rFonts w:hint="eastAsia" w:ascii="Times New Roman" w:hAnsi="Times New Roman" w:eastAsia="宋体" w:cs="Times New Roman"/>
                      <w:color w:val="FF0000"/>
                      <w:kern w:val="2"/>
                      <w:sz w:val="18"/>
                      <w:szCs w:val="18"/>
                      <w:u w:val="single"/>
                      <w:lang w:val="en-US" w:eastAsia="zh-CN" w:bidi="ar-SA"/>
                    </w:rPr>
                  </w:pPr>
                  <w:r>
                    <w:rPr>
                      <w:rFonts w:hint="eastAsia"/>
                      <w:color w:val="FF0000"/>
                      <w:sz w:val="18"/>
                      <w:szCs w:val="18"/>
                      <w:u w:val="single"/>
                      <w:lang w:val="en-US" w:eastAsia="zh-CN"/>
                    </w:rPr>
                    <w:t>/</w:t>
                  </w:r>
                </w:p>
              </w:tc>
              <w:tc>
                <w:tcPr>
                  <w:tcW w:w="248" w:type="pct"/>
                  <w:tcBorders>
                    <w:tl2br w:val="nil"/>
                    <w:tr2bl w:val="nil"/>
                  </w:tcBorders>
                  <w:vAlign w:val="center"/>
                </w:tcPr>
                <w:p>
                  <w:pPr>
                    <w:bidi w:val="0"/>
                    <w:spacing w:line="240" w:lineRule="auto"/>
                    <w:jc w:val="center"/>
                    <w:rPr>
                      <w:rFonts w:hint="eastAsia" w:ascii="Times New Roman" w:hAnsi="Times New Roman" w:eastAsia="宋体" w:cs="Times New Roman"/>
                      <w:color w:val="FF0000"/>
                      <w:kern w:val="2"/>
                      <w:sz w:val="18"/>
                      <w:szCs w:val="18"/>
                      <w:u w:val="single"/>
                      <w:lang w:val="en-US" w:eastAsia="zh-CN" w:bidi="ar-SA"/>
                    </w:rPr>
                  </w:pPr>
                  <w:r>
                    <w:rPr>
                      <w:rFonts w:hint="eastAsia"/>
                      <w:color w:val="FF0000"/>
                      <w:sz w:val="18"/>
                      <w:szCs w:val="18"/>
                      <w:u w:val="single"/>
                      <w:lang w:val="en-US" w:eastAsia="zh-CN"/>
                    </w:rPr>
                    <w:t>固态</w:t>
                  </w:r>
                </w:p>
              </w:tc>
              <w:tc>
                <w:tcPr>
                  <w:tcW w:w="552" w:type="pct"/>
                  <w:tcBorders>
                    <w:tl2br w:val="nil"/>
                    <w:tr2bl w:val="nil"/>
                  </w:tcBorders>
                  <w:vAlign w:val="center"/>
                </w:tcPr>
                <w:p>
                  <w:pPr>
                    <w:bidi w:val="0"/>
                    <w:spacing w:line="240" w:lineRule="auto"/>
                    <w:jc w:val="center"/>
                    <w:rPr>
                      <w:rFonts w:hint="eastAsia" w:ascii="Times New Roman" w:hAnsi="Times New Roman" w:eastAsia="宋体" w:cs="Times New Roman"/>
                      <w:color w:val="FF0000"/>
                      <w:kern w:val="2"/>
                      <w:sz w:val="18"/>
                      <w:szCs w:val="18"/>
                      <w:u w:val="single"/>
                      <w:lang w:val="en-US" w:eastAsia="zh-CN" w:bidi="ar-SA"/>
                    </w:rPr>
                  </w:pPr>
                  <w:r>
                    <w:rPr>
                      <w:rFonts w:hint="eastAsia"/>
                      <w:color w:val="FF0000"/>
                      <w:sz w:val="18"/>
                      <w:szCs w:val="18"/>
                      <w:u w:val="single"/>
                      <w:lang w:val="en-US" w:eastAsia="zh-CN"/>
                    </w:rPr>
                    <w:t>0.2t/a</w:t>
                  </w:r>
                </w:p>
              </w:tc>
              <w:tc>
                <w:tcPr>
                  <w:tcW w:w="258" w:type="pct"/>
                  <w:tcBorders>
                    <w:tl2br w:val="nil"/>
                    <w:tr2bl w:val="nil"/>
                  </w:tcBorders>
                  <w:vAlign w:val="center"/>
                </w:tcPr>
                <w:p>
                  <w:pPr>
                    <w:bidi w:val="0"/>
                    <w:spacing w:line="240" w:lineRule="auto"/>
                    <w:jc w:val="center"/>
                    <w:rPr>
                      <w:rFonts w:hint="eastAsia" w:ascii="Times New Roman" w:hAnsi="Times New Roman" w:eastAsia="宋体" w:cs="Times New Roman"/>
                      <w:color w:val="FF0000"/>
                      <w:kern w:val="2"/>
                      <w:sz w:val="18"/>
                      <w:szCs w:val="18"/>
                      <w:u w:val="single"/>
                      <w:lang w:val="en-US" w:eastAsia="zh-CN" w:bidi="ar-SA"/>
                    </w:rPr>
                  </w:pPr>
                  <w:r>
                    <w:rPr>
                      <w:rFonts w:hint="eastAsia"/>
                      <w:color w:val="FF0000"/>
                      <w:sz w:val="18"/>
                      <w:szCs w:val="18"/>
                      <w:u w:val="single"/>
                      <w:lang w:val="en-US" w:eastAsia="zh-CN"/>
                    </w:rPr>
                    <w:t>散装</w:t>
                  </w:r>
                </w:p>
              </w:tc>
              <w:tc>
                <w:tcPr>
                  <w:tcW w:w="372" w:type="pct"/>
                  <w:tcBorders>
                    <w:tl2br w:val="nil"/>
                    <w:tr2bl w:val="nil"/>
                  </w:tcBorders>
                  <w:vAlign w:val="center"/>
                </w:tcPr>
                <w:p>
                  <w:pPr>
                    <w:bidi w:val="0"/>
                    <w:spacing w:line="240" w:lineRule="auto"/>
                    <w:jc w:val="center"/>
                    <w:rPr>
                      <w:rFonts w:hint="eastAsia" w:ascii="Times New Roman" w:hAnsi="Times New Roman" w:eastAsia="宋体" w:cs="Times New Roman"/>
                      <w:color w:val="FF0000"/>
                      <w:kern w:val="2"/>
                      <w:sz w:val="18"/>
                      <w:szCs w:val="18"/>
                      <w:u w:val="single"/>
                      <w:lang w:val="en-US" w:eastAsia="zh-CN" w:bidi="ar-SA"/>
                    </w:rPr>
                  </w:pPr>
                  <w:r>
                    <w:rPr>
                      <w:rFonts w:hint="eastAsia"/>
                      <w:color w:val="FF0000"/>
                      <w:sz w:val="18"/>
                      <w:szCs w:val="18"/>
                      <w:u w:val="single"/>
                      <w:lang w:val="en-US" w:eastAsia="zh-CN"/>
                    </w:rPr>
                    <w:t>6个月</w:t>
                  </w:r>
                </w:p>
              </w:tc>
              <w:tc>
                <w:tcPr>
                  <w:tcW w:w="408" w:type="pct"/>
                  <w:tcBorders>
                    <w:tl2br w:val="nil"/>
                    <w:tr2bl w:val="nil"/>
                  </w:tcBorders>
                  <w:vAlign w:val="center"/>
                </w:tcPr>
                <w:p>
                  <w:pPr>
                    <w:bidi w:val="0"/>
                    <w:spacing w:line="240" w:lineRule="auto"/>
                    <w:jc w:val="center"/>
                    <w:rPr>
                      <w:rFonts w:hint="eastAsia" w:ascii="Times New Roman" w:hAnsi="Times New Roman" w:eastAsia="宋体" w:cs="Times New Roman"/>
                      <w:color w:val="FF0000"/>
                      <w:kern w:val="2"/>
                      <w:sz w:val="18"/>
                      <w:szCs w:val="18"/>
                      <w:u w:val="single"/>
                      <w:lang w:val="en-US" w:eastAsia="zh-CN" w:bidi="ar-SA"/>
                    </w:rPr>
                  </w:pPr>
                  <w:r>
                    <w:rPr>
                      <w:rFonts w:hint="eastAsia"/>
                      <w:color w:val="FF0000"/>
                      <w:sz w:val="18"/>
                      <w:szCs w:val="18"/>
                      <w:u w:val="single"/>
                      <w:lang w:val="en-US" w:eastAsia="zh-CN"/>
                    </w:rPr>
                    <w:t>委托处置</w:t>
                  </w:r>
                </w:p>
              </w:tc>
              <w:tc>
                <w:tcPr>
                  <w:tcW w:w="1198" w:type="pct"/>
                  <w:tcBorders>
                    <w:tl2br w:val="nil"/>
                    <w:tr2bl w:val="nil"/>
                  </w:tcBorders>
                  <w:vAlign w:val="center"/>
                </w:tcPr>
                <w:p>
                  <w:pPr>
                    <w:bidi w:val="0"/>
                    <w:spacing w:line="240" w:lineRule="auto"/>
                    <w:jc w:val="center"/>
                    <w:rPr>
                      <w:rFonts w:hint="eastAsia" w:ascii="Times New Roman" w:hAnsi="Times New Roman" w:eastAsia="宋体" w:cs="Times New Roman"/>
                      <w:color w:val="FF0000"/>
                      <w:kern w:val="2"/>
                      <w:sz w:val="18"/>
                      <w:szCs w:val="18"/>
                      <w:u w:val="single"/>
                      <w:lang w:val="en-US" w:eastAsia="zh-CN" w:bidi="ar-SA"/>
                    </w:rPr>
                  </w:pPr>
                  <w:r>
                    <w:rPr>
                      <w:rFonts w:hint="eastAsia"/>
                      <w:color w:val="FF0000"/>
                      <w:sz w:val="18"/>
                      <w:szCs w:val="18"/>
                      <w:u w:val="single"/>
                      <w:lang w:val="en-US" w:eastAsia="zh-CN"/>
                    </w:rPr>
                    <w:t>物资回收站</w:t>
                  </w:r>
                </w:p>
              </w:tc>
              <w:tc>
                <w:tcPr>
                  <w:tcW w:w="610" w:type="pct"/>
                  <w:tcBorders>
                    <w:tl2br w:val="nil"/>
                    <w:tr2bl w:val="nil"/>
                  </w:tcBorders>
                  <w:vAlign w:val="center"/>
                </w:tcPr>
                <w:p>
                  <w:pPr>
                    <w:bidi w:val="0"/>
                    <w:spacing w:line="240" w:lineRule="auto"/>
                    <w:jc w:val="center"/>
                    <w:rPr>
                      <w:rFonts w:hint="eastAsia" w:ascii="Times New Roman" w:hAnsi="Times New Roman" w:eastAsia="宋体" w:cs="Times New Roman"/>
                      <w:color w:val="FF0000"/>
                      <w:kern w:val="2"/>
                      <w:sz w:val="18"/>
                      <w:szCs w:val="18"/>
                      <w:u w:val="single"/>
                      <w:lang w:val="en-US" w:eastAsia="zh-CN" w:bidi="ar-SA"/>
                    </w:rPr>
                  </w:pPr>
                  <w:r>
                    <w:rPr>
                      <w:rFonts w:hint="eastAsia"/>
                      <w:color w:val="FF0000"/>
                      <w:sz w:val="18"/>
                      <w:szCs w:val="18"/>
                      <w:u w:val="single"/>
                      <w:lang w:val="en-US" w:eastAsia="zh-CN"/>
                    </w:rPr>
                    <w:t>0.2t/a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1"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破碎</w:t>
                  </w:r>
                </w:p>
              </w:tc>
              <w:tc>
                <w:tcPr>
                  <w:tcW w:w="295"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除尘灰</w:t>
                  </w:r>
                </w:p>
              </w:tc>
              <w:tc>
                <w:tcPr>
                  <w:tcW w:w="431"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一般固废</w:t>
                  </w:r>
                </w:p>
              </w:tc>
              <w:tc>
                <w:tcPr>
                  <w:tcW w:w="351"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w:t>
                  </w:r>
                </w:p>
              </w:tc>
              <w:tc>
                <w:tcPr>
                  <w:tcW w:w="24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固体</w:t>
                  </w:r>
                </w:p>
              </w:tc>
              <w:tc>
                <w:tcPr>
                  <w:tcW w:w="552"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0.5346t/a</w:t>
                  </w:r>
                </w:p>
              </w:tc>
              <w:tc>
                <w:tcPr>
                  <w:tcW w:w="25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不贮存</w:t>
                  </w:r>
                </w:p>
              </w:tc>
              <w:tc>
                <w:tcPr>
                  <w:tcW w:w="372"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w:t>
                  </w:r>
                </w:p>
              </w:tc>
              <w:tc>
                <w:tcPr>
                  <w:tcW w:w="40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自行回用</w:t>
                  </w:r>
                </w:p>
              </w:tc>
              <w:tc>
                <w:tcPr>
                  <w:tcW w:w="119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回用生产</w:t>
                  </w:r>
                </w:p>
              </w:tc>
              <w:tc>
                <w:tcPr>
                  <w:tcW w:w="610"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0.5346t/a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1"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废气处理</w:t>
                  </w:r>
                </w:p>
              </w:tc>
              <w:tc>
                <w:tcPr>
                  <w:tcW w:w="295"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废活性炭</w:t>
                  </w:r>
                </w:p>
              </w:tc>
              <w:tc>
                <w:tcPr>
                  <w:tcW w:w="431"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HW49</w:t>
                  </w:r>
                </w:p>
              </w:tc>
              <w:tc>
                <w:tcPr>
                  <w:tcW w:w="351"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非甲烷总烃</w:t>
                  </w:r>
                </w:p>
              </w:tc>
              <w:tc>
                <w:tcPr>
                  <w:tcW w:w="24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固态</w:t>
                  </w:r>
                </w:p>
              </w:tc>
              <w:tc>
                <w:tcPr>
                  <w:tcW w:w="552"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1.35t/a</w:t>
                  </w:r>
                </w:p>
              </w:tc>
              <w:tc>
                <w:tcPr>
                  <w:tcW w:w="25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密封箱装</w:t>
                  </w:r>
                </w:p>
              </w:tc>
              <w:tc>
                <w:tcPr>
                  <w:tcW w:w="372"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1年</w:t>
                  </w:r>
                </w:p>
              </w:tc>
              <w:tc>
                <w:tcPr>
                  <w:tcW w:w="40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委托处置</w:t>
                  </w:r>
                </w:p>
              </w:tc>
              <w:tc>
                <w:tcPr>
                  <w:tcW w:w="1198" w:type="pct"/>
                  <w:tcBorders>
                    <w:tl2br w:val="nil"/>
                    <w:tr2bl w:val="nil"/>
                  </w:tcBorders>
                  <w:vAlign w:val="center"/>
                </w:tcPr>
                <w:p>
                  <w:pPr>
                    <w:bidi w:val="0"/>
                    <w:spacing w:line="240" w:lineRule="auto"/>
                    <w:jc w:val="center"/>
                    <w:rPr>
                      <w:rFonts w:hint="eastAsia"/>
                      <w:color w:val="FF0000"/>
                      <w:sz w:val="18"/>
                      <w:szCs w:val="18"/>
                      <w:u w:val="single"/>
                      <w:lang w:val="en-US" w:eastAsia="zh-CN"/>
                    </w:rPr>
                  </w:pPr>
                  <w:r>
                    <w:rPr>
                      <w:rFonts w:hint="eastAsia"/>
                      <w:color w:val="FF0000"/>
                      <w:sz w:val="18"/>
                      <w:szCs w:val="18"/>
                      <w:u w:val="single"/>
                      <w:lang w:val="en-US" w:eastAsia="zh-CN"/>
                    </w:rPr>
                    <w:t>危废间暂存，定期委托有资质单位处置</w:t>
                  </w:r>
                </w:p>
              </w:tc>
              <w:tc>
                <w:tcPr>
                  <w:tcW w:w="610" w:type="pct"/>
                  <w:tcBorders>
                    <w:tl2br w:val="nil"/>
                    <w:tr2bl w:val="nil"/>
                  </w:tcBorders>
                  <w:vAlign w:val="center"/>
                </w:tcPr>
                <w:p>
                  <w:pPr>
                    <w:bidi w:val="0"/>
                    <w:spacing w:line="240" w:lineRule="auto"/>
                    <w:jc w:val="center"/>
                    <w:rPr>
                      <w:rFonts w:hint="eastAsia"/>
                      <w:color w:val="FF0000"/>
                      <w:sz w:val="18"/>
                      <w:szCs w:val="18"/>
                      <w:u w:val="single"/>
                      <w:lang w:val="en-US" w:eastAsia="zh-CN"/>
                    </w:rPr>
                  </w:pPr>
                  <w:r>
                    <w:rPr>
                      <w:rFonts w:hint="eastAsia"/>
                      <w:color w:val="FF0000"/>
                      <w:sz w:val="18"/>
                      <w:szCs w:val="18"/>
                      <w:u w:val="single"/>
                      <w:lang w:val="en-US" w:eastAsia="zh-CN"/>
                    </w:rPr>
                    <w:t>1.35t/a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1"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废气处理</w:t>
                  </w:r>
                </w:p>
              </w:tc>
              <w:tc>
                <w:tcPr>
                  <w:tcW w:w="295"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废UV灯管</w:t>
                  </w:r>
                </w:p>
              </w:tc>
              <w:tc>
                <w:tcPr>
                  <w:tcW w:w="431"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HW29</w:t>
                  </w:r>
                </w:p>
              </w:tc>
              <w:tc>
                <w:tcPr>
                  <w:tcW w:w="351"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含汞</w:t>
                  </w:r>
                </w:p>
              </w:tc>
              <w:tc>
                <w:tcPr>
                  <w:tcW w:w="24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固态</w:t>
                  </w:r>
                </w:p>
              </w:tc>
              <w:tc>
                <w:tcPr>
                  <w:tcW w:w="552"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0.03t/a</w:t>
                  </w:r>
                </w:p>
              </w:tc>
              <w:tc>
                <w:tcPr>
                  <w:tcW w:w="25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密封箱装</w:t>
                  </w:r>
                </w:p>
              </w:tc>
              <w:tc>
                <w:tcPr>
                  <w:tcW w:w="372"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1年</w:t>
                  </w:r>
                </w:p>
              </w:tc>
              <w:tc>
                <w:tcPr>
                  <w:tcW w:w="408" w:type="pct"/>
                  <w:tcBorders>
                    <w:tl2br w:val="nil"/>
                    <w:tr2bl w:val="nil"/>
                  </w:tcBorders>
                  <w:vAlign w:val="center"/>
                </w:tcPr>
                <w:p>
                  <w:pPr>
                    <w:bidi w:val="0"/>
                    <w:spacing w:line="240" w:lineRule="auto"/>
                    <w:jc w:val="center"/>
                    <w:rPr>
                      <w:rFonts w:hint="default"/>
                      <w:color w:val="FF0000"/>
                      <w:sz w:val="18"/>
                      <w:szCs w:val="18"/>
                      <w:u w:val="single"/>
                      <w:lang w:val="en-US" w:eastAsia="zh-CN"/>
                    </w:rPr>
                  </w:pPr>
                  <w:r>
                    <w:rPr>
                      <w:rFonts w:hint="eastAsia"/>
                      <w:color w:val="FF0000"/>
                      <w:sz w:val="18"/>
                      <w:szCs w:val="18"/>
                      <w:u w:val="single"/>
                      <w:lang w:val="en-US" w:eastAsia="zh-CN"/>
                    </w:rPr>
                    <w:t>委托处置</w:t>
                  </w:r>
                </w:p>
              </w:tc>
              <w:tc>
                <w:tcPr>
                  <w:tcW w:w="1198" w:type="pct"/>
                  <w:tcBorders>
                    <w:tl2br w:val="nil"/>
                    <w:tr2bl w:val="nil"/>
                  </w:tcBorders>
                  <w:vAlign w:val="center"/>
                </w:tcPr>
                <w:p>
                  <w:pPr>
                    <w:bidi w:val="0"/>
                    <w:spacing w:line="240" w:lineRule="auto"/>
                    <w:jc w:val="center"/>
                    <w:rPr>
                      <w:rFonts w:hint="eastAsia"/>
                      <w:color w:val="FF0000"/>
                      <w:sz w:val="18"/>
                      <w:szCs w:val="18"/>
                      <w:u w:val="single"/>
                      <w:lang w:val="en-US" w:eastAsia="zh-CN"/>
                    </w:rPr>
                  </w:pPr>
                  <w:r>
                    <w:rPr>
                      <w:rFonts w:hint="eastAsia"/>
                      <w:color w:val="FF0000"/>
                      <w:sz w:val="18"/>
                      <w:szCs w:val="18"/>
                      <w:u w:val="single"/>
                      <w:lang w:val="en-US" w:eastAsia="zh-CN"/>
                    </w:rPr>
                    <w:t>危废间暂存，定期委托有资质单位处置</w:t>
                  </w:r>
                </w:p>
              </w:tc>
              <w:tc>
                <w:tcPr>
                  <w:tcW w:w="610" w:type="pct"/>
                  <w:tcBorders>
                    <w:tl2br w:val="nil"/>
                    <w:tr2bl w:val="nil"/>
                  </w:tcBorders>
                  <w:vAlign w:val="center"/>
                </w:tcPr>
                <w:p>
                  <w:pPr>
                    <w:bidi w:val="0"/>
                    <w:spacing w:line="240" w:lineRule="auto"/>
                    <w:jc w:val="center"/>
                    <w:rPr>
                      <w:rFonts w:hint="eastAsia"/>
                      <w:color w:val="FF0000"/>
                      <w:sz w:val="18"/>
                      <w:szCs w:val="18"/>
                      <w:u w:val="single"/>
                      <w:lang w:val="en-US" w:eastAsia="zh-CN"/>
                    </w:rPr>
                  </w:pPr>
                  <w:r>
                    <w:rPr>
                      <w:rFonts w:hint="eastAsia"/>
                      <w:color w:val="FF0000"/>
                      <w:sz w:val="18"/>
                      <w:szCs w:val="18"/>
                      <w:u w:val="single"/>
                      <w:lang w:val="en-US" w:eastAsia="zh-CN"/>
                    </w:rPr>
                    <w:t>0.03t/a</w:t>
                  </w:r>
                </w:p>
              </w:tc>
            </w:tr>
          </w:tbl>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 xml:space="preserve">（2）环境管理要求 </w:t>
            </w:r>
          </w:p>
          <w:p>
            <w:pPr>
              <w:pStyle w:val="12"/>
              <w:adjustRightInd w:val="0"/>
              <w:snapToGrid w:val="0"/>
              <w:spacing w:before="0" w:beforeAutospacing="0" w:after="0" w:afterAutospacing="0" w:line="360" w:lineRule="auto"/>
              <w:ind w:firstLine="482" w:firstLineChars="200"/>
              <w:jc w:val="both"/>
              <w:rPr>
                <w:rFonts w:hint="eastAsia" w:cs="宋体"/>
                <w:b/>
                <w:bCs/>
                <w:color w:val="FF0000"/>
                <w:kern w:val="2"/>
                <w:sz w:val="24"/>
                <w:szCs w:val="24"/>
                <w:highlight w:val="none"/>
                <w:u w:val="single" w:color="auto"/>
                <w:lang w:val="en-US" w:eastAsia="zh-CN"/>
              </w:rPr>
            </w:pPr>
            <w:r>
              <w:rPr>
                <w:rFonts w:hint="eastAsia" w:cs="宋体"/>
                <w:b/>
                <w:bCs/>
                <w:color w:val="FF0000"/>
                <w:kern w:val="2"/>
                <w:sz w:val="24"/>
                <w:szCs w:val="24"/>
                <w:highlight w:val="none"/>
                <w:u w:val="single" w:color="auto"/>
                <w:lang w:val="en-US" w:eastAsia="zh-CN"/>
              </w:rPr>
              <w:t>危险废物贮存场所环境影响分析及污染防治措施：</w:t>
            </w:r>
          </w:p>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本项目设置1间危废暂存间，位于厂区南侧，贮存面积为15m</w:t>
            </w:r>
            <w:r>
              <w:rPr>
                <w:rFonts w:hint="eastAsia" w:cs="宋体"/>
                <w:color w:val="FF0000"/>
                <w:kern w:val="2"/>
                <w:sz w:val="24"/>
                <w:szCs w:val="24"/>
                <w:highlight w:val="none"/>
                <w:u w:val="single" w:color="auto"/>
                <w:vertAlign w:val="superscript"/>
                <w:lang w:val="en-US" w:eastAsia="zh-CN"/>
              </w:rPr>
              <w:t>2</w:t>
            </w:r>
            <w:r>
              <w:rPr>
                <w:rFonts w:hint="eastAsia" w:cs="宋体"/>
                <w:color w:val="FF0000"/>
                <w:kern w:val="2"/>
                <w:sz w:val="24"/>
                <w:szCs w:val="24"/>
                <w:highlight w:val="none"/>
                <w:u w:val="single" w:color="auto"/>
                <w:lang w:val="en-US" w:eastAsia="zh-CN"/>
              </w:rPr>
              <w:t>，高3m，各类危废分类暂存，危废暂存间应按照《危险废物贮存污染控制标准》（GB18597-2001）及其2013年修改单中的要求进行建设，需满足：</w:t>
            </w:r>
          </w:p>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①危险废物应装入容器内存放，且禁止将不相容的危险废物装入同一容器内；</w:t>
            </w:r>
          </w:p>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②危废暂存场所地面与裙脚采用达到标准要求防渗的材料建造，渗透系数≤10-10cm/s，防渗建筑材料须与危险废物相容；</w:t>
            </w:r>
          </w:p>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③危废暂存场所内设置有安全照明设施和观察窗口，场所四周设置边沟，建造径流疏导系统，同时做到“五防”（防风、防雨、防晒、防盗、防渗漏）要求；</w:t>
            </w:r>
          </w:p>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④盛装危险废物的容器上必须粘贴符合要求的危险废物标签；并设置明显的警示标识和防渗漏、防鼠、防蚊蝇、防蟑螂、防盗以及预防儿童接触等安全措施；</w:t>
            </w:r>
          </w:p>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⑤制定双人双锁管理制度，安排专人进行管理。</w:t>
            </w:r>
          </w:p>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本项目危险废物暂存场所均按照《危险废物贮存污染控制标准》（ GB18597-2001）及其2013年修改单的规定设置，通过规范设置危废暂存场所，可以保障危险废物暂存过程对周边环境不产生影响。</w:t>
            </w:r>
          </w:p>
          <w:p>
            <w:pPr>
              <w:pStyle w:val="12"/>
              <w:adjustRightInd w:val="0"/>
              <w:snapToGrid w:val="0"/>
              <w:spacing w:before="0" w:beforeAutospacing="0" w:after="0" w:afterAutospacing="0" w:line="360" w:lineRule="auto"/>
              <w:ind w:firstLine="482" w:firstLineChars="200"/>
              <w:jc w:val="both"/>
              <w:rPr>
                <w:rFonts w:hint="eastAsia" w:cs="宋体"/>
                <w:b/>
                <w:bCs/>
                <w:color w:val="FF0000"/>
                <w:kern w:val="2"/>
                <w:sz w:val="24"/>
                <w:szCs w:val="24"/>
                <w:highlight w:val="none"/>
                <w:u w:val="single" w:color="auto"/>
                <w:lang w:val="en-US" w:eastAsia="zh-CN"/>
              </w:rPr>
            </w:pPr>
            <w:r>
              <w:rPr>
                <w:rFonts w:hint="eastAsia" w:cs="宋体"/>
                <w:b/>
                <w:bCs/>
                <w:color w:val="FF0000"/>
                <w:kern w:val="2"/>
                <w:sz w:val="24"/>
                <w:szCs w:val="24"/>
                <w:highlight w:val="none"/>
                <w:u w:val="single" w:color="auto"/>
                <w:lang w:val="en-US" w:eastAsia="zh-CN"/>
              </w:rPr>
              <w:t>运输过程环境影响分析及污染防治措施：</w:t>
            </w:r>
          </w:p>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根据中华人民共和国国务院令第591号《危险化学品安全管理条例》的有关规定，在危险废弃物外运至处置单位时必须严格遵守以下要求：</w:t>
            </w:r>
          </w:p>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①危险废物的转移和运输应按照《危险废物转移联单管理办法》的规定报批危险废物转移计划，填写好危险废物转移电子联单，并必须交由有资质的单位承运。做好每次外运处置废弃物的运输登记，认真填写危险废物转移电子联单。</w:t>
            </w:r>
          </w:p>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②危险废物的运输车辆须经主管单位检查，并持有有关单位签发的许可证。运输人员必须掌握危险化学品运输的安全知识，了解所运载的危险物质的性质、危害特性、包装容器的使用特性和发生意外时的应急措施。</w:t>
            </w:r>
          </w:p>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③承载危险废物的车辆须有明显的标志或适当的危险符号，以引起注 意。载有危险废物的车辆在公路上行驶时，需持有运输许可证，其上应注明废物来源、性质和运往地点。</w:t>
            </w:r>
          </w:p>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④组织危险废物的运输单位，在事先需作出周密的运输计划和行驶路线，其中包括有效的废物泄漏情况下的应急措施。运输车辆不得超装、不得超载，必须严格按照指定的路线进行运输，不得进入危化品运输车辆严 禁通行的区域。</w:t>
            </w:r>
          </w:p>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⑤危险废物在运输途中若发生被盗、丢失、流散、泄露等情况时，公司及押运人员必须立即向当地公安部门报告，并采取一切可能的警示措施。</w:t>
            </w:r>
          </w:p>
          <w:p>
            <w:pPr>
              <w:pStyle w:val="12"/>
              <w:adjustRightInd w:val="0"/>
              <w:snapToGrid w:val="0"/>
              <w:spacing w:before="0" w:beforeAutospacing="0" w:after="0" w:afterAutospacing="0" w:line="360" w:lineRule="auto"/>
              <w:ind w:firstLine="480" w:firstLineChars="200"/>
              <w:jc w:val="both"/>
              <w:rPr>
                <w:rFonts w:hint="eastAsia" w:cs="宋体"/>
                <w:b/>
                <w:bCs/>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⑥一旦发生危险废物泄露事故，公司各危废处置单位都应积极协助有关部门采取必要的安全措施，减少事故损失，防止事故蔓延、扩大；针对事故对人体、动植物、土壤、水源、空气造成的现实危害进行监测、处置。直至符合国家环境保护标准。</w:t>
            </w:r>
          </w:p>
          <w:p>
            <w:pPr>
              <w:pStyle w:val="12"/>
              <w:adjustRightInd w:val="0"/>
              <w:snapToGrid w:val="0"/>
              <w:spacing w:before="0" w:beforeAutospacing="0" w:after="0" w:afterAutospacing="0" w:line="360" w:lineRule="auto"/>
              <w:ind w:firstLine="482" w:firstLineChars="200"/>
              <w:jc w:val="both"/>
              <w:rPr>
                <w:rFonts w:hint="eastAsia" w:cs="宋体"/>
                <w:b/>
                <w:bCs/>
                <w:color w:val="FF0000"/>
                <w:kern w:val="2"/>
                <w:sz w:val="24"/>
                <w:szCs w:val="24"/>
                <w:highlight w:val="none"/>
                <w:u w:val="single" w:color="auto"/>
                <w:lang w:val="en-US" w:eastAsia="zh-CN"/>
              </w:rPr>
            </w:pPr>
            <w:r>
              <w:rPr>
                <w:rFonts w:hint="eastAsia" w:cs="宋体"/>
                <w:b/>
                <w:bCs/>
                <w:color w:val="FF0000"/>
                <w:kern w:val="2"/>
                <w:sz w:val="24"/>
                <w:szCs w:val="24"/>
                <w:highlight w:val="none"/>
                <w:u w:val="single" w:color="auto"/>
                <w:lang w:val="en-US" w:eastAsia="zh-CN"/>
              </w:rPr>
              <w:t>委托处置的环境影响分析：</w:t>
            </w:r>
          </w:p>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根据项目危废特性及有资质的危险废物处置单位的分布情况、处置能力、资质类别，本项目危废处置单位需可处理产生的HW29和HW49类的危险废物，可选择其中或其他有资质单位作为危废处置委托单位。</w:t>
            </w:r>
          </w:p>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综上，本项目产生的危险废物均得到妥善处理处置，不外排，对周边外环境的不利影响较小。</w:t>
            </w:r>
          </w:p>
          <w:p>
            <w:pPr>
              <w:pStyle w:val="12"/>
              <w:adjustRightInd w:val="0"/>
              <w:snapToGrid w:val="0"/>
              <w:spacing w:before="0" w:beforeAutospacing="0" w:after="0" w:afterAutospacing="0" w:line="360" w:lineRule="auto"/>
              <w:ind w:firstLine="480" w:firstLineChars="200"/>
              <w:jc w:val="both"/>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（3）项目固体废物处置及其可行性分析小结</w:t>
            </w:r>
          </w:p>
          <w:p>
            <w:pPr>
              <w:spacing w:line="360" w:lineRule="auto"/>
              <w:ind w:firstLine="480" w:firstLineChars="200"/>
              <w:rPr>
                <w:rFonts w:hint="default"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本项目</w:t>
            </w:r>
            <w:r>
              <w:rPr>
                <w:color w:val="FF0000"/>
                <w:kern w:val="0"/>
                <w:sz w:val="24"/>
                <w:u w:val="single" w:color="auto"/>
              </w:rPr>
              <w:t>一般工业固体废物贮存或处置</w:t>
            </w:r>
            <w:r>
              <w:rPr>
                <w:rFonts w:hint="eastAsia" w:cs="宋体"/>
                <w:color w:val="FF0000"/>
                <w:kern w:val="2"/>
                <w:sz w:val="24"/>
                <w:szCs w:val="24"/>
                <w:highlight w:val="none"/>
                <w:u w:val="single" w:color="auto"/>
                <w:lang w:val="en-US" w:eastAsia="zh-CN"/>
              </w:rPr>
              <w:t>应严格依照</w:t>
            </w:r>
            <w:r>
              <w:rPr>
                <w:color w:val="FF0000"/>
                <w:kern w:val="0"/>
                <w:sz w:val="24"/>
                <w:u w:val="single" w:color="auto"/>
              </w:rPr>
              <w:t>《一般工业固体废物贮存、处置场污染控制标准》（GB18599-20</w:t>
            </w:r>
            <w:r>
              <w:rPr>
                <w:rFonts w:hint="eastAsia"/>
                <w:color w:val="FF0000"/>
                <w:kern w:val="0"/>
                <w:sz w:val="24"/>
                <w:u w:val="single" w:color="auto"/>
                <w:lang w:val="en-US" w:eastAsia="zh-CN"/>
              </w:rPr>
              <w:t>20</w:t>
            </w:r>
            <w:r>
              <w:rPr>
                <w:color w:val="FF0000"/>
                <w:kern w:val="0"/>
                <w:sz w:val="24"/>
                <w:u w:val="single" w:color="auto"/>
              </w:rPr>
              <w:t>）有关要求。一般工业固体废物的贮存设施、场所采取防扬散、防流失、防渗漏或者其他防止污染环境的措施，</w:t>
            </w:r>
            <w:r>
              <w:rPr>
                <w:rFonts w:hint="eastAsia"/>
                <w:color w:val="FF0000"/>
                <w:kern w:val="0"/>
                <w:sz w:val="24"/>
                <w:u w:val="single" w:color="auto"/>
                <w:lang w:val="en-US" w:eastAsia="zh-CN"/>
              </w:rPr>
              <w:t>应</w:t>
            </w:r>
            <w:r>
              <w:rPr>
                <w:color w:val="FF0000"/>
                <w:kern w:val="0"/>
                <w:sz w:val="24"/>
                <w:u w:val="single" w:color="auto"/>
              </w:rPr>
              <w:t>符合国家环境保护标准，并对未处理的固体废物做出妥善处理，安全存放。对暂时不利用或者不能回收利用的一般工业固体废物，配套建设防雨淋、防渗漏、易识别等符合环境保护标准和管理要求的贮存设施或场所，以及足够的流转空间，按国家环境保护的技术和管理要求，有专人看管，建立便于核查的进、出物料的台账记录和固体废物明细表</w:t>
            </w:r>
            <w:r>
              <w:rPr>
                <w:color w:val="FF0000"/>
                <w:sz w:val="24"/>
                <w:u w:val="single" w:color="auto"/>
              </w:rPr>
              <w:t>。</w:t>
            </w:r>
          </w:p>
          <w:p>
            <w:pPr>
              <w:spacing w:line="360" w:lineRule="auto"/>
              <w:ind w:firstLine="480" w:firstLineChars="200"/>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本项目危险废物应严格依照《危险废物贮存污染控制标准》（GB18597-2001及其2013年修改单中的要求进行管理，所有危险废物分类存放危废暂存间，并做到防雨、防腐、防渗、防漏、防盗、防风，同时设有警示牌和标识牌，定期委托有资质单位处置。一般固废集中收集后外售，生活垃圾委托环卫部门统一处理。</w:t>
            </w:r>
          </w:p>
          <w:p>
            <w:pPr>
              <w:spacing w:line="360" w:lineRule="auto"/>
              <w:ind w:firstLine="480" w:firstLineChars="200"/>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综上，本项目营运期所产生的各种固废均得到合理处理处置，对外界环境的影响较小。</w:t>
            </w:r>
          </w:p>
          <w:p>
            <w:pPr>
              <w:numPr>
                <w:ilvl w:val="0"/>
                <w:numId w:val="0"/>
              </w:numPr>
              <w:adjustRightInd w:val="0"/>
              <w:snapToGrid w:val="0"/>
              <w:spacing w:line="360" w:lineRule="auto"/>
              <w:jc w:val="both"/>
              <w:rPr>
                <w:rFonts w:hint="default" w:ascii="宋体" w:hAnsi="宋体" w:eastAsia="宋体" w:cs="宋体"/>
                <w:b/>
                <w:bCs/>
                <w:color w:val="FF0000"/>
                <w:kern w:val="2"/>
                <w:sz w:val="24"/>
                <w:szCs w:val="24"/>
                <w:u w:val="single" w:color="auto"/>
                <w:lang w:val="en-US" w:eastAsia="zh-CN" w:bidi="ar-SA"/>
              </w:rPr>
            </w:pPr>
            <w:r>
              <w:rPr>
                <w:rFonts w:hint="eastAsia" w:ascii="宋体" w:hAnsi="宋体" w:cs="宋体"/>
                <w:b/>
                <w:bCs/>
                <w:color w:val="FF0000"/>
                <w:kern w:val="2"/>
                <w:sz w:val="24"/>
                <w:szCs w:val="24"/>
                <w:u w:val="single" w:color="auto"/>
                <w:lang w:val="en-US" w:eastAsia="zh-CN" w:bidi="ar-SA"/>
              </w:rPr>
              <w:t>5.环境风险</w:t>
            </w:r>
          </w:p>
          <w:p>
            <w:pPr>
              <w:numPr>
                <w:ilvl w:val="0"/>
                <w:numId w:val="0"/>
              </w:numPr>
              <w:adjustRightInd w:val="0"/>
              <w:snapToGrid w:val="0"/>
              <w:spacing w:line="360" w:lineRule="auto"/>
              <w:jc w:val="both"/>
              <w:rPr>
                <w:rFonts w:hint="default" w:ascii="宋体" w:hAnsi="宋体" w:eastAsia="宋体" w:cs="宋体"/>
                <w:color w:val="FF0000"/>
                <w:kern w:val="2"/>
                <w:sz w:val="24"/>
                <w:szCs w:val="24"/>
                <w:u w:val="single" w:color="auto"/>
                <w:lang w:val="en-US" w:eastAsia="zh-CN" w:bidi="ar-SA"/>
              </w:rPr>
            </w:pPr>
            <w:r>
              <w:rPr>
                <w:rFonts w:hint="eastAsia" w:ascii="宋体" w:hAnsi="宋体" w:cs="宋体"/>
                <w:color w:val="FF0000"/>
                <w:kern w:val="2"/>
                <w:sz w:val="24"/>
                <w:szCs w:val="24"/>
                <w:u w:val="single" w:color="auto"/>
                <w:lang w:val="en-US" w:eastAsia="zh-CN" w:bidi="ar-SA"/>
              </w:rPr>
              <w:t>（1）物质危险性识别</w:t>
            </w:r>
          </w:p>
          <w:p>
            <w:pPr>
              <w:numPr>
                <w:ilvl w:val="0"/>
                <w:numId w:val="0"/>
              </w:numPr>
              <w:spacing w:line="360" w:lineRule="auto"/>
              <w:ind w:firstLine="480" w:firstLineChars="200"/>
              <w:rPr>
                <w:rFonts w:hint="eastAsia" w:cs="宋体"/>
                <w:color w:val="FF0000"/>
                <w:kern w:val="2"/>
                <w:sz w:val="24"/>
                <w:szCs w:val="24"/>
                <w:highlight w:val="none"/>
                <w:u w:val="single" w:color="auto"/>
                <w:lang w:val="en-US" w:eastAsia="zh-CN"/>
              </w:rPr>
            </w:pPr>
            <w:r>
              <w:rPr>
                <w:rFonts w:hint="eastAsia" w:ascii="宋体" w:hAnsi="宋体" w:cs="宋体"/>
                <w:color w:val="FF0000"/>
                <w:kern w:val="2"/>
                <w:sz w:val="24"/>
                <w:szCs w:val="24"/>
                <w:u w:val="single" w:color="auto"/>
                <w:lang w:val="en-US" w:eastAsia="zh-CN" w:bidi="ar-SA"/>
              </w:rPr>
              <w:t>危险物质为具有易燃易爆、有毒有害</w:t>
            </w:r>
            <w:r>
              <w:rPr>
                <w:rFonts w:hint="eastAsia" w:cs="宋体"/>
                <w:color w:val="FF0000"/>
                <w:kern w:val="2"/>
                <w:sz w:val="24"/>
                <w:szCs w:val="24"/>
                <w:highlight w:val="none"/>
                <w:u w:val="single" w:color="auto"/>
                <w:lang w:val="en-US" w:eastAsia="zh-CN"/>
              </w:rPr>
              <w:t>特性，会对环境造成危害的物质。 物质危险性识别主要对项目所涉及的原料、辅料、污染物、火灾和爆炸伴生/次生物等物质进行识别，并根据《建设项目环境风险评价技术导则》 （HJ169-2018）附录B筛选风险评价因子。</w:t>
            </w:r>
          </w:p>
          <w:p>
            <w:pPr>
              <w:numPr>
                <w:ilvl w:val="0"/>
                <w:numId w:val="0"/>
              </w:numPr>
              <w:adjustRightInd w:val="0"/>
              <w:snapToGrid w:val="0"/>
              <w:spacing w:line="360" w:lineRule="auto"/>
              <w:ind w:firstLine="480" w:firstLineChars="200"/>
              <w:jc w:val="both"/>
              <w:rPr>
                <w:rFonts w:hint="eastAsia" w:ascii="宋体" w:hAnsi="宋体" w:cs="宋体"/>
                <w:color w:val="FF0000"/>
                <w:kern w:val="2"/>
                <w:sz w:val="24"/>
                <w:szCs w:val="24"/>
                <w:u w:val="single" w:color="auto"/>
                <w:lang w:val="en-US" w:eastAsia="zh-CN" w:bidi="ar-SA"/>
              </w:rPr>
            </w:pPr>
            <w:r>
              <w:rPr>
                <w:rFonts w:hint="eastAsia" w:cs="宋体"/>
                <w:color w:val="FF0000"/>
                <w:kern w:val="2"/>
                <w:sz w:val="24"/>
                <w:szCs w:val="24"/>
                <w:highlight w:val="none"/>
                <w:u w:val="single" w:color="auto"/>
                <w:lang w:val="en-US" w:eastAsia="zh-CN"/>
              </w:rPr>
              <w:t>通过对全厂涉及的原料、辅料、产品及废物等物质进行调查，涉及的危险物质主要有：火灾和爆炸产生的CO等伴生/次生物。其中涉及具有有毒有害危险特性的物质主要为废活性炭、废UV灯管以及火灾和爆炸产生的CO等伴生/次生物。根据《国家危险危废名录》（2021年版），本项目产生的固体废物中的危险废物（废活性炭、废UV灯管）为有毒有害物质。</w:t>
            </w:r>
          </w:p>
          <w:p>
            <w:pPr>
              <w:numPr>
                <w:ilvl w:val="0"/>
                <w:numId w:val="0"/>
              </w:numPr>
              <w:adjustRightInd w:val="0"/>
              <w:snapToGrid w:val="0"/>
              <w:spacing w:line="360" w:lineRule="auto"/>
              <w:jc w:val="both"/>
              <w:rPr>
                <w:rFonts w:hint="default"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（2）风险源分布</w:t>
            </w:r>
          </w:p>
          <w:p>
            <w:pPr>
              <w:numPr>
                <w:ilvl w:val="0"/>
                <w:numId w:val="0"/>
              </w:numPr>
              <w:adjustRightInd w:val="0"/>
              <w:snapToGrid w:val="0"/>
              <w:spacing w:line="360" w:lineRule="auto"/>
              <w:ind w:firstLine="480" w:firstLineChars="200"/>
              <w:jc w:val="both"/>
              <w:rPr>
                <w:rFonts w:hint="default"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本项目设计危险物质的危险单元主要为危废暂存间，年危废最大暂存量为1.38t/a。</w:t>
            </w:r>
          </w:p>
          <w:p>
            <w:pPr>
              <w:numPr>
                <w:ilvl w:val="0"/>
                <w:numId w:val="0"/>
              </w:numPr>
              <w:adjustRightInd w:val="0"/>
              <w:snapToGrid w:val="0"/>
              <w:spacing w:line="360" w:lineRule="auto"/>
              <w:jc w:val="both"/>
              <w:rPr>
                <w:rFonts w:hint="default"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（3）风险物质影响途径</w:t>
            </w:r>
          </w:p>
          <w:p>
            <w:pPr>
              <w:numPr>
                <w:ilvl w:val="0"/>
                <w:numId w:val="0"/>
              </w:numPr>
              <w:adjustRightInd w:val="0"/>
              <w:snapToGrid w:val="0"/>
              <w:spacing w:line="360" w:lineRule="auto"/>
              <w:ind w:firstLine="480" w:firstLineChars="200"/>
              <w:jc w:val="both"/>
              <w:rPr>
                <w:rFonts w:hint="default"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项目风险物质影响途径如下：</w:t>
            </w:r>
          </w:p>
          <w:p>
            <w:pPr>
              <w:numPr>
                <w:ilvl w:val="0"/>
                <w:numId w:val="0"/>
              </w:numPr>
              <w:adjustRightInd w:val="0"/>
              <w:snapToGrid w:val="0"/>
              <w:spacing w:line="360" w:lineRule="auto"/>
              <w:jc w:val="center"/>
              <w:rPr>
                <w:rFonts w:hint="default" w:cs="宋体"/>
                <w:b/>
                <w:bCs/>
                <w:color w:val="FF0000"/>
                <w:kern w:val="2"/>
                <w:sz w:val="24"/>
                <w:szCs w:val="24"/>
                <w:highlight w:val="none"/>
                <w:u w:val="single" w:color="auto"/>
                <w:lang w:val="en-US" w:eastAsia="zh-CN"/>
              </w:rPr>
            </w:pPr>
            <w:r>
              <w:rPr>
                <w:rFonts w:hint="eastAsia" w:cs="宋体"/>
                <w:b/>
                <w:bCs/>
                <w:color w:val="FF0000"/>
                <w:kern w:val="2"/>
                <w:sz w:val="24"/>
                <w:szCs w:val="24"/>
                <w:highlight w:val="none"/>
                <w:u w:val="single" w:color="auto"/>
                <w:lang w:val="en-US" w:eastAsia="zh-CN"/>
              </w:rPr>
              <w:t>表4-13  风险物质影响途径</w:t>
            </w:r>
          </w:p>
          <w:tbl>
            <w:tblPr>
              <w:tblStyle w:val="15"/>
              <w:tblW w:w="8063"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69"/>
              <w:gridCol w:w="986"/>
              <w:gridCol w:w="960"/>
              <w:gridCol w:w="1125"/>
              <w:gridCol w:w="765"/>
              <w:gridCol w:w="2605"/>
              <w:gridCol w:w="11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 w:type="dxa"/>
                  <w:tcBorders>
                    <w:tl2br w:val="nil"/>
                    <w:tr2bl w:val="nil"/>
                  </w:tcBorders>
                  <w:vAlign w:val="center"/>
                </w:tcPr>
                <w:p>
                  <w:pPr>
                    <w:bidi w:val="0"/>
                    <w:spacing w:line="240" w:lineRule="auto"/>
                    <w:jc w:val="center"/>
                    <w:rPr>
                      <w:rFonts w:hint="default"/>
                      <w:b/>
                      <w:bCs/>
                      <w:color w:val="FF0000"/>
                      <w:sz w:val="21"/>
                      <w:szCs w:val="21"/>
                      <w:u w:val="single" w:color="auto"/>
                      <w:lang w:val="en-US" w:eastAsia="zh-CN"/>
                    </w:rPr>
                  </w:pPr>
                  <w:r>
                    <w:rPr>
                      <w:rFonts w:hint="eastAsia"/>
                      <w:b/>
                      <w:bCs/>
                      <w:color w:val="FF0000"/>
                      <w:sz w:val="21"/>
                      <w:szCs w:val="21"/>
                      <w:u w:val="single" w:color="auto"/>
                      <w:lang w:val="en-US" w:eastAsia="zh-CN"/>
                    </w:rPr>
                    <w:t>序号</w:t>
                  </w:r>
                </w:p>
              </w:tc>
              <w:tc>
                <w:tcPr>
                  <w:tcW w:w="986" w:type="dxa"/>
                  <w:tcBorders>
                    <w:tl2br w:val="nil"/>
                    <w:tr2bl w:val="nil"/>
                  </w:tcBorders>
                  <w:vAlign w:val="center"/>
                </w:tcPr>
                <w:p>
                  <w:pPr>
                    <w:bidi w:val="0"/>
                    <w:spacing w:line="240" w:lineRule="auto"/>
                    <w:jc w:val="center"/>
                    <w:rPr>
                      <w:rFonts w:hint="default"/>
                      <w:b/>
                      <w:bCs/>
                      <w:color w:val="FF0000"/>
                      <w:sz w:val="21"/>
                      <w:szCs w:val="21"/>
                      <w:u w:val="single" w:color="auto"/>
                      <w:lang w:val="en-US" w:eastAsia="zh-CN"/>
                    </w:rPr>
                  </w:pPr>
                  <w:r>
                    <w:rPr>
                      <w:rFonts w:hint="eastAsia"/>
                      <w:b/>
                      <w:bCs/>
                      <w:color w:val="FF0000"/>
                      <w:sz w:val="21"/>
                      <w:szCs w:val="21"/>
                      <w:u w:val="single" w:color="auto"/>
                      <w:lang w:val="en-US" w:eastAsia="zh-CN"/>
                    </w:rPr>
                    <w:t>危险单元</w:t>
                  </w:r>
                </w:p>
              </w:tc>
              <w:tc>
                <w:tcPr>
                  <w:tcW w:w="960" w:type="dxa"/>
                  <w:tcBorders>
                    <w:tl2br w:val="nil"/>
                    <w:tr2bl w:val="nil"/>
                  </w:tcBorders>
                  <w:vAlign w:val="center"/>
                </w:tcPr>
                <w:p>
                  <w:pPr>
                    <w:bidi w:val="0"/>
                    <w:spacing w:line="240" w:lineRule="auto"/>
                    <w:jc w:val="center"/>
                    <w:rPr>
                      <w:rFonts w:hint="default"/>
                      <w:b/>
                      <w:bCs/>
                      <w:color w:val="FF0000"/>
                      <w:sz w:val="21"/>
                      <w:szCs w:val="21"/>
                      <w:u w:val="single" w:color="auto"/>
                      <w:lang w:val="en-US" w:eastAsia="zh-CN"/>
                    </w:rPr>
                  </w:pPr>
                  <w:r>
                    <w:rPr>
                      <w:rFonts w:hint="eastAsia"/>
                      <w:b/>
                      <w:bCs/>
                      <w:color w:val="FF0000"/>
                      <w:sz w:val="21"/>
                      <w:szCs w:val="21"/>
                      <w:u w:val="single" w:color="auto"/>
                      <w:lang w:val="en-US" w:eastAsia="zh-CN"/>
                    </w:rPr>
                    <w:t>风险源</w:t>
                  </w:r>
                </w:p>
              </w:tc>
              <w:tc>
                <w:tcPr>
                  <w:tcW w:w="1125" w:type="dxa"/>
                  <w:tcBorders>
                    <w:tl2br w:val="nil"/>
                    <w:tr2bl w:val="nil"/>
                  </w:tcBorders>
                  <w:vAlign w:val="center"/>
                </w:tcPr>
                <w:p>
                  <w:pPr>
                    <w:bidi w:val="0"/>
                    <w:spacing w:line="240" w:lineRule="auto"/>
                    <w:jc w:val="center"/>
                    <w:rPr>
                      <w:rFonts w:hint="default"/>
                      <w:b/>
                      <w:bCs/>
                      <w:color w:val="FF0000"/>
                      <w:sz w:val="21"/>
                      <w:szCs w:val="21"/>
                      <w:u w:val="single" w:color="auto"/>
                      <w:lang w:val="en-US" w:eastAsia="zh-CN"/>
                    </w:rPr>
                  </w:pPr>
                  <w:r>
                    <w:rPr>
                      <w:rFonts w:hint="eastAsia"/>
                      <w:b/>
                      <w:bCs/>
                      <w:color w:val="FF0000"/>
                      <w:sz w:val="21"/>
                      <w:szCs w:val="21"/>
                      <w:u w:val="single" w:color="auto"/>
                      <w:lang w:val="en-US" w:eastAsia="zh-CN"/>
                    </w:rPr>
                    <w:t>主要风险物质</w:t>
                  </w:r>
                </w:p>
              </w:tc>
              <w:tc>
                <w:tcPr>
                  <w:tcW w:w="765" w:type="dxa"/>
                  <w:tcBorders>
                    <w:tl2br w:val="nil"/>
                    <w:tr2bl w:val="nil"/>
                  </w:tcBorders>
                  <w:vAlign w:val="center"/>
                </w:tcPr>
                <w:p>
                  <w:pPr>
                    <w:bidi w:val="0"/>
                    <w:spacing w:line="240" w:lineRule="auto"/>
                    <w:jc w:val="center"/>
                    <w:rPr>
                      <w:rFonts w:hint="default"/>
                      <w:b/>
                      <w:bCs/>
                      <w:color w:val="FF0000"/>
                      <w:sz w:val="21"/>
                      <w:szCs w:val="21"/>
                      <w:u w:val="single" w:color="auto"/>
                      <w:lang w:val="en-US" w:eastAsia="zh-CN"/>
                    </w:rPr>
                  </w:pPr>
                  <w:r>
                    <w:rPr>
                      <w:rFonts w:hint="eastAsia"/>
                      <w:b/>
                      <w:bCs/>
                      <w:color w:val="FF0000"/>
                      <w:sz w:val="21"/>
                      <w:szCs w:val="21"/>
                      <w:u w:val="single" w:color="auto"/>
                      <w:lang w:val="en-US" w:eastAsia="zh-CN"/>
                    </w:rPr>
                    <w:t>环境风险类型</w:t>
                  </w:r>
                </w:p>
              </w:tc>
              <w:tc>
                <w:tcPr>
                  <w:tcW w:w="2605" w:type="dxa"/>
                  <w:tcBorders>
                    <w:tl2br w:val="nil"/>
                    <w:tr2bl w:val="nil"/>
                  </w:tcBorders>
                  <w:vAlign w:val="center"/>
                </w:tcPr>
                <w:p>
                  <w:pPr>
                    <w:bidi w:val="0"/>
                    <w:spacing w:line="240" w:lineRule="auto"/>
                    <w:jc w:val="center"/>
                    <w:rPr>
                      <w:rFonts w:hint="default"/>
                      <w:b/>
                      <w:bCs/>
                      <w:color w:val="FF0000"/>
                      <w:sz w:val="21"/>
                      <w:szCs w:val="21"/>
                      <w:u w:val="single" w:color="auto"/>
                      <w:lang w:val="en-US" w:eastAsia="zh-CN"/>
                    </w:rPr>
                  </w:pPr>
                  <w:r>
                    <w:rPr>
                      <w:rFonts w:hint="eastAsia"/>
                      <w:b/>
                      <w:bCs/>
                      <w:color w:val="FF0000"/>
                      <w:sz w:val="21"/>
                      <w:szCs w:val="21"/>
                      <w:u w:val="single" w:color="auto"/>
                      <w:lang w:val="en-US" w:eastAsia="zh-CN"/>
                    </w:rPr>
                    <w:t>环境影响途径</w:t>
                  </w:r>
                </w:p>
              </w:tc>
              <w:tc>
                <w:tcPr>
                  <w:tcW w:w="1153" w:type="dxa"/>
                  <w:tcBorders>
                    <w:tl2br w:val="nil"/>
                    <w:tr2bl w:val="nil"/>
                  </w:tcBorders>
                  <w:vAlign w:val="center"/>
                </w:tcPr>
                <w:p>
                  <w:pPr>
                    <w:bidi w:val="0"/>
                    <w:spacing w:line="240" w:lineRule="auto"/>
                    <w:jc w:val="center"/>
                    <w:rPr>
                      <w:rFonts w:hint="default"/>
                      <w:b/>
                      <w:bCs/>
                      <w:color w:val="FF0000"/>
                      <w:sz w:val="21"/>
                      <w:szCs w:val="21"/>
                      <w:u w:val="single" w:color="auto"/>
                      <w:lang w:val="en-US" w:eastAsia="zh-CN"/>
                    </w:rPr>
                  </w:pPr>
                  <w:r>
                    <w:rPr>
                      <w:rFonts w:hint="eastAsia"/>
                      <w:b/>
                      <w:bCs/>
                      <w:color w:val="FF0000"/>
                      <w:sz w:val="21"/>
                      <w:szCs w:val="21"/>
                      <w:u w:val="single" w:color="auto"/>
                      <w:lang w:val="en-US" w:eastAsia="zh-CN"/>
                    </w:rPr>
                    <w:t>可能受影响的环境敏感目标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 w:type="dxa"/>
                  <w:tcBorders>
                    <w:tl2br w:val="nil"/>
                    <w:tr2bl w:val="nil"/>
                  </w:tcBorders>
                  <w:vAlign w:val="center"/>
                </w:tcPr>
                <w:p>
                  <w:pPr>
                    <w:bidi w:val="0"/>
                    <w:spacing w:line="240" w:lineRule="auto"/>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1</w:t>
                  </w:r>
                </w:p>
              </w:tc>
              <w:tc>
                <w:tcPr>
                  <w:tcW w:w="986" w:type="dxa"/>
                  <w:tcBorders>
                    <w:tl2br w:val="nil"/>
                    <w:tr2bl w:val="nil"/>
                  </w:tcBorders>
                  <w:vAlign w:val="center"/>
                </w:tcPr>
                <w:p>
                  <w:pPr>
                    <w:bidi w:val="0"/>
                    <w:spacing w:line="240" w:lineRule="auto"/>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危险暂存间</w:t>
                  </w:r>
                </w:p>
              </w:tc>
              <w:tc>
                <w:tcPr>
                  <w:tcW w:w="960" w:type="dxa"/>
                  <w:tcBorders>
                    <w:tl2br w:val="nil"/>
                    <w:tr2bl w:val="nil"/>
                  </w:tcBorders>
                  <w:vAlign w:val="center"/>
                </w:tcPr>
                <w:p>
                  <w:pPr>
                    <w:bidi w:val="0"/>
                    <w:spacing w:line="240" w:lineRule="auto"/>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危废暂存间</w:t>
                  </w:r>
                </w:p>
              </w:tc>
              <w:tc>
                <w:tcPr>
                  <w:tcW w:w="1125" w:type="dxa"/>
                  <w:tcBorders>
                    <w:tl2br w:val="nil"/>
                    <w:tr2bl w:val="nil"/>
                  </w:tcBorders>
                  <w:vAlign w:val="center"/>
                </w:tcPr>
                <w:p>
                  <w:pPr>
                    <w:bidi w:val="0"/>
                    <w:spacing w:line="240" w:lineRule="auto"/>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危险废物</w:t>
                  </w:r>
                </w:p>
              </w:tc>
              <w:tc>
                <w:tcPr>
                  <w:tcW w:w="765" w:type="dxa"/>
                  <w:tcBorders>
                    <w:tl2br w:val="nil"/>
                    <w:tr2bl w:val="nil"/>
                  </w:tcBorders>
                  <w:vAlign w:val="center"/>
                </w:tcPr>
                <w:p>
                  <w:pPr>
                    <w:bidi w:val="0"/>
                    <w:spacing w:line="240" w:lineRule="auto"/>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泄漏</w:t>
                  </w:r>
                </w:p>
              </w:tc>
              <w:tc>
                <w:tcPr>
                  <w:tcW w:w="2605" w:type="dxa"/>
                  <w:tcBorders>
                    <w:tl2br w:val="nil"/>
                    <w:tr2bl w:val="nil"/>
                  </w:tcBorders>
                  <w:vAlign w:val="center"/>
                </w:tcPr>
                <w:p>
                  <w:pPr>
                    <w:bidi w:val="0"/>
                    <w:spacing w:line="240" w:lineRule="auto"/>
                    <w:jc w:val="center"/>
                    <w:rPr>
                      <w:rFonts w:hint="default"/>
                      <w:color w:val="FF0000"/>
                      <w:sz w:val="21"/>
                      <w:szCs w:val="21"/>
                      <w:u w:val="single" w:color="auto"/>
                      <w:lang w:val="en-US" w:eastAsia="zh-CN"/>
                    </w:rPr>
                  </w:pPr>
                  <w:r>
                    <w:rPr>
                      <w:rFonts w:hint="default"/>
                      <w:color w:val="FF0000"/>
                      <w:sz w:val="21"/>
                      <w:szCs w:val="21"/>
                      <w:u w:val="single" w:color="auto"/>
                      <w:lang w:val="en-US" w:eastAsia="zh-CN"/>
                    </w:rPr>
                    <w:t>危险废物泄漏经地表径 流、地下水、土壤下渗对周边环境产生不利影响。</w:t>
                  </w:r>
                </w:p>
              </w:tc>
              <w:tc>
                <w:tcPr>
                  <w:tcW w:w="1153" w:type="dxa"/>
                  <w:tcBorders>
                    <w:tl2br w:val="nil"/>
                    <w:tr2bl w:val="nil"/>
                  </w:tcBorders>
                  <w:vAlign w:val="center"/>
                </w:tcPr>
                <w:p>
                  <w:pPr>
                    <w:bidi w:val="0"/>
                    <w:spacing w:line="240" w:lineRule="auto"/>
                    <w:jc w:val="center"/>
                    <w:rPr>
                      <w:rFonts w:hint="default"/>
                      <w:color w:val="FF0000"/>
                      <w:sz w:val="21"/>
                      <w:szCs w:val="21"/>
                      <w:u w:val="single" w:color="auto"/>
                      <w:lang w:val="en-US" w:eastAsia="zh-CN"/>
                    </w:rPr>
                  </w:pPr>
                  <w:r>
                    <w:rPr>
                      <w:rFonts w:hint="default"/>
                      <w:color w:val="FF0000"/>
                      <w:sz w:val="21"/>
                      <w:szCs w:val="21"/>
                      <w:u w:val="single" w:color="auto"/>
                      <w:lang w:val="en-US" w:eastAsia="zh-CN"/>
                    </w:rPr>
                    <w:t>周边土 壤、地表 水、地下 水、大气 环境</w:t>
                  </w:r>
                </w:p>
              </w:tc>
            </w:tr>
          </w:tbl>
          <w:p>
            <w:pPr>
              <w:numPr>
                <w:ilvl w:val="0"/>
                <w:numId w:val="0"/>
              </w:numPr>
              <w:spacing w:line="360" w:lineRule="auto"/>
              <w:rPr>
                <w:rFonts w:hint="default"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（4）风险防范措施</w:t>
            </w:r>
          </w:p>
          <w:p>
            <w:pPr>
              <w:numPr>
                <w:ilvl w:val="0"/>
                <w:numId w:val="0"/>
              </w:numPr>
              <w:spacing w:line="360" w:lineRule="auto"/>
              <w:ind w:firstLine="482" w:firstLineChars="200"/>
              <w:rPr>
                <w:rFonts w:hint="default" w:cs="宋体"/>
                <w:b/>
                <w:bCs/>
                <w:color w:val="FF0000"/>
                <w:kern w:val="2"/>
                <w:sz w:val="24"/>
                <w:szCs w:val="24"/>
                <w:highlight w:val="none"/>
                <w:u w:val="single" w:color="auto"/>
                <w:lang w:val="en-US" w:eastAsia="zh-CN"/>
              </w:rPr>
            </w:pPr>
            <w:r>
              <w:rPr>
                <w:rFonts w:hint="eastAsia" w:cs="宋体"/>
                <w:b/>
                <w:bCs/>
                <w:color w:val="FF0000"/>
                <w:kern w:val="2"/>
                <w:sz w:val="24"/>
                <w:szCs w:val="24"/>
                <w:highlight w:val="none"/>
                <w:u w:val="single" w:color="auto"/>
                <w:lang w:val="en-US" w:eastAsia="zh-CN"/>
              </w:rPr>
              <w:t>大气环境风险防范措施：</w:t>
            </w:r>
          </w:p>
          <w:p>
            <w:pPr>
              <w:numPr>
                <w:ilvl w:val="0"/>
                <w:numId w:val="0"/>
              </w:numPr>
              <w:spacing w:line="360" w:lineRule="auto"/>
              <w:ind w:firstLine="480" w:firstLineChars="200"/>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①要加强生产管理，制定严格的生产操作规范，安全用电。本项目厂区设置禁烟标志，采取严格的安全措施，严格控制点火源，配备合理的消防设施。同时加强车间通风。</w:t>
            </w:r>
          </w:p>
          <w:p>
            <w:pPr>
              <w:numPr>
                <w:ilvl w:val="0"/>
                <w:numId w:val="0"/>
              </w:numPr>
              <w:spacing w:line="360" w:lineRule="auto"/>
              <w:ind w:firstLine="480" w:firstLineChars="200"/>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②废气末端治理措施必须确保日常运行，如发现人为原因不开启治理措施，责任人应受行政和经济处罚，并承担事故排放责任。若末端治理措施因故不能运行，则生产必须停止。</w:t>
            </w:r>
          </w:p>
          <w:p>
            <w:pPr>
              <w:numPr>
                <w:ilvl w:val="0"/>
                <w:numId w:val="0"/>
              </w:numPr>
              <w:spacing w:line="360" w:lineRule="auto"/>
              <w:ind w:firstLine="480" w:firstLineChars="200"/>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③应定期检查废气处理装置的有效性，保证处理效率，确保废气处理能够达标排放。</w:t>
            </w:r>
          </w:p>
          <w:p>
            <w:pPr>
              <w:numPr>
                <w:ilvl w:val="0"/>
                <w:numId w:val="0"/>
              </w:numPr>
              <w:spacing w:line="360" w:lineRule="auto"/>
              <w:ind w:firstLine="480" w:firstLineChars="200"/>
              <w:rPr>
                <w:rFonts w:hint="default"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地下水和土壤环境风险防范措施：</w:t>
            </w:r>
          </w:p>
          <w:p>
            <w:pPr>
              <w:numPr>
                <w:ilvl w:val="0"/>
                <w:numId w:val="0"/>
              </w:numPr>
              <w:spacing w:line="360" w:lineRule="auto"/>
              <w:ind w:firstLine="480" w:firstLineChars="200"/>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①加强源头控制，加强管理，将污染物跑、冒、滴、漏降低到最低限度。</w:t>
            </w:r>
          </w:p>
          <w:p>
            <w:pPr>
              <w:numPr>
                <w:ilvl w:val="0"/>
                <w:numId w:val="0"/>
              </w:numPr>
              <w:spacing w:line="360" w:lineRule="auto"/>
              <w:ind w:firstLine="480" w:firstLineChars="200"/>
              <w:rPr>
                <w:rFonts w:hint="default"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②做好分区防腐防渗措施，避免泄漏进入地下水和土壤。针对本项目厂区各工作区特点，提出相应的分区防渗要求，项目分区防渗及技术要求见表4-14。</w:t>
            </w:r>
          </w:p>
          <w:p>
            <w:pPr>
              <w:numPr>
                <w:ilvl w:val="0"/>
                <w:numId w:val="0"/>
              </w:numPr>
              <w:spacing w:line="360" w:lineRule="auto"/>
              <w:jc w:val="center"/>
              <w:rPr>
                <w:rFonts w:hint="default" w:cs="宋体"/>
                <w:b/>
                <w:bCs/>
                <w:color w:val="FF0000"/>
                <w:kern w:val="2"/>
                <w:sz w:val="24"/>
                <w:szCs w:val="24"/>
                <w:highlight w:val="none"/>
                <w:u w:val="single" w:color="auto"/>
                <w:lang w:val="en-US" w:eastAsia="zh-CN"/>
              </w:rPr>
            </w:pPr>
            <w:r>
              <w:rPr>
                <w:rFonts w:hint="eastAsia" w:cs="宋体"/>
                <w:b/>
                <w:bCs/>
                <w:color w:val="FF0000"/>
                <w:kern w:val="2"/>
                <w:sz w:val="24"/>
                <w:szCs w:val="24"/>
                <w:highlight w:val="none"/>
                <w:u w:val="single" w:color="auto"/>
                <w:lang w:val="en-US" w:eastAsia="zh-CN"/>
              </w:rPr>
              <w:t>表4-14  本项目地下水、土壤防渗分区及技术要求</w:t>
            </w:r>
          </w:p>
          <w:tbl>
            <w:tblPr>
              <w:tblStyle w:val="15"/>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08"/>
              <w:gridCol w:w="51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01" w:type="pct"/>
                  <w:tcBorders>
                    <w:tl2br w:val="nil"/>
                    <w:tr2bl w:val="nil"/>
                  </w:tcBorders>
                  <w:vAlign w:val="center"/>
                </w:tcPr>
                <w:p>
                  <w:pPr>
                    <w:bidi w:val="0"/>
                    <w:spacing w:line="240" w:lineRule="auto"/>
                    <w:jc w:val="center"/>
                    <w:rPr>
                      <w:rFonts w:hint="default"/>
                      <w:b/>
                      <w:bCs/>
                      <w:color w:val="FF0000"/>
                      <w:sz w:val="21"/>
                      <w:szCs w:val="21"/>
                      <w:u w:val="single" w:color="auto"/>
                      <w:lang w:val="en-US" w:eastAsia="zh-CN"/>
                    </w:rPr>
                  </w:pPr>
                  <w:r>
                    <w:rPr>
                      <w:rFonts w:hint="eastAsia"/>
                      <w:b/>
                      <w:bCs/>
                      <w:color w:val="FF0000"/>
                      <w:sz w:val="21"/>
                      <w:szCs w:val="21"/>
                      <w:u w:val="single" w:color="auto"/>
                      <w:lang w:val="en-US" w:eastAsia="zh-CN"/>
                    </w:rPr>
                    <w:t>防渗级别</w:t>
                  </w:r>
                </w:p>
              </w:tc>
              <w:tc>
                <w:tcPr>
                  <w:tcW w:w="3198" w:type="pct"/>
                  <w:tcBorders>
                    <w:tl2br w:val="nil"/>
                    <w:tr2bl w:val="nil"/>
                  </w:tcBorders>
                  <w:vAlign w:val="center"/>
                </w:tcPr>
                <w:p>
                  <w:pPr>
                    <w:bidi w:val="0"/>
                    <w:spacing w:line="240" w:lineRule="auto"/>
                    <w:jc w:val="center"/>
                    <w:rPr>
                      <w:rFonts w:hint="default"/>
                      <w:b/>
                      <w:bCs/>
                      <w:color w:val="FF0000"/>
                      <w:sz w:val="21"/>
                      <w:szCs w:val="21"/>
                      <w:u w:val="single" w:color="auto"/>
                      <w:lang w:val="en-US" w:eastAsia="zh-CN"/>
                    </w:rPr>
                  </w:pPr>
                  <w:r>
                    <w:rPr>
                      <w:rFonts w:hint="eastAsia"/>
                      <w:b/>
                      <w:bCs/>
                      <w:color w:val="FF0000"/>
                      <w:sz w:val="21"/>
                      <w:szCs w:val="21"/>
                      <w:u w:val="single" w:color="auto"/>
                      <w:lang w:val="en-US" w:eastAsia="zh-CN"/>
                    </w:rPr>
                    <w:t>防渗要求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01" w:type="pct"/>
                  <w:tcBorders>
                    <w:tl2br w:val="nil"/>
                    <w:tr2bl w:val="nil"/>
                  </w:tcBorders>
                  <w:vAlign w:val="center"/>
                </w:tcPr>
                <w:p>
                  <w:pPr>
                    <w:bidi w:val="0"/>
                    <w:spacing w:line="240" w:lineRule="auto"/>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重点污染防治区</w:t>
                  </w:r>
                </w:p>
              </w:tc>
              <w:tc>
                <w:tcPr>
                  <w:tcW w:w="3198" w:type="pct"/>
                  <w:tcBorders>
                    <w:tl2br w:val="nil"/>
                    <w:tr2bl w:val="nil"/>
                  </w:tcBorders>
                  <w:vAlign w:val="center"/>
                </w:tcPr>
                <w:p>
                  <w:pPr>
                    <w:bidi w:val="0"/>
                    <w:spacing w:line="240" w:lineRule="auto"/>
                    <w:jc w:val="both"/>
                    <w:rPr>
                      <w:rFonts w:hint="eastAsia"/>
                      <w:color w:val="FF0000"/>
                      <w:sz w:val="21"/>
                      <w:szCs w:val="21"/>
                      <w:u w:val="single" w:color="auto"/>
                      <w:lang w:val="en-US" w:eastAsia="zh-CN"/>
                    </w:rPr>
                  </w:pPr>
                  <w:r>
                    <w:rPr>
                      <w:rFonts w:hint="eastAsia"/>
                      <w:color w:val="FF0000"/>
                      <w:sz w:val="21"/>
                      <w:szCs w:val="21"/>
                      <w:u w:val="single" w:color="auto"/>
                      <w:lang w:val="en-US" w:eastAsia="zh-CN"/>
                    </w:rPr>
                    <w:t>重点防渗区防渗措施：地面与裙角基础必须防渗，采取2mm厚高密度聚乙烯（HDPE），渗透系数≤10-10cm/s。</w:t>
                  </w:r>
                </w:p>
                <w:p>
                  <w:pPr>
                    <w:bidi w:val="0"/>
                    <w:spacing w:line="240" w:lineRule="auto"/>
                    <w:jc w:val="both"/>
                    <w:rPr>
                      <w:rFonts w:hint="eastAsia"/>
                      <w:color w:val="FF0000"/>
                      <w:sz w:val="21"/>
                      <w:szCs w:val="21"/>
                      <w:u w:val="single" w:color="auto"/>
                      <w:lang w:val="en-US" w:eastAsia="zh-CN"/>
                    </w:rPr>
                  </w:pPr>
                  <w:r>
                    <w:rPr>
                      <w:rFonts w:hint="eastAsia"/>
                      <w:color w:val="FF0000"/>
                      <w:sz w:val="21"/>
                      <w:szCs w:val="21"/>
                      <w:u w:val="single" w:color="auto"/>
                      <w:lang w:val="en-US" w:eastAsia="zh-CN"/>
                    </w:rPr>
                    <w:t>泄漏收集措施：喷漆房、原料库和危废库周围做防渗及围堰等收集泄漏的风险防范措施。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01" w:type="pct"/>
                  <w:tcBorders>
                    <w:tl2br w:val="nil"/>
                    <w:tr2bl w:val="nil"/>
                  </w:tcBorders>
                  <w:vAlign w:val="center"/>
                </w:tcPr>
                <w:p>
                  <w:pPr>
                    <w:bidi w:val="0"/>
                    <w:spacing w:line="240" w:lineRule="auto"/>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一般污染防治区</w:t>
                  </w:r>
                </w:p>
              </w:tc>
              <w:tc>
                <w:tcPr>
                  <w:tcW w:w="3198" w:type="pct"/>
                  <w:tcBorders>
                    <w:tl2br w:val="nil"/>
                    <w:tr2bl w:val="nil"/>
                  </w:tcBorders>
                  <w:vAlign w:val="center"/>
                </w:tcPr>
                <w:p>
                  <w:pPr>
                    <w:bidi w:val="0"/>
                    <w:spacing w:line="240" w:lineRule="auto"/>
                    <w:jc w:val="center"/>
                    <w:rPr>
                      <w:rFonts w:hint="eastAsia"/>
                      <w:color w:val="FF0000"/>
                      <w:sz w:val="21"/>
                      <w:szCs w:val="21"/>
                      <w:u w:val="single" w:color="auto"/>
                      <w:lang w:val="en-US" w:eastAsia="zh-CN"/>
                    </w:rPr>
                  </w:pPr>
                  <w:r>
                    <w:rPr>
                      <w:rFonts w:hint="eastAsia"/>
                      <w:color w:val="FF0000"/>
                      <w:sz w:val="21"/>
                      <w:szCs w:val="21"/>
                      <w:u w:val="single" w:color="auto"/>
                      <w:lang w:val="en-US" w:eastAsia="zh-CN"/>
                    </w:rPr>
                    <w:t>一般防渗区防渗措施，地面渗透系数≤1.0×10-7cm/s。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01" w:type="pct"/>
                  <w:tcBorders>
                    <w:tl2br w:val="nil"/>
                    <w:tr2bl w:val="nil"/>
                  </w:tcBorders>
                  <w:vAlign w:val="center"/>
                </w:tcPr>
                <w:p>
                  <w:pPr>
                    <w:bidi w:val="0"/>
                    <w:spacing w:line="240" w:lineRule="auto"/>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简单防治区</w:t>
                  </w:r>
                </w:p>
              </w:tc>
              <w:tc>
                <w:tcPr>
                  <w:tcW w:w="3198" w:type="pct"/>
                  <w:tcBorders>
                    <w:tl2br w:val="nil"/>
                    <w:tr2bl w:val="nil"/>
                  </w:tcBorders>
                  <w:vAlign w:val="center"/>
                </w:tcPr>
                <w:p>
                  <w:pPr>
                    <w:bidi w:val="0"/>
                    <w:spacing w:line="240" w:lineRule="auto"/>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一般地面硬化</w:t>
                  </w:r>
                </w:p>
              </w:tc>
            </w:tr>
          </w:tbl>
          <w:p>
            <w:pPr>
              <w:numPr>
                <w:ilvl w:val="0"/>
                <w:numId w:val="0"/>
              </w:numPr>
              <w:spacing w:line="360" w:lineRule="auto"/>
              <w:ind w:firstLine="482" w:firstLineChars="200"/>
              <w:rPr>
                <w:rFonts w:hint="default" w:cs="宋体"/>
                <w:b/>
                <w:bCs/>
                <w:color w:val="FF0000"/>
                <w:kern w:val="2"/>
                <w:sz w:val="24"/>
                <w:szCs w:val="24"/>
                <w:highlight w:val="none"/>
                <w:u w:val="single" w:color="auto"/>
                <w:lang w:val="en-US" w:eastAsia="zh-CN"/>
              </w:rPr>
            </w:pPr>
            <w:r>
              <w:rPr>
                <w:rFonts w:hint="eastAsia" w:cs="宋体"/>
                <w:b/>
                <w:bCs/>
                <w:color w:val="FF0000"/>
                <w:kern w:val="2"/>
                <w:sz w:val="24"/>
                <w:szCs w:val="24"/>
                <w:highlight w:val="none"/>
                <w:u w:val="single" w:color="auto"/>
                <w:lang w:val="en-US" w:eastAsia="zh-CN"/>
              </w:rPr>
              <w:t>应急预案编制要求：</w:t>
            </w:r>
          </w:p>
          <w:p>
            <w:pPr>
              <w:numPr>
                <w:ilvl w:val="0"/>
                <w:numId w:val="0"/>
              </w:numPr>
              <w:spacing w:line="360" w:lineRule="auto"/>
              <w:ind w:firstLine="480" w:firstLineChars="200"/>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根据《建设项目危险废物环境影响评价指南》企业应编写危险废物事故应急预案，按照《建设项目风险评价技术导则》（HJ169-2018）对于本项目可能造成环境风险的突发性事故制定应急预案。</w:t>
            </w:r>
          </w:p>
          <w:p>
            <w:pPr>
              <w:numPr>
                <w:ilvl w:val="0"/>
                <w:numId w:val="0"/>
              </w:numPr>
              <w:spacing w:line="360" w:lineRule="auto"/>
              <w:ind w:firstLine="480" w:firstLineChars="200"/>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突发环境事件应急预案编制要求如下：</w:t>
            </w:r>
          </w:p>
          <w:p>
            <w:pPr>
              <w:numPr>
                <w:ilvl w:val="0"/>
                <w:numId w:val="0"/>
              </w:numPr>
              <w:spacing w:line="360" w:lineRule="auto"/>
              <w:ind w:firstLine="480" w:firstLineChars="200"/>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 xml:space="preserve">①按照国家、地方和相关部门要求，提出企业突发环境事件应急预案编制或完善的原则要求，包括预案适用范围、环境事件分类与分级、组织机构与职责、监控和预警、应急响应、应急保障、善后处理、预案管理与演练等内容。 </w:t>
            </w:r>
          </w:p>
          <w:p>
            <w:pPr>
              <w:numPr>
                <w:ilvl w:val="0"/>
                <w:numId w:val="0"/>
              </w:numPr>
              <w:spacing w:line="360" w:lineRule="auto"/>
              <w:ind w:firstLine="480" w:firstLineChars="200"/>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②明确企业、</w:t>
            </w:r>
            <w:r>
              <w:rPr>
                <w:rFonts w:hint="eastAsia" w:eastAsia="宋体" w:cs="宋体"/>
                <w:color w:val="FF0000"/>
                <w:kern w:val="2"/>
                <w:sz w:val="24"/>
                <w:szCs w:val="24"/>
                <w:highlight w:val="none"/>
                <w:u w:val="single" w:color="auto"/>
                <w:lang w:val="en-US" w:eastAsia="zh-CN"/>
              </w:rPr>
              <w:t>湘阴县工业园</w:t>
            </w:r>
            <w:r>
              <w:rPr>
                <w:rFonts w:hint="eastAsia" w:cs="宋体"/>
                <w:color w:val="FF0000"/>
                <w:kern w:val="2"/>
                <w:sz w:val="24"/>
                <w:szCs w:val="24"/>
                <w:highlight w:val="none"/>
                <w:u w:val="single" w:color="auto"/>
                <w:lang w:val="en-US" w:eastAsia="zh-CN"/>
              </w:rPr>
              <w:t>、湘阴县人民政府环境风险应急体系。企业突发环境事件应急预案应体现分级响应、区域联动的原则，与《湘阴县突发环境事件应急预案》相衔接，并明确分级响应程序。 应急预案主要编制内容及要求详见下表。</w:t>
            </w:r>
          </w:p>
          <w:p>
            <w:pPr>
              <w:numPr>
                <w:ilvl w:val="0"/>
                <w:numId w:val="0"/>
              </w:numPr>
              <w:spacing w:line="360" w:lineRule="auto"/>
              <w:jc w:val="center"/>
              <w:rPr>
                <w:rFonts w:hint="default" w:cs="宋体"/>
                <w:b/>
                <w:bCs/>
                <w:color w:val="FF0000"/>
                <w:kern w:val="2"/>
                <w:sz w:val="24"/>
                <w:szCs w:val="24"/>
                <w:highlight w:val="none"/>
                <w:u w:val="single" w:color="auto"/>
                <w:lang w:val="en-US" w:eastAsia="zh-CN"/>
              </w:rPr>
            </w:pPr>
            <w:r>
              <w:rPr>
                <w:rFonts w:hint="eastAsia" w:cs="宋体"/>
                <w:b/>
                <w:bCs/>
                <w:color w:val="FF0000"/>
                <w:kern w:val="2"/>
                <w:sz w:val="24"/>
                <w:szCs w:val="24"/>
                <w:highlight w:val="none"/>
                <w:u w:val="single" w:color="auto"/>
                <w:lang w:val="en-US" w:eastAsia="zh-CN"/>
              </w:rPr>
              <w:t>表4-16  应急预案主要编制内容及要求</w:t>
            </w:r>
          </w:p>
          <w:tbl>
            <w:tblPr>
              <w:tblStyle w:val="15"/>
              <w:tblW w:w="8073"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1545"/>
              <w:gridCol w:w="58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dxa"/>
                  <w:tcBorders>
                    <w:tl2br w:val="nil"/>
                    <w:tr2bl w:val="nil"/>
                  </w:tcBorders>
                  <w:vAlign w:val="center"/>
                </w:tcPr>
                <w:p>
                  <w:pPr>
                    <w:bidi w:val="0"/>
                    <w:jc w:val="center"/>
                    <w:rPr>
                      <w:rFonts w:hint="default"/>
                      <w:b/>
                      <w:bCs/>
                      <w:color w:val="FF0000"/>
                      <w:sz w:val="21"/>
                      <w:szCs w:val="21"/>
                      <w:u w:val="single" w:color="auto"/>
                      <w:lang w:val="en-US" w:eastAsia="zh-CN"/>
                    </w:rPr>
                  </w:pPr>
                  <w:r>
                    <w:rPr>
                      <w:rFonts w:hint="eastAsia"/>
                      <w:b/>
                      <w:bCs/>
                      <w:color w:val="FF0000"/>
                      <w:sz w:val="21"/>
                      <w:szCs w:val="21"/>
                      <w:u w:val="single" w:color="auto"/>
                      <w:lang w:val="en-US" w:eastAsia="zh-CN"/>
                    </w:rPr>
                    <w:t>序号</w:t>
                  </w:r>
                </w:p>
              </w:tc>
              <w:tc>
                <w:tcPr>
                  <w:tcW w:w="1545" w:type="dxa"/>
                  <w:tcBorders>
                    <w:tl2br w:val="nil"/>
                    <w:tr2bl w:val="nil"/>
                  </w:tcBorders>
                  <w:vAlign w:val="center"/>
                </w:tcPr>
                <w:p>
                  <w:pPr>
                    <w:bidi w:val="0"/>
                    <w:jc w:val="center"/>
                    <w:rPr>
                      <w:rFonts w:hint="default"/>
                      <w:b/>
                      <w:bCs/>
                      <w:color w:val="FF0000"/>
                      <w:sz w:val="21"/>
                      <w:szCs w:val="21"/>
                      <w:u w:val="single" w:color="auto"/>
                      <w:lang w:val="en-US" w:eastAsia="zh-CN"/>
                    </w:rPr>
                  </w:pPr>
                  <w:r>
                    <w:rPr>
                      <w:rFonts w:hint="eastAsia"/>
                      <w:b/>
                      <w:bCs/>
                      <w:color w:val="FF0000"/>
                      <w:sz w:val="21"/>
                      <w:szCs w:val="21"/>
                      <w:u w:val="single" w:color="auto"/>
                      <w:lang w:val="en-US" w:eastAsia="zh-CN"/>
                    </w:rPr>
                    <w:t>项目</w:t>
                  </w:r>
                </w:p>
              </w:tc>
              <w:tc>
                <w:tcPr>
                  <w:tcW w:w="5814" w:type="dxa"/>
                  <w:tcBorders>
                    <w:tl2br w:val="nil"/>
                    <w:tr2bl w:val="nil"/>
                  </w:tcBorders>
                  <w:vAlign w:val="center"/>
                </w:tcPr>
                <w:p>
                  <w:pPr>
                    <w:bidi w:val="0"/>
                    <w:jc w:val="center"/>
                    <w:rPr>
                      <w:rFonts w:hint="default"/>
                      <w:b/>
                      <w:bCs/>
                      <w:color w:val="FF0000"/>
                      <w:sz w:val="21"/>
                      <w:szCs w:val="21"/>
                      <w:u w:val="single" w:color="auto"/>
                      <w:lang w:val="en-US" w:eastAsia="zh-CN"/>
                    </w:rPr>
                  </w:pPr>
                  <w:r>
                    <w:rPr>
                      <w:rFonts w:hint="eastAsia"/>
                      <w:b/>
                      <w:bCs/>
                      <w:color w:val="FF0000"/>
                      <w:sz w:val="21"/>
                      <w:szCs w:val="21"/>
                      <w:u w:val="single" w:color="auto"/>
                      <w:lang w:val="en-US" w:eastAsia="zh-CN"/>
                    </w:rPr>
                    <w:t>内容及要求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1</w:t>
                  </w:r>
                </w:p>
              </w:tc>
              <w:tc>
                <w:tcPr>
                  <w:tcW w:w="1545"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编制原则</w:t>
                  </w:r>
                </w:p>
              </w:tc>
              <w:tc>
                <w:tcPr>
                  <w:tcW w:w="5814" w:type="dxa"/>
                  <w:tcBorders>
                    <w:tl2br w:val="nil"/>
                    <w:tr2bl w:val="nil"/>
                  </w:tcBorders>
                  <w:vAlign w:val="center"/>
                </w:tcPr>
                <w:p>
                  <w:pPr>
                    <w:bidi w:val="0"/>
                    <w:jc w:val="both"/>
                    <w:rPr>
                      <w:rFonts w:hint="eastAsia"/>
                      <w:color w:val="FF0000"/>
                      <w:sz w:val="21"/>
                      <w:szCs w:val="21"/>
                      <w:u w:val="single" w:color="auto"/>
                      <w:lang w:val="en-US" w:eastAsia="zh-CN"/>
                    </w:rPr>
                  </w:pPr>
                  <w:r>
                    <w:rPr>
                      <w:rFonts w:hint="eastAsia"/>
                      <w:color w:val="FF0000"/>
                      <w:sz w:val="21"/>
                      <w:szCs w:val="21"/>
                      <w:u w:val="single" w:color="auto"/>
                      <w:lang w:val="en-US" w:eastAsia="zh-CN"/>
                    </w:rPr>
                    <w:t>符合国家有关规定和要求，结合本单位实际；救人第一、环境优先；先期处置、防止危害扩大；快速响应、科学应对；应急工作与岗位职责相结合等。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2</w:t>
                  </w:r>
                </w:p>
              </w:tc>
              <w:tc>
                <w:tcPr>
                  <w:tcW w:w="1545"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适用范围</w:t>
                  </w:r>
                </w:p>
              </w:tc>
              <w:tc>
                <w:tcPr>
                  <w:tcW w:w="5814" w:type="dxa"/>
                  <w:tcBorders>
                    <w:tl2br w:val="nil"/>
                    <w:tr2bl w:val="nil"/>
                  </w:tcBorders>
                  <w:vAlign w:val="center"/>
                </w:tcPr>
                <w:p>
                  <w:pPr>
                    <w:bidi w:val="0"/>
                    <w:jc w:val="both"/>
                    <w:rPr>
                      <w:rFonts w:hint="eastAsia"/>
                      <w:color w:val="FF0000"/>
                      <w:sz w:val="21"/>
                      <w:szCs w:val="21"/>
                      <w:u w:val="single" w:color="auto"/>
                      <w:lang w:val="en-US" w:eastAsia="zh-CN"/>
                    </w:rPr>
                  </w:pPr>
                  <w:r>
                    <w:rPr>
                      <w:rFonts w:hint="eastAsia"/>
                      <w:color w:val="FF0000"/>
                      <w:sz w:val="21"/>
                      <w:szCs w:val="21"/>
                      <w:u w:val="single" w:color="auto"/>
                      <w:lang w:val="en-US" w:eastAsia="zh-CN"/>
                    </w:rPr>
                    <w:t>明确预案适用的主体、地理或管理范围、事件类别、工作内容等。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3</w:t>
                  </w:r>
                </w:p>
              </w:tc>
              <w:tc>
                <w:tcPr>
                  <w:tcW w:w="1545"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环境事件分类与分级</w:t>
                  </w:r>
                </w:p>
              </w:tc>
              <w:tc>
                <w:tcPr>
                  <w:tcW w:w="5814" w:type="dxa"/>
                  <w:tcBorders>
                    <w:tl2br w:val="nil"/>
                    <w:tr2bl w:val="nil"/>
                  </w:tcBorders>
                  <w:vAlign w:val="center"/>
                </w:tcPr>
                <w:p>
                  <w:pPr>
                    <w:bidi w:val="0"/>
                    <w:jc w:val="both"/>
                    <w:rPr>
                      <w:rFonts w:hint="eastAsia"/>
                      <w:color w:val="FF0000"/>
                      <w:sz w:val="21"/>
                      <w:szCs w:val="21"/>
                      <w:u w:val="single" w:color="auto"/>
                      <w:lang w:val="en-US" w:eastAsia="zh-CN"/>
                    </w:rPr>
                  </w:pPr>
                  <w:r>
                    <w:rPr>
                      <w:rFonts w:hint="eastAsia"/>
                      <w:color w:val="FF0000"/>
                      <w:sz w:val="21"/>
                      <w:szCs w:val="21"/>
                      <w:u w:val="single" w:color="auto"/>
                      <w:lang w:val="en-US" w:eastAsia="zh-CN"/>
                    </w:rPr>
                    <w:t>根据《企业突发环境事件风险分级防范》（HJ941-2018）进行环境风险分级判定。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4</w:t>
                  </w:r>
                </w:p>
              </w:tc>
              <w:tc>
                <w:tcPr>
                  <w:tcW w:w="1545"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组织机构与职责</w:t>
                  </w:r>
                </w:p>
              </w:tc>
              <w:tc>
                <w:tcPr>
                  <w:tcW w:w="5814" w:type="dxa"/>
                  <w:tcBorders>
                    <w:tl2br w:val="nil"/>
                    <w:tr2bl w:val="nil"/>
                  </w:tcBorders>
                  <w:vAlign w:val="center"/>
                </w:tcPr>
                <w:p>
                  <w:pPr>
                    <w:bidi w:val="0"/>
                    <w:jc w:val="both"/>
                    <w:rPr>
                      <w:rFonts w:hint="eastAsia"/>
                      <w:color w:val="FF0000"/>
                      <w:sz w:val="21"/>
                      <w:szCs w:val="21"/>
                      <w:u w:val="single" w:color="auto"/>
                      <w:lang w:val="en-US" w:eastAsia="zh-CN"/>
                    </w:rPr>
                  </w:pPr>
                  <w:r>
                    <w:rPr>
                      <w:rFonts w:hint="eastAsia"/>
                      <w:color w:val="FF0000"/>
                      <w:sz w:val="21"/>
                      <w:szCs w:val="21"/>
                      <w:u w:val="single" w:color="auto"/>
                      <w:lang w:val="en-US" w:eastAsia="zh-CN"/>
                    </w:rPr>
                    <w:t>以应急组织体系结构图、应急响应流程图的形式，说明组织体系构成、应急指挥运行机制，配有应急队伍成员名单和联系方式表；明确组织体系的构成及其职责；明确应急状态下指挥运行机制，建立统一的应急指挥、协调和决策程序；根据突发环境事件的危害程度、影响范围、周边环境敏感点、企业应急响应能力等，建立分级应急响应机制，明确不同应急响应级别对应的指挥权限；说明企业与政府及其有关部门之间的关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5</w:t>
                  </w:r>
                </w:p>
              </w:tc>
              <w:tc>
                <w:tcPr>
                  <w:tcW w:w="1545"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监控和预警</w:t>
                  </w:r>
                </w:p>
              </w:tc>
              <w:tc>
                <w:tcPr>
                  <w:tcW w:w="5814" w:type="dxa"/>
                  <w:tcBorders>
                    <w:tl2br w:val="nil"/>
                    <w:tr2bl w:val="nil"/>
                  </w:tcBorders>
                  <w:vAlign w:val="center"/>
                </w:tcPr>
                <w:p>
                  <w:pPr>
                    <w:bidi w:val="0"/>
                    <w:jc w:val="both"/>
                    <w:rPr>
                      <w:rFonts w:hint="eastAsia"/>
                      <w:color w:val="FF0000"/>
                      <w:sz w:val="21"/>
                      <w:szCs w:val="21"/>
                      <w:u w:val="single" w:color="auto"/>
                      <w:lang w:val="en-US" w:eastAsia="zh-CN"/>
                    </w:rPr>
                  </w:pPr>
                  <w:r>
                    <w:rPr>
                      <w:rFonts w:hint="eastAsia"/>
                      <w:color w:val="FF0000"/>
                      <w:sz w:val="21"/>
                      <w:szCs w:val="21"/>
                      <w:u w:val="single" w:color="auto"/>
                      <w:lang w:val="en-US" w:eastAsia="zh-CN"/>
                    </w:rPr>
                    <w:t>建立企业内部监控预警方案；明确监控信息的获得途径和分 析研判的方式方法；明确企业内部预警条件，预警等级，预警信息发布、接收、调整、解除程序、发布内容、责任人。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6</w:t>
                  </w:r>
                </w:p>
              </w:tc>
              <w:tc>
                <w:tcPr>
                  <w:tcW w:w="1545"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应急响应</w:t>
                  </w:r>
                </w:p>
              </w:tc>
              <w:tc>
                <w:tcPr>
                  <w:tcW w:w="5814" w:type="dxa"/>
                  <w:tcBorders>
                    <w:tl2br w:val="nil"/>
                    <w:tr2bl w:val="nil"/>
                  </w:tcBorders>
                  <w:vAlign w:val="center"/>
                </w:tcPr>
                <w:p>
                  <w:pPr>
                    <w:bidi w:val="0"/>
                    <w:jc w:val="both"/>
                    <w:rPr>
                      <w:rFonts w:hint="eastAsia"/>
                      <w:color w:val="FF0000"/>
                      <w:sz w:val="21"/>
                      <w:szCs w:val="21"/>
                      <w:u w:val="single" w:color="auto"/>
                      <w:lang w:val="en-US" w:eastAsia="zh-CN"/>
                    </w:rPr>
                  </w:pPr>
                  <w:r>
                    <w:rPr>
                      <w:rFonts w:hint="eastAsia"/>
                      <w:color w:val="FF0000"/>
                      <w:sz w:val="21"/>
                      <w:szCs w:val="21"/>
                      <w:u w:val="single" w:color="auto"/>
                      <w:lang w:val="en-US" w:eastAsia="zh-CN"/>
                    </w:rPr>
                    <w:t>根据企业突发环境事件分类与分级结果，制定相应应急响应程序。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7</w:t>
                  </w:r>
                </w:p>
              </w:tc>
              <w:tc>
                <w:tcPr>
                  <w:tcW w:w="1545"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应急保障</w:t>
                  </w:r>
                </w:p>
              </w:tc>
              <w:tc>
                <w:tcPr>
                  <w:tcW w:w="5814" w:type="dxa"/>
                  <w:tcBorders>
                    <w:tl2br w:val="nil"/>
                    <w:tr2bl w:val="nil"/>
                  </w:tcBorders>
                  <w:vAlign w:val="center"/>
                </w:tcPr>
                <w:p>
                  <w:pPr>
                    <w:bidi w:val="0"/>
                    <w:jc w:val="both"/>
                    <w:rPr>
                      <w:rFonts w:hint="eastAsia"/>
                      <w:color w:val="FF0000"/>
                      <w:sz w:val="21"/>
                      <w:szCs w:val="21"/>
                      <w:u w:val="single" w:color="auto"/>
                      <w:lang w:val="en-US" w:eastAsia="zh-CN"/>
                    </w:rPr>
                  </w:pPr>
                  <w:r>
                    <w:rPr>
                      <w:rFonts w:hint="eastAsia"/>
                      <w:color w:val="FF0000"/>
                      <w:sz w:val="21"/>
                      <w:szCs w:val="21"/>
                      <w:u w:val="single" w:color="auto"/>
                      <w:lang w:val="en-US" w:eastAsia="zh-CN"/>
                    </w:rPr>
                    <w:t>说明环境应急预案涉及的人力资源、财力、物资以及其他技术、重要设施的保障。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8</w:t>
                  </w:r>
                </w:p>
              </w:tc>
              <w:tc>
                <w:tcPr>
                  <w:tcW w:w="1545"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善后处理</w:t>
                  </w:r>
                </w:p>
              </w:tc>
              <w:tc>
                <w:tcPr>
                  <w:tcW w:w="5814" w:type="dxa"/>
                  <w:tcBorders>
                    <w:tl2br w:val="nil"/>
                    <w:tr2bl w:val="nil"/>
                  </w:tcBorders>
                  <w:vAlign w:val="center"/>
                </w:tcPr>
                <w:p>
                  <w:pPr>
                    <w:bidi w:val="0"/>
                    <w:jc w:val="both"/>
                    <w:rPr>
                      <w:rFonts w:hint="eastAsia"/>
                      <w:color w:val="FF0000"/>
                      <w:sz w:val="21"/>
                      <w:szCs w:val="21"/>
                      <w:u w:val="single" w:color="auto"/>
                      <w:lang w:val="en-US" w:eastAsia="zh-CN"/>
                    </w:rPr>
                  </w:pPr>
                  <w:r>
                    <w:rPr>
                      <w:rFonts w:hint="eastAsia"/>
                      <w:color w:val="FF0000"/>
                      <w:sz w:val="21"/>
                      <w:szCs w:val="21"/>
                      <w:u w:val="single" w:color="auto"/>
                      <w:lang w:val="en-US" w:eastAsia="zh-CN"/>
                    </w:rPr>
                    <w:t>结合本单位实际，说明应急终止的条件和发布程序；说明事后恢复的工作内容和责任人，一般包括：现场污染物的后续处理；环境应急相关设施、设备、场所的维护；配合开展环境损害评估、赔偿、事件调查处理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9</w:t>
                  </w:r>
                </w:p>
              </w:tc>
              <w:tc>
                <w:tcPr>
                  <w:tcW w:w="1545" w:type="dxa"/>
                  <w:tcBorders>
                    <w:tl2br w:val="nil"/>
                    <w:tr2bl w:val="nil"/>
                  </w:tcBorders>
                  <w:vAlign w:val="center"/>
                </w:tcPr>
                <w:p>
                  <w:pPr>
                    <w:bidi w:val="0"/>
                    <w:jc w:val="center"/>
                    <w:rPr>
                      <w:rFonts w:hint="default"/>
                      <w:color w:val="FF0000"/>
                      <w:sz w:val="21"/>
                      <w:szCs w:val="21"/>
                      <w:u w:val="single" w:color="auto"/>
                      <w:lang w:val="en-US" w:eastAsia="zh-CN"/>
                    </w:rPr>
                  </w:pPr>
                  <w:r>
                    <w:rPr>
                      <w:rFonts w:hint="eastAsia"/>
                      <w:color w:val="FF0000"/>
                      <w:sz w:val="21"/>
                      <w:szCs w:val="21"/>
                      <w:u w:val="single" w:color="auto"/>
                      <w:lang w:val="en-US" w:eastAsia="zh-CN"/>
                    </w:rPr>
                    <w:t>预案管理与演练</w:t>
                  </w:r>
                </w:p>
              </w:tc>
              <w:tc>
                <w:tcPr>
                  <w:tcW w:w="5814" w:type="dxa"/>
                  <w:tcBorders>
                    <w:tl2br w:val="nil"/>
                    <w:tr2bl w:val="nil"/>
                  </w:tcBorders>
                  <w:vAlign w:val="center"/>
                </w:tcPr>
                <w:p>
                  <w:pPr>
                    <w:bidi w:val="0"/>
                    <w:jc w:val="both"/>
                    <w:rPr>
                      <w:rFonts w:hint="eastAsia"/>
                      <w:color w:val="FF0000"/>
                      <w:sz w:val="21"/>
                      <w:szCs w:val="21"/>
                      <w:u w:val="single" w:color="auto"/>
                      <w:lang w:val="en-US" w:eastAsia="zh-CN"/>
                    </w:rPr>
                  </w:pPr>
                  <w:r>
                    <w:rPr>
                      <w:rFonts w:hint="eastAsia"/>
                      <w:color w:val="FF0000"/>
                      <w:sz w:val="21"/>
                      <w:szCs w:val="21"/>
                      <w:u w:val="single" w:color="auto"/>
                      <w:lang w:val="en-US" w:eastAsia="zh-CN"/>
                    </w:rPr>
                    <w:t>明确环境应急预案的评估修订要求；安排有关环境应急预案 的培训和演练。</w:t>
                  </w:r>
                </w:p>
              </w:tc>
            </w:tr>
          </w:tbl>
          <w:p>
            <w:pPr>
              <w:numPr>
                <w:ilvl w:val="0"/>
                <w:numId w:val="0"/>
              </w:numPr>
              <w:spacing w:line="360" w:lineRule="auto"/>
              <w:ind w:firstLine="480" w:firstLineChars="200"/>
              <w:rPr>
                <w:rFonts w:hint="default"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（5）结论</w:t>
            </w:r>
          </w:p>
          <w:p>
            <w:pPr>
              <w:numPr>
                <w:ilvl w:val="0"/>
                <w:numId w:val="0"/>
              </w:numPr>
              <w:spacing w:line="360" w:lineRule="auto"/>
              <w:ind w:firstLine="480" w:firstLineChars="200"/>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本项目具有潜在的火灾事故风险，企业应该认真做好各项风险防范措施，完善生产管理制度，严格按规范操作，杜绝风险事故，同时应制定应急预案，使各部门在事故发生后能有步骤、有秩序地采取各项应急措施，并与湘阴县突发环境事件急预案衔接，统一采取救援行动。加强对全体员工防范事故风险能力的培训，建立应急计划和事故应急预案。</w:t>
            </w:r>
          </w:p>
          <w:p>
            <w:pPr>
              <w:pStyle w:val="6"/>
              <w:spacing w:line="360" w:lineRule="auto"/>
              <w:ind w:firstLine="480"/>
              <w:rPr>
                <w:rFonts w:hint="eastAsia" w:cs="宋体"/>
                <w:color w:val="FF0000"/>
                <w:kern w:val="2"/>
                <w:sz w:val="24"/>
                <w:szCs w:val="24"/>
                <w:highlight w:val="none"/>
                <w:u w:val="single" w:color="auto"/>
                <w:lang w:val="en-US" w:eastAsia="zh-CN"/>
              </w:rPr>
            </w:pPr>
            <w:r>
              <w:rPr>
                <w:rFonts w:hint="eastAsia" w:cs="宋体"/>
                <w:color w:val="FF0000"/>
                <w:kern w:val="2"/>
                <w:sz w:val="24"/>
                <w:szCs w:val="24"/>
                <w:highlight w:val="none"/>
                <w:u w:val="single" w:color="auto"/>
                <w:lang w:val="en-US" w:eastAsia="zh-CN"/>
              </w:rPr>
              <w:t>在加强监控、建立前述风险防范措施，并制定切实可行的应急预案的情况下，本项目的环境风险是可以接受的。</w:t>
            </w:r>
          </w:p>
          <w:p>
            <w:pPr>
              <w:pStyle w:val="6"/>
              <w:spacing w:line="360" w:lineRule="auto"/>
              <w:ind w:firstLine="480"/>
              <w:rPr>
                <w:rFonts w:hint="default" w:ascii="Times New Roman" w:hAnsi="Times New Roman" w:cs="Times New Roman"/>
                <w:color w:val="FF0000"/>
                <w:sz w:val="24"/>
                <w:szCs w:val="24"/>
                <w:u w:val="single" w:color="auto"/>
              </w:rPr>
            </w:pPr>
            <w:r>
              <w:rPr>
                <w:rFonts w:hint="default" w:ascii="Times New Roman" w:hAnsi="Times New Roman" w:cs="Times New Roman"/>
                <w:color w:val="FF0000"/>
                <w:sz w:val="24"/>
                <w:szCs w:val="24"/>
                <w:u w:val="single" w:color="auto"/>
              </w:rPr>
              <w:t>建设项目环境风险简单分析内容表如下：</w:t>
            </w:r>
          </w:p>
          <w:p>
            <w:pPr>
              <w:spacing w:line="360" w:lineRule="auto"/>
              <w:jc w:val="center"/>
              <w:rPr>
                <w:rFonts w:hint="default" w:ascii="Times New Roman" w:hAnsi="Times New Roman" w:cs="Times New Roman"/>
                <w:b/>
                <w:bCs/>
                <w:color w:val="FF0000"/>
                <w:sz w:val="24"/>
                <w:szCs w:val="24"/>
                <w:u w:val="single" w:color="auto"/>
              </w:rPr>
            </w:pPr>
            <w:r>
              <w:rPr>
                <w:rFonts w:hint="default" w:cs="宋体"/>
                <w:b/>
                <w:bCs/>
                <w:color w:val="FF0000"/>
                <w:kern w:val="2"/>
                <w:sz w:val="24"/>
                <w:szCs w:val="24"/>
                <w:highlight w:val="none"/>
                <w:u w:val="single" w:color="auto"/>
                <w:lang w:val="en-US" w:eastAsia="zh-CN"/>
              </w:rPr>
              <w:t>表4-</w:t>
            </w:r>
            <w:r>
              <w:rPr>
                <w:rFonts w:hint="eastAsia" w:cs="宋体"/>
                <w:b/>
                <w:bCs/>
                <w:color w:val="FF0000"/>
                <w:kern w:val="2"/>
                <w:sz w:val="24"/>
                <w:szCs w:val="24"/>
                <w:highlight w:val="none"/>
                <w:u w:val="single" w:color="auto"/>
                <w:lang w:val="en-US" w:eastAsia="zh-CN"/>
              </w:rPr>
              <w:t>17</w:t>
            </w:r>
            <w:r>
              <w:rPr>
                <w:rFonts w:hint="default" w:cs="宋体"/>
                <w:b/>
                <w:bCs/>
                <w:color w:val="FF0000"/>
                <w:kern w:val="2"/>
                <w:sz w:val="24"/>
                <w:szCs w:val="24"/>
                <w:highlight w:val="none"/>
                <w:u w:val="single" w:color="auto"/>
                <w:lang w:val="en-US" w:eastAsia="zh-CN"/>
              </w:rPr>
              <w:t xml:space="preserve">  建设项目环境风险简单分析内容表</w:t>
            </w:r>
          </w:p>
          <w:tbl>
            <w:tblPr>
              <w:tblStyle w:val="14"/>
              <w:tblW w:w="4999"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55"/>
              <w:gridCol w:w="1121"/>
              <w:gridCol w:w="1774"/>
              <w:gridCol w:w="32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pct"/>
                  <w:tcBorders>
                    <w:tl2br w:val="nil"/>
                    <w:tr2bl w:val="nil"/>
                  </w:tcBorders>
                  <w:noWrap w:val="0"/>
                  <w:vAlign w:val="center"/>
                </w:tcPr>
                <w:p>
                  <w:pPr>
                    <w:bidi w:val="0"/>
                    <w:spacing w:line="240" w:lineRule="auto"/>
                    <w:jc w:val="center"/>
                    <w:rPr>
                      <w:rFonts w:hint="default"/>
                      <w:color w:val="FF0000"/>
                      <w:u w:val="single" w:color="auto"/>
                    </w:rPr>
                  </w:pPr>
                  <w:r>
                    <w:rPr>
                      <w:rFonts w:hint="default"/>
                      <w:color w:val="FF0000"/>
                      <w:u w:val="single" w:color="auto"/>
                    </w:rPr>
                    <w:t>建设项目名称</w:t>
                  </w:r>
                </w:p>
              </w:tc>
              <w:tc>
                <w:tcPr>
                  <w:tcW w:w="3788" w:type="pct"/>
                  <w:gridSpan w:val="3"/>
                  <w:tcBorders>
                    <w:tl2br w:val="nil"/>
                    <w:tr2bl w:val="nil"/>
                  </w:tcBorders>
                  <w:noWrap w:val="0"/>
                  <w:vAlign w:val="center"/>
                </w:tcPr>
                <w:p>
                  <w:pPr>
                    <w:bidi w:val="0"/>
                    <w:spacing w:line="240" w:lineRule="auto"/>
                    <w:jc w:val="center"/>
                    <w:rPr>
                      <w:rFonts w:hint="default"/>
                      <w:color w:val="FF0000"/>
                      <w:u w:val="single" w:color="auto"/>
                      <w:lang w:val="en-US"/>
                    </w:rPr>
                  </w:pPr>
                  <w:r>
                    <w:rPr>
                      <w:rFonts w:hint="eastAsia"/>
                      <w:color w:val="FF0000"/>
                      <w:u w:val="single" w:color="auto"/>
                      <w:lang w:val="en-US" w:eastAsia="zh-CN"/>
                    </w:rPr>
                    <w:t>年产40万个水面光伏浮体建设项目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pct"/>
                  <w:tcBorders>
                    <w:tl2br w:val="nil"/>
                    <w:tr2bl w:val="nil"/>
                  </w:tcBorders>
                  <w:noWrap w:val="0"/>
                  <w:vAlign w:val="center"/>
                </w:tcPr>
                <w:p>
                  <w:pPr>
                    <w:bidi w:val="0"/>
                    <w:spacing w:line="240" w:lineRule="auto"/>
                    <w:jc w:val="center"/>
                    <w:rPr>
                      <w:rFonts w:hint="default"/>
                      <w:color w:val="FF0000"/>
                      <w:u w:val="single" w:color="auto"/>
                    </w:rPr>
                  </w:pPr>
                  <w:r>
                    <w:rPr>
                      <w:rFonts w:hint="default"/>
                      <w:color w:val="FF0000"/>
                      <w:u w:val="single" w:color="auto"/>
                    </w:rPr>
                    <w:t>建设地点</w:t>
                  </w:r>
                </w:p>
              </w:tc>
              <w:tc>
                <w:tcPr>
                  <w:tcW w:w="694" w:type="pct"/>
                  <w:tcBorders>
                    <w:tl2br w:val="nil"/>
                    <w:tr2bl w:val="nil"/>
                  </w:tcBorders>
                  <w:noWrap w:val="0"/>
                  <w:vAlign w:val="center"/>
                </w:tcPr>
                <w:p>
                  <w:pPr>
                    <w:bidi w:val="0"/>
                    <w:spacing w:line="240" w:lineRule="auto"/>
                    <w:jc w:val="center"/>
                    <w:rPr>
                      <w:rFonts w:hint="eastAsia"/>
                      <w:color w:val="FF0000"/>
                      <w:u w:val="single" w:color="auto"/>
                      <w:lang w:eastAsia="zh-CN"/>
                    </w:rPr>
                  </w:pPr>
                  <w:r>
                    <w:rPr>
                      <w:rFonts w:hint="eastAsia"/>
                      <w:color w:val="FF0000"/>
                      <w:u w:val="single" w:color="auto"/>
                      <w:lang w:eastAsia="zh-CN"/>
                    </w:rPr>
                    <w:t>湖南省</w:t>
                  </w:r>
                </w:p>
              </w:tc>
              <w:tc>
                <w:tcPr>
                  <w:tcW w:w="1099" w:type="pct"/>
                  <w:tcBorders>
                    <w:tl2br w:val="nil"/>
                    <w:tr2bl w:val="nil"/>
                  </w:tcBorders>
                  <w:noWrap w:val="0"/>
                  <w:vAlign w:val="center"/>
                </w:tcPr>
                <w:p>
                  <w:pPr>
                    <w:bidi w:val="0"/>
                    <w:spacing w:line="240" w:lineRule="auto"/>
                    <w:jc w:val="center"/>
                    <w:rPr>
                      <w:rFonts w:hint="eastAsia"/>
                      <w:color w:val="FF0000"/>
                      <w:u w:val="single" w:color="auto"/>
                      <w:lang w:eastAsia="zh-CN"/>
                    </w:rPr>
                  </w:pPr>
                  <w:r>
                    <w:rPr>
                      <w:rFonts w:hint="eastAsia"/>
                      <w:color w:val="FF0000"/>
                      <w:u w:val="single" w:color="auto"/>
                      <w:lang w:eastAsia="zh-CN"/>
                    </w:rPr>
                    <w:t>岳阳市</w:t>
                  </w:r>
                </w:p>
              </w:tc>
              <w:tc>
                <w:tcPr>
                  <w:tcW w:w="1994" w:type="pct"/>
                  <w:tcBorders>
                    <w:tl2br w:val="nil"/>
                    <w:tr2bl w:val="nil"/>
                  </w:tcBorders>
                  <w:noWrap w:val="0"/>
                  <w:vAlign w:val="center"/>
                </w:tcPr>
                <w:p>
                  <w:pPr>
                    <w:bidi w:val="0"/>
                    <w:spacing w:line="240" w:lineRule="auto"/>
                    <w:jc w:val="center"/>
                    <w:rPr>
                      <w:rFonts w:hint="default"/>
                      <w:color w:val="FF0000"/>
                      <w:u w:val="single" w:color="auto"/>
                      <w:lang w:eastAsia="zh-CN"/>
                    </w:rPr>
                  </w:pPr>
                  <w:r>
                    <w:rPr>
                      <w:rFonts w:hint="eastAsia"/>
                      <w:color w:val="FF0000"/>
                      <w:u w:val="single" w:color="auto"/>
                      <w:lang w:val="en-US" w:eastAsia="zh-CN"/>
                    </w:rPr>
                    <w:t>湖南省岳阳市湘阴县工业园区顺天大道以南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pct"/>
                  <w:tcBorders>
                    <w:tl2br w:val="nil"/>
                    <w:tr2bl w:val="nil"/>
                  </w:tcBorders>
                  <w:noWrap w:val="0"/>
                  <w:vAlign w:val="center"/>
                </w:tcPr>
                <w:p>
                  <w:pPr>
                    <w:bidi w:val="0"/>
                    <w:spacing w:line="240" w:lineRule="auto"/>
                    <w:jc w:val="center"/>
                    <w:rPr>
                      <w:rFonts w:hint="default"/>
                      <w:color w:val="FF0000"/>
                      <w:u w:val="single" w:color="auto"/>
                    </w:rPr>
                  </w:pPr>
                  <w:r>
                    <w:rPr>
                      <w:rFonts w:hint="default"/>
                      <w:color w:val="FF0000"/>
                      <w:u w:val="single" w:color="auto"/>
                    </w:rPr>
                    <w:t>地理坐标</w:t>
                  </w:r>
                </w:p>
              </w:tc>
              <w:tc>
                <w:tcPr>
                  <w:tcW w:w="3788" w:type="pct"/>
                  <w:gridSpan w:val="3"/>
                  <w:tcBorders>
                    <w:tl2br w:val="nil"/>
                    <w:tr2bl w:val="nil"/>
                  </w:tcBorders>
                  <w:noWrap w:val="0"/>
                  <w:vAlign w:val="center"/>
                </w:tcPr>
                <w:p>
                  <w:pPr>
                    <w:bidi w:val="0"/>
                    <w:spacing w:line="240" w:lineRule="auto"/>
                    <w:jc w:val="center"/>
                    <w:rPr>
                      <w:rFonts w:hint="default"/>
                      <w:color w:val="FF0000"/>
                      <w:u w:val="single" w:color="auto"/>
                    </w:rPr>
                  </w:pPr>
                  <w:r>
                    <w:rPr>
                      <w:rFonts w:hint="eastAsia" w:ascii="宋体" w:hAnsi="宋体" w:cs="宋体"/>
                      <w:color w:val="FF0000"/>
                      <w:sz w:val="21"/>
                      <w:szCs w:val="21"/>
                      <w:u w:val="single" w:color="auto"/>
                    </w:rPr>
                    <w:t>（</w:t>
                  </w:r>
                  <w:r>
                    <w:rPr>
                      <w:rFonts w:hint="eastAsia" w:ascii="宋体" w:hAnsi="宋体" w:cs="宋体"/>
                      <w:color w:val="FF0000"/>
                      <w:sz w:val="21"/>
                      <w:szCs w:val="21"/>
                      <w:u w:val="single" w:color="auto"/>
                      <w:lang w:val="en-US" w:eastAsia="zh-CN"/>
                    </w:rPr>
                    <w:t>112</w:t>
                  </w:r>
                  <w:r>
                    <w:rPr>
                      <w:rFonts w:hint="eastAsia" w:ascii="宋体" w:hAnsi="宋体" w:cs="宋体"/>
                      <w:color w:val="FF0000"/>
                      <w:sz w:val="21"/>
                      <w:szCs w:val="21"/>
                      <w:u w:val="single" w:color="auto"/>
                    </w:rPr>
                    <w:t>度</w:t>
                  </w:r>
                  <w:r>
                    <w:rPr>
                      <w:rFonts w:hint="eastAsia" w:ascii="宋体" w:hAnsi="宋体" w:cs="宋体"/>
                      <w:color w:val="FF0000"/>
                      <w:sz w:val="21"/>
                      <w:szCs w:val="21"/>
                      <w:u w:val="single" w:color="auto"/>
                      <w:lang w:val="en-US" w:eastAsia="zh-CN"/>
                    </w:rPr>
                    <w:t>54</w:t>
                  </w:r>
                  <w:r>
                    <w:rPr>
                      <w:rFonts w:hint="eastAsia" w:ascii="宋体" w:hAnsi="宋体" w:cs="宋体"/>
                      <w:color w:val="FF0000"/>
                      <w:sz w:val="21"/>
                      <w:szCs w:val="21"/>
                      <w:u w:val="single" w:color="auto"/>
                    </w:rPr>
                    <w:t>分</w:t>
                  </w:r>
                  <w:r>
                    <w:rPr>
                      <w:rFonts w:hint="eastAsia" w:ascii="宋体" w:hAnsi="宋体" w:cs="宋体"/>
                      <w:color w:val="FF0000"/>
                      <w:sz w:val="21"/>
                      <w:szCs w:val="21"/>
                      <w:u w:val="single" w:color="auto"/>
                      <w:lang w:val="en-US" w:eastAsia="zh-CN"/>
                    </w:rPr>
                    <w:t>30.281</w:t>
                  </w:r>
                  <w:r>
                    <w:rPr>
                      <w:rFonts w:hint="eastAsia" w:ascii="宋体" w:hAnsi="宋体" w:cs="宋体"/>
                      <w:color w:val="FF0000"/>
                      <w:sz w:val="21"/>
                      <w:szCs w:val="21"/>
                      <w:u w:val="single" w:color="auto"/>
                    </w:rPr>
                    <w:t>秒，</w:t>
                  </w:r>
                  <w:r>
                    <w:rPr>
                      <w:rFonts w:hint="eastAsia" w:ascii="宋体" w:hAnsi="宋体" w:cs="宋体"/>
                      <w:color w:val="FF0000"/>
                      <w:sz w:val="21"/>
                      <w:szCs w:val="21"/>
                      <w:u w:val="single" w:color="auto"/>
                      <w:lang w:val="en-US" w:eastAsia="zh-CN"/>
                    </w:rPr>
                    <w:t>28</w:t>
                  </w:r>
                  <w:r>
                    <w:rPr>
                      <w:rFonts w:hint="eastAsia" w:ascii="宋体" w:hAnsi="宋体" w:cs="宋体"/>
                      <w:color w:val="FF0000"/>
                      <w:sz w:val="21"/>
                      <w:szCs w:val="21"/>
                      <w:u w:val="single" w:color="auto"/>
                    </w:rPr>
                    <w:t>度</w:t>
                  </w:r>
                  <w:r>
                    <w:rPr>
                      <w:rFonts w:hint="eastAsia" w:ascii="宋体" w:hAnsi="宋体" w:cs="宋体"/>
                      <w:color w:val="FF0000"/>
                      <w:sz w:val="21"/>
                      <w:szCs w:val="21"/>
                      <w:u w:val="single" w:color="auto"/>
                      <w:lang w:val="en-US" w:eastAsia="zh-CN"/>
                    </w:rPr>
                    <w:t>37</w:t>
                  </w:r>
                  <w:r>
                    <w:rPr>
                      <w:rFonts w:hint="eastAsia" w:ascii="宋体" w:hAnsi="宋体" w:cs="宋体"/>
                      <w:color w:val="FF0000"/>
                      <w:sz w:val="21"/>
                      <w:szCs w:val="21"/>
                      <w:u w:val="single" w:color="auto"/>
                    </w:rPr>
                    <w:t>分</w:t>
                  </w:r>
                  <w:r>
                    <w:rPr>
                      <w:rFonts w:hint="eastAsia" w:ascii="宋体" w:hAnsi="宋体" w:cs="宋体"/>
                      <w:color w:val="FF0000"/>
                      <w:sz w:val="21"/>
                      <w:szCs w:val="21"/>
                      <w:u w:val="single" w:color="auto"/>
                      <w:lang w:val="en-US" w:eastAsia="zh-CN"/>
                    </w:rPr>
                    <w:t>43.254</w:t>
                  </w:r>
                  <w:r>
                    <w:rPr>
                      <w:rFonts w:hint="eastAsia" w:ascii="宋体" w:hAnsi="宋体" w:cs="宋体"/>
                      <w:color w:val="FF0000"/>
                      <w:sz w:val="21"/>
                      <w:szCs w:val="21"/>
                      <w:u w:val="single" w:color="auto"/>
                    </w:rPr>
                    <w:t>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pct"/>
                  <w:tcBorders>
                    <w:tl2br w:val="nil"/>
                    <w:tr2bl w:val="nil"/>
                  </w:tcBorders>
                  <w:noWrap w:val="0"/>
                  <w:vAlign w:val="center"/>
                </w:tcPr>
                <w:p>
                  <w:pPr>
                    <w:bidi w:val="0"/>
                    <w:spacing w:line="240" w:lineRule="auto"/>
                    <w:jc w:val="center"/>
                    <w:rPr>
                      <w:rFonts w:hint="default"/>
                      <w:color w:val="FF0000"/>
                      <w:u w:val="single" w:color="auto"/>
                    </w:rPr>
                  </w:pPr>
                  <w:r>
                    <w:rPr>
                      <w:rFonts w:hint="default"/>
                      <w:color w:val="FF0000"/>
                      <w:u w:val="single" w:color="auto"/>
                    </w:rPr>
                    <w:t>主要危险物质</w:t>
                  </w:r>
                </w:p>
                <w:p>
                  <w:pPr>
                    <w:bidi w:val="0"/>
                    <w:spacing w:line="240" w:lineRule="auto"/>
                    <w:jc w:val="center"/>
                    <w:rPr>
                      <w:rFonts w:hint="default"/>
                      <w:color w:val="FF0000"/>
                      <w:u w:val="single" w:color="auto"/>
                    </w:rPr>
                  </w:pPr>
                  <w:r>
                    <w:rPr>
                      <w:rFonts w:hint="default"/>
                      <w:color w:val="FF0000"/>
                      <w:u w:val="single" w:color="auto"/>
                    </w:rPr>
                    <w:t>及分布</w:t>
                  </w:r>
                </w:p>
              </w:tc>
              <w:tc>
                <w:tcPr>
                  <w:tcW w:w="3788" w:type="pct"/>
                  <w:gridSpan w:val="3"/>
                  <w:tcBorders>
                    <w:tl2br w:val="nil"/>
                    <w:tr2bl w:val="nil"/>
                  </w:tcBorders>
                  <w:noWrap w:val="0"/>
                  <w:vAlign w:val="center"/>
                </w:tcPr>
                <w:p>
                  <w:pPr>
                    <w:bidi w:val="0"/>
                    <w:spacing w:line="240" w:lineRule="auto"/>
                    <w:jc w:val="center"/>
                    <w:rPr>
                      <w:rFonts w:hint="default"/>
                      <w:color w:val="FF0000"/>
                      <w:u w:val="single" w:color="auto"/>
                      <w:lang w:val="en-US" w:eastAsia="zh-CN"/>
                    </w:rPr>
                  </w:pPr>
                  <w:r>
                    <w:rPr>
                      <w:rFonts w:hint="eastAsia"/>
                      <w:color w:val="FF0000"/>
                      <w:u w:val="single" w:color="auto"/>
                      <w:lang w:val="en-US" w:eastAsia="zh-CN"/>
                    </w:rPr>
                    <w:t>生产车间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pct"/>
                  <w:tcBorders>
                    <w:tl2br w:val="nil"/>
                    <w:tr2bl w:val="nil"/>
                  </w:tcBorders>
                  <w:noWrap w:val="0"/>
                  <w:vAlign w:val="center"/>
                </w:tcPr>
                <w:p>
                  <w:pPr>
                    <w:bidi w:val="0"/>
                    <w:spacing w:line="240" w:lineRule="auto"/>
                    <w:jc w:val="center"/>
                    <w:rPr>
                      <w:rFonts w:hint="default"/>
                      <w:color w:val="FF0000"/>
                      <w:u w:val="single" w:color="auto"/>
                    </w:rPr>
                  </w:pPr>
                  <w:r>
                    <w:rPr>
                      <w:rFonts w:hint="default"/>
                      <w:color w:val="FF0000"/>
                      <w:u w:val="single" w:color="auto"/>
                    </w:rPr>
                    <w:t>环境影响途径及危害后果(大气、地表水、地下水等)</w:t>
                  </w:r>
                </w:p>
              </w:tc>
              <w:tc>
                <w:tcPr>
                  <w:tcW w:w="3788" w:type="pct"/>
                  <w:gridSpan w:val="3"/>
                  <w:tcBorders>
                    <w:tl2br w:val="nil"/>
                    <w:tr2bl w:val="nil"/>
                  </w:tcBorders>
                  <w:noWrap w:val="0"/>
                  <w:vAlign w:val="center"/>
                </w:tcPr>
                <w:p>
                  <w:pPr>
                    <w:bidi w:val="0"/>
                    <w:spacing w:line="240" w:lineRule="auto"/>
                    <w:jc w:val="center"/>
                    <w:rPr>
                      <w:rFonts w:hint="default"/>
                      <w:color w:val="FF0000"/>
                      <w:u w:val="single" w:color="auto"/>
                      <w:lang w:val="en-US" w:eastAsia="zh-CN"/>
                    </w:rPr>
                  </w:pPr>
                  <w:r>
                    <w:rPr>
                      <w:rFonts w:hint="eastAsia"/>
                      <w:color w:val="FF0000"/>
                      <w:u w:val="single" w:color="auto"/>
                      <w:lang w:val="en-US" w:eastAsia="zh-CN"/>
                    </w:rPr>
                    <w:t>如不做好防范措施，厂区内遇明火导致火灾爆炸，会对周边大气造成影响。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1" w:type="pct"/>
                  <w:tcBorders>
                    <w:tl2br w:val="nil"/>
                    <w:tr2bl w:val="nil"/>
                  </w:tcBorders>
                  <w:noWrap w:val="0"/>
                  <w:vAlign w:val="center"/>
                </w:tcPr>
                <w:p>
                  <w:pPr>
                    <w:bidi w:val="0"/>
                    <w:spacing w:line="240" w:lineRule="auto"/>
                    <w:jc w:val="center"/>
                    <w:rPr>
                      <w:rFonts w:hint="default"/>
                      <w:color w:val="FF0000"/>
                      <w:u w:val="single" w:color="auto"/>
                    </w:rPr>
                  </w:pPr>
                  <w:r>
                    <w:rPr>
                      <w:rFonts w:hint="default"/>
                      <w:color w:val="FF0000"/>
                      <w:u w:val="single" w:color="auto"/>
                    </w:rPr>
                    <w:t>风险防范措施要求</w:t>
                  </w:r>
                </w:p>
              </w:tc>
              <w:tc>
                <w:tcPr>
                  <w:tcW w:w="3788" w:type="pct"/>
                  <w:gridSpan w:val="3"/>
                  <w:tcBorders>
                    <w:tl2br w:val="nil"/>
                    <w:tr2bl w:val="nil"/>
                  </w:tcBorders>
                  <w:noWrap w:val="0"/>
                  <w:vAlign w:val="center"/>
                </w:tcPr>
                <w:p>
                  <w:pPr>
                    <w:bidi w:val="0"/>
                    <w:spacing w:line="240" w:lineRule="auto"/>
                    <w:jc w:val="left"/>
                    <w:rPr>
                      <w:rFonts w:hint="eastAsia"/>
                      <w:color w:val="FF0000"/>
                      <w:u w:val="single" w:color="auto"/>
                      <w:lang w:val="en-US" w:eastAsia="zh-CN"/>
                    </w:rPr>
                  </w:pPr>
                  <w:r>
                    <w:rPr>
                      <w:rFonts w:hint="eastAsia"/>
                      <w:color w:val="FF0000"/>
                      <w:u w:val="single" w:color="auto"/>
                      <w:lang w:val="en-US" w:eastAsia="zh-CN"/>
                    </w:rPr>
                    <w:t xml:space="preserve">①加强职工的环保教育，提高安全防范风险的意识； </w:t>
                  </w:r>
                </w:p>
                <w:p>
                  <w:pPr>
                    <w:bidi w:val="0"/>
                    <w:spacing w:line="240" w:lineRule="auto"/>
                    <w:jc w:val="left"/>
                    <w:rPr>
                      <w:rFonts w:hint="eastAsia"/>
                      <w:color w:val="FF0000"/>
                      <w:u w:val="single" w:color="auto"/>
                      <w:lang w:val="en-US" w:eastAsia="zh-CN"/>
                    </w:rPr>
                  </w:pPr>
                  <w:r>
                    <w:rPr>
                      <w:rFonts w:hint="eastAsia"/>
                      <w:color w:val="FF0000"/>
                      <w:u w:val="single" w:color="auto"/>
                      <w:lang w:val="en-US" w:eastAsia="zh-CN"/>
                    </w:rPr>
                    <w:t xml:space="preserve">②厂区地面进行硬化； </w:t>
                  </w:r>
                </w:p>
                <w:p>
                  <w:pPr>
                    <w:bidi w:val="0"/>
                    <w:spacing w:line="240" w:lineRule="auto"/>
                    <w:jc w:val="left"/>
                    <w:rPr>
                      <w:rFonts w:hint="default"/>
                      <w:color w:val="FF0000"/>
                      <w:u w:val="single" w:color="auto"/>
                      <w:lang w:eastAsia="zh-CN"/>
                    </w:rPr>
                  </w:pPr>
                  <w:r>
                    <w:rPr>
                      <w:rFonts w:hint="eastAsia"/>
                      <w:color w:val="FF0000"/>
                      <w:u w:val="single" w:color="auto"/>
                      <w:lang w:val="en-US" w:eastAsia="zh-CN"/>
                    </w:rPr>
                    <w:t>③建立夜间值班巡查制度</w:t>
                  </w:r>
                  <w:r>
                    <w:rPr>
                      <w:rFonts w:hint="default"/>
                      <w:color w:val="FF0000"/>
                      <w:u w:val="single" w:color="auto"/>
                      <w:lang w:eastAsia="zh-CN"/>
                    </w:rPr>
                    <w:t>。</w:t>
                  </w:r>
                </w:p>
              </w:tc>
            </w:tr>
          </w:tbl>
          <w:p>
            <w:pPr>
              <w:numPr>
                <w:ilvl w:val="0"/>
                <w:numId w:val="0"/>
              </w:numPr>
              <w:adjustRightInd w:val="0"/>
              <w:snapToGrid w:val="0"/>
              <w:spacing w:line="360" w:lineRule="auto"/>
              <w:jc w:val="both"/>
              <w:rPr>
                <w:rFonts w:hint="eastAsia"/>
                <w:vertAlign w:val="baseline"/>
                <w:lang w:val="en-US" w:eastAsia="zh-CN"/>
              </w:rPr>
            </w:pPr>
          </w:p>
          <w:p>
            <w:pPr>
              <w:numPr>
                <w:ilvl w:val="0"/>
                <w:numId w:val="0"/>
              </w:numPr>
              <w:adjustRightInd w:val="0"/>
              <w:snapToGrid w:val="0"/>
              <w:spacing w:line="360" w:lineRule="auto"/>
              <w:jc w:val="both"/>
              <w:rPr>
                <w:rFonts w:hint="default" w:eastAsia="宋体"/>
                <w:vertAlign w:val="baseline"/>
                <w:lang w:val="en-US" w:eastAsia="zh-CN"/>
              </w:rPr>
            </w:pPr>
          </w:p>
        </w:tc>
      </w:tr>
    </w:tbl>
    <w:p>
      <w:pPr>
        <w:rPr>
          <w:rFonts w:hint="eastAsia"/>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12"/>
        <w:jc w:val="center"/>
        <w:outlineLvl w:val="0"/>
        <w:rPr>
          <w:rFonts w:ascii="黑体" w:hAnsi="黑体" w:eastAsia="黑体"/>
          <w:snapToGrid w:val="0"/>
          <w:sz w:val="30"/>
          <w:szCs w:val="30"/>
        </w:rPr>
      </w:pPr>
      <w:r>
        <w:rPr>
          <w:rFonts w:hint="eastAsia" w:ascii="黑体" w:hAnsi="黑体" w:eastAsia="黑体"/>
          <w:snapToGrid w:val="0"/>
          <w:sz w:val="30"/>
          <w:szCs w:val="30"/>
        </w:rPr>
        <w:t>五、</w:t>
      </w:r>
      <w:bookmarkStart w:id="5" w:name="_Hlk54167917"/>
      <w:r>
        <w:rPr>
          <w:rFonts w:hint="eastAsia" w:ascii="黑体" w:hAnsi="黑体" w:eastAsia="黑体"/>
          <w:snapToGrid w:val="0"/>
          <w:sz w:val="30"/>
          <w:szCs w:val="30"/>
        </w:rPr>
        <w:t>环境保护措施监督检查清单</w:t>
      </w:r>
      <w:bookmarkEnd w:id="5"/>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54"/>
        <w:gridCol w:w="1395"/>
        <w:gridCol w:w="2145"/>
        <w:gridCol w:w="1755"/>
        <w:gridCol w:w="20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54" w:type="dxa"/>
            <w:tcBorders>
              <w:tl2br w:val="single" w:color="auto" w:sz="4" w:space="0"/>
            </w:tcBorders>
            <w:noWrap w:val="0"/>
            <w:vAlign w:val="top"/>
          </w:tcPr>
          <w:p>
            <w:pPr>
              <w:adjustRightInd w:val="0"/>
              <w:snapToGrid w:val="0"/>
              <w:jc w:val="right"/>
              <w:rPr>
                <w:rFonts w:hint="eastAsia" w:ascii="宋体" w:hAnsi="宋体" w:cs="宋体"/>
                <w:szCs w:val="21"/>
              </w:rPr>
            </w:pPr>
            <w:r>
              <w:rPr>
                <w:rFonts w:hint="eastAsia" w:ascii="宋体" w:hAnsi="宋体" w:cs="宋体"/>
                <w:szCs w:val="21"/>
              </w:rPr>
              <w:t>内容</w:t>
            </w:r>
          </w:p>
          <w:p>
            <w:pPr>
              <w:adjustRightInd w:val="0"/>
              <w:snapToGrid w:val="0"/>
              <w:rPr>
                <w:rFonts w:hint="eastAsia" w:ascii="宋体" w:hAnsi="宋体" w:cs="宋体"/>
                <w:szCs w:val="21"/>
              </w:rPr>
            </w:pPr>
          </w:p>
          <w:p>
            <w:pPr>
              <w:adjustRightInd w:val="0"/>
              <w:snapToGrid w:val="0"/>
              <w:rPr>
                <w:rFonts w:hint="eastAsia" w:ascii="宋体" w:hAnsi="宋体" w:cs="宋体"/>
                <w:szCs w:val="21"/>
              </w:rPr>
            </w:pPr>
            <w:r>
              <w:rPr>
                <w:rFonts w:hint="eastAsia" w:ascii="宋体" w:hAnsi="宋体" w:cs="宋体"/>
                <w:szCs w:val="21"/>
              </w:rPr>
              <w:t>要素</w:t>
            </w:r>
          </w:p>
        </w:tc>
        <w:tc>
          <w:tcPr>
            <w:tcW w:w="1395"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排放口(编号、名称)/污染源</w:t>
            </w:r>
          </w:p>
        </w:tc>
        <w:tc>
          <w:tcPr>
            <w:tcW w:w="2145"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污染物项目</w:t>
            </w:r>
          </w:p>
        </w:tc>
        <w:tc>
          <w:tcPr>
            <w:tcW w:w="1755"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环境保护措施</w:t>
            </w:r>
          </w:p>
        </w:tc>
        <w:tc>
          <w:tcPr>
            <w:tcW w:w="2051"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8" w:hRule="atLeast"/>
          <w:jc w:val="center"/>
        </w:trPr>
        <w:tc>
          <w:tcPr>
            <w:tcW w:w="1454" w:type="dxa"/>
            <w:vMerge w:val="restart"/>
            <w:noWrap w:val="0"/>
            <w:vAlign w:val="center"/>
          </w:tcPr>
          <w:p>
            <w:pPr>
              <w:adjustRightInd w:val="0"/>
              <w:snapToGrid w:val="0"/>
              <w:jc w:val="center"/>
              <w:rPr>
                <w:rFonts w:hint="eastAsia" w:ascii="宋体" w:hAnsi="宋体" w:cs="宋体"/>
                <w:szCs w:val="21"/>
              </w:rPr>
            </w:pPr>
            <w:r>
              <w:rPr>
                <w:rFonts w:hint="eastAsia" w:ascii="宋体" w:hAnsi="宋体" w:cs="宋体"/>
                <w:szCs w:val="21"/>
              </w:rPr>
              <w:t>大气环境</w:t>
            </w:r>
          </w:p>
        </w:tc>
        <w:tc>
          <w:tcPr>
            <w:tcW w:w="1395" w:type="dxa"/>
            <w:vMerge w:val="restart"/>
            <w:noWrap w:val="0"/>
            <w:vAlign w:val="center"/>
          </w:tcPr>
          <w:p>
            <w:pPr>
              <w:adjustRightInd w:val="0"/>
              <w:snapToGrid w:val="0"/>
              <w:jc w:val="center"/>
              <w:rPr>
                <w:rFonts w:hint="default" w:ascii="宋体" w:hAnsi="宋体" w:eastAsia="宋体" w:cs="宋体"/>
                <w:szCs w:val="21"/>
                <w:lang w:val="en-US" w:eastAsia="zh-CN"/>
              </w:rPr>
            </w:pPr>
            <w:r>
              <w:rPr>
                <w:rFonts w:hint="eastAsia" w:ascii="宋体" w:hAnsi="宋体" w:eastAsia="宋体" w:cs="宋体"/>
                <w:szCs w:val="21"/>
                <w:lang w:val="en-US" w:eastAsia="zh-CN"/>
              </w:rPr>
              <w:t>TA001破碎粉尘排气筒</w:t>
            </w:r>
          </w:p>
        </w:tc>
        <w:tc>
          <w:tcPr>
            <w:tcW w:w="2145"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eastAsia="宋体" w:cs="宋体"/>
                <w:szCs w:val="21"/>
                <w:lang w:val="en-US" w:eastAsia="zh-CN"/>
              </w:rPr>
              <w:t>颗粒物</w:t>
            </w:r>
          </w:p>
        </w:tc>
        <w:tc>
          <w:tcPr>
            <w:tcW w:w="1755" w:type="dxa"/>
            <w:vMerge w:val="restart"/>
            <w:noWrap w:val="0"/>
            <w:vAlign w:val="center"/>
          </w:tcPr>
          <w:p>
            <w:pPr>
              <w:adjustRightInd w:val="0"/>
              <w:snapToGrid w:val="0"/>
              <w:jc w:val="center"/>
              <w:rPr>
                <w:rFonts w:hint="default" w:ascii="宋体" w:hAnsi="宋体" w:eastAsia="宋体" w:cs="宋体"/>
                <w:szCs w:val="21"/>
                <w:lang w:val="en-US" w:eastAsia="zh-CN"/>
              </w:rPr>
            </w:pPr>
            <w:r>
              <w:rPr>
                <w:rFonts w:hint="eastAsia" w:ascii="宋体" w:hAnsi="宋体" w:eastAsia="宋体" w:cs="宋体"/>
                <w:szCs w:val="21"/>
                <w:lang w:val="en-US" w:eastAsia="zh-CN"/>
              </w:rPr>
              <w:t>集气罩+袋式除尘+15m高排气筒</w:t>
            </w:r>
          </w:p>
        </w:tc>
        <w:tc>
          <w:tcPr>
            <w:tcW w:w="2051" w:type="dxa"/>
            <w:vMerge w:val="restart"/>
            <w:noWrap w:val="0"/>
            <w:vAlign w:val="center"/>
          </w:tcPr>
          <w:p>
            <w:pPr>
              <w:adjustRightInd w:val="0"/>
              <w:snapToGrid w:val="0"/>
              <w:jc w:val="center"/>
              <w:rPr>
                <w:rFonts w:hint="eastAsia" w:ascii="宋体" w:hAnsi="宋体" w:cs="宋体"/>
                <w:szCs w:val="21"/>
              </w:rPr>
            </w:pPr>
            <w:r>
              <w:rPr>
                <w:rFonts w:hint="eastAsia" w:ascii="宋体" w:hAnsi="宋体" w:cs="宋体"/>
                <w:szCs w:val="21"/>
              </w:rPr>
              <w:t>《合成树脂工业污染物排放标准》（GB31572-2015）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54" w:type="dxa"/>
            <w:vMerge w:val="continue"/>
            <w:noWrap w:val="0"/>
            <w:vAlign w:val="center"/>
          </w:tcPr>
          <w:p>
            <w:pPr>
              <w:adjustRightInd w:val="0"/>
              <w:snapToGrid w:val="0"/>
              <w:jc w:val="center"/>
              <w:rPr>
                <w:rFonts w:hint="eastAsia" w:ascii="宋体" w:hAnsi="宋体" w:cs="宋体"/>
                <w:szCs w:val="21"/>
              </w:rPr>
            </w:pPr>
          </w:p>
        </w:tc>
        <w:tc>
          <w:tcPr>
            <w:tcW w:w="1395" w:type="dxa"/>
            <w:noWrap w:val="0"/>
            <w:vAlign w:val="center"/>
          </w:tcPr>
          <w:p>
            <w:pPr>
              <w:adjustRightInd w:val="0"/>
              <w:snapToGrid w:val="0"/>
              <w:jc w:val="center"/>
              <w:rPr>
                <w:rFonts w:hint="eastAsia" w:ascii="宋体" w:hAnsi="宋体" w:eastAsia="宋体" w:cs="宋体"/>
                <w:kern w:val="2"/>
                <w:sz w:val="21"/>
                <w:szCs w:val="21"/>
                <w:lang w:val="en-US" w:eastAsia="zh-CN" w:bidi="ar-SA"/>
              </w:rPr>
            </w:pPr>
            <w:r>
              <w:rPr>
                <w:rFonts w:hint="eastAsia" w:ascii="宋体" w:hAnsi="宋体" w:cs="宋体"/>
                <w:szCs w:val="21"/>
                <w:lang w:val="en-US" w:eastAsia="zh-CN"/>
              </w:rPr>
              <w:t>TA002挥发性有机物排气筒</w:t>
            </w:r>
          </w:p>
        </w:tc>
        <w:tc>
          <w:tcPr>
            <w:tcW w:w="2145" w:type="dxa"/>
            <w:noWrap w:val="0"/>
            <w:vAlign w:val="center"/>
          </w:tcPr>
          <w:p>
            <w:pPr>
              <w:adjustRightInd w:val="0"/>
              <w:snapToGrid w:val="0"/>
              <w:jc w:val="center"/>
              <w:rPr>
                <w:rFonts w:hint="eastAsia" w:ascii="宋体" w:hAnsi="宋体" w:cs="宋体"/>
                <w:szCs w:val="21"/>
                <w:lang w:val="en-US" w:eastAsia="zh-CN"/>
              </w:rPr>
            </w:pPr>
            <w:r>
              <w:rPr>
                <w:rFonts w:hint="eastAsia" w:ascii="宋体" w:hAnsi="宋体" w:cs="宋体"/>
                <w:szCs w:val="21"/>
                <w:lang w:val="en-US" w:eastAsia="zh-CN"/>
              </w:rPr>
              <w:t>挥发性有机物</w:t>
            </w:r>
          </w:p>
          <w:p>
            <w:pPr>
              <w:adjustRightInd w:val="0"/>
              <w:snapToGrid w:val="0"/>
              <w:jc w:val="center"/>
              <w:rPr>
                <w:rFonts w:hint="eastAsia" w:ascii="宋体" w:hAnsi="宋体" w:eastAsia="宋体" w:cs="宋体"/>
                <w:kern w:val="2"/>
                <w:sz w:val="21"/>
                <w:szCs w:val="21"/>
                <w:lang w:val="en-US" w:eastAsia="zh-CN" w:bidi="ar-SA"/>
              </w:rPr>
            </w:pPr>
            <w:r>
              <w:rPr>
                <w:rFonts w:hint="eastAsia" w:ascii="宋体" w:hAnsi="宋体" w:cs="宋体"/>
                <w:szCs w:val="21"/>
                <w:lang w:val="en-US" w:eastAsia="zh-CN"/>
              </w:rPr>
              <w:t>（以非甲烷总烃计）</w:t>
            </w:r>
          </w:p>
        </w:tc>
        <w:tc>
          <w:tcPr>
            <w:tcW w:w="1755" w:type="dxa"/>
            <w:noWrap w:val="0"/>
            <w:vAlign w:val="center"/>
          </w:tcPr>
          <w:p>
            <w:pPr>
              <w:adjustRightInd w:val="0"/>
              <w:snapToGrid w:val="0"/>
              <w:jc w:val="center"/>
              <w:rPr>
                <w:rFonts w:hint="eastAsia" w:ascii="宋体" w:hAnsi="宋体" w:eastAsia="宋体" w:cs="宋体"/>
                <w:kern w:val="2"/>
                <w:sz w:val="21"/>
                <w:szCs w:val="21"/>
                <w:lang w:val="en-US" w:eastAsia="zh-CN" w:bidi="ar-SA"/>
              </w:rPr>
            </w:pPr>
            <w:r>
              <w:rPr>
                <w:rFonts w:hint="eastAsia" w:ascii="宋体" w:hAnsi="宋体" w:cs="宋体"/>
                <w:szCs w:val="21"/>
                <w:lang w:val="en-US" w:eastAsia="zh-CN"/>
              </w:rPr>
              <w:t>UV光解催化氧化+活性炭+15m高排气筒</w:t>
            </w:r>
          </w:p>
        </w:tc>
        <w:tc>
          <w:tcPr>
            <w:tcW w:w="2051" w:type="dxa"/>
            <w:vMerge w:val="continue"/>
            <w:noWrap w:val="0"/>
            <w:vAlign w:val="center"/>
          </w:tcPr>
          <w:p>
            <w:pPr>
              <w:adjustRightInd w:val="0"/>
              <w:snapToGrid w:val="0"/>
              <w:jc w:val="center"/>
              <w:rPr>
                <w:rFonts w:hint="eastAsia" w:ascii="宋体" w:hAnsi="宋体" w:cs="宋体"/>
                <w:szCs w:val="21"/>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54" w:type="dxa"/>
            <w:vMerge w:val="restart"/>
            <w:noWrap w:val="0"/>
            <w:vAlign w:val="center"/>
          </w:tcPr>
          <w:p>
            <w:pPr>
              <w:adjustRightInd w:val="0"/>
              <w:snapToGrid w:val="0"/>
              <w:jc w:val="center"/>
              <w:rPr>
                <w:rFonts w:hint="eastAsia" w:ascii="宋体" w:hAnsi="宋体" w:cs="宋体"/>
                <w:szCs w:val="21"/>
              </w:rPr>
            </w:pPr>
            <w:r>
              <w:rPr>
                <w:rFonts w:hint="eastAsia" w:ascii="宋体" w:hAnsi="宋体" w:cs="宋体"/>
                <w:szCs w:val="21"/>
              </w:rPr>
              <w:t>地表水环境</w:t>
            </w:r>
          </w:p>
        </w:tc>
        <w:tc>
          <w:tcPr>
            <w:tcW w:w="1395" w:type="dxa"/>
            <w:vMerge w:val="restart"/>
            <w:noWrap w:val="0"/>
            <w:vAlign w:val="center"/>
          </w:tcPr>
          <w:p>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DW001废水总排口</w:t>
            </w:r>
          </w:p>
        </w:tc>
        <w:tc>
          <w:tcPr>
            <w:tcW w:w="2145" w:type="dxa"/>
            <w:noWrap w:val="0"/>
            <w:vAlign w:val="center"/>
          </w:tcPr>
          <w:p>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COD</w:t>
            </w:r>
            <w:r>
              <w:rPr>
                <w:rFonts w:hint="eastAsia" w:ascii="宋体" w:hAnsi="宋体" w:cs="宋体"/>
                <w:szCs w:val="21"/>
                <w:vertAlign w:val="subscript"/>
                <w:lang w:val="en-US" w:eastAsia="zh-CN"/>
              </w:rPr>
              <w:t>Cr</w:t>
            </w:r>
          </w:p>
        </w:tc>
        <w:tc>
          <w:tcPr>
            <w:tcW w:w="1755" w:type="dxa"/>
            <w:vMerge w:val="restart"/>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化粪池</w:t>
            </w:r>
          </w:p>
        </w:tc>
        <w:tc>
          <w:tcPr>
            <w:tcW w:w="2051" w:type="dxa"/>
            <w:noWrap w:val="0"/>
            <w:vAlign w:val="center"/>
          </w:tcPr>
          <w:p>
            <w:pPr>
              <w:adjustRightInd w:val="0"/>
              <w:snapToGrid w:val="0"/>
              <w:jc w:val="center"/>
              <w:rPr>
                <w:rFonts w:hint="eastAsia" w:ascii="宋体" w:hAnsi="宋体" w:cs="宋体"/>
                <w:szCs w:val="21"/>
              </w:rPr>
            </w:pPr>
            <w:r>
              <w:rPr>
                <w:rFonts w:hint="eastAsia" w:ascii="宋体" w:hAnsi="宋体" w:cs="宋体"/>
                <w:szCs w:val="21"/>
                <w:lang w:eastAsia="zh-CN"/>
              </w:rPr>
              <w:t>《</w:t>
            </w:r>
            <w:r>
              <w:rPr>
                <w:rFonts w:hint="eastAsia" w:ascii="宋体" w:hAnsi="宋体" w:cs="宋体"/>
                <w:szCs w:val="21"/>
                <w:lang w:val="en-US" w:eastAsia="zh-CN"/>
              </w:rPr>
              <w:t>污水综合排放标准</w:t>
            </w:r>
            <w:r>
              <w:rPr>
                <w:rFonts w:hint="eastAsia" w:ascii="宋体" w:hAnsi="宋体" w:cs="宋体"/>
                <w:szCs w:val="21"/>
                <w:lang w:eastAsia="zh-CN"/>
              </w:rPr>
              <w:t>》（</w:t>
            </w:r>
            <w:r>
              <w:rPr>
                <w:rFonts w:hint="eastAsia" w:ascii="宋体" w:hAnsi="宋体" w:cs="宋体"/>
                <w:szCs w:val="21"/>
                <w:lang w:val="en-US" w:eastAsia="zh-CN"/>
              </w:rPr>
              <w:t>GB8978-1996</w:t>
            </w:r>
            <w:r>
              <w:rPr>
                <w:rFonts w:hint="eastAsia" w:ascii="宋体" w:hAnsi="宋体" w:cs="宋体"/>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54" w:type="dxa"/>
            <w:vMerge w:val="continue"/>
            <w:noWrap w:val="0"/>
            <w:vAlign w:val="center"/>
          </w:tcPr>
          <w:p>
            <w:pPr>
              <w:adjustRightInd w:val="0"/>
              <w:snapToGrid w:val="0"/>
              <w:jc w:val="center"/>
              <w:rPr>
                <w:rFonts w:hint="eastAsia" w:ascii="宋体" w:hAnsi="宋体" w:cs="宋体"/>
                <w:szCs w:val="21"/>
              </w:rPr>
            </w:pPr>
          </w:p>
        </w:tc>
        <w:tc>
          <w:tcPr>
            <w:tcW w:w="1395" w:type="dxa"/>
            <w:vMerge w:val="continue"/>
            <w:noWrap w:val="0"/>
            <w:vAlign w:val="center"/>
          </w:tcPr>
          <w:p>
            <w:pPr>
              <w:adjustRightInd w:val="0"/>
              <w:snapToGrid w:val="0"/>
              <w:jc w:val="center"/>
              <w:rPr>
                <w:rFonts w:hint="eastAsia" w:ascii="宋体" w:hAnsi="宋体" w:cs="宋体"/>
                <w:szCs w:val="21"/>
              </w:rPr>
            </w:pPr>
          </w:p>
        </w:tc>
        <w:tc>
          <w:tcPr>
            <w:tcW w:w="2145" w:type="dxa"/>
            <w:noWrap w:val="0"/>
            <w:vAlign w:val="center"/>
          </w:tcPr>
          <w:p>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SS</w:t>
            </w:r>
          </w:p>
        </w:tc>
        <w:tc>
          <w:tcPr>
            <w:tcW w:w="1755" w:type="dxa"/>
            <w:vMerge w:val="continue"/>
            <w:noWrap w:val="0"/>
            <w:vAlign w:val="center"/>
          </w:tcPr>
          <w:p>
            <w:pPr>
              <w:adjustRightInd w:val="0"/>
              <w:snapToGrid w:val="0"/>
              <w:jc w:val="center"/>
              <w:rPr>
                <w:rFonts w:hint="eastAsia" w:ascii="宋体" w:hAnsi="宋体" w:cs="宋体"/>
                <w:szCs w:val="21"/>
              </w:rPr>
            </w:pPr>
          </w:p>
        </w:tc>
        <w:tc>
          <w:tcPr>
            <w:tcW w:w="2051" w:type="dxa"/>
            <w:noWrap w:val="0"/>
            <w:vAlign w:val="center"/>
          </w:tcPr>
          <w:p>
            <w:pPr>
              <w:adjustRightInd w:val="0"/>
              <w:snapToGrid w:val="0"/>
              <w:jc w:val="center"/>
              <w:rPr>
                <w:rFonts w:hint="eastAsia" w:ascii="宋体" w:hAnsi="宋体" w:cs="宋体"/>
                <w:szCs w:val="21"/>
              </w:rPr>
            </w:pPr>
            <w:r>
              <w:rPr>
                <w:rFonts w:hint="eastAsia" w:ascii="宋体" w:hAnsi="宋体" w:cs="宋体"/>
                <w:szCs w:val="21"/>
                <w:lang w:eastAsia="zh-CN"/>
              </w:rPr>
              <w:t>《</w:t>
            </w:r>
            <w:r>
              <w:rPr>
                <w:rFonts w:hint="eastAsia" w:ascii="宋体" w:hAnsi="宋体" w:cs="宋体"/>
                <w:szCs w:val="21"/>
                <w:lang w:val="en-US" w:eastAsia="zh-CN"/>
              </w:rPr>
              <w:t>污水综合排放标准</w:t>
            </w:r>
            <w:r>
              <w:rPr>
                <w:rFonts w:hint="eastAsia" w:ascii="宋体" w:hAnsi="宋体" w:cs="宋体"/>
                <w:szCs w:val="21"/>
                <w:lang w:eastAsia="zh-CN"/>
              </w:rPr>
              <w:t>》（</w:t>
            </w:r>
            <w:r>
              <w:rPr>
                <w:rFonts w:hint="eastAsia" w:ascii="宋体" w:hAnsi="宋体" w:cs="宋体"/>
                <w:szCs w:val="21"/>
                <w:lang w:val="en-US" w:eastAsia="zh-CN"/>
              </w:rPr>
              <w:t>GB8978-1996</w:t>
            </w:r>
            <w:r>
              <w:rPr>
                <w:rFonts w:hint="eastAsia" w:ascii="宋体" w:hAnsi="宋体" w:cs="宋体"/>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54" w:type="dxa"/>
            <w:vMerge w:val="continue"/>
            <w:noWrap w:val="0"/>
            <w:vAlign w:val="center"/>
          </w:tcPr>
          <w:p>
            <w:pPr>
              <w:adjustRightInd w:val="0"/>
              <w:snapToGrid w:val="0"/>
              <w:jc w:val="center"/>
              <w:rPr>
                <w:rFonts w:hint="eastAsia" w:ascii="宋体" w:hAnsi="宋体" w:cs="宋体"/>
                <w:szCs w:val="21"/>
              </w:rPr>
            </w:pPr>
          </w:p>
        </w:tc>
        <w:tc>
          <w:tcPr>
            <w:tcW w:w="1395" w:type="dxa"/>
            <w:vMerge w:val="continue"/>
            <w:noWrap w:val="0"/>
            <w:vAlign w:val="center"/>
          </w:tcPr>
          <w:p>
            <w:pPr>
              <w:adjustRightInd w:val="0"/>
              <w:snapToGrid w:val="0"/>
              <w:jc w:val="center"/>
              <w:rPr>
                <w:rFonts w:hint="eastAsia" w:ascii="宋体" w:hAnsi="宋体" w:cs="宋体"/>
                <w:szCs w:val="21"/>
              </w:rPr>
            </w:pPr>
          </w:p>
        </w:tc>
        <w:tc>
          <w:tcPr>
            <w:tcW w:w="2145" w:type="dxa"/>
            <w:noWrap w:val="0"/>
            <w:vAlign w:val="center"/>
          </w:tcPr>
          <w:p>
            <w:pPr>
              <w:adjustRightInd w:val="0"/>
              <w:snapToGrid w:val="0"/>
              <w:jc w:val="center"/>
              <w:rPr>
                <w:rFonts w:hint="eastAsia" w:ascii="宋体" w:hAnsi="宋体" w:cs="宋体"/>
                <w:szCs w:val="21"/>
              </w:rPr>
            </w:pPr>
            <w:r>
              <w:rPr>
                <w:rFonts w:hint="eastAsia" w:ascii="宋体" w:hAnsi="宋体" w:cs="宋体"/>
                <w:szCs w:val="21"/>
                <w:lang w:val="en-US" w:eastAsia="zh-CN"/>
              </w:rPr>
              <w:t>NH</w:t>
            </w:r>
            <w:r>
              <w:rPr>
                <w:rFonts w:hint="eastAsia" w:ascii="宋体" w:hAnsi="宋体" w:cs="宋体"/>
                <w:szCs w:val="21"/>
                <w:vertAlign w:val="subscript"/>
                <w:lang w:val="en-US" w:eastAsia="zh-CN"/>
              </w:rPr>
              <w:t>3</w:t>
            </w:r>
            <w:r>
              <w:rPr>
                <w:rFonts w:hint="eastAsia" w:ascii="宋体" w:hAnsi="宋体" w:cs="宋体"/>
                <w:szCs w:val="21"/>
                <w:lang w:val="en-US" w:eastAsia="zh-CN"/>
              </w:rPr>
              <w:t>-N</w:t>
            </w:r>
          </w:p>
        </w:tc>
        <w:tc>
          <w:tcPr>
            <w:tcW w:w="1755" w:type="dxa"/>
            <w:vMerge w:val="continue"/>
            <w:noWrap w:val="0"/>
            <w:vAlign w:val="center"/>
          </w:tcPr>
          <w:p>
            <w:pPr>
              <w:adjustRightInd w:val="0"/>
              <w:snapToGrid w:val="0"/>
              <w:jc w:val="center"/>
              <w:rPr>
                <w:rFonts w:hint="eastAsia" w:ascii="宋体" w:hAnsi="宋体" w:cs="宋体"/>
                <w:szCs w:val="21"/>
              </w:rPr>
            </w:pPr>
          </w:p>
        </w:tc>
        <w:tc>
          <w:tcPr>
            <w:tcW w:w="2051" w:type="dxa"/>
            <w:noWrap w:val="0"/>
            <w:vAlign w:val="center"/>
          </w:tcPr>
          <w:p>
            <w:pPr>
              <w:adjustRightInd w:val="0"/>
              <w:snapToGrid w:val="0"/>
              <w:jc w:val="center"/>
              <w:rPr>
                <w:rFonts w:hint="eastAsia" w:ascii="宋体" w:hAnsi="宋体" w:cs="宋体"/>
                <w:szCs w:val="21"/>
              </w:rPr>
            </w:pPr>
            <w:r>
              <w:rPr>
                <w:rFonts w:hint="eastAsia" w:ascii="宋体" w:hAnsi="宋体" w:cs="宋体"/>
                <w:szCs w:val="21"/>
                <w:lang w:eastAsia="zh-CN"/>
              </w:rPr>
              <w:t>《</w:t>
            </w:r>
            <w:r>
              <w:rPr>
                <w:rFonts w:hint="eastAsia" w:ascii="宋体" w:hAnsi="宋体" w:cs="宋体"/>
                <w:szCs w:val="21"/>
                <w:lang w:val="en-US" w:eastAsia="zh-CN"/>
              </w:rPr>
              <w:t>污水排入城镇下水道水质标准</w:t>
            </w:r>
            <w:r>
              <w:rPr>
                <w:rFonts w:hint="eastAsia" w:ascii="宋体" w:hAnsi="宋体" w:cs="宋体"/>
                <w:szCs w:val="21"/>
                <w:lang w:eastAsia="zh-CN"/>
              </w:rPr>
              <w:t>》（</w:t>
            </w:r>
            <w:r>
              <w:rPr>
                <w:rFonts w:hint="eastAsia" w:ascii="宋体" w:hAnsi="宋体" w:cs="宋体"/>
                <w:szCs w:val="21"/>
                <w:lang w:val="en-US" w:eastAsia="zh-CN"/>
              </w:rPr>
              <w:t>GB/T31962-2015</w:t>
            </w:r>
            <w:r>
              <w:rPr>
                <w:rFonts w:hint="eastAsia" w:ascii="宋体" w:hAnsi="宋体" w:cs="宋体"/>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5" w:hRule="atLeast"/>
          <w:jc w:val="center"/>
        </w:trPr>
        <w:tc>
          <w:tcPr>
            <w:tcW w:w="1454" w:type="dxa"/>
            <w:vMerge w:val="restart"/>
            <w:noWrap w:val="0"/>
            <w:vAlign w:val="center"/>
          </w:tcPr>
          <w:p>
            <w:pPr>
              <w:adjustRightInd w:val="0"/>
              <w:snapToGrid w:val="0"/>
              <w:jc w:val="center"/>
              <w:rPr>
                <w:rFonts w:hint="eastAsia" w:ascii="宋体" w:hAnsi="宋体" w:cs="宋体"/>
                <w:szCs w:val="21"/>
              </w:rPr>
            </w:pPr>
            <w:r>
              <w:rPr>
                <w:rFonts w:hint="eastAsia" w:ascii="宋体" w:hAnsi="宋体" w:cs="宋体"/>
                <w:szCs w:val="21"/>
              </w:rPr>
              <w:t>声环境</w:t>
            </w:r>
          </w:p>
        </w:tc>
        <w:tc>
          <w:tcPr>
            <w:tcW w:w="1395"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生产设备</w:t>
            </w:r>
          </w:p>
        </w:tc>
        <w:tc>
          <w:tcPr>
            <w:tcW w:w="2145" w:type="dxa"/>
            <w:noWrap w:val="0"/>
            <w:vAlign w:val="center"/>
          </w:tcPr>
          <w:p>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连续等效A 声级</w:t>
            </w:r>
          </w:p>
        </w:tc>
        <w:tc>
          <w:tcPr>
            <w:tcW w:w="1755"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优化布局，采取隔音、 减振等措施，做好设备的维护保养工作</w:t>
            </w:r>
          </w:p>
        </w:tc>
        <w:tc>
          <w:tcPr>
            <w:tcW w:w="2051" w:type="dxa"/>
            <w:noWrap w:val="0"/>
            <w:vAlign w:val="center"/>
          </w:tcPr>
          <w:p>
            <w:pPr>
              <w:adjustRightInd w:val="0"/>
              <w:snapToGrid w:val="0"/>
              <w:jc w:val="center"/>
              <w:rPr>
                <w:rFonts w:hint="eastAsia" w:ascii="宋体" w:hAnsi="宋体" w:cs="宋体"/>
                <w:szCs w:val="21"/>
              </w:rPr>
            </w:pPr>
            <w:r>
              <w:rPr>
                <w:rFonts w:hint="eastAsia" w:ascii="宋体" w:hAnsi="宋体" w:cs="宋体"/>
                <w:szCs w:val="21"/>
                <w:lang w:eastAsia="zh-CN"/>
              </w:rPr>
              <w:t>《</w:t>
            </w:r>
            <w:r>
              <w:rPr>
                <w:rFonts w:hint="eastAsia" w:ascii="宋体" w:hAnsi="宋体" w:cs="宋体"/>
                <w:szCs w:val="21"/>
                <w:lang w:val="en-US" w:eastAsia="zh-CN"/>
              </w:rPr>
              <w:t>工业企业厂界环境噪声排放标准</w:t>
            </w:r>
            <w:r>
              <w:rPr>
                <w:rFonts w:hint="eastAsia" w:ascii="宋体" w:hAnsi="宋体" w:cs="宋体"/>
                <w:szCs w:val="21"/>
                <w:lang w:eastAsia="zh-CN"/>
              </w:rPr>
              <w:t>》（</w:t>
            </w:r>
            <w:r>
              <w:rPr>
                <w:rFonts w:hint="eastAsia" w:ascii="宋体" w:hAnsi="宋体" w:cs="宋体"/>
                <w:szCs w:val="21"/>
                <w:lang w:val="en-US" w:eastAsia="zh-CN"/>
              </w:rPr>
              <w:t>GB12348-2008</w:t>
            </w:r>
            <w:r>
              <w:rPr>
                <w:rFonts w:hint="eastAsia" w:ascii="宋体" w:hAnsi="宋体" w:cs="宋体"/>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54" w:type="dxa"/>
            <w:vMerge w:val="restart"/>
            <w:noWrap w:val="0"/>
            <w:vAlign w:val="center"/>
          </w:tcPr>
          <w:p>
            <w:pPr>
              <w:adjustRightInd w:val="0"/>
              <w:snapToGrid w:val="0"/>
              <w:jc w:val="center"/>
              <w:rPr>
                <w:rFonts w:hint="eastAsia" w:ascii="宋体" w:hAnsi="宋体" w:cs="宋体"/>
                <w:szCs w:val="21"/>
              </w:rPr>
            </w:pPr>
            <w:r>
              <w:rPr>
                <w:rFonts w:hint="eastAsia" w:ascii="宋体" w:hAnsi="宋体" w:cs="宋体"/>
                <w:szCs w:val="21"/>
              </w:rPr>
              <w:t>电磁辐射</w:t>
            </w:r>
          </w:p>
        </w:tc>
        <w:tc>
          <w:tcPr>
            <w:tcW w:w="1395"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c>
          <w:tcPr>
            <w:tcW w:w="2145"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c>
          <w:tcPr>
            <w:tcW w:w="1755"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c>
          <w:tcPr>
            <w:tcW w:w="2051"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54" w:type="dxa"/>
            <w:vMerge w:val="continue"/>
            <w:noWrap w:val="0"/>
            <w:vAlign w:val="center"/>
          </w:tcPr>
          <w:p>
            <w:pPr>
              <w:adjustRightInd w:val="0"/>
              <w:snapToGrid w:val="0"/>
              <w:jc w:val="center"/>
              <w:rPr>
                <w:rFonts w:hint="eastAsia" w:ascii="宋体" w:hAnsi="宋体" w:cs="宋体"/>
                <w:szCs w:val="21"/>
              </w:rPr>
            </w:pPr>
          </w:p>
        </w:tc>
        <w:tc>
          <w:tcPr>
            <w:tcW w:w="1395"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c>
          <w:tcPr>
            <w:tcW w:w="2145"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c>
          <w:tcPr>
            <w:tcW w:w="1755"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c>
          <w:tcPr>
            <w:tcW w:w="2051"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54" w:type="dxa"/>
            <w:vMerge w:val="continue"/>
            <w:noWrap w:val="0"/>
            <w:vAlign w:val="center"/>
          </w:tcPr>
          <w:p>
            <w:pPr>
              <w:adjustRightInd w:val="0"/>
              <w:snapToGrid w:val="0"/>
              <w:jc w:val="center"/>
              <w:rPr>
                <w:rFonts w:hint="eastAsia" w:ascii="宋体" w:hAnsi="宋体" w:cs="宋体"/>
                <w:szCs w:val="21"/>
              </w:rPr>
            </w:pPr>
          </w:p>
        </w:tc>
        <w:tc>
          <w:tcPr>
            <w:tcW w:w="1395"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c>
          <w:tcPr>
            <w:tcW w:w="2145"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c>
          <w:tcPr>
            <w:tcW w:w="1755"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c>
          <w:tcPr>
            <w:tcW w:w="2051"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1" w:hRule="atLeast"/>
          <w:jc w:val="center"/>
        </w:trPr>
        <w:tc>
          <w:tcPr>
            <w:tcW w:w="1454"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固体废物</w:t>
            </w:r>
          </w:p>
        </w:tc>
        <w:tc>
          <w:tcPr>
            <w:tcW w:w="7346" w:type="dxa"/>
            <w:gridSpan w:val="4"/>
            <w:noWrap w:val="0"/>
            <w:vAlign w:val="center"/>
          </w:tcPr>
          <w:p>
            <w:pPr>
              <w:adjustRightInd w:val="0"/>
              <w:snapToGrid w:val="0"/>
              <w:jc w:val="center"/>
              <w:rPr>
                <w:rFonts w:hint="eastAsia" w:ascii="宋体" w:hAnsi="宋体" w:cs="宋体"/>
                <w:szCs w:val="21"/>
              </w:rPr>
            </w:pPr>
            <w:r>
              <w:rPr>
                <w:rFonts w:hint="eastAsia" w:ascii="宋体" w:hAnsi="宋体" w:cs="宋体"/>
                <w:szCs w:val="21"/>
              </w:rPr>
              <w:t>生活垃圾设置垃圾桶分类收集，交环卫部门处理。一般固废综合回收利用。</w:t>
            </w:r>
          </w:p>
          <w:p>
            <w:pPr>
              <w:adjustRightInd w:val="0"/>
              <w:snapToGrid w:val="0"/>
              <w:jc w:val="center"/>
              <w:rPr>
                <w:rFonts w:hint="eastAsia" w:ascii="宋体" w:hAnsi="宋体" w:cs="宋体"/>
                <w:szCs w:val="21"/>
              </w:rPr>
            </w:pPr>
            <w:r>
              <w:rPr>
                <w:rFonts w:hint="eastAsia" w:ascii="宋体" w:hAnsi="宋体" w:cs="宋体"/>
                <w:szCs w:val="21"/>
              </w:rPr>
              <w:t>危废于危废暂存间内暂存，定期委托有资质的单位处置。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6" w:hRule="atLeast"/>
          <w:jc w:val="center"/>
        </w:trPr>
        <w:tc>
          <w:tcPr>
            <w:tcW w:w="1454"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土壤及地下水污染防治措施</w:t>
            </w:r>
          </w:p>
        </w:tc>
        <w:tc>
          <w:tcPr>
            <w:tcW w:w="7346" w:type="dxa"/>
            <w:gridSpan w:val="4"/>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454"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生态保护</w:t>
            </w:r>
          </w:p>
          <w:p>
            <w:pPr>
              <w:adjustRightInd w:val="0"/>
              <w:snapToGrid w:val="0"/>
              <w:jc w:val="center"/>
              <w:rPr>
                <w:rFonts w:hint="eastAsia" w:ascii="宋体" w:hAnsi="宋体" w:cs="宋体"/>
                <w:szCs w:val="21"/>
              </w:rPr>
            </w:pPr>
            <w:r>
              <w:rPr>
                <w:rFonts w:hint="eastAsia" w:ascii="宋体" w:hAnsi="宋体" w:cs="宋体"/>
                <w:szCs w:val="21"/>
              </w:rPr>
              <w:t>措施</w:t>
            </w:r>
          </w:p>
        </w:tc>
        <w:tc>
          <w:tcPr>
            <w:tcW w:w="7346" w:type="dxa"/>
            <w:gridSpan w:val="4"/>
            <w:noWrap w:val="0"/>
            <w:vAlign w:val="center"/>
          </w:tcPr>
          <w:p>
            <w:pPr>
              <w:adjustRightInd w:val="0"/>
              <w:snapToGrid w:val="0"/>
              <w:jc w:val="center"/>
              <w:rPr>
                <w:rFonts w:hint="eastAsia" w:ascii="宋体" w:hAnsi="宋体" w:cs="宋体"/>
                <w:szCs w:val="21"/>
              </w:rPr>
            </w:pPr>
            <w:r>
              <w:rPr>
                <w:rFonts w:hint="eastAsia" w:ascii="宋体" w:hAnsi="宋体" w:cs="宋体"/>
                <w:szCs w:val="21"/>
              </w:rPr>
              <w:t>加强环保设施的维护，使污染物稳定达标排放。加强固体废物管理，避免</w:t>
            </w:r>
          </w:p>
          <w:p>
            <w:pPr>
              <w:adjustRightInd w:val="0"/>
              <w:snapToGrid w:val="0"/>
              <w:jc w:val="center"/>
              <w:rPr>
                <w:rFonts w:hint="eastAsia" w:ascii="宋体" w:hAnsi="宋体" w:cs="宋体"/>
                <w:szCs w:val="21"/>
              </w:rPr>
            </w:pPr>
            <w:r>
              <w:rPr>
                <w:rFonts w:hint="eastAsia" w:ascii="宋体" w:hAnsi="宋体" w:cs="宋体"/>
                <w:szCs w:val="21"/>
              </w:rPr>
              <w:t>对周边生态产生不利影响。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1454" w:type="dxa"/>
            <w:noWrap w:val="0"/>
            <w:vAlign w:val="center"/>
          </w:tcPr>
          <w:p>
            <w:pPr>
              <w:adjustRightInd w:val="0"/>
              <w:snapToGrid w:val="0"/>
              <w:jc w:val="center"/>
              <w:rPr>
                <w:rFonts w:ascii="宋体" w:hAnsi="宋体" w:cs="宋体"/>
                <w:spacing w:val="-8"/>
                <w:szCs w:val="21"/>
              </w:rPr>
            </w:pPr>
            <w:r>
              <w:rPr>
                <w:rFonts w:hint="eastAsia" w:ascii="宋体" w:hAnsi="宋体" w:cs="宋体"/>
                <w:spacing w:val="-8"/>
                <w:szCs w:val="21"/>
              </w:rPr>
              <w:t>环境风险</w:t>
            </w:r>
          </w:p>
          <w:p>
            <w:pPr>
              <w:adjustRightInd w:val="0"/>
              <w:snapToGrid w:val="0"/>
              <w:jc w:val="center"/>
              <w:rPr>
                <w:rFonts w:hint="eastAsia" w:ascii="宋体" w:hAnsi="宋体" w:cs="宋体"/>
                <w:spacing w:val="-8"/>
                <w:szCs w:val="21"/>
              </w:rPr>
            </w:pPr>
            <w:r>
              <w:rPr>
                <w:rFonts w:hint="eastAsia" w:ascii="宋体" w:hAnsi="宋体" w:cs="宋体"/>
                <w:spacing w:val="-8"/>
                <w:szCs w:val="21"/>
              </w:rPr>
              <w:t>防范措施</w:t>
            </w:r>
          </w:p>
        </w:tc>
        <w:tc>
          <w:tcPr>
            <w:tcW w:w="7346" w:type="dxa"/>
            <w:gridSpan w:val="4"/>
            <w:noWrap w:val="0"/>
            <w:vAlign w:val="center"/>
          </w:tcPr>
          <w:p>
            <w:pPr>
              <w:adjustRightInd w:val="0"/>
              <w:snapToGrid w:val="0"/>
              <w:jc w:val="left"/>
              <w:rPr>
                <w:rFonts w:hint="eastAsia" w:ascii="宋体" w:hAnsi="宋体" w:cs="宋体"/>
                <w:szCs w:val="21"/>
              </w:rPr>
            </w:pPr>
            <w:r>
              <w:rPr>
                <w:rFonts w:hint="eastAsia" w:ascii="宋体" w:hAnsi="宋体" w:cs="宋体"/>
                <w:szCs w:val="21"/>
              </w:rPr>
              <w:t>1）设置安全生产管理机构或配备专职安全生产管理人员。</w:t>
            </w:r>
          </w:p>
          <w:p>
            <w:pPr>
              <w:adjustRightInd w:val="0"/>
              <w:snapToGrid w:val="0"/>
              <w:jc w:val="left"/>
              <w:rPr>
                <w:rFonts w:hint="eastAsia" w:ascii="宋体" w:hAnsi="宋体" w:cs="宋体"/>
                <w:szCs w:val="21"/>
              </w:rPr>
            </w:pPr>
            <w:r>
              <w:rPr>
                <w:rFonts w:hint="eastAsia" w:ascii="宋体" w:hAnsi="宋体" w:cs="宋体"/>
                <w:szCs w:val="21"/>
              </w:rPr>
              <w:t>2）建立健全各岗位安全生产责任制、安全操作规程及其他各项规章制度</w:t>
            </w:r>
            <w:r>
              <w:rPr>
                <w:rFonts w:hint="eastAsia" w:ascii="宋体" w:hAnsi="宋体" w:cs="宋体"/>
                <w:szCs w:val="21"/>
                <w:lang w:eastAsia="zh-CN"/>
              </w:rPr>
              <w:t>，</w:t>
            </w:r>
            <w:r>
              <w:rPr>
                <w:rFonts w:hint="eastAsia" w:ascii="宋体" w:hAnsi="宋体" w:cs="宋体"/>
                <w:szCs w:val="21"/>
              </w:rPr>
              <w:t>并严格遵守、执行。</w:t>
            </w:r>
          </w:p>
          <w:p>
            <w:pPr>
              <w:adjustRightInd w:val="0"/>
              <w:snapToGrid w:val="0"/>
              <w:jc w:val="left"/>
              <w:rPr>
                <w:rFonts w:hint="eastAsia" w:ascii="宋体" w:hAnsi="宋体" w:cs="宋体"/>
                <w:szCs w:val="21"/>
              </w:rPr>
            </w:pPr>
            <w:r>
              <w:rPr>
                <w:rFonts w:hint="eastAsia" w:ascii="宋体" w:hAnsi="宋体" w:cs="宋体"/>
                <w:szCs w:val="21"/>
              </w:rPr>
              <w:t>3）定期或不定期对从业人员进行专业技术培训、安全教育培训等。</w:t>
            </w:r>
          </w:p>
          <w:p>
            <w:pPr>
              <w:adjustRightInd w:val="0"/>
              <w:snapToGrid w:val="0"/>
              <w:jc w:val="left"/>
              <w:rPr>
                <w:rFonts w:hint="eastAsia" w:ascii="宋体" w:hAnsi="宋体" w:cs="宋体"/>
                <w:szCs w:val="21"/>
              </w:rPr>
            </w:pPr>
            <w:r>
              <w:rPr>
                <w:rFonts w:hint="eastAsia" w:ascii="宋体" w:hAnsi="宋体" w:cs="宋体"/>
                <w:szCs w:val="21"/>
              </w:rPr>
              <w:t>4）配备足够的灭火器、消防栓等灭火设备，杜绝火灾发生。</w:t>
            </w:r>
          </w:p>
          <w:p>
            <w:pPr>
              <w:adjustRightInd w:val="0"/>
              <w:snapToGrid w:val="0"/>
              <w:jc w:val="left"/>
              <w:rPr>
                <w:rFonts w:hint="eastAsia" w:ascii="宋体" w:hAnsi="宋体" w:cs="宋体"/>
                <w:szCs w:val="21"/>
              </w:rPr>
            </w:pPr>
            <w:r>
              <w:rPr>
                <w:rFonts w:hint="eastAsia" w:ascii="宋体" w:hAnsi="宋体" w:cs="宋体"/>
                <w:szCs w:val="21"/>
              </w:rPr>
              <w:t>5）危险废物应严格管理、避免随意丢弃。</w:t>
            </w:r>
          </w:p>
          <w:p>
            <w:pPr>
              <w:adjustRightInd w:val="0"/>
              <w:snapToGrid w:val="0"/>
              <w:jc w:val="left"/>
              <w:rPr>
                <w:rFonts w:hint="eastAsia" w:ascii="宋体" w:hAnsi="宋体" w:cs="宋体"/>
                <w:szCs w:val="21"/>
              </w:rPr>
            </w:pPr>
            <w:r>
              <w:rPr>
                <w:rFonts w:hint="eastAsia" w:ascii="宋体" w:hAnsi="宋体" w:cs="宋体"/>
                <w:szCs w:val="21"/>
              </w:rPr>
              <w:t>6）建设单位应加强管理，提高操作人员业务素质也是重要的降低风险的措</w:t>
            </w:r>
          </w:p>
          <w:p>
            <w:pPr>
              <w:adjustRightInd w:val="0"/>
              <w:snapToGrid w:val="0"/>
              <w:jc w:val="left"/>
              <w:rPr>
                <w:rFonts w:hint="eastAsia" w:ascii="宋体" w:hAnsi="宋体" w:cs="宋体"/>
                <w:szCs w:val="21"/>
              </w:rPr>
            </w:pPr>
            <w:r>
              <w:rPr>
                <w:rFonts w:hint="eastAsia" w:ascii="宋体" w:hAnsi="宋体" w:cs="宋体"/>
                <w:szCs w:val="21"/>
              </w:rPr>
              <w:t>施之一。</w:t>
            </w:r>
          </w:p>
          <w:p>
            <w:pPr>
              <w:adjustRightInd w:val="0"/>
              <w:snapToGrid w:val="0"/>
              <w:jc w:val="both"/>
              <w:rPr>
                <w:rFonts w:hint="eastAsia" w:ascii="宋体" w:hAnsi="宋体" w:cs="宋体"/>
                <w:szCs w:val="21"/>
              </w:rPr>
            </w:pPr>
            <w:r>
              <w:rPr>
                <w:rFonts w:hint="eastAsia" w:ascii="宋体" w:hAnsi="宋体" w:cs="宋体"/>
                <w:szCs w:val="21"/>
              </w:rPr>
              <w:t>7）编制突发环境事件应急预案。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454" w:type="dxa"/>
            <w:noWrap w:val="0"/>
            <w:vAlign w:val="center"/>
          </w:tcPr>
          <w:p>
            <w:pPr>
              <w:adjustRightInd w:val="0"/>
              <w:snapToGrid w:val="0"/>
              <w:jc w:val="center"/>
              <w:rPr>
                <w:rFonts w:ascii="宋体" w:hAnsi="宋体" w:cs="宋体"/>
                <w:spacing w:val="-8"/>
                <w:szCs w:val="21"/>
              </w:rPr>
            </w:pPr>
            <w:r>
              <w:rPr>
                <w:rFonts w:hint="eastAsia" w:ascii="宋体" w:hAnsi="宋体" w:cs="宋体"/>
                <w:spacing w:val="-8"/>
                <w:szCs w:val="21"/>
              </w:rPr>
              <w:t>其他环境</w:t>
            </w:r>
          </w:p>
          <w:p>
            <w:pPr>
              <w:adjustRightInd w:val="0"/>
              <w:snapToGrid w:val="0"/>
              <w:jc w:val="center"/>
              <w:rPr>
                <w:rFonts w:hint="eastAsia" w:ascii="宋体" w:hAnsi="宋体" w:cs="宋体"/>
                <w:spacing w:val="-8"/>
                <w:szCs w:val="21"/>
              </w:rPr>
            </w:pPr>
            <w:r>
              <w:rPr>
                <w:rFonts w:hint="eastAsia" w:ascii="宋体" w:hAnsi="宋体" w:cs="宋体"/>
                <w:spacing w:val="-8"/>
                <w:szCs w:val="21"/>
              </w:rPr>
              <w:t>管理要求</w:t>
            </w:r>
          </w:p>
        </w:tc>
        <w:tc>
          <w:tcPr>
            <w:tcW w:w="7346" w:type="dxa"/>
            <w:gridSpan w:val="4"/>
            <w:noWrap w:val="0"/>
            <w:vAlign w:val="center"/>
          </w:tcPr>
          <w:p>
            <w:pPr>
              <w:adjustRightInd w:val="0"/>
              <w:snapToGrid w:val="0"/>
              <w:rPr>
                <w:rFonts w:hint="eastAsia" w:ascii="宋体" w:hAnsi="宋体" w:cs="宋体"/>
                <w:szCs w:val="21"/>
              </w:rPr>
            </w:pPr>
            <w:r>
              <w:rPr>
                <w:rFonts w:hint="eastAsia" w:ascii="宋体" w:hAnsi="宋体" w:cs="宋体"/>
                <w:szCs w:val="21"/>
              </w:rPr>
              <w:t>1、加强对工程环保设施的管理，并定期对各废气处理设施、废水处理设施</w:t>
            </w:r>
          </w:p>
          <w:p>
            <w:pPr>
              <w:adjustRightInd w:val="0"/>
              <w:snapToGrid w:val="0"/>
              <w:rPr>
                <w:rFonts w:hint="eastAsia" w:ascii="宋体" w:hAnsi="宋体" w:cs="宋体"/>
                <w:szCs w:val="21"/>
              </w:rPr>
            </w:pPr>
            <w:r>
              <w:rPr>
                <w:rFonts w:hint="eastAsia" w:ascii="宋体" w:hAnsi="宋体" w:cs="宋体"/>
                <w:szCs w:val="21"/>
              </w:rPr>
              <w:t>进行检查、维护，避免事故排放；</w:t>
            </w:r>
          </w:p>
          <w:p>
            <w:pPr>
              <w:adjustRightInd w:val="0"/>
              <w:snapToGrid w:val="0"/>
              <w:rPr>
                <w:rFonts w:hint="eastAsia" w:ascii="宋体" w:hAnsi="宋体" w:cs="宋体"/>
                <w:szCs w:val="21"/>
              </w:rPr>
            </w:pPr>
            <w:r>
              <w:rPr>
                <w:rFonts w:hint="eastAsia" w:ascii="宋体" w:hAnsi="宋体" w:cs="宋体"/>
                <w:szCs w:val="21"/>
              </w:rPr>
              <w:t>2、建立健全一套完善的环境管理制度，并严格按管理制度执行；加强生产</w:t>
            </w:r>
          </w:p>
          <w:p>
            <w:pPr>
              <w:adjustRightInd w:val="0"/>
              <w:snapToGrid w:val="0"/>
              <w:rPr>
                <w:rFonts w:hint="eastAsia" w:ascii="宋体" w:hAnsi="宋体" w:cs="宋体"/>
                <w:szCs w:val="21"/>
              </w:rPr>
            </w:pPr>
            <w:r>
              <w:rPr>
                <w:rFonts w:hint="eastAsia" w:ascii="宋体" w:hAnsi="宋体" w:cs="宋体"/>
                <w:szCs w:val="21"/>
              </w:rPr>
              <w:t>管理，实施清洁生产，从而减少污染物的产生量；</w:t>
            </w:r>
          </w:p>
          <w:p>
            <w:pPr>
              <w:adjustRightInd w:val="0"/>
              <w:snapToGrid w:val="0"/>
              <w:rPr>
                <w:rFonts w:hint="eastAsia" w:ascii="宋体" w:hAnsi="宋体" w:cs="宋体"/>
                <w:szCs w:val="21"/>
              </w:rPr>
            </w:pPr>
            <w:r>
              <w:rPr>
                <w:rFonts w:hint="eastAsia" w:ascii="宋体" w:hAnsi="宋体" w:cs="宋体"/>
                <w:szCs w:val="21"/>
              </w:rPr>
              <w:t>3、严格按照建设项目竣工环境保护验收制度，项目建成后尽快履行环保验</w:t>
            </w:r>
          </w:p>
          <w:p>
            <w:pPr>
              <w:adjustRightInd w:val="0"/>
              <w:snapToGrid w:val="0"/>
              <w:rPr>
                <w:rFonts w:hint="eastAsia" w:ascii="宋体" w:hAnsi="宋体" w:cs="宋体"/>
                <w:szCs w:val="21"/>
              </w:rPr>
            </w:pPr>
            <w:r>
              <w:rPr>
                <w:rFonts w:hint="eastAsia" w:ascii="宋体" w:hAnsi="宋体" w:cs="宋体"/>
                <w:szCs w:val="21"/>
              </w:rPr>
              <w:t>收手续。</w:t>
            </w:r>
          </w:p>
        </w:tc>
      </w:tr>
    </w:tbl>
    <w:p>
      <w:pPr>
        <w:pStyle w:val="12"/>
        <w:jc w:val="center"/>
        <w:outlineLvl w:val="0"/>
        <w:rPr>
          <w:rFonts w:ascii="黑体" w:hAnsi="黑体" w:eastAsia="黑体"/>
          <w:snapToGrid w:val="0"/>
          <w:sz w:val="30"/>
          <w:szCs w:val="30"/>
        </w:rPr>
      </w:pPr>
      <w:r>
        <w:rPr>
          <w:snapToGrid w:val="0"/>
        </w:rPr>
        <w:br w:type="page"/>
      </w:r>
      <w:r>
        <w:rPr>
          <w:rFonts w:hint="eastAsia" w:ascii="黑体" w:hAnsi="黑体" w:eastAsia="黑体"/>
          <w:snapToGrid w:val="0"/>
          <w:sz w:val="30"/>
          <w:szCs w:val="30"/>
        </w:rPr>
        <w:t>六、结论</w:t>
      </w:r>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8865" w:type="dxa"/>
            <w:noWrap w:val="0"/>
            <w:vAlign w:val="center"/>
          </w:tcPr>
          <w:p>
            <w:pPr>
              <w:spacing w:line="360" w:lineRule="auto"/>
              <w:ind w:firstLine="480" w:firstLineChars="200"/>
              <w:rPr>
                <w:rFonts w:ascii="宋体" w:cs="宋体"/>
                <w:sz w:val="24"/>
              </w:rPr>
            </w:pPr>
            <w:r>
              <w:rPr>
                <w:rFonts w:hint="eastAsia" w:ascii="宋体" w:cs="宋体"/>
                <w:sz w:val="24"/>
              </w:rPr>
              <w:t>经综合分析，项目建设与国家政策及相关规划相符，选址合理可行，在认真落实报告表提出的各项环保措施的前提下，污染物可做到达标排放，固废可得到妥善利用，噪声不会出现扰民现象，项目建设及运营对周边环境的影响可满足环境功能规划的要求，从环境保护角度而言，项目建设可行。</w:t>
            </w:r>
          </w:p>
        </w:tc>
      </w:tr>
    </w:tbl>
    <w:p>
      <w:pPr>
        <w:rPr>
          <w:rFonts w:ascii="宋体"/>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12"/>
        <w:adjustRightInd w:val="0"/>
        <w:snapToGrid w:val="0"/>
        <w:spacing w:before="0" w:beforeAutospacing="0" w:after="0" w:afterAutospacing="0" w:line="240" w:lineRule="auto"/>
        <w:outlineLvl w:val="0"/>
        <w:rPr>
          <w:rFonts w:ascii="黑体" w:hAnsi="黑体" w:eastAsia="黑体"/>
          <w:snapToGrid w:val="0"/>
          <w:sz w:val="32"/>
          <w:szCs w:val="32"/>
        </w:rPr>
      </w:pPr>
      <w:r>
        <w:rPr>
          <w:rFonts w:hint="eastAsia" w:ascii="黑体" w:hAnsi="黑体" w:eastAsia="黑体"/>
          <w:snapToGrid w:val="0"/>
          <w:sz w:val="32"/>
          <w:szCs w:val="32"/>
        </w:rPr>
        <w:t>附表</w:t>
      </w:r>
    </w:p>
    <w:p>
      <w:pPr>
        <w:pStyle w:val="12"/>
        <w:adjustRightInd w:val="0"/>
        <w:snapToGrid w:val="0"/>
        <w:spacing w:before="0" w:beforeAutospacing="0" w:after="0" w:afterAutospacing="0" w:line="240" w:lineRule="auto"/>
        <w:jc w:val="center"/>
        <w:outlineLvl w:val="0"/>
        <w:rPr>
          <w:rFonts w:hint="eastAsia" w:ascii="方正小标宋_GBK" w:hAnsi="黑体" w:eastAsia="方正小标宋_GBK"/>
          <w:snapToGrid w:val="0"/>
          <w:sz w:val="38"/>
          <w:szCs w:val="38"/>
        </w:rPr>
      </w:pPr>
      <w:r>
        <w:rPr>
          <w:rFonts w:hint="eastAsia" w:ascii="方正小标宋_GBK" w:hAnsi="黑体" w:eastAsia="方正小标宋_GBK"/>
          <w:snapToGrid w:val="0"/>
          <w:sz w:val="38"/>
          <w:szCs w:val="38"/>
        </w:rPr>
        <w:t>建设项目污染物排放量汇总表</w:t>
      </w:r>
    </w:p>
    <w:tbl>
      <w:tblPr>
        <w:tblStyle w:val="14"/>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478"/>
        <w:gridCol w:w="1159"/>
        <w:gridCol w:w="1446"/>
        <w:gridCol w:w="1377"/>
        <w:gridCol w:w="1677"/>
        <w:gridCol w:w="1800"/>
        <w:gridCol w:w="184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pPr>
              <w:pStyle w:val="20"/>
              <w:spacing w:beforeLines="0" w:afterLines="0" w:line="240" w:lineRule="auto"/>
              <w:jc w:val="right"/>
              <w:rPr>
                <w:rFonts w:hint="eastAsia"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项目</w:t>
            </w:r>
          </w:p>
          <w:p>
            <w:pPr>
              <w:pStyle w:val="20"/>
              <w:spacing w:beforeLines="0" w:afterLines="0" w:line="240" w:lineRule="auto"/>
              <w:jc w:val="left"/>
              <w:rPr>
                <w:rFonts w:hint="eastAsia"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分类</w:t>
            </w:r>
          </w:p>
        </w:tc>
        <w:tc>
          <w:tcPr>
            <w:tcW w:w="1417" w:type="dxa"/>
            <w:noWrap w:val="0"/>
            <w:tcMar>
              <w:left w:w="28" w:type="dxa"/>
              <w:right w:w="28" w:type="dxa"/>
            </w:tcMar>
            <w:vAlign w:val="center"/>
          </w:tcPr>
          <w:p>
            <w:pPr>
              <w:pStyle w:val="20"/>
              <w:spacing w:beforeLines="0" w:afterLines="0" w:line="240" w:lineRule="auto"/>
              <w:rPr>
                <w:rFonts w:hint="eastAsia"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污染物名称</w:t>
            </w:r>
          </w:p>
        </w:tc>
        <w:tc>
          <w:tcPr>
            <w:tcW w:w="1478" w:type="dxa"/>
            <w:noWrap w:val="0"/>
            <w:tcMar>
              <w:left w:w="28" w:type="dxa"/>
              <w:right w:w="28" w:type="dxa"/>
            </w:tcMar>
            <w:vAlign w:val="center"/>
          </w:tcPr>
          <w:p>
            <w:pPr>
              <w:pStyle w:val="20"/>
              <w:spacing w:beforeLines="0" w:afterLines="0" w:line="240" w:lineRule="auto"/>
              <w:rPr>
                <w:rFonts w:hint="eastAsia" w:ascii="黑体" w:hAnsi="黑体" w:eastAsia="黑体"/>
                <w:snapToGrid w:val="0"/>
                <w:color w:val="000000"/>
                <w:spacing w:val="-6"/>
                <w:kern w:val="21"/>
                <w:szCs w:val="21"/>
              </w:rPr>
            </w:pPr>
            <w:r>
              <w:rPr>
                <w:rFonts w:ascii="黑体" w:hAnsi="黑体" w:eastAsia="黑体"/>
                <w:snapToGrid w:val="0"/>
                <w:color w:val="000000"/>
                <w:spacing w:val="-6"/>
                <w:kern w:val="21"/>
                <w:szCs w:val="21"/>
              </w:rPr>
              <w:t>现有工程</w:t>
            </w:r>
          </w:p>
          <w:p>
            <w:pPr>
              <w:pStyle w:val="20"/>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1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①</w:t>
            </w:r>
            <w:r>
              <w:rPr>
                <w:rFonts w:ascii="黑体" w:hAnsi="黑体" w:eastAsia="黑体"/>
                <w:snapToGrid w:val="0"/>
                <w:color w:val="000000"/>
                <w:spacing w:val="-6"/>
                <w:kern w:val="21"/>
                <w:szCs w:val="21"/>
              </w:rPr>
              <w:fldChar w:fldCharType="end"/>
            </w:r>
          </w:p>
        </w:tc>
        <w:tc>
          <w:tcPr>
            <w:tcW w:w="1159" w:type="dxa"/>
            <w:noWrap w:val="0"/>
            <w:tcMar>
              <w:left w:w="28" w:type="dxa"/>
              <w:right w:w="28" w:type="dxa"/>
            </w:tcMar>
            <w:vAlign w:val="center"/>
          </w:tcPr>
          <w:p>
            <w:pPr>
              <w:pStyle w:val="20"/>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现有工程</w:t>
            </w:r>
          </w:p>
          <w:p>
            <w:pPr>
              <w:pStyle w:val="20"/>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许可排放量</w:t>
            </w:r>
          </w:p>
          <w:p>
            <w:pPr>
              <w:pStyle w:val="20"/>
              <w:spacing w:beforeLines="0" w:afterLines="0"/>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2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snapToGrid w:val="0"/>
                <w:color w:val="000000"/>
                <w:spacing w:val="-6"/>
                <w:kern w:val="21"/>
                <w:szCs w:val="21"/>
              </w:rPr>
              <w:t>②</w:t>
            </w:r>
            <w:r>
              <w:rPr>
                <w:rFonts w:ascii="黑体" w:hAnsi="黑体" w:eastAsia="黑体"/>
                <w:snapToGrid w:val="0"/>
                <w:color w:val="000000"/>
                <w:spacing w:val="-6"/>
                <w:kern w:val="21"/>
                <w:szCs w:val="21"/>
              </w:rPr>
              <w:fldChar w:fldCharType="end"/>
            </w:r>
          </w:p>
        </w:tc>
        <w:tc>
          <w:tcPr>
            <w:tcW w:w="1446" w:type="dxa"/>
            <w:noWrap w:val="0"/>
            <w:tcMar>
              <w:left w:w="28" w:type="dxa"/>
              <w:right w:w="28" w:type="dxa"/>
            </w:tcMar>
            <w:vAlign w:val="center"/>
          </w:tcPr>
          <w:p>
            <w:pPr>
              <w:pStyle w:val="20"/>
              <w:spacing w:beforeLines="0" w:afterLines="0" w:line="240" w:lineRule="auto"/>
              <w:rPr>
                <w:rFonts w:hint="eastAsia" w:ascii="黑体" w:hAnsi="黑体" w:eastAsia="黑体"/>
                <w:snapToGrid w:val="0"/>
                <w:color w:val="000000"/>
                <w:spacing w:val="-6"/>
                <w:kern w:val="21"/>
                <w:szCs w:val="21"/>
              </w:rPr>
            </w:pPr>
            <w:r>
              <w:rPr>
                <w:rFonts w:ascii="黑体" w:hAnsi="黑体" w:eastAsia="黑体"/>
                <w:snapToGrid w:val="0"/>
                <w:color w:val="000000"/>
                <w:spacing w:val="-6"/>
                <w:kern w:val="21"/>
                <w:szCs w:val="21"/>
              </w:rPr>
              <w:t>在建工程</w:t>
            </w:r>
          </w:p>
          <w:p>
            <w:pPr>
              <w:pStyle w:val="20"/>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3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③</w:t>
            </w:r>
            <w:r>
              <w:rPr>
                <w:rFonts w:ascii="黑体" w:hAnsi="黑体" w:eastAsia="黑体"/>
                <w:snapToGrid w:val="0"/>
                <w:color w:val="000000"/>
                <w:spacing w:val="-6"/>
                <w:kern w:val="21"/>
                <w:szCs w:val="21"/>
              </w:rPr>
              <w:fldChar w:fldCharType="end"/>
            </w:r>
          </w:p>
        </w:tc>
        <w:tc>
          <w:tcPr>
            <w:tcW w:w="1377" w:type="dxa"/>
            <w:noWrap w:val="0"/>
            <w:tcMar>
              <w:left w:w="28" w:type="dxa"/>
              <w:right w:w="28" w:type="dxa"/>
            </w:tcMar>
            <w:vAlign w:val="center"/>
          </w:tcPr>
          <w:p>
            <w:pPr>
              <w:pStyle w:val="20"/>
              <w:spacing w:beforeLines="0" w:afterLines="0" w:line="240" w:lineRule="auto"/>
              <w:rPr>
                <w:rFonts w:hint="eastAsia" w:ascii="黑体" w:hAnsi="黑体" w:eastAsia="黑体"/>
                <w:snapToGrid w:val="0"/>
                <w:color w:val="000000"/>
                <w:spacing w:val="-6"/>
                <w:kern w:val="21"/>
                <w:szCs w:val="21"/>
              </w:rPr>
            </w:pPr>
            <w:r>
              <w:rPr>
                <w:rFonts w:ascii="黑体" w:hAnsi="黑体" w:eastAsia="黑体"/>
                <w:snapToGrid w:val="0"/>
                <w:color w:val="000000"/>
                <w:spacing w:val="-6"/>
                <w:kern w:val="21"/>
                <w:szCs w:val="21"/>
              </w:rPr>
              <w:t>本项目</w:t>
            </w:r>
          </w:p>
          <w:p>
            <w:pPr>
              <w:pStyle w:val="20"/>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4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④</w:t>
            </w:r>
            <w:r>
              <w:rPr>
                <w:rFonts w:ascii="黑体" w:hAnsi="黑体" w:eastAsia="黑体"/>
                <w:snapToGrid w:val="0"/>
                <w:color w:val="000000"/>
                <w:spacing w:val="-6"/>
                <w:kern w:val="21"/>
                <w:szCs w:val="21"/>
              </w:rPr>
              <w:fldChar w:fldCharType="end"/>
            </w:r>
          </w:p>
        </w:tc>
        <w:tc>
          <w:tcPr>
            <w:tcW w:w="1677" w:type="dxa"/>
            <w:noWrap w:val="0"/>
            <w:tcMar>
              <w:left w:w="28" w:type="dxa"/>
              <w:right w:w="28" w:type="dxa"/>
            </w:tcMar>
            <w:vAlign w:val="center"/>
          </w:tcPr>
          <w:p>
            <w:pPr>
              <w:pStyle w:val="20"/>
              <w:spacing w:beforeLines="0" w:afterLines="0" w:line="240" w:lineRule="auto"/>
              <w:rPr>
                <w:rFonts w:hint="eastAsia" w:ascii="黑体" w:hAnsi="黑体" w:eastAsia="黑体"/>
                <w:snapToGrid w:val="0"/>
                <w:color w:val="000000"/>
                <w:spacing w:val="-16"/>
                <w:kern w:val="21"/>
                <w:szCs w:val="21"/>
              </w:rPr>
            </w:pPr>
            <w:r>
              <w:rPr>
                <w:rFonts w:ascii="黑体" w:hAnsi="黑体" w:eastAsia="黑体"/>
                <w:snapToGrid w:val="0"/>
                <w:color w:val="000000"/>
                <w:spacing w:val="-16"/>
                <w:kern w:val="21"/>
                <w:szCs w:val="21"/>
              </w:rPr>
              <w:t>以新带老削减量</w:t>
            </w:r>
          </w:p>
          <w:p>
            <w:pPr>
              <w:pStyle w:val="20"/>
              <w:spacing w:beforeLines="0" w:afterLines="0" w:line="240" w:lineRule="auto"/>
              <w:rPr>
                <w:rFonts w:ascii="黑体" w:hAnsi="黑体" w:eastAsia="黑体"/>
                <w:snapToGrid w:val="0"/>
                <w:color w:val="000000"/>
                <w:spacing w:val="-16"/>
                <w:kern w:val="21"/>
                <w:szCs w:val="21"/>
              </w:rPr>
            </w:pPr>
            <w:r>
              <w:rPr>
                <w:rFonts w:ascii="黑体" w:hAnsi="黑体" w:eastAsia="黑体"/>
                <w:snapToGrid w:val="0"/>
                <w:color w:val="000000"/>
                <w:spacing w:val="-16"/>
                <w:kern w:val="21"/>
                <w:szCs w:val="21"/>
              </w:rPr>
              <w:t>（新建项目不填）</w:t>
            </w:r>
            <w:r>
              <w:rPr>
                <w:rFonts w:ascii="黑体" w:hAnsi="黑体" w:eastAsia="黑体"/>
                <w:snapToGrid w:val="0"/>
                <w:color w:val="000000"/>
                <w:spacing w:val="-16"/>
                <w:kern w:val="21"/>
                <w:szCs w:val="21"/>
              </w:rPr>
              <w:fldChar w:fldCharType="begin"/>
            </w:r>
            <w:r>
              <w:rPr>
                <w:rFonts w:ascii="黑体" w:hAnsi="黑体" w:eastAsia="黑体"/>
                <w:snapToGrid w:val="0"/>
                <w:color w:val="000000"/>
                <w:spacing w:val="-16"/>
                <w:kern w:val="21"/>
                <w:szCs w:val="21"/>
              </w:rPr>
              <w:instrText xml:space="preserve"> = 5 \* GB3 \* MERGEFORMAT </w:instrText>
            </w:r>
            <w:r>
              <w:rPr>
                <w:rFonts w:ascii="黑体" w:hAnsi="黑体" w:eastAsia="黑体"/>
                <w:snapToGrid w:val="0"/>
                <w:color w:val="000000"/>
                <w:spacing w:val="-16"/>
                <w:kern w:val="21"/>
                <w:szCs w:val="21"/>
              </w:rPr>
              <w:fldChar w:fldCharType="separate"/>
            </w:r>
            <w:r>
              <w:rPr>
                <w:rFonts w:hint="eastAsia" w:ascii="黑体" w:hAnsi="黑体" w:eastAsia="黑体" w:cs="宋体"/>
                <w:kern w:val="2"/>
                <w:szCs w:val="21"/>
              </w:rPr>
              <w:t>⑤</w:t>
            </w:r>
            <w:r>
              <w:rPr>
                <w:rFonts w:ascii="黑体" w:hAnsi="黑体" w:eastAsia="黑体"/>
                <w:snapToGrid w:val="0"/>
                <w:color w:val="000000"/>
                <w:spacing w:val="-16"/>
                <w:kern w:val="21"/>
                <w:szCs w:val="21"/>
              </w:rPr>
              <w:fldChar w:fldCharType="end"/>
            </w:r>
          </w:p>
        </w:tc>
        <w:tc>
          <w:tcPr>
            <w:tcW w:w="1800" w:type="dxa"/>
            <w:noWrap w:val="0"/>
            <w:tcMar>
              <w:left w:w="28" w:type="dxa"/>
              <w:right w:w="28" w:type="dxa"/>
            </w:tcMar>
            <w:vAlign w:val="center"/>
          </w:tcPr>
          <w:p>
            <w:pPr>
              <w:pStyle w:val="20"/>
              <w:spacing w:beforeLines="0" w:afterLines="0" w:line="240" w:lineRule="auto"/>
              <w:rPr>
                <w:rFonts w:hint="eastAsia" w:ascii="黑体" w:hAnsi="黑体" w:eastAsia="黑体"/>
                <w:snapToGrid w:val="0"/>
                <w:color w:val="000000"/>
                <w:spacing w:val="-16"/>
                <w:kern w:val="21"/>
                <w:szCs w:val="21"/>
              </w:rPr>
            </w:pPr>
            <w:r>
              <w:rPr>
                <w:rFonts w:ascii="黑体" w:hAnsi="黑体" w:eastAsia="黑体"/>
                <w:snapToGrid w:val="0"/>
                <w:color w:val="000000"/>
                <w:spacing w:val="-16"/>
                <w:kern w:val="21"/>
                <w:szCs w:val="21"/>
              </w:rPr>
              <w:t>本项目建成后</w:t>
            </w:r>
          </w:p>
          <w:p>
            <w:pPr>
              <w:pStyle w:val="20"/>
              <w:spacing w:beforeLines="0" w:afterLines="0" w:line="240" w:lineRule="auto"/>
              <w:rPr>
                <w:rFonts w:ascii="黑体" w:hAnsi="黑体" w:eastAsia="黑体"/>
                <w:snapToGrid w:val="0"/>
                <w:color w:val="000000"/>
                <w:spacing w:val="-16"/>
                <w:kern w:val="21"/>
                <w:szCs w:val="21"/>
              </w:rPr>
            </w:pPr>
            <w:r>
              <w:rPr>
                <w:rFonts w:hint="eastAsia" w:ascii="黑体" w:hAnsi="黑体" w:eastAsia="黑体"/>
                <w:snapToGrid w:val="0"/>
                <w:color w:val="000000"/>
                <w:spacing w:val="-16"/>
                <w:kern w:val="21"/>
                <w:szCs w:val="21"/>
              </w:rPr>
              <w:t>全厂</w:t>
            </w:r>
            <w:r>
              <w:rPr>
                <w:rFonts w:ascii="黑体" w:hAnsi="黑体" w:eastAsia="黑体"/>
                <w:snapToGrid w:val="0"/>
                <w:color w:val="000000"/>
                <w:spacing w:val="-16"/>
                <w:kern w:val="21"/>
                <w:szCs w:val="21"/>
              </w:rPr>
              <w:t>排放量（固</w:t>
            </w:r>
            <w:r>
              <w:rPr>
                <w:rFonts w:hint="eastAsia" w:ascii="黑体" w:hAnsi="黑体" w:eastAsia="黑体"/>
                <w:snapToGrid w:val="0"/>
                <w:color w:val="000000"/>
                <w:spacing w:val="-16"/>
                <w:kern w:val="21"/>
                <w:szCs w:val="21"/>
              </w:rPr>
              <w:t>体</w:t>
            </w:r>
            <w:r>
              <w:rPr>
                <w:rFonts w:ascii="黑体" w:hAnsi="黑体" w:eastAsia="黑体"/>
                <w:snapToGrid w:val="0"/>
                <w:color w:val="000000"/>
                <w:spacing w:val="-16"/>
                <w:kern w:val="21"/>
                <w:szCs w:val="21"/>
              </w:rPr>
              <w:t>废</w:t>
            </w:r>
            <w:r>
              <w:rPr>
                <w:rFonts w:hint="eastAsia" w:ascii="黑体" w:hAnsi="黑体" w:eastAsia="黑体"/>
                <w:snapToGrid w:val="0"/>
                <w:color w:val="000000"/>
                <w:spacing w:val="-16"/>
                <w:kern w:val="21"/>
                <w:szCs w:val="21"/>
              </w:rPr>
              <w:t>物</w:t>
            </w:r>
            <w:r>
              <w:rPr>
                <w:rFonts w:ascii="黑体" w:hAnsi="黑体" w:eastAsia="黑体"/>
                <w:snapToGrid w:val="0"/>
                <w:color w:val="000000"/>
                <w:spacing w:val="-16"/>
                <w:kern w:val="21"/>
                <w:szCs w:val="21"/>
              </w:rPr>
              <w:t>产生量）</w:t>
            </w:r>
            <w:r>
              <w:rPr>
                <w:rFonts w:ascii="黑体" w:hAnsi="黑体" w:eastAsia="黑体"/>
                <w:snapToGrid w:val="0"/>
                <w:color w:val="000000"/>
                <w:spacing w:val="-16"/>
                <w:kern w:val="21"/>
                <w:szCs w:val="21"/>
              </w:rPr>
              <w:fldChar w:fldCharType="begin"/>
            </w:r>
            <w:r>
              <w:rPr>
                <w:rFonts w:ascii="黑体" w:hAnsi="黑体" w:eastAsia="黑体"/>
                <w:snapToGrid w:val="0"/>
                <w:color w:val="000000"/>
                <w:spacing w:val="-16"/>
                <w:kern w:val="21"/>
                <w:szCs w:val="21"/>
              </w:rPr>
              <w:instrText xml:space="preserve"> = 6 \* GB3 \* MERGEFORMAT </w:instrText>
            </w:r>
            <w:r>
              <w:rPr>
                <w:rFonts w:ascii="黑体" w:hAnsi="黑体" w:eastAsia="黑体"/>
                <w:snapToGrid w:val="0"/>
                <w:color w:val="000000"/>
                <w:spacing w:val="-16"/>
                <w:kern w:val="21"/>
                <w:szCs w:val="21"/>
              </w:rPr>
              <w:fldChar w:fldCharType="separate"/>
            </w:r>
            <w:r>
              <w:rPr>
                <w:rFonts w:hint="eastAsia" w:ascii="黑体" w:hAnsi="黑体" w:eastAsia="黑体" w:cs="宋体"/>
                <w:kern w:val="2"/>
                <w:szCs w:val="21"/>
              </w:rPr>
              <w:t>⑥</w:t>
            </w:r>
            <w:r>
              <w:rPr>
                <w:rFonts w:ascii="黑体" w:hAnsi="黑体" w:eastAsia="黑体"/>
                <w:snapToGrid w:val="0"/>
                <w:color w:val="000000"/>
                <w:spacing w:val="-16"/>
                <w:kern w:val="21"/>
                <w:szCs w:val="21"/>
              </w:rPr>
              <w:fldChar w:fldCharType="end"/>
            </w:r>
          </w:p>
        </w:tc>
        <w:tc>
          <w:tcPr>
            <w:tcW w:w="1846" w:type="dxa"/>
            <w:noWrap w:val="0"/>
            <w:tcMar>
              <w:left w:w="28" w:type="dxa"/>
              <w:right w:w="28" w:type="dxa"/>
            </w:tcMar>
            <w:vAlign w:val="center"/>
          </w:tcPr>
          <w:p>
            <w:pPr>
              <w:pStyle w:val="20"/>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变化量</w:t>
            </w:r>
          </w:p>
          <w:p>
            <w:pPr>
              <w:pStyle w:val="20"/>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7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⑦</w:t>
            </w:r>
            <w:r>
              <w:rPr>
                <w:rFonts w:ascii="黑体" w:hAnsi="黑体" w:eastAsia="黑体"/>
                <w:snapToGrid w:val="0"/>
                <w:color w:val="00000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20"/>
              <w:spacing w:beforeLines="0" w:afterLines="0" w:line="240" w:lineRule="auto"/>
              <w:rPr>
                <w:rFonts w:hint="eastAsia" w:hAnsi="宋体" w:cs="宋体"/>
                <w:snapToGrid w:val="0"/>
                <w:color w:val="000000"/>
                <w:kern w:val="21"/>
                <w:szCs w:val="21"/>
              </w:rPr>
            </w:pPr>
            <w:r>
              <w:rPr>
                <w:rFonts w:hint="eastAsia" w:hAnsi="宋体" w:cs="宋体"/>
                <w:snapToGrid w:val="0"/>
                <w:color w:val="000000"/>
                <w:kern w:val="21"/>
                <w:szCs w:val="21"/>
              </w:rPr>
              <w:t>废气</w:t>
            </w:r>
          </w:p>
        </w:tc>
        <w:tc>
          <w:tcPr>
            <w:tcW w:w="1417" w:type="dxa"/>
            <w:noWrap w:val="0"/>
            <w:vAlign w:val="center"/>
          </w:tcPr>
          <w:p>
            <w:pPr>
              <w:pStyle w:val="20"/>
              <w:spacing w:beforeLines="0" w:afterLines="0" w:line="240" w:lineRule="auto"/>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颗粒物</w:t>
            </w:r>
          </w:p>
        </w:tc>
        <w:tc>
          <w:tcPr>
            <w:tcW w:w="1478" w:type="dxa"/>
            <w:noWrap w:val="0"/>
            <w:vAlign w:val="center"/>
          </w:tcPr>
          <w:p>
            <w:pPr>
              <w:pStyle w:val="20"/>
              <w:spacing w:beforeLines="0" w:afterLines="0" w:line="240" w:lineRule="auto"/>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159" w:type="dxa"/>
            <w:noWrap w:val="0"/>
            <w:vAlign w:val="center"/>
          </w:tcPr>
          <w:p>
            <w:pPr>
              <w:pStyle w:val="20"/>
              <w:spacing w:beforeLines="0" w:afterLines="0" w:line="240" w:lineRule="auto"/>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446" w:type="dxa"/>
            <w:noWrap w:val="0"/>
            <w:vAlign w:val="center"/>
          </w:tcPr>
          <w:p>
            <w:pPr>
              <w:pStyle w:val="20"/>
              <w:spacing w:beforeLines="0" w:afterLines="0" w:line="240" w:lineRule="auto"/>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377" w:type="dxa"/>
            <w:noWrap w:val="0"/>
            <w:vAlign w:val="center"/>
          </w:tcPr>
          <w:p>
            <w:pPr>
              <w:pStyle w:val="20"/>
              <w:spacing w:beforeLines="0" w:afterLines="0" w:line="240" w:lineRule="auto"/>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0.0654t/a</w:t>
            </w:r>
          </w:p>
        </w:tc>
        <w:tc>
          <w:tcPr>
            <w:tcW w:w="1677" w:type="dxa"/>
            <w:noWrap w:val="0"/>
            <w:vAlign w:val="center"/>
          </w:tcPr>
          <w:p>
            <w:pPr>
              <w:pStyle w:val="20"/>
              <w:spacing w:beforeLines="0" w:afterLines="0" w:line="240" w:lineRule="auto"/>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800" w:type="dxa"/>
            <w:noWrap w:val="0"/>
            <w:vAlign w:val="center"/>
          </w:tcPr>
          <w:p>
            <w:pPr>
              <w:pStyle w:val="20"/>
              <w:spacing w:beforeLines="0" w:afterLines="0" w:line="240" w:lineRule="auto"/>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0.0654t/a</w:t>
            </w:r>
          </w:p>
        </w:tc>
        <w:tc>
          <w:tcPr>
            <w:tcW w:w="1846" w:type="dxa"/>
            <w:noWrap w:val="0"/>
            <w:vAlign w:val="center"/>
          </w:tcPr>
          <w:p>
            <w:pPr>
              <w:pStyle w:val="20"/>
              <w:spacing w:beforeLines="0" w:afterLines="0" w:line="240" w:lineRule="auto"/>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+0.0654t/a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20"/>
              <w:spacing w:beforeLines="0" w:afterLines="0" w:line="240" w:lineRule="auto"/>
              <w:rPr>
                <w:rFonts w:hint="eastAsia" w:hAnsi="宋体" w:cs="宋体"/>
                <w:snapToGrid w:val="0"/>
                <w:color w:val="000000"/>
                <w:kern w:val="21"/>
                <w:szCs w:val="21"/>
              </w:rPr>
            </w:pPr>
          </w:p>
        </w:tc>
        <w:tc>
          <w:tcPr>
            <w:tcW w:w="1417" w:type="dxa"/>
            <w:noWrap w:val="0"/>
            <w:vAlign w:val="center"/>
          </w:tcPr>
          <w:p>
            <w:pPr>
              <w:pStyle w:val="20"/>
              <w:spacing w:beforeLines="0" w:afterLines="0" w:line="240" w:lineRule="auto"/>
              <w:rPr>
                <w:rFonts w:hint="eastAsia" w:ascii="宋体" w:hAnsi="宋体" w:eastAsia="宋体" w:cs="宋体"/>
                <w:snapToGrid w:val="0"/>
                <w:color w:val="000000"/>
                <w:kern w:val="21"/>
                <w:sz w:val="21"/>
                <w:szCs w:val="21"/>
                <w:lang w:val="en-US" w:eastAsia="zh-CN" w:bidi="ar-SA"/>
              </w:rPr>
            </w:pPr>
            <w:r>
              <w:rPr>
                <w:rFonts w:hint="eastAsia" w:hAnsi="宋体" w:cs="宋体"/>
                <w:snapToGrid w:val="0"/>
                <w:color w:val="000000"/>
                <w:kern w:val="21"/>
                <w:szCs w:val="21"/>
                <w:lang w:val="en-US" w:eastAsia="zh-CN"/>
              </w:rPr>
              <w:t>挥发性有机物（以非甲烷总烃计）</w:t>
            </w:r>
          </w:p>
        </w:tc>
        <w:tc>
          <w:tcPr>
            <w:tcW w:w="1478" w:type="dxa"/>
            <w:noWrap w:val="0"/>
            <w:vAlign w:val="center"/>
          </w:tcPr>
          <w:p>
            <w:pPr>
              <w:pStyle w:val="20"/>
              <w:spacing w:beforeLines="0" w:afterLines="0" w:line="240" w:lineRule="auto"/>
              <w:rPr>
                <w:rFonts w:hint="eastAsia" w:ascii="宋体" w:hAnsi="宋体" w:eastAsia="宋体" w:cs="宋体"/>
                <w:snapToGrid w:val="0"/>
                <w:color w:val="000000"/>
                <w:kern w:val="21"/>
                <w:sz w:val="21"/>
                <w:szCs w:val="21"/>
                <w:lang w:val="en-US" w:eastAsia="zh-CN" w:bidi="ar-SA"/>
              </w:rPr>
            </w:pPr>
            <w:r>
              <w:rPr>
                <w:rFonts w:hint="eastAsia" w:hAnsi="宋体" w:cs="宋体"/>
                <w:snapToGrid w:val="0"/>
                <w:color w:val="000000"/>
                <w:kern w:val="21"/>
                <w:szCs w:val="21"/>
                <w:lang w:val="en-US" w:eastAsia="zh-CN"/>
              </w:rPr>
              <w:t>0</w:t>
            </w:r>
          </w:p>
        </w:tc>
        <w:tc>
          <w:tcPr>
            <w:tcW w:w="1159" w:type="dxa"/>
            <w:noWrap w:val="0"/>
            <w:vAlign w:val="center"/>
          </w:tcPr>
          <w:p>
            <w:pPr>
              <w:pStyle w:val="20"/>
              <w:spacing w:beforeLines="0" w:afterLines="0" w:line="240" w:lineRule="auto"/>
              <w:rPr>
                <w:rFonts w:hint="eastAsia" w:ascii="宋体" w:hAnsi="宋体" w:eastAsia="宋体" w:cs="宋体"/>
                <w:snapToGrid w:val="0"/>
                <w:color w:val="000000"/>
                <w:kern w:val="21"/>
                <w:sz w:val="21"/>
                <w:szCs w:val="21"/>
                <w:lang w:val="en-US" w:eastAsia="zh-CN" w:bidi="ar-SA"/>
              </w:rPr>
            </w:pPr>
            <w:r>
              <w:rPr>
                <w:rFonts w:hint="eastAsia" w:hAnsi="宋体" w:cs="宋体"/>
                <w:snapToGrid w:val="0"/>
                <w:color w:val="000000"/>
                <w:kern w:val="21"/>
                <w:szCs w:val="21"/>
                <w:lang w:val="en-US" w:eastAsia="zh-CN"/>
              </w:rPr>
              <w:t>0</w:t>
            </w:r>
          </w:p>
        </w:tc>
        <w:tc>
          <w:tcPr>
            <w:tcW w:w="1446" w:type="dxa"/>
            <w:noWrap w:val="0"/>
            <w:vAlign w:val="center"/>
          </w:tcPr>
          <w:p>
            <w:pPr>
              <w:pStyle w:val="20"/>
              <w:spacing w:beforeLines="0" w:afterLines="0" w:line="240" w:lineRule="auto"/>
              <w:rPr>
                <w:rFonts w:hint="eastAsia" w:ascii="宋体" w:hAnsi="宋体" w:eastAsia="宋体" w:cs="宋体"/>
                <w:snapToGrid w:val="0"/>
                <w:color w:val="000000"/>
                <w:kern w:val="21"/>
                <w:sz w:val="21"/>
                <w:szCs w:val="21"/>
                <w:lang w:val="en-US" w:eastAsia="zh-CN" w:bidi="ar-SA"/>
              </w:rPr>
            </w:pPr>
            <w:r>
              <w:rPr>
                <w:rFonts w:hint="eastAsia" w:hAnsi="宋体" w:cs="宋体"/>
                <w:snapToGrid w:val="0"/>
                <w:color w:val="000000"/>
                <w:kern w:val="21"/>
                <w:szCs w:val="21"/>
                <w:lang w:val="en-US" w:eastAsia="zh-CN"/>
              </w:rPr>
              <w:t>0</w:t>
            </w:r>
          </w:p>
        </w:tc>
        <w:tc>
          <w:tcPr>
            <w:tcW w:w="1377" w:type="dxa"/>
            <w:noWrap w:val="0"/>
            <w:vAlign w:val="center"/>
          </w:tcPr>
          <w:p>
            <w:pPr>
              <w:pStyle w:val="20"/>
              <w:spacing w:beforeLines="0" w:afterLines="0" w:line="240" w:lineRule="auto"/>
              <w:rPr>
                <w:rFonts w:hint="default" w:ascii="宋体" w:hAnsi="宋体" w:eastAsia="宋体" w:cs="宋体"/>
                <w:snapToGrid w:val="0"/>
                <w:color w:val="000000"/>
                <w:kern w:val="21"/>
                <w:sz w:val="21"/>
                <w:szCs w:val="21"/>
                <w:lang w:val="en-US" w:eastAsia="zh-CN" w:bidi="ar-SA"/>
              </w:rPr>
            </w:pPr>
            <w:r>
              <w:rPr>
                <w:rFonts w:hint="eastAsia" w:hAnsi="宋体" w:cs="宋体"/>
                <w:snapToGrid w:val="0"/>
                <w:color w:val="000000"/>
                <w:kern w:val="21"/>
                <w:szCs w:val="21"/>
                <w:lang w:val="en-US" w:eastAsia="zh-CN"/>
              </w:rPr>
              <w:t>5.7t/a</w:t>
            </w:r>
          </w:p>
        </w:tc>
        <w:tc>
          <w:tcPr>
            <w:tcW w:w="1677" w:type="dxa"/>
            <w:noWrap w:val="0"/>
            <w:vAlign w:val="center"/>
          </w:tcPr>
          <w:p>
            <w:pPr>
              <w:pStyle w:val="20"/>
              <w:spacing w:beforeLines="0" w:afterLines="0" w:line="240" w:lineRule="auto"/>
              <w:rPr>
                <w:rFonts w:hint="eastAsia" w:ascii="宋体" w:hAnsi="宋体" w:eastAsia="宋体" w:cs="宋体"/>
                <w:snapToGrid w:val="0"/>
                <w:color w:val="000000"/>
                <w:kern w:val="21"/>
                <w:sz w:val="21"/>
                <w:szCs w:val="21"/>
                <w:lang w:val="en-US" w:eastAsia="zh-CN" w:bidi="ar-SA"/>
              </w:rPr>
            </w:pPr>
            <w:r>
              <w:rPr>
                <w:rFonts w:hint="eastAsia" w:hAnsi="宋体" w:cs="宋体"/>
                <w:snapToGrid w:val="0"/>
                <w:color w:val="000000"/>
                <w:kern w:val="21"/>
                <w:szCs w:val="21"/>
                <w:lang w:val="en-US" w:eastAsia="zh-CN"/>
              </w:rPr>
              <w:t>0</w:t>
            </w:r>
          </w:p>
        </w:tc>
        <w:tc>
          <w:tcPr>
            <w:tcW w:w="1800" w:type="dxa"/>
            <w:noWrap w:val="0"/>
            <w:vAlign w:val="center"/>
          </w:tcPr>
          <w:p>
            <w:pPr>
              <w:pStyle w:val="20"/>
              <w:spacing w:beforeLines="0" w:afterLines="0" w:line="240" w:lineRule="auto"/>
              <w:rPr>
                <w:rFonts w:ascii="宋体" w:hAnsi="宋体" w:eastAsia="宋体" w:cs="宋体"/>
                <w:snapToGrid w:val="0"/>
                <w:color w:val="000000"/>
                <w:kern w:val="21"/>
                <w:sz w:val="21"/>
                <w:szCs w:val="21"/>
                <w:lang w:val="en-US" w:eastAsia="zh-CN" w:bidi="ar-SA"/>
              </w:rPr>
            </w:pPr>
            <w:r>
              <w:rPr>
                <w:rFonts w:hint="eastAsia" w:hAnsi="宋体" w:cs="宋体"/>
                <w:snapToGrid w:val="0"/>
                <w:color w:val="000000"/>
                <w:kern w:val="21"/>
                <w:szCs w:val="21"/>
                <w:lang w:val="en-US" w:eastAsia="zh-CN"/>
              </w:rPr>
              <w:t>5.7t/a</w:t>
            </w:r>
          </w:p>
        </w:tc>
        <w:tc>
          <w:tcPr>
            <w:tcW w:w="1846" w:type="dxa"/>
            <w:noWrap w:val="0"/>
            <w:vAlign w:val="center"/>
          </w:tcPr>
          <w:p>
            <w:pPr>
              <w:pStyle w:val="20"/>
              <w:spacing w:beforeLines="0" w:afterLines="0" w:line="240" w:lineRule="auto"/>
              <w:rPr>
                <w:rFonts w:ascii="宋体" w:hAnsi="宋体" w:eastAsia="宋体" w:cs="宋体"/>
                <w:snapToGrid w:val="0"/>
                <w:color w:val="000000"/>
                <w:kern w:val="21"/>
                <w:sz w:val="21"/>
                <w:szCs w:val="21"/>
                <w:lang w:val="en-US" w:eastAsia="zh-CN" w:bidi="ar-SA"/>
              </w:rPr>
            </w:pPr>
            <w:r>
              <w:rPr>
                <w:rFonts w:hint="eastAsia" w:hAnsi="宋体" w:cs="宋体"/>
                <w:snapToGrid w:val="0"/>
                <w:color w:val="000000"/>
                <w:kern w:val="21"/>
                <w:szCs w:val="21"/>
                <w:lang w:val="en-US" w:eastAsia="zh-CN"/>
              </w:rPr>
              <w:t>+5.7t/a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20"/>
              <w:spacing w:beforeLines="0" w:afterLines="0" w:line="240" w:lineRule="auto"/>
              <w:rPr>
                <w:rFonts w:hint="eastAsia" w:hAnsi="宋体" w:cs="宋体"/>
                <w:snapToGrid w:val="0"/>
                <w:color w:val="000000"/>
                <w:kern w:val="21"/>
                <w:szCs w:val="21"/>
              </w:rPr>
            </w:pPr>
            <w:r>
              <w:rPr>
                <w:rFonts w:hint="eastAsia" w:hAnsi="宋体" w:cs="宋体"/>
                <w:snapToGrid w:val="0"/>
                <w:color w:val="000000"/>
                <w:kern w:val="21"/>
                <w:szCs w:val="21"/>
              </w:rPr>
              <w:t>废水</w:t>
            </w:r>
          </w:p>
        </w:tc>
        <w:tc>
          <w:tcPr>
            <w:tcW w:w="1417" w:type="dxa"/>
            <w:noWrap w:val="0"/>
            <w:vAlign w:val="center"/>
          </w:tcPr>
          <w:p>
            <w:pPr>
              <w:pStyle w:val="20"/>
              <w:spacing w:beforeLines="0" w:afterLines="0" w:line="240" w:lineRule="auto"/>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COD</w:t>
            </w:r>
            <w:r>
              <w:rPr>
                <w:rFonts w:hint="eastAsia" w:hAnsi="宋体" w:cs="宋体"/>
                <w:snapToGrid w:val="0"/>
                <w:color w:val="000000"/>
                <w:kern w:val="21"/>
                <w:szCs w:val="21"/>
                <w:vertAlign w:val="subscript"/>
                <w:lang w:val="en-US" w:eastAsia="zh-CN"/>
              </w:rPr>
              <w:t>cr</w:t>
            </w:r>
          </w:p>
        </w:tc>
        <w:tc>
          <w:tcPr>
            <w:tcW w:w="1478"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159"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446"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377" w:type="dxa"/>
            <w:noWrap w:val="0"/>
            <w:vAlign w:val="center"/>
          </w:tcPr>
          <w:p>
            <w:pPr>
              <w:pStyle w:val="20"/>
              <w:spacing w:beforeLines="0" w:afterLines="0" w:line="240" w:lineRule="auto"/>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0.175t/a</w:t>
            </w:r>
          </w:p>
        </w:tc>
        <w:tc>
          <w:tcPr>
            <w:tcW w:w="1677"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800" w:type="dxa"/>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lang w:val="en-US" w:eastAsia="zh-CN"/>
              </w:rPr>
              <w:t>0.175t/a</w:t>
            </w:r>
          </w:p>
        </w:tc>
        <w:tc>
          <w:tcPr>
            <w:tcW w:w="1846" w:type="dxa"/>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lang w:val="en-US" w:eastAsia="zh-CN"/>
              </w:rPr>
              <w:t>+0.175t/a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20"/>
              <w:spacing w:beforeLines="0" w:afterLines="0" w:line="240" w:lineRule="auto"/>
              <w:rPr>
                <w:rFonts w:hint="eastAsia" w:hAnsi="宋体" w:cs="宋体"/>
                <w:snapToGrid w:val="0"/>
                <w:color w:val="000000"/>
                <w:kern w:val="21"/>
                <w:szCs w:val="21"/>
              </w:rPr>
            </w:pPr>
          </w:p>
        </w:tc>
        <w:tc>
          <w:tcPr>
            <w:tcW w:w="1417" w:type="dxa"/>
            <w:noWrap w:val="0"/>
            <w:vAlign w:val="center"/>
          </w:tcPr>
          <w:p>
            <w:pPr>
              <w:pStyle w:val="20"/>
              <w:spacing w:beforeLines="0" w:afterLines="0" w:line="240" w:lineRule="auto"/>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SS</w:t>
            </w:r>
          </w:p>
        </w:tc>
        <w:tc>
          <w:tcPr>
            <w:tcW w:w="1478"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159"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446"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377" w:type="dxa"/>
            <w:noWrap w:val="0"/>
            <w:vAlign w:val="center"/>
          </w:tcPr>
          <w:p>
            <w:pPr>
              <w:pStyle w:val="20"/>
              <w:spacing w:beforeLines="0" w:afterLines="0" w:line="240" w:lineRule="auto"/>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0.1037t/a</w:t>
            </w:r>
          </w:p>
        </w:tc>
        <w:tc>
          <w:tcPr>
            <w:tcW w:w="1677"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800" w:type="dxa"/>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lang w:val="en-US" w:eastAsia="zh-CN"/>
              </w:rPr>
              <w:t>0.1037t/a</w:t>
            </w:r>
          </w:p>
        </w:tc>
        <w:tc>
          <w:tcPr>
            <w:tcW w:w="1846" w:type="dxa"/>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lang w:val="en-US" w:eastAsia="zh-CN"/>
              </w:rPr>
              <w:t>+0.1037t/a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20"/>
              <w:spacing w:beforeLines="0" w:afterLines="0" w:line="240" w:lineRule="auto"/>
              <w:rPr>
                <w:rFonts w:hint="eastAsia" w:hAnsi="宋体" w:cs="宋体"/>
                <w:snapToGrid w:val="0"/>
                <w:color w:val="000000"/>
                <w:kern w:val="21"/>
                <w:szCs w:val="21"/>
              </w:rPr>
            </w:pPr>
          </w:p>
        </w:tc>
        <w:tc>
          <w:tcPr>
            <w:tcW w:w="1417" w:type="dxa"/>
            <w:noWrap w:val="0"/>
            <w:vAlign w:val="center"/>
          </w:tcPr>
          <w:p>
            <w:pPr>
              <w:pStyle w:val="20"/>
              <w:spacing w:beforeLines="0" w:afterLines="0" w:line="240" w:lineRule="auto"/>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NH</w:t>
            </w:r>
            <w:r>
              <w:rPr>
                <w:rFonts w:hint="eastAsia" w:hAnsi="宋体" w:cs="宋体"/>
                <w:snapToGrid w:val="0"/>
                <w:color w:val="000000"/>
                <w:kern w:val="21"/>
                <w:szCs w:val="21"/>
                <w:vertAlign w:val="subscript"/>
                <w:lang w:val="en-US" w:eastAsia="zh-CN"/>
              </w:rPr>
              <w:t>3</w:t>
            </w:r>
            <w:r>
              <w:rPr>
                <w:rFonts w:hint="eastAsia" w:hAnsi="宋体" w:cs="宋体"/>
                <w:snapToGrid w:val="0"/>
                <w:color w:val="000000"/>
                <w:kern w:val="21"/>
                <w:szCs w:val="21"/>
                <w:lang w:val="en-US" w:eastAsia="zh-CN"/>
              </w:rPr>
              <w:t>-N</w:t>
            </w:r>
          </w:p>
        </w:tc>
        <w:tc>
          <w:tcPr>
            <w:tcW w:w="1478"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159"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446"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377" w:type="dxa"/>
            <w:noWrap w:val="0"/>
            <w:vAlign w:val="center"/>
          </w:tcPr>
          <w:p>
            <w:pPr>
              <w:pStyle w:val="20"/>
              <w:spacing w:beforeLines="0" w:afterLines="0" w:line="240" w:lineRule="auto"/>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0.0175t/a</w:t>
            </w:r>
          </w:p>
        </w:tc>
        <w:tc>
          <w:tcPr>
            <w:tcW w:w="1677"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800" w:type="dxa"/>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lang w:val="en-US" w:eastAsia="zh-CN"/>
              </w:rPr>
              <w:t>0.0175t/a</w:t>
            </w:r>
          </w:p>
        </w:tc>
        <w:tc>
          <w:tcPr>
            <w:tcW w:w="1846" w:type="dxa"/>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lang w:val="en-US" w:eastAsia="zh-CN"/>
              </w:rPr>
              <w:t>+0.0175t/a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rPr>
              <w:t>一般工业</w:t>
            </w:r>
          </w:p>
          <w:p>
            <w:pPr>
              <w:pStyle w:val="20"/>
              <w:spacing w:beforeLines="0" w:afterLines="0" w:line="240" w:lineRule="auto"/>
              <w:rPr>
                <w:rFonts w:hint="eastAsia" w:hAnsi="宋体" w:cs="宋体"/>
                <w:snapToGrid w:val="0"/>
                <w:color w:val="000000"/>
                <w:kern w:val="21"/>
                <w:szCs w:val="21"/>
              </w:rPr>
            </w:pPr>
            <w:r>
              <w:rPr>
                <w:rFonts w:hint="eastAsia" w:hAnsi="宋体" w:cs="宋体"/>
                <w:snapToGrid w:val="0"/>
                <w:color w:val="000000"/>
                <w:kern w:val="21"/>
                <w:szCs w:val="21"/>
              </w:rPr>
              <w:t>固体废物</w:t>
            </w:r>
          </w:p>
        </w:tc>
        <w:tc>
          <w:tcPr>
            <w:tcW w:w="1417" w:type="dxa"/>
            <w:noWrap w:val="0"/>
            <w:vAlign w:val="center"/>
          </w:tcPr>
          <w:p>
            <w:pPr>
              <w:pStyle w:val="20"/>
              <w:spacing w:beforeLines="0" w:afterLines="0" w:line="240" w:lineRule="auto"/>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生活垃圾</w:t>
            </w:r>
          </w:p>
        </w:tc>
        <w:tc>
          <w:tcPr>
            <w:tcW w:w="1478"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159"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446"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377" w:type="dxa"/>
            <w:noWrap w:val="0"/>
            <w:vAlign w:val="center"/>
          </w:tcPr>
          <w:p>
            <w:pPr>
              <w:pStyle w:val="20"/>
              <w:spacing w:beforeLines="0" w:afterLines="0" w:line="240" w:lineRule="auto"/>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18t/a</w:t>
            </w:r>
          </w:p>
        </w:tc>
        <w:tc>
          <w:tcPr>
            <w:tcW w:w="1677"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800" w:type="dxa"/>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lang w:val="en-US" w:eastAsia="zh-CN"/>
              </w:rPr>
              <w:t>18t/a</w:t>
            </w:r>
          </w:p>
        </w:tc>
        <w:tc>
          <w:tcPr>
            <w:tcW w:w="1846" w:type="dxa"/>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lang w:val="en-US" w:eastAsia="zh-CN"/>
              </w:rPr>
              <w:t>+18t/a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20"/>
              <w:spacing w:beforeLines="0" w:afterLines="0" w:line="240" w:lineRule="auto"/>
              <w:rPr>
                <w:rFonts w:hAnsi="宋体" w:cs="宋体"/>
                <w:snapToGrid w:val="0"/>
                <w:color w:val="000000"/>
                <w:kern w:val="21"/>
                <w:szCs w:val="21"/>
              </w:rPr>
            </w:pPr>
          </w:p>
        </w:tc>
        <w:tc>
          <w:tcPr>
            <w:tcW w:w="1417"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废包装材料</w:t>
            </w:r>
          </w:p>
        </w:tc>
        <w:tc>
          <w:tcPr>
            <w:tcW w:w="1478"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159"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446"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377" w:type="dxa"/>
            <w:noWrap w:val="0"/>
            <w:vAlign w:val="center"/>
          </w:tcPr>
          <w:p>
            <w:pPr>
              <w:pStyle w:val="20"/>
              <w:spacing w:beforeLines="0" w:afterLines="0" w:line="240" w:lineRule="auto"/>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0.5t/a</w:t>
            </w:r>
          </w:p>
        </w:tc>
        <w:tc>
          <w:tcPr>
            <w:tcW w:w="1677"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800" w:type="dxa"/>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lang w:val="en-US" w:eastAsia="zh-CN"/>
              </w:rPr>
              <w:t>0.5t/a</w:t>
            </w:r>
          </w:p>
        </w:tc>
        <w:tc>
          <w:tcPr>
            <w:tcW w:w="1846" w:type="dxa"/>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lang w:val="en-US" w:eastAsia="zh-CN"/>
              </w:rPr>
              <w:t>+0.5t/a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20"/>
              <w:spacing w:beforeLines="0" w:afterLines="0" w:line="240" w:lineRule="auto"/>
              <w:rPr>
                <w:rFonts w:hAnsi="宋体" w:cs="宋体"/>
                <w:snapToGrid w:val="0"/>
                <w:color w:val="000000"/>
                <w:kern w:val="21"/>
                <w:szCs w:val="21"/>
              </w:rPr>
            </w:pPr>
          </w:p>
        </w:tc>
        <w:tc>
          <w:tcPr>
            <w:tcW w:w="1417" w:type="dxa"/>
            <w:noWrap w:val="0"/>
            <w:vAlign w:val="center"/>
          </w:tcPr>
          <w:p>
            <w:pPr>
              <w:pStyle w:val="20"/>
              <w:spacing w:beforeLines="0" w:afterLines="0" w:line="240" w:lineRule="auto"/>
              <w:rPr>
                <w:rFonts w:hint="default" w:hAnsi="宋体" w:cs="宋体"/>
                <w:snapToGrid w:val="0"/>
                <w:color w:val="000000"/>
                <w:kern w:val="21"/>
                <w:szCs w:val="21"/>
                <w:lang w:val="en-US" w:eastAsia="zh-CN"/>
              </w:rPr>
            </w:pPr>
            <w:r>
              <w:rPr>
                <w:rFonts w:hint="eastAsia" w:hAnsi="宋体" w:cs="宋体"/>
                <w:snapToGrid w:val="0"/>
                <w:color w:val="000000"/>
                <w:kern w:val="21"/>
                <w:szCs w:val="21"/>
                <w:lang w:val="en-US" w:eastAsia="zh-CN"/>
              </w:rPr>
              <w:t>废过滤网</w:t>
            </w:r>
          </w:p>
        </w:tc>
        <w:tc>
          <w:tcPr>
            <w:tcW w:w="1478" w:type="dxa"/>
            <w:noWrap w:val="0"/>
            <w:vAlign w:val="center"/>
          </w:tcPr>
          <w:p>
            <w:pPr>
              <w:pStyle w:val="20"/>
              <w:spacing w:beforeLines="0" w:afterLines="0" w:line="240" w:lineRule="auto"/>
              <w:rPr>
                <w:rFonts w:hint="default" w:hAnsi="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159" w:type="dxa"/>
            <w:noWrap w:val="0"/>
            <w:vAlign w:val="center"/>
          </w:tcPr>
          <w:p>
            <w:pPr>
              <w:pStyle w:val="20"/>
              <w:spacing w:beforeLines="0" w:afterLines="0" w:line="240" w:lineRule="auto"/>
              <w:rPr>
                <w:rFonts w:hint="default" w:hAnsi="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446" w:type="dxa"/>
            <w:noWrap w:val="0"/>
            <w:vAlign w:val="center"/>
          </w:tcPr>
          <w:p>
            <w:pPr>
              <w:pStyle w:val="20"/>
              <w:spacing w:beforeLines="0" w:afterLines="0" w:line="240" w:lineRule="auto"/>
              <w:rPr>
                <w:rFonts w:hint="default" w:hAnsi="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377" w:type="dxa"/>
            <w:noWrap w:val="0"/>
            <w:vAlign w:val="center"/>
          </w:tcPr>
          <w:p>
            <w:pPr>
              <w:pStyle w:val="20"/>
              <w:spacing w:beforeLines="0" w:afterLines="0" w:line="240" w:lineRule="auto"/>
              <w:rPr>
                <w:rFonts w:hint="default" w:hAnsi="宋体" w:cs="宋体"/>
                <w:snapToGrid w:val="0"/>
                <w:color w:val="000000"/>
                <w:kern w:val="21"/>
                <w:szCs w:val="21"/>
                <w:lang w:val="en-US" w:eastAsia="zh-CN"/>
              </w:rPr>
            </w:pPr>
            <w:r>
              <w:rPr>
                <w:rFonts w:hint="eastAsia" w:hAnsi="宋体" w:cs="宋体"/>
                <w:snapToGrid w:val="0"/>
                <w:color w:val="000000"/>
                <w:kern w:val="21"/>
                <w:szCs w:val="21"/>
                <w:lang w:val="en-US" w:eastAsia="zh-CN"/>
              </w:rPr>
              <w:t>0.2t/a</w:t>
            </w:r>
          </w:p>
        </w:tc>
        <w:tc>
          <w:tcPr>
            <w:tcW w:w="1677" w:type="dxa"/>
            <w:noWrap w:val="0"/>
            <w:vAlign w:val="center"/>
          </w:tcPr>
          <w:p>
            <w:pPr>
              <w:pStyle w:val="20"/>
              <w:spacing w:beforeLines="0" w:afterLines="0" w:line="240" w:lineRule="auto"/>
              <w:rPr>
                <w:rFonts w:hint="default" w:hAnsi="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800" w:type="dxa"/>
            <w:noWrap w:val="0"/>
            <w:vAlign w:val="center"/>
          </w:tcPr>
          <w:p>
            <w:pPr>
              <w:pStyle w:val="20"/>
              <w:spacing w:beforeLines="0" w:afterLines="0" w:line="240" w:lineRule="auto"/>
              <w:rPr>
                <w:rFonts w:hint="default" w:hAnsi="宋体" w:cs="宋体"/>
                <w:snapToGrid w:val="0"/>
                <w:color w:val="000000"/>
                <w:kern w:val="21"/>
                <w:szCs w:val="21"/>
                <w:lang w:val="en-US" w:eastAsia="zh-CN"/>
              </w:rPr>
            </w:pPr>
            <w:r>
              <w:rPr>
                <w:rFonts w:hint="eastAsia" w:hAnsi="宋体" w:cs="宋体"/>
                <w:snapToGrid w:val="0"/>
                <w:color w:val="000000"/>
                <w:kern w:val="21"/>
                <w:szCs w:val="21"/>
                <w:lang w:val="en-US" w:eastAsia="zh-CN"/>
              </w:rPr>
              <w:t>0.2t/a</w:t>
            </w:r>
          </w:p>
        </w:tc>
        <w:tc>
          <w:tcPr>
            <w:tcW w:w="1846" w:type="dxa"/>
            <w:noWrap w:val="0"/>
            <w:vAlign w:val="center"/>
          </w:tcPr>
          <w:p>
            <w:pPr>
              <w:pStyle w:val="20"/>
              <w:spacing w:beforeLines="0" w:afterLines="0" w:line="240" w:lineRule="auto"/>
              <w:rPr>
                <w:rFonts w:hint="eastAsia" w:hAnsi="宋体" w:cs="宋体"/>
                <w:snapToGrid w:val="0"/>
                <w:color w:val="000000"/>
                <w:kern w:val="21"/>
                <w:szCs w:val="21"/>
                <w:lang w:val="en-US" w:eastAsia="zh-CN"/>
              </w:rPr>
            </w:pPr>
            <w:r>
              <w:rPr>
                <w:rFonts w:hint="eastAsia" w:hAnsi="宋体" w:cs="宋体"/>
                <w:snapToGrid w:val="0"/>
                <w:color w:val="000000"/>
                <w:kern w:val="21"/>
                <w:szCs w:val="21"/>
                <w:lang w:val="en-US" w:eastAsia="zh-CN"/>
              </w:rPr>
              <w:t>+0.2t/a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20"/>
              <w:spacing w:beforeLines="0" w:afterLines="0" w:line="240" w:lineRule="auto"/>
              <w:rPr>
                <w:rFonts w:hAnsi="宋体" w:cs="宋体"/>
                <w:snapToGrid w:val="0"/>
                <w:color w:val="000000"/>
                <w:kern w:val="21"/>
                <w:szCs w:val="21"/>
              </w:rPr>
            </w:pPr>
          </w:p>
        </w:tc>
        <w:tc>
          <w:tcPr>
            <w:tcW w:w="1417" w:type="dxa"/>
            <w:noWrap w:val="0"/>
            <w:vAlign w:val="center"/>
          </w:tcPr>
          <w:p>
            <w:pPr>
              <w:pStyle w:val="20"/>
              <w:spacing w:beforeLines="0" w:afterLines="0" w:line="240" w:lineRule="auto"/>
              <w:rPr>
                <w:rFonts w:hint="default" w:hAnsi="宋体" w:cs="宋体"/>
                <w:snapToGrid w:val="0"/>
                <w:color w:val="000000"/>
                <w:kern w:val="21"/>
                <w:szCs w:val="21"/>
                <w:lang w:val="en-US" w:eastAsia="zh-CN"/>
              </w:rPr>
            </w:pPr>
            <w:r>
              <w:rPr>
                <w:rFonts w:hint="eastAsia" w:hAnsi="宋体" w:cs="宋体"/>
                <w:snapToGrid w:val="0"/>
                <w:color w:val="000000"/>
                <w:kern w:val="21"/>
                <w:szCs w:val="21"/>
                <w:lang w:val="en-US" w:eastAsia="zh-CN"/>
              </w:rPr>
              <w:t>除尘灰</w:t>
            </w:r>
          </w:p>
        </w:tc>
        <w:tc>
          <w:tcPr>
            <w:tcW w:w="1478"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159"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446"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377" w:type="dxa"/>
            <w:noWrap w:val="0"/>
            <w:vAlign w:val="center"/>
          </w:tcPr>
          <w:p>
            <w:pPr>
              <w:pStyle w:val="20"/>
              <w:spacing w:beforeLines="0" w:afterLines="0" w:line="240" w:lineRule="auto"/>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0.5346t/a</w:t>
            </w:r>
          </w:p>
        </w:tc>
        <w:tc>
          <w:tcPr>
            <w:tcW w:w="1677"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800" w:type="dxa"/>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lang w:val="en-US" w:eastAsia="zh-CN"/>
              </w:rPr>
              <w:t>0.5346t/a</w:t>
            </w:r>
          </w:p>
        </w:tc>
        <w:tc>
          <w:tcPr>
            <w:tcW w:w="1846" w:type="dxa"/>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lang w:val="en-US" w:eastAsia="zh-CN"/>
              </w:rPr>
              <w:t>+0.5346t/a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20"/>
              <w:spacing w:beforeLines="0" w:afterLines="0" w:line="240" w:lineRule="auto"/>
              <w:rPr>
                <w:rFonts w:hint="eastAsia" w:hAnsi="宋体" w:cs="宋体"/>
                <w:snapToGrid w:val="0"/>
                <w:color w:val="000000"/>
                <w:kern w:val="21"/>
                <w:szCs w:val="21"/>
              </w:rPr>
            </w:pPr>
            <w:r>
              <w:rPr>
                <w:rFonts w:hint="eastAsia" w:hAnsi="宋体" w:cs="宋体"/>
                <w:snapToGrid w:val="0"/>
                <w:color w:val="000000"/>
                <w:kern w:val="21"/>
                <w:szCs w:val="21"/>
              </w:rPr>
              <w:t>危险废物</w:t>
            </w:r>
          </w:p>
        </w:tc>
        <w:tc>
          <w:tcPr>
            <w:tcW w:w="1417" w:type="dxa"/>
            <w:noWrap w:val="0"/>
            <w:vAlign w:val="center"/>
          </w:tcPr>
          <w:p>
            <w:pPr>
              <w:pStyle w:val="20"/>
              <w:spacing w:beforeLines="0" w:afterLines="0" w:line="240" w:lineRule="auto"/>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废活性炭</w:t>
            </w:r>
          </w:p>
        </w:tc>
        <w:tc>
          <w:tcPr>
            <w:tcW w:w="1478"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159"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446"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377" w:type="dxa"/>
            <w:noWrap w:val="0"/>
            <w:vAlign w:val="center"/>
          </w:tcPr>
          <w:p>
            <w:pPr>
              <w:pStyle w:val="20"/>
              <w:spacing w:beforeLines="0" w:afterLines="0" w:line="240" w:lineRule="auto"/>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1.35t/a</w:t>
            </w:r>
          </w:p>
        </w:tc>
        <w:tc>
          <w:tcPr>
            <w:tcW w:w="1677"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800" w:type="dxa"/>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lang w:val="en-US" w:eastAsia="zh-CN"/>
              </w:rPr>
              <w:t>1.35t/a</w:t>
            </w:r>
          </w:p>
        </w:tc>
        <w:tc>
          <w:tcPr>
            <w:tcW w:w="1846" w:type="dxa"/>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lang w:val="en-US" w:eastAsia="zh-CN"/>
              </w:rPr>
              <w:t>+1.35t/a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20"/>
              <w:spacing w:beforeLines="0" w:afterLines="0" w:line="240" w:lineRule="auto"/>
              <w:rPr>
                <w:rFonts w:hAnsi="宋体" w:cs="宋体"/>
                <w:snapToGrid w:val="0"/>
                <w:color w:val="000000"/>
                <w:kern w:val="21"/>
                <w:szCs w:val="21"/>
              </w:rPr>
            </w:pPr>
          </w:p>
        </w:tc>
        <w:tc>
          <w:tcPr>
            <w:tcW w:w="1417" w:type="dxa"/>
            <w:noWrap w:val="0"/>
            <w:vAlign w:val="center"/>
          </w:tcPr>
          <w:p>
            <w:pPr>
              <w:pStyle w:val="20"/>
              <w:spacing w:beforeLines="0" w:afterLines="0" w:line="240" w:lineRule="auto"/>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废UV灯管</w:t>
            </w:r>
          </w:p>
        </w:tc>
        <w:tc>
          <w:tcPr>
            <w:tcW w:w="1478"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159"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446"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377" w:type="dxa"/>
            <w:noWrap w:val="0"/>
            <w:vAlign w:val="center"/>
          </w:tcPr>
          <w:p>
            <w:pPr>
              <w:pStyle w:val="20"/>
              <w:spacing w:beforeLines="0" w:afterLines="0" w:line="240" w:lineRule="auto"/>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0.03t/a</w:t>
            </w:r>
          </w:p>
        </w:tc>
        <w:tc>
          <w:tcPr>
            <w:tcW w:w="1677" w:type="dxa"/>
            <w:noWrap w:val="0"/>
            <w:vAlign w:val="center"/>
          </w:tcPr>
          <w:p>
            <w:pPr>
              <w:pStyle w:val="20"/>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w:t>
            </w:r>
          </w:p>
        </w:tc>
        <w:tc>
          <w:tcPr>
            <w:tcW w:w="1800" w:type="dxa"/>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lang w:val="en-US" w:eastAsia="zh-CN"/>
              </w:rPr>
              <w:t>0.03t/a</w:t>
            </w:r>
          </w:p>
        </w:tc>
        <w:tc>
          <w:tcPr>
            <w:tcW w:w="1846" w:type="dxa"/>
            <w:noWrap w:val="0"/>
            <w:vAlign w:val="center"/>
          </w:tcPr>
          <w:p>
            <w:pPr>
              <w:pStyle w:val="20"/>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lang w:val="en-US" w:eastAsia="zh-CN"/>
              </w:rPr>
              <w:t>+0.03t/a</w:t>
            </w:r>
          </w:p>
        </w:tc>
      </w:tr>
    </w:tbl>
    <w:p>
      <w:pPr>
        <w:pStyle w:val="20"/>
        <w:spacing w:before="192" w:beforeLines="80" w:after="24"/>
        <w:jc w:val="left"/>
        <w:rPr>
          <w:rFonts w:hint="eastAsia"/>
        </w:rPr>
        <w:sectPr>
          <w:footerReference r:id="rId7"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Ansi="宋体"/>
          <w:snapToGrid w:val="0"/>
          <w:color w:val="000000"/>
          <w:kern w:val="21"/>
          <w:szCs w:val="21"/>
        </w:rPr>
        <w:t>注：</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3 \* GB3 \* MERGEFORMAT </w:instrText>
      </w:r>
      <w:r>
        <w:rPr>
          <w:rFonts w:hAnsi="宋体"/>
          <w:snapToGrid w:val="0"/>
          <w:color w:val="000000"/>
          <w:spacing w:val="-6"/>
          <w:kern w:val="21"/>
          <w:szCs w:val="21"/>
        </w:rPr>
        <w:fldChar w:fldCharType="separate"/>
      </w:r>
      <w:r>
        <w:rPr>
          <w:rFonts w:hint="eastAsia" w:hAnsi="宋体"/>
          <w:szCs w:val="21"/>
        </w:rPr>
        <w:t>③</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4 \* GB3 \* MERGEFORMAT </w:instrText>
      </w:r>
      <w:r>
        <w:rPr>
          <w:rFonts w:hAnsi="宋体"/>
          <w:snapToGrid w:val="0"/>
          <w:color w:val="000000"/>
          <w:spacing w:val="-6"/>
          <w:kern w:val="21"/>
          <w:szCs w:val="21"/>
        </w:rPr>
        <w:fldChar w:fldCharType="separate"/>
      </w:r>
      <w:r>
        <w:rPr>
          <w:rFonts w:hint="eastAsia" w:hAnsi="宋体"/>
          <w:szCs w:val="21"/>
        </w:rPr>
        <w:t>④</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5 \* GB3 \* MERGEFORMAT </w:instrText>
      </w:r>
      <w:r>
        <w:rPr>
          <w:rFonts w:hAnsi="宋体"/>
          <w:snapToGrid w:val="0"/>
          <w:color w:val="000000"/>
          <w:spacing w:val="-16"/>
          <w:kern w:val="21"/>
          <w:szCs w:val="21"/>
        </w:rPr>
        <w:fldChar w:fldCharType="separate"/>
      </w:r>
      <w:r>
        <w:rPr>
          <w:rFonts w:hint="eastAsia" w:hAnsi="宋体"/>
          <w:szCs w:val="21"/>
        </w:rPr>
        <w:t>⑤</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7 \* GB3 \* MERGEFORMAT </w:instrText>
      </w:r>
      <w:r>
        <w:rPr>
          <w:rFonts w:hAnsi="宋体"/>
          <w:snapToGrid w:val="0"/>
          <w:color w:val="000000"/>
          <w:spacing w:val="-6"/>
          <w:kern w:val="21"/>
          <w:szCs w:val="21"/>
        </w:rPr>
        <w:fldChar w:fldCharType="separate"/>
      </w:r>
      <w:r>
        <w:rPr>
          <w:rFonts w:hint="eastAsia" w:hAnsi="宋体"/>
          <w:szCs w:val="21"/>
        </w:rPr>
        <w:t>⑦</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p>
    <w:p>
      <w:pPr>
        <w:rPr>
          <w:rFonts w:hint="eastAsia"/>
          <w:b/>
          <w:bCs/>
          <w:sz w:val="28"/>
          <w:szCs w:val="28"/>
          <w:lang w:val="en-US" w:eastAsia="zh-CN"/>
        </w:rPr>
      </w:pPr>
      <w:r>
        <w:rPr>
          <w:rFonts w:hint="eastAsia"/>
          <w:b/>
          <w:bCs/>
          <w:sz w:val="28"/>
          <w:szCs w:val="28"/>
          <w:lang w:val="en-US" w:eastAsia="zh-CN"/>
        </w:rPr>
        <w:t>附件一：项目委托书</w:t>
      </w:r>
    </w:p>
    <w:p>
      <w:pPr>
        <w:rPr>
          <w:rFonts w:hint="default" w:eastAsia="宋体"/>
          <w:b/>
          <w:bCs/>
          <w:sz w:val="28"/>
          <w:szCs w:val="28"/>
          <w:lang w:val="en-US" w:eastAsia="zh-CN"/>
        </w:rPr>
      </w:pPr>
      <w:r>
        <w:rPr>
          <w:rFonts w:hint="default" w:eastAsia="宋体"/>
          <w:b/>
          <w:bCs/>
          <w:sz w:val="28"/>
          <w:szCs w:val="28"/>
          <w:lang w:val="en-US" w:eastAsia="zh-CN"/>
        </w:rPr>
        <w:drawing>
          <wp:inline distT="0" distB="0" distL="114300" distR="114300">
            <wp:extent cx="5258435" cy="7400925"/>
            <wp:effectExtent l="0" t="0" r="18415" b="9525"/>
            <wp:docPr id="4" name="图片 4" descr="331b7dc0896e4591aead8f4c39de1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331b7dc0896e4591aead8f4c39de1f6"/>
                    <pic:cNvPicPr>
                      <a:picLocks noChangeAspect="1"/>
                    </pic:cNvPicPr>
                  </pic:nvPicPr>
                  <pic:blipFill>
                    <a:blip r:embed="rId20"/>
                    <a:stretch>
                      <a:fillRect/>
                    </a:stretch>
                  </pic:blipFill>
                  <pic:spPr>
                    <a:xfrm>
                      <a:off x="0" y="0"/>
                      <a:ext cx="5258435" cy="7400925"/>
                    </a:xfrm>
                    <a:prstGeom prst="rect">
                      <a:avLst/>
                    </a:prstGeom>
                  </pic:spPr>
                </pic:pic>
              </a:graphicData>
            </a:graphic>
          </wp:inline>
        </w:drawing>
      </w:r>
    </w:p>
    <w:p>
      <w:pPr>
        <w:rPr>
          <w:rFonts w:hint="default" w:eastAsia="宋体"/>
          <w:b/>
          <w:bCs/>
          <w:sz w:val="28"/>
          <w:szCs w:val="28"/>
          <w:lang w:val="en-US" w:eastAsia="zh-CN"/>
        </w:rPr>
      </w:pPr>
      <w:r>
        <w:rPr>
          <w:rFonts w:hint="default" w:eastAsia="宋体"/>
          <w:b/>
          <w:bCs/>
          <w:sz w:val="28"/>
          <w:szCs w:val="28"/>
          <w:lang w:val="en-US" w:eastAsia="zh-CN"/>
        </w:rPr>
        <w:br w:type="page"/>
      </w:r>
    </w:p>
    <w:p>
      <w:pPr>
        <w:rPr>
          <w:rFonts w:hint="eastAsia"/>
          <w:b/>
          <w:bCs/>
          <w:sz w:val="28"/>
          <w:szCs w:val="28"/>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rPr>
          <w:rFonts w:hint="eastAsia"/>
          <w:b/>
          <w:bCs/>
          <w:sz w:val="28"/>
          <w:szCs w:val="28"/>
          <w:lang w:val="en-US" w:eastAsia="zh-CN"/>
        </w:rPr>
      </w:pPr>
      <w:r>
        <w:rPr>
          <w:rFonts w:hint="eastAsia"/>
          <w:b/>
          <w:bCs/>
          <w:sz w:val="28"/>
          <w:szCs w:val="28"/>
          <w:lang w:val="en-US" w:eastAsia="zh-CN"/>
        </w:rPr>
        <w:t>附件二：营业执照</w:t>
      </w:r>
    </w:p>
    <w:p>
      <w:pPr>
        <w:jc w:val="center"/>
        <w:rPr>
          <w:rFonts w:hint="default"/>
          <w:b/>
          <w:bCs/>
          <w:sz w:val="28"/>
          <w:szCs w:val="28"/>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b/>
          <w:bCs/>
          <w:sz w:val="28"/>
          <w:szCs w:val="28"/>
          <w:lang w:val="en-US" w:eastAsia="zh-CN"/>
        </w:rPr>
        <w:drawing>
          <wp:inline distT="0" distB="0" distL="114300" distR="114300">
            <wp:extent cx="4785360" cy="6582410"/>
            <wp:effectExtent l="0" t="0" r="8890" b="15240"/>
            <wp:docPr id="5" name="图片 5" descr="90c41a3d7e0bf13dfeaf1b74e7033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90c41a3d7e0bf13dfeaf1b74e7033b1"/>
                    <pic:cNvPicPr>
                      <a:picLocks noChangeAspect="1"/>
                    </pic:cNvPicPr>
                  </pic:nvPicPr>
                  <pic:blipFill>
                    <a:blip r:embed="rId21"/>
                    <a:stretch>
                      <a:fillRect/>
                    </a:stretch>
                  </pic:blipFill>
                  <pic:spPr>
                    <a:xfrm rot="5400000">
                      <a:off x="0" y="0"/>
                      <a:ext cx="4785360" cy="6582410"/>
                    </a:xfrm>
                    <a:prstGeom prst="rect">
                      <a:avLst/>
                    </a:prstGeom>
                  </pic:spPr>
                </pic:pic>
              </a:graphicData>
            </a:graphic>
          </wp:inline>
        </w:drawing>
      </w:r>
    </w:p>
    <w:p>
      <w:pPr>
        <w:rPr>
          <w:rFonts w:hint="eastAsia"/>
          <w:b/>
          <w:bCs/>
          <w:sz w:val="28"/>
          <w:szCs w:val="28"/>
          <w:lang w:val="en-US" w:eastAsia="zh-CN"/>
        </w:rPr>
      </w:pPr>
      <w:r>
        <w:rPr>
          <w:rFonts w:hint="eastAsia"/>
          <w:b/>
          <w:bCs/>
          <w:sz w:val="28"/>
          <w:szCs w:val="28"/>
          <w:lang w:val="en-US" w:eastAsia="zh-CN"/>
        </w:rPr>
        <w:t>附件三：法人身份证复印件</w:t>
      </w:r>
    </w:p>
    <w:p>
      <w:pPr>
        <w:rPr>
          <w:rFonts w:hint="eastAsia"/>
          <w:b/>
          <w:bCs/>
          <w:sz w:val="28"/>
          <w:szCs w:val="28"/>
          <w:lang w:val="en-US" w:eastAsia="zh-CN"/>
        </w:rPr>
      </w:pPr>
      <w:bookmarkStart w:id="6" w:name="_GoBack"/>
      <w:r>
        <w:rPr>
          <w:rFonts w:hint="eastAsia"/>
          <w:b/>
          <w:bCs/>
          <w:sz w:val="28"/>
          <w:szCs w:val="28"/>
          <w:lang w:val="en-US" w:eastAsia="zh-CN"/>
        </w:rPr>
        <w:drawing>
          <wp:inline distT="0" distB="0" distL="114300" distR="114300">
            <wp:extent cx="5267325" cy="6532245"/>
            <wp:effectExtent l="0" t="0" r="9525" b="1905"/>
            <wp:docPr id="63" name="图片 63" descr="1680225696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1680225696548"/>
                    <pic:cNvPicPr>
                      <a:picLocks noChangeAspect="1"/>
                    </pic:cNvPicPr>
                  </pic:nvPicPr>
                  <pic:blipFill>
                    <a:blip r:embed="rId22"/>
                    <a:stretch>
                      <a:fillRect/>
                    </a:stretch>
                  </pic:blipFill>
                  <pic:spPr>
                    <a:xfrm>
                      <a:off x="0" y="0"/>
                      <a:ext cx="5267325" cy="6532245"/>
                    </a:xfrm>
                    <a:prstGeom prst="rect">
                      <a:avLst/>
                    </a:prstGeom>
                  </pic:spPr>
                </pic:pic>
              </a:graphicData>
            </a:graphic>
          </wp:inline>
        </w:drawing>
      </w:r>
      <w:bookmarkEnd w:id="6"/>
      <w:r>
        <w:rPr>
          <w:rFonts w:hint="eastAsia"/>
          <w:b/>
          <w:bCs/>
          <w:sz w:val="28"/>
          <w:szCs w:val="28"/>
          <w:lang w:val="en-US" w:eastAsia="zh-CN"/>
        </w:rPr>
        <w:br w:type="page"/>
      </w:r>
    </w:p>
    <w:p>
      <w:pPr>
        <w:rPr>
          <w:rFonts w:hint="default" w:eastAsia="宋体"/>
          <w:b/>
          <w:bCs/>
          <w:sz w:val="28"/>
          <w:szCs w:val="28"/>
          <w:lang w:val="en-US" w:eastAsia="zh-CN"/>
        </w:rPr>
      </w:pPr>
      <w:r>
        <w:rPr>
          <w:rFonts w:hint="eastAsia"/>
          <w:b/>
          <w:bCs/>
          <w:sz w:val="28"/>
          <w:szCs w:val="28"/>
          <w:lang w:val="en-US" w:eastAsia="zh-CN"/>
        </w:rPr>
        <w:t>附件四：入园协议</w:t>
      </w:r>
    </w:p>
    <w:p>
      <w:pPr>
        <w:rPr>
          <w:rFonts w:hint="default" w:eastAsia="宋体"/>
          <w:b/>
          <w:bCs/>
          <w:sz w:val="28"/>
          <w:szCs w:val="28"/>
          <w:lang w:val="en-US" w:eastAsia="zh-CN"/>
        </w:rPr>
      </w:pPr>
      <w:r>
        <w:rPr>
          <w:rFonts w:hint="default" w:eastAsia="宋体"/>
          <w:b/>
          <w:bCs/>
          <w:sz w:val="28"/>
          <w:szCs w:val="28"/>
          <w:lang w:val="en-US" w:eastAsia="zh-CN"/>
        </w:rPr>
        <w:drawing>
          <wp:inline distT="0" distB="0" distL="114300" distR="114300">
            <wp:extent cx="5271770" cy="7070090"/>
            <wp:effectExtent l="0" t="0" r="5080" b="16510"/>
            <wp:docPr id="11" name="图片 11" descr="1_工业地产企业入园协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_工业地产企业入园协议_00"/>
                    <pic:cNvPicPr>
                      <a:picLocks noChangeAspect="1"/>
                    </pic:cNvPicPr>
                  </pic:nvPicPr>
                  <pic:blipFill>
                    <a:blip r:embed="rId23"/>
                    <a:srcRect b="5251"/>
                    <a:stretch>
                      <a:fillRect/>
                    </a:stretch>
                  </pic:blipFill>
                  <pic:spPr>
                    <a:xfrm>
                      <a:off x="0" y="0"/>
                      <a:ext cx="5271770" cy="7070090"/>
                    </a:xfrm>
                    <a:prstGeom prst="rect">
                      <a:avLst/>
                    </a:prstGeom>
                  </pic:spPr>
                </pic:pic>
              </a:graphicData>
            </a:graphic>
          </wp:inline>
        </w:drawing>
      </w:r>
    </w:p>
    <w:p>
      <w:pPr>
        <w:jc w:val="center"/>
        <w:rPr>
          <w:rFonts w:hint="default" w:eastAsia="宋体"/>
          <w:b/>
          <w:bCs/>
          <w:sz w:val="28"/>
          <w:szCs w:val="28"/>
          <w:lang w:val="en-US" w:eastAsia="zh-CN"/>
        </w:rPr>
      </w:pPr>
      <w:r>
        <w:rPr>
          <w:rFonts w:hint="default" w:eastAsia="宋体"/>
          <w:b/>
          <w:bCs/>
          <w:sz w:val="28"/>
          <w:szCs w:val="28"/>
          <w:lang w:val="en-US" w:eastAsia="zh-CN"/>
        </w:rPr>
        <w:drawing>
          <wp:inline distT="0" distB="0" distL="114300" distR="114300">
            <wp:extent cx="5269865" cy="8134350"/>
            <wp:effectExtent l="0" t="0" r="6985" b="0"/>
            <wp:docPr id="10" name="图片 10" descr="1_工业地产企业入园协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_工业地产企业入园协议_01"/>
                    <pic:cNvPicPr>
                      <a:picLocks noChangeAspect="1"/>
                    </pic:cNvPicPr>
                  </pic:nvPicPr>
                  <pic:blipFill>
                    <a:blip r:embed="rId24"/>
                    <a:srcRect l="6420" r="6830" b="5395"/>
                    <a:stretch>
                      <a:fillRect/>
                    </a:stretch>
                  </pic:blipFill>
                  <pic:spPr>
                    <a:xfrm>
                      <a:off x="0" y="0"/>
                      <a:ext cx="5269865" cy="8134350"/>
                    </a:xfrm>
                    <a:prstGeom prst="rect">
                      <a:avLst/>
                    </a:prstGeom>
                  </pic:spPr>
                </pic:pic>
              </a:graphicData>
            </a:graphic>
          </wp:inline>
        </w:drawing>
      </w:r>
      <w:r>
        <w:rPr>
          <w:rFonts w:hint="default" w:eastAsia="宋体"/>
          <w:b/>
          <w:bCs/>
          <w:sz w:val="28"/>
          <w:szCs w:val="28"/>
          <w:lang w:val="en-US" w:eastAsia="zh-CN"/>
        </w:rPr>
        <w:drawing>
          <wp:inline distT="0" distB="0" distL="114300" distR="114300">
            <wp:extent cx="5271135" cy="7816850"/>
            <wp:effectExtent l="0" t="0" r="5715" b="12700"/>
            <wp:docPr id="9" name="图片 9" descr="1_工业地产企业入园协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_工业地产企业入园协议_02"/>
                    <pic:cNvPicPr>
                      <a:picLocks noChangeAspect="1"/>
                    </pic:cNvPicPr>
                  </pic:nvPicPr>
                  <pic:blipFill>
                    <a:blip r:embed="rId25"/>
                    <a:srcRect l="5011" r="4818" b="5531"/>
                    <a:stretch>
                      <a:fillRect/>
                    </a:stretch>
                  </pic:blipFill>
                  <pic:spPr>
                    <a:xfrm>
                      <a:off x="0" y="0"/>
                      <a:ext cx="5271135" cy="7816850"/>
                    </a:xfrm>
                    <a:prstGeom prst="rect">
                      <a:avLst/>
                    </a:prstGeom>
                  </pic:spPr>
                </pic:pic>
              </a:graphicData>
            </a:graphic>
          </wp:inline>
        </w:drawing>
      </w:r>
      <w:r>
        <w:rPr>
          <w:rFonts w:hint="default" w:eastAsia="宋体"/>
          <w:b/>
          <w:bCs/>
          <w:sz w:val="28"/>
          <w:szCs w:val="28"/>
          <w:lang w:val="en-US" w:eastAsia="zh-CN"/>
        </w:rPr>
        <w:drawing>
          <wp:inline distT="0" distB="0" distL="114300" distR="114300">
            <wp:extent cx="5217160" cy="7836535"/>
            <wp:effectExtent l="0" t="0" r="2540" b="12065"/>
            <wp:docPr id="8" name="图片 8" descr="1_工业地产企业入园协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_工业地产企业入园协议_03"/>
                    <pic:cNvPicPr>
                      <a:picLocks noChangeAspect="1"/>
                    </pic:cNvPicPr>
                  </pic:nvPicPr>
                  <pic:blipFill>
                    <a:blip r:embed="rId26"/>
                    <a:srcRect l="5420" r="5420" b="5387"/>
                    <a:stretch>
                      <a:fillRect/>
                    </a:stretch>
                  </pic:blipFill>
                  <pic:spPr>
                    <a:xfrm>
                      <a:off x="0" y="0"/>
                      <a:ext cx="5217160" cy="7836535"/>
                    </a:xfrm>
                    <a:prstGeom prst="rect">
                      <a:avLst/>
                    </a:prstGeom>
                  </pic:spPr>
                </pic:pic>
              </a:graphicData>
            </a:graphic>
          </wp:inline>
        </w:drawing>
      </w:r>
      <w:r>
        <w:rPr>
          <w:rFonts w:hint="default" w:eastAsia="宋体"/>
          <w:b/>
          <w:bCs/>
          <w:sz w:val="28"/>
          <w:szCs w:val="28"/>
          <w:lang w:val="en-US" w:eastAsia="zh-CN"/>
        </w:rPr>
        <w:drawing>
          <wp:inline distT="0" distB="0" distL="114300" distR="114300">
            <wp:extent cx="5322570" cy="7976870"/>
            <wp:effectExtent l="0" t="0" r="11430" b="5080"/>
            <wp:docPr id="7" name="图片 7" descr="1_工业地产企业入园协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_工业地产企业入园协议_04"/>
                    <pic:cNvPicPr>
                      <a:picLocks noChangeAspect="1"/>
                    </pic:cNvPicPr>
                  </pic:nvPicPr>
                  <pic:blipFill>
                    <a:blip r:embed="rId27"/>
                    <a:srcRect l="5228" r="5420" b="5395"/>
                    <a:stretch>
                      <a:fillRect/>
                    </a:stretch>
                  </pic:blipFill>
                  <pic:spPr>
                    <a:xfrm>
                      <a:off x="0" y="0"/>
                      <a:ext cx="5322570" cy="7976870"/>
                    </a:xfrm>
                    <a:prstGeom prst="rect">
                      <a:avLst/>
                    </a:prstGeom>
                  </pic:spPr>
                </pic:pic>
              </a:graphicData>
            </a:graphic>
          </wp:inline>
        </w:drawing>
      </w:r>
    </w:p>
    <w:p>
      <w:pPr>
        <w:rPr>
          <w:rFonts w:hint="default" w:eastAsia="宋体"/>
          <w:b/>
          <w:bCs/>
          <w:sz w:val="28"/>
          <w:szCs w:val="28"/>
          <w:lang w:val="en-US" w:eastAsia="zh-CN"/>
        </w:rPr>
      </w:pPr>
      <w:r>
        <w:rPr>
          <w:rFonts w:hint="default" w:eastAsia="宋体"/>
          <w:b/>
          <w:bCs/>
          <w:sz w:val="28"/>
          <w:szCs w:val="28"/>
          <w:lang w:val="en-US" w:eastAsia="zh-CN"/>
        </w:rPr>
        <w:br w:type="page"/>
      </w:r>
    </w:p>
    <w:p>
      <w:pPr>
        <w:jc w:val="both"/>
        <w:rPr>
          <w:rFonts w:hint="eastAsia"/>
          <w:b/>
          <w:bCs/>
          <w:sz w:val="28"/>
          <w:szCs w:val="28"/>
          <w:lang w:val="en-US" w:eastAsia="zh-CN"/>
        </w:rPr>
      </w:pPr>
      <w:r>
        <w:rPr>
          <w:rFonts w:hint="eastAsia"/>
          <w:b/>
          <w:bCs/>
          <w:sz w:val="28"/>
          <w:szCs w:val="28"/>
          <w:lang w:val="en-US" w:eastAsia="zh-CN"/>
        </w:rPr>
        <w:t>附件五：联审意见</w:t>
      </w:r>
    </w:p>
    <w:p>
      <w:pPr>
        <w:jc w:val="both"/>
        <w:rPr>
          <w:rFonts w:hint="default" w:eastAsia="宋体"/>
          <w:b/>
          <w:bCs/>
          <w:sz w:val="28"/>
          <w:szCs w:val="28"/>
          <w:lang w:val="en-US" w:eastAsia="zh-CN"/>
        </w:rPr>
      </w:pPr>
      <w:r>
        <w:rPr>
          <w:rFonts w:hint="default" w:eastAsia="宋体"/>
          <w:b/>
          <w:bCs/>
          <w:sz w:val="28"/>
          <w:szCs w:val="28"/>
          <w:lang w:val="en-US" w:eastAsia="zh-CN"/>
        </w:rPr>
        <w:drawing>
          <wp:inline distT="0" distB="0" distL="114300" distR="114300">
            <wp:extent cx="5267960" cy="7554595"/>
            <wp:effectExtent l="0" t="0" r="8890" b="8255"/>
            <wp:docPr id="13" name="图片 13" descr="联审意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联审意见_00"/>
                    <pic:cNvPicPr>
                      <a:picLocks noChangeAspect="1"/>
                    </pic:cNvPicPr>
                  </pic:nvPicPr>
                  <pic:blipFill>
                    <a:blip r:embed="rId28"/>
                    <a:srcRect l="3204" r="3409" b="5387"/>
                    <a:stretch>
                      <a:fillRect/>
                    </a:stretch>
                  </pic:blipFill>
                  <pic:spPr>
                    <a:xfrm>
                      <a:off x="0" y="0"/>
                      <a:ext cx="5267960" cy="7554595"/>
                    </a:xfrm>
                    <a:prstGeom prst="rect">
                      <a:avLst/>
                    </a:prstGeom>
                  </pic:spPr>
                </pic:pic>
              </a:graphicData>
            </a:graphic>
          </wp:inline>
        </w:drawing>
      </w:r>
      <w:r>
        <w:rPr>
          <w:rFonts w:hint="default" w:eastAsia="宋体"/>
          <w:b/>
          <w:bCs/>
          <w:sz w:val="28"/>
          <w:szCs w:val="28"/>
          <w:lang w:val="en-US" w:eastAsia="zh-CN"/>
        </w:rPr>
        <w:drawing>
          <wp:inline distT="0" distB="0" distL="114300" distR="114300">
            <wp:extent cx="5297170" cy="7544435"/>
            <wp:effectExtent l="0" t="0" r="17780" b="18415"/>
            <wp:docPr id="12" name="图片 12" descr="联审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联审意见_01"/>
                    <pic:cNvPicPr>
                      <a:picLocks noChangeAspect="1"/>
                    </pic:cNvPicPr>
                  </pic:nvPicPr>
                  <pic:blipFill>
                    <a:blip r:embed="rId29"/>
                    <a:srcRect l="2819" r="3011" b="5251"/>
                    <a:stretch>
                      <a:fillRect/>
                    </a:stretch>
                  </pic:blipFill>
                  <pic:spPr>
                    <a:xfrm>
                      <a:off x="0" y="0"/>
                      <a:ext cx="5297170" cy="7544435"/>
                    </a:xfrm>
                    <a:prstGeom prst="rect">
                      <a:avLst/>
                    </a:prstGeom>
                  </pic:spPr>
                </pic:pic>
              </a:graphicData>
            </a:graphic>
          </wp:inline>
        </w:drawing>
      </w:r>
    </w:p>
    <w:p>
      <w:pPr>
        <w:rPr>
          <w:rFonts w:hint="default" w:eastAsia="宋体"/>
          <w:b/>
          <w:bCs/>
          <w:sz w:val="28"/>
          <w:szCs w:val="28"/>
          <w:lang w:val="en-US" w:eastAsia="zh-CN"/>
        </w:rPr>
      </w:pPr>
      <w:r>
        <w:rPr>
          <w:rFonts w:hint="default" w:eastAsia="宋体"/>
          <w:b/>
          <w:bCs/>
          <w:sz w:val="28"/>
          <w:szCs w:val="28"/>
          <w:lang w:val="en-US" w:eastAsia="zh-CN"/>
        </w:rPr>
        <w:br w:type="page"/>
      </w:r>
    </w:p>
    <w:p>
      <w:pPr>
        <w:jc w:val="both"/>
        <w:rPr>
          <w:rFonts w:hint="eastAsia"/>
          <w:b/>
          <w:bCs/>
          <w:sz w:val="28"/>
          <w:szCs w:val="28"/>
          <w:lang w:val="en-US" w:eastAsia="zh-CN"/>
        </w:rPr>
      </w:pPr>
      <w:r>
        <w:rPr>
          <w:rFonts w:hint="eastAsia"/>
          <w:b/>
          <w:bCs/>
          <w:sz w:val="28"/>
          <w:szCs w:val="28"/>
          <w:lang w:val="en-US" w:eastAsia="zh-CN"/>
        </w:rPr>
        <w:t>附件六：厂房租赁合同</w:t>
      </w:r>
    </w:p>
    <w:p>
      <w:pPr>
        <w:rPr>
          <w:rFonts w:hint="eastAsia"/>
          <w:b/>
          <w:bCs/>
          <w:sz w:val="28"/>
          <w:szCs w:val="28"/>
          <w:lang w:val="en-US" w:eastAsia="zh-CN"/>
        </w:rPr>
      </w:pPr>
      <w:r>
        <w:rPr>
          <w:rFonts w:hint="eastAsia"/>
          <w:b/>
          <w:bCs/>
          <w:sz w:val="28"/>
          <w:szCs w:val="28"/>
          <w:lang w:val="en-US" w:eastAsia="zh-CN"/>
        </w:rPr>
        <w:drawing>
          <wp:inline distT="0" distB="0" distL="114300" distR="114300">
            <wp:extent cx="5267960" cy="6816725"/>
            <wp:effectExtent l="0" t="0" r="8890" b="3175"/>
            <wp:docPr id="33" name="图片 33" descr="湖南乾阳租赁合同(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湖南乾阳租赁合同(1)_00"/>
                    <pic:cNvPicPr>
                      <a:picLocks noChangeAspect="1"/>
                    </pic:cNvPicPr>
                  </pic:nvPicPr>
                  <pic:blipFill>
                    <a:blip r:embed="rId30"/>
                    <a:stretch>
                      <a:fillRect/>
                    </a:stretch>
                  </pic:blipFill>
                  <pic:spPr>
                    <a:xfrm>
                      <a:off x="0" y="0"/>
                      <a:ext cx="5267960" cy="6816725"/>
                    </a:xfrm>
                    <a:prstGeom prst="rect">
                      <a:avLst/>
                    </a:prstGeom>
                  </pic:spPr>
                </pic:pic>
              </a:graphicData>
            </a:graphic>
          </wp:inline>
        </w:drawing>
      </w:r>
      <w:r>
        <w:rPr>
          <w:rFonts w:hint="eastAsia"/>
          <w:b/>
          <w:bCs/>
          <w:sz w:val="28"/>
          <w:szCs w:val="28"/>
          <w:lang w:val="en-US" w:eastAsia="zh-CN"/>
        </w:rPr>
        <w:drawing>
          <wp:inline distT="0" distB="0" distL="114300" distR="114300">
            <wp:extent cx="5267960" cy="6816725"/>
            <wp:effectExtent l="0" t="0" r="8890" b="3175"/>
            <wp:docPr id="32" name="图片 32" descr="湖南乾阳租赁合同(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湖南乾阳租赁合同(1)_01"/>
                    <pic:cNvPicPr>
                      <a:picLocks noChangeAspect="1"/>
                    </pic:cNvPicPr>
                  </pic:nvPicPr>
                  <pic:blipFill>
                    <a:blip r:embed="rId31"/>
                    <a:stretch>
                      <a:fillRect/>
                    </a:stretch>
                  </pic:blipFill>
                  <pic:spPr>
                    <a:xfrm>
                      <a:off x="0" y="0"/>
                      <a:ext cx="5267960" cy="6816725"/>
                    </a:xfrm>
                    <a:prstGeom prst="rect">
                      <a:avLst/>
                    </a:prstGeom>
                  </pic:spPr>
                </pic:pic>
              </a:graphicData>
            </a:graphic>
          </wp:inline>
        </w:drawing>
      </w:r>
      <w:r>
        <w:rPr>
          <w:rFonts w:hint="eastAsia"/>
          <w:b/>
          <w:bCs/>
          <w:sz w:val="28"/>
          <w:szCs w:val="28"/>
          <w:lang w:val="en-US" w:eastAsia="zh-CN"/>
        </w:rPr>
        <w:drawing>
          <wp:inline distT="0" distB="0" distL="114300" distR="114300">
            <wp:extent cx="5267960" cy="6816725"/>
            <wp:effectExtent l="0" t="0" r="8890" b="3175"/>
            <wp:docPr id="31" name="图片 31" descr="湖南乾阳租赁合同(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湖南乾阳租赁合同(1)_02"/>
                    <pic:cNvPicPr>
                      <a:picLocks noChangeAspect="1"/>
                    </pic:cNvPicPr>
                  </pic:nvPicPr>
                  <pic:blipFill>
                    <a:blip r:embed="rId32"/>
                    <a:stretch>
                      <a:fillRect/>
                    </a:stretch>
                  </pic:blipFill>
                  <pic:spPr>
                    <a:xfrm>
                      <a:off x="0" y="0"/>
                      <a:ext cx="5267960" cy="6816725"/>
                    </a:xfrm>
                    <a:prstGeom prst="rect">
                      <a:avLst/>
                    </a:prstGeom>
                  </pic:spPr>
                </pic:pic>
              </a:graphicData>
            </a:graphic>
          </wp:inline>
        </w:drawing>
      </w:r>
      <w:r>
        <w:rPr>
          <w:rFonts w:hint="eastAsia"/>
          <w:b/>
          <w:bCs/>
          <w:sz w:val="28"/>
          <w:szCs w:val="28"/>
          <w:lang w:val="en-US" w:eastAsia="zh-CN"/>
        </w:rPr>
        <w:drawing>
          <wp:inline distT="0" distB="0" distL="114300" distR="114300">
            <wp:extent cx="5267960" cy="6816725"/>
            <wp:effectExtent l="0" t="0" r="8890" b="3175"/>
            <wp:docPr id="30" name="图片 30" descr="湖南乾阳租赁合同(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湖南乾阳租赁合同(1)_03"/>
                    <pic:cNvPicPr>
                      <a:picLocks noChangeAspect="1"/>
                    </pic:cNvPicPr>
                  </pic:nvPicPr>
                  <pic:blipFill>
                    <a:blip r:embed="rId33"/>
                    <a:stretch>
                      <a:fillRect/>
                    </a:stretch>
                  </pic:blipFill>
                  <pic:spPr>
                    <a:xfrm>
                      <a:off x="0" y="0"/>
                      <a:ext cx="5267960" cy="6816725"/>
                    </a:xfrm>
                    <a:prstGeom prst="rect">
                      <a:avLst/>
                    </a:prstGeom>
                  </pic:spPr>
                </pic:pic>
              </a:graphicData>
            </a:graphic>
          </wp:inline>
        </w:drawing>
      </w:r>
      <w:r>
        <w:rPr>
          <w:rFonts w:hint="eastAsia"/>
          <w:b/>
          <w:bCs/>
          <w:sz w:val="28"/>
          <w:szCs w:val="28"/>
          <w:lang w:val="en-US" w:eastAsia="zh-CN"/>
        </w:rPr>
        <w:drawing>
          <wp:inline distT="0" distB="0" distL="114300" distR="114300">
            <wp:extent cx="5267960" cy="6816725"/>
            <wp:effectExtent l="0" t="0" r="8890" b="3175"/>
            <wp:docPr id="28" name="图片 28" descr="湖南乾阳租赁合同(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湖南乾阳租赁合同(1)_04"/>
                    <pic:cNvPicPr>
                      <a:picLocks noChangeAspect="1"/>
                    </pic:cNvPicPr>
                  </pic:nvPicPr>
                  <pic:blipFill>
                    <a:blip r:embed="rId34"/>
                    <a:stretch>
                      <a:fillRect/>
                    </a:stretch>
                  </pic:blipFill>
                  <pic:spPr>
                    <a:xfrm>
                      <a:off x="0" y="0"/>
                      <a:ext cx="5267960" cy="6816725"/>
                    </a:xfrm>
                    <a:prstGeom prst="rect">
                      <a:avLst/>
                    </a:prstGeom>
                  </pic:spPr>
                </pic:pic>
              </a:graphicData>
            </a:graphic>
          </wp:inline>
        </w:drawing>
      </w:r>
      <w:r>
        <w:rPr>
          <w:rFonts w:hint="eastAsia"/>
          <w:b/>
          <w:bCs/>
          <w:sz w:val="28"/>
          <w:szCs w:val="28"/>
          <w:lang w:val="en-US" w:eastAsia="zh-CN"/>
        </w:rPr>
        <w:drawing>
          <wp:inline distT="0" distB="0" distL="114300" distR="114300">
            <wp:extent cx="5267960" cy="6816725"/>
            <wp:effectExtent l="0" t="0" r="8890" b="3175"/>
            <wp:docPr id="26" name="图片 26" descr="湖南乾阳租赁合同(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湖南乾阳租赁合同(1)_05"/>
                    <pic:cNvPicPr>
                      <a:picLocks noChangeAspect="1"/>
                    </pic:cNvPicPr>
                  </pic:nvPicPr>
                  <pic:blipFill>
                    <a:blip r:embed="rId35"/>
                    <a:stretch>
                      <a:fillRect/>
                    </a:stretch>
                  </pic:blipFill>
                  <pic:spPr>
                    <a:xfrm>
                      <a:off x="0" y="0"/>
                      <a:ext cx="5267960" cy="6816725"/>
                    </a:xfrm>
                    <a:prstGeom prst="rect">
                      <a:avLst/>
                    </a:prstGeom>
                  </pic:spPr>
                </pic:pic>
              </a:graphicData>
            </a:graphic>
          </wp:inline>
        </w:drawing>
      </w:r>
    </w:p>
    <w:p>
      <w:pPr>
        <w:rPr>
          <w:rFonts w:hint="eastAsia"/>
          <w:b/>
          <w:bCs/>
          <w:sz w:val="28"/>
          <w:szCs w:val="28"/>
          <w:lang w:val="en-US" w:eastAsia="zh-CN"/>
        </w:rPr>
      </w:pPr>
      <w:r>
        <w:rPr>
          <w:rFonts w:hint="eastAsia"/>
          <w:b/>
          <w:bCs/>
          <w:sz w:val="28"/>
          <w:szCs w:val="28"/>
          <w:lang w:val="en-US" w:eastAsia="zh-CN"/>
        </w:rPr>
        <w:br w:type="page"/>
      </w:r>
    </w:p>
    <w:p>
      <w:pPr>
        <w:jc w:val="both"/>
        <w:rPr>
          <w:rFonts w:hint="eastAsia"/>
          <w:b/>
          <w:bCs/>
          <w:sz w:val="28"/>
          <w:szCs w:val="28"/>
          <w:lang w:val="en-US" w:eastAsia="zh-CN"/>
        </w:rPr>
      </w:pPr>
      <w:r>
        <w:rPr>
          <w:rFonts w:hint="eastAsia"/>
          <w:b/>
          <w:bCs/>
          <w:sz w:val="28"/>
          <w:szCs w:val="28"/>
          <w:lang w:val="en-US" w:eastAsia="zh-CN"/>
        </w:rPr>
        <w:t>附件七：质保单及检测报告</w:t>
      </w:r>
    </w:p>
    <w:p>
      <w:pPr>
        <w:jc w:val="both"/>
        <w:rPr>
          <w:rFonts w:hint="default" w:eastAsia="宋体"/>
          <w:b/>
          <w:bCs/>
          <w:sz w:val="28"/>
          <w:szCs w:val="28"/>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eastAsia="宋体"/>
          <w:b/>
          <w:bCs/>
          <w:sz w:val="28"/>
          <w:szCs w:val="28"/>
          <w:lang w:val="en-US" w:eastAsia="zh-CN"/>
        </w:rPr>
        <w:drawing>
          <wp:inline distT="0" distB="0" distL="114300" distR="114300">
            <wp:extent cx="5268595" cy="7450455"/>
            <wp:effectExtent l="0" t="0" r="8255" b="17145"/>
            <wp:docPr id="21" name="图片 21" descr="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Page0001"/>
                    <pic:cNvPicPr>
                      <a:picLocks noChangeAspect="1"/>
                    </pic:cNvPicPr>
                  </pic:nvPicPr>
                  <pic:blipFill>
                    <a:blip r:embed="rId36"/>
                    <a:stretch>
                      <a:fillRect/>
                    </a:stretch>
                  </pic:blipFill>
                  <pic:spPr>
                    <a:xfrm>
                      <a:off x="0" y="0"/>
                      <a:ext cx="5268595" cy="7450455"/>
                    </a:xfrm>
                    <a:prstGeom prst="rect">
                      <a:avLst/>
                    </a:prstGeom>
                  </pic:spPr>
                </pic:pic>
              </a:graphicData>
            </a:graphic>
          </wp:inline>
        </w:drawing>
      </w:r>
      <w:r>
        <w:rPr>
          <w:rFonts w:hint="default" w:eastAsia="宋体"/>
          <w:b/>
          <w:bCs/>
          <w:sz w:val="28"/>
          <w:szCs w:val="28"/>
          <w:lang w:val="en-US" w:eastAsia="zh-CN"/>
        </w:rPr>
        <w:drawing>
          <wp:inline distT="0" distB="0" distL="114300" distR="114300">
            <wp:extent cx="5268595" cy="7450455"/>
            <wp:effectExtent l="0" t="0" r="8255" b="17145"/>
            <wp:docPr id="20" name="图片 20" descr="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Page0002"/>
                    <pic:cNvPicPr>
                      <a:picLocks noChangeAspect="1"/>
                    </pic:cNvPicPr>
                  </pic:nvPicPr>
                  <pic:blipFill>
                    <a:blip r:embed="rId37"/>
                    <a:stretch>
                      <a:fillRect/>
                    </a:stretch>
                  </pic:blipFill>
                  <pic:spPr>
                    <a:xfrm>
                      <a:off x="0" y="0"/>
                      <a:ext cx="5268595" cy="7450455"/>
                    </a:xfrm>
                    <a:prstGeom prst="rect">
                      <a:avLst/>
                    </a:prstGeom>
                  </pic:spPr>
                </pic:pic>
              </a:graphicData>
            </a:graphic>
          </wp:inline>
        </w:drawing>
      </w:r>
      <w:r>
        <w:rPr>
          <w:rFonts w:hint="default" w:eastAsia="宋体"/>
          <w:b/>
          <w:bCs/>
          <w:sz w:val="28"/>
          <w:szCs w:val="28"/>
          <w:lang w:val="en-US" w:eastAsia="zh-CN"/>
        </w:rPr>
        <w:drawing>
          <wp:inline distT="0" distB="0" distL="114300" distR="114300">
            <wp:extent cx="5268595" cy="7450455"/>
            <wp:effectExtent l="0" t="0" r="8255" b="17145"/>
            <wp:docPr id="19" name="图片 19" descr="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Page0003"/>
                    <pic:cNvPicPr>
                      <a:picLocks noChangeAspect="1"/>
                    </pic:cNvPicPr>
                  </pic:nvPicPr>
                  <pic:blipFill>
                    <a:blip r:embed="rId38"/>
                    <a:stretch>
                      <a:fillRect/>
                    </a:stretch>
                  </pic:blipFill>
                  <pic:spPr>
                    <a:xfrm>
                      <a:off x="0" y="0"/>
                      <a:ext cx="5268595" cy="7450455"/>
                    </a:xfrm>
                    <a:prstGeom prst="rect">
                      <a:avLst/>
                    </a:prstGeom>
                  </pic:spPr>
                </pic:pic>
              </a:graphicData>
            </a:graphic>
          </wp:inline>
        </w:drawing>
      </w:r>
      <w:r>
        <w:rPr>
          <w:rFonts w:hint="default" w:eastAsia="宋体"/>
          <w:b/>
          <w:bCs/>
          <w:sz w:val="28"/>
          <w:szCs w:val="28"/>
          <w:lang w:val="en-US" w:eastAsia="zh-CN"/>
        </w:rPr>
        <w:drawing>
          <wp:inline distT="0" distB="0" distL="114300" distR="114300">
            <wp:extent cx="5268595" cy="7450455"/>
            <wp:effectExtent l="0" t="0" r="8255" b="17145"/>
            <wp:docPr id="18" name="图片 18" descr="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Page0004"/>
                    <pic:cNvPicPr>
                      <a:picLocks noChangeAspect="1"/>
                    </pic:cNvPicPr>
                  </pic:nvPicPr>
                  <pic:blipFill>
                    <a:blip r:embed="rId39"/>
                    <a:stretch>
                      <a:fillRect/>
                    </a:stretch>
                  </pic:blipFill>
                  <pic:spPr>
                    <a:xfrm>
                      <a:off x="0" y="0"/>
                      <a:ext cx="5268595" cy="7450455"/>
                    </a:xfrm>
                    <a:prstGeom prst="rect">
                      <a:avLst/>
                    </a:prstGeom>
                  </pic:spPr>
                </pic:pic>
              </a:graphicData>
            </a:graphic>
          </wp:inline>
        </w:drawing>
      </w:r>
      <w:r>
        <w:rPr>
          <w:rFonts w:hint="default" w:eastAsia="宋体"/>
          <w:b/>
          <w:bCs/>
          <w:sz w:val="28"/>
          <w:szCs w:val="28"/>
          <w:lang w:val="en-US" w:eastAsia="zh-CN"/>
        </w:rPr>
        <w:drawing>
          <wp:inline distT="0" distB="0" distL="114300" distR="114300">
            <wp:extent cx="5268595" cy="7450455"/>
            <wp:effectExtent l="0" t="0" r="8255" b="17145"/>
            <wp:docPr id="17" name="图片 17" descr="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Page0005"/>
                    <pic:cNvPicPr>
                      <a:picLocks noChangeAspect="1"/>
                    </pic:cNvPicPr>
                  </pic:nvPicPr>
                  <pic:blipFill>
                    <a:blip r:embed="rId40"/>
                    <a:stretch>
                      <a:fillRect/>
                    </a:stretch>
                  </pic:blipFill>
                  <pic:spPr>
                    <a:xfrm>
                      <a:off x="0" y="0"/>
                      <a:ext cx="5268595" cy="7450455"/>
                    </a:xfrm>
                    <a:prstGeom prst="rect">
                      <a:avLst/>
                    </a:prstGeom>
                  </pic:spPr>
                </pic:pic>
              </a:graphicData>
            </a:graphic>
          </wp:inline>
        </w:drawing>
      </w:r>
      <w:r>
        <w:rPr>
          <w:rFonts w:hint="default" w:eastAsia="宋体"/>
          <w:b/>
          <w:bCs/>
          <w:sz w:val="28"/>
          <w:szCs w:val="28"/>
          <w:lang w:val="en-US" w:eastAsia="zh-CN"/>
        </w:rPr>
        <w:drawing>
          <wp:inline distT="0" distB="0" distL="114300" distR="114300">
            <wp:extent cx="5268595" cy="7450455"/>
            <wp:effectExtent l="0" t="0" r="8255" b="17145"/>
            <wp:docPr id="16" name="图片 16" descr="Pag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Page0006"/>
                    <pic:cNvPicPr>
                      <a:picLocks noChangeAspect="1"/>
                    </pic:cNvPicPr>
                  </pic:nvPicPr>
                  <pic:blipFill>
                    <a:blip r:embed="rId41"/>
                    <a:stretch>
                      <a:fillRect/>
                    </a:stretch>
                  </pic:blipFill>
                  <pic:spPr>
                    <a:xfrm>
                      <a:off x="0" y="0"/>
                      <a:ext cx="5268595" cy="7450455"/>
                    </a:xfrm>
                    <a:prstGeom prst="rect">
                      <a:avLst/>
                    </a:prstGeom>
                  </pic:spPr>
                </pic:pic>
              </a:graphicData>
            </a:graphic>
          </wp:inline>
        </w:drawing>
      </w:r>
      <w:r>
        <w:rPr>
          <w:rFonts w:hint="default" w:eastAsia="宋体"/>
          <w:b/>
          <w:bCs/>
          <w:sz w:val="28"/>
          <w:szCs w:val="28"/>
          <w:lang w:val="en-US" w:eastAsia="zh-CN"/>
        </w:rPr>
        <w:drawing>
          <wp:inline distT="0" distB="0" distL="114300" distR="114300">
            <wp:extent cx="5268595" cy="7450455"/>
            <wp:effectExtent l="0" t="0" r="8255" b="17145"/>
            <wp:docPr id="15" name="图片 15" descr="Pag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Page0007"/>
                    <pic:cNvPicPr>
                      <a:picLocks noChangeAspect="1"/>
                    </pic:cNvPicPr>
                  </pic:nvPicPr>
                  <pic:blipFill>
                    <a:blip r:embed="rId42"/>
                    <a:stretch>
                      <a:fillRect/>
                    </a:stretch>
                  </pic:blipFill>
                  <pic:spPr>
                    <a:xfrm>
                      <a:off x="0" y="0"/>
                      <a:ext cx="5268595" cy="7450455"/>
                    </a:xfrm>
                    <a:prstGeom prst="rect">
                      <a:avLst/>
                    </a:prstGeom>
                  </pic:spPr>
                </pic:pic>
              </a:graphicData>
            </a:graphic>
          </wp:inline>
        </w:drawing>
      </w:r>
      <w:r>
        <w:rPr>
          <w:rFonts w:hint="default" w:eastAsia="宋体"/>
          <w:b/>
          <w:bCs/>
          <w:sz w:val="28"/>
          <w:szCs w:val="28"/>
          <w:lang w:val="en-US" w:eastAsia="zh-CN"/>
        </w:rPr>
        <w:drawing>
          <wp:inline distT="0" distB="0" distL="114300" distR="114300">
            <wp:extent cx="5268595" cy="7450455"/>
            <wp:effectExtent l="0" t="0" r="8255" b="17145"/>
            <wp:docPr id="14" name="图片 14" descr="Pag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Page0008"/>
                    <pic:cNvPicPr>
                      <a:picLocks noChangeAspect="1"/>
                    </pic:cNvPicPr>
                  </pic:nvPicPr>
                  <pic:blipFill>
                    <a:blip r:embed="rId43"/>
                    <a:stretch>
                      <a:fillRect/>
                    </a:stretch>
                  </pic:blipFill>
                  <pic:spPr>
                    <a:xfrm>
                      <a:off x="0" y="0"/>
                      <a:ext cx="5268595" cy="7450455"/>
                    </a:xfrm>
                    <a:prstGeom prst="rect">
                      <a:avLst/>
                    </a:prstGeom>
                  </pic:spPr>
                </pic:pic>
              </a:graphicData>
            </a:graphic>
          </wp:inline>
        </w:drawing>
      </w:r>
    </w:p>
    <w:p>
      <w:pPr>
        <w:bidi w:val="0"/>
        <w:rPr>
          <w:rFonts w:hint="eastAsia"/>
          <w:b/>
          <w:bCs/>
          <w:sz w:val="28"/>
          <w:szCs w:val="28"/>
          <w:lang w:val="en-US" w:eastAsia="zh-CN"/>
        </w:rPr>
      </w:pPr>
      <w:r>
        <w:rPr>
          <w:rFonts w:hint="eastAsia"/>
          <w:b/>
          <w:bCs/>
          <w:sz w:val="28"/>
          <w:szCs w:val="28"/>
          <w:lang w:val="en-US" w:eastAsia="zh-CN"/>
        </w:rPr>
        <w:t>附图一：项目地理位置示意图</w:t>
      </w:r>
    </w:p>
    <w:p>
      <w:pPr>
        <w:rPr>
          <w:rFonts w:hint="default"/>
          <w:b/>
          <w:bCs/>
          <w:sz w:val="28"/>
          <w:szCs w:val="28"/>
          <w:lang w:val="en-US" w:eastAsia="zh-CN"/>
        </w:rPr>
      </w:pPr>
      <w:r>
        <w:rPr>
          <w:rFonts w:hint="default"/>
          <w:b/>
          <w:bCs/>
          <w:sz w:val="28"/>
          <w:szCs w:val="28"/>
          <w:lang w:val="en-US" w:eastAsia="zh-CN"/>
        </w:rPr>
        <w:drawing>
          <wp:inline distT="0" distB="0" distL="114300" distR="114300">
            <wp:extent cx="8854440" cy="4518025"/>
            <wp:effectExtent l="0" t="0" r="3810" b="15875"/>
            <wp:docPr id="34" name="图片 34" descr="162634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626342185"/>
                    <pic:cNvPicPr>
                      <a:picLocks noChangeAspect="1"/>
                    </pic:cNvPicPr>
                  </pic:nvPicPr>
                  <pic:blipFill>
                    <a:blip r:embed="rId44"/>
                    <a:stretch>
                      <a:fillRect/>
                    </a:stretch>
                  </pic:blipFill>
                  <pic:spPr>
                    <a:xfrm>
                      <a:off x="0" y="0"/>
                      <a:ext cx="8854440" cy="4518025"/>
                    </a:xfrm>
                    <a:prstGeom prst="rect">
                      <a:avLst/>
                    </a:prstGeom>
                  </pic:spPr>
                </pic:pic>
              </a:graphicData>
            </a:graphic>
          </wp:inline>
        </w:drawing>
      </w:r>
      <w:r>
        <w:drawing>
          <wp:anchor distT="0" distB="0" distL="114300" distR="114300" simplePos="0" relativeHeight="251668480" behindDoc="0" locked="0" layoutInCell="1" allowOverlap="1">
            <wp:simplePos x="0" y="0"/>
            <wp:positionH relativeFrom="column">
              <wp:posOffset>8018145</wp:posOffset>
            </wp:positionH>
            <wp:positionV relativeFrom="paragraph">
              <wp:posOffset>6985</wp:posOffset>
            </wp:positionV>
            <wp:extent cx="833120" cy="867410"/>
            <wp:effectExtent l="0" t="0" r="5080" b="8890"/>
            <wp:wrapNone/>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45"/>
                    <a:stretch>
                      <a:fillRect/>
                    </a:stretch>
                  </pic:blipFill>
                  <pic:spPr>
                    <a:xfrm>
                      <a:off x="0" y="0"/>
                      <a:ext cx="833120" cy="867410"/>
                    </a:xfrm>
                    <a:prstGeom prst="rect">
                      <a:avLst/>
                    </a:prstGeom>
                    <a:noFill/>
                    <a:ln>
                      <a:noFill/>
                    </a:ln>
                  </pic:spPr>
                </pic:pic>
              </a:graphicData>
            </a:graphic>
          </wp:anchor>
        </w:drawing>
      </w:r>
    </w:p>
    <w:p>
      <w:pPr>
        <w:rPr>
          <w:rFonts w:hint="eastAsia"/>
          <w:b/>
          <w:bCs/>
          <w:sz w:val="28"/>
          <w:szCs w:val="28"/>
          <w:lang w:val="en-US" w:eastAsia="zh-CN"/>
        </w:rPr>
      </w:pPr>
      <w:r>
        <w:rPr>
          <w:rFonts w:hint="eastAsia"/>
          <w:b/>
          <w:bCs/>
          <w:sz w:val="28"/>
          <w:szCs w:val="28"/>
          <w:lang w:val="en-US" w:eastAsia="zh-CN"/>
        </w:rPr>
        <w:br w:type="page"/>
      </w:r>
    </w:p>
    <w:p>
      <w:pPr>
        <w:bidi w:val="0"/>
        <w:rPr>
          <w:rFonts w:hint="eastAsia"/>
          <w:b/>
          <w:bCs/>
          <w:sz w:val="28"/>
          <w:szCs w:val="28"/>
          <w:lang w:val="en-US" w:eastAsia="zh-CN"/>
        </w:rPr>
      </w:pPr>
      <w:r>
        <w:drawing>
          <wp:anchor distT="0" distB="0" distL="114300" distR="114300" simplePos="0" relativeHeight="251671552" behindDoc="0" locked="0" layoutInCell="1" allowOverlap="1">
            <wp:simplePos x="0" y="0"/>
            <wp:positionH relativeFrom="column">
              <wp:posOffset>8026400</wp:posOffset>
            </wp:positionH>
            <wp:positionV relativeFrom="paragraph">
              <wp:posOffset>396240</wp:posOffset>
            </wp:positionV>
            <wp:extent cx="833120" cy="867410"/>
            <wp:effectExtent l="0" t="0" r="5080" b="8890"/>
            <wp:wrapNone/>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45"/>
                    <a:stretch>
                      <a:fillRect/>
                    </a:stretch>
                  </pic:blipFill>
                  <pic:spPr>
                    <a:xfrm>
                      <a:off x="0" y="0"/>
                      <a:ext cx="833120" cy="867410"/>
                    </a:xfrm>
                    <a:prstGeom prst="rect">
                      <a:avLst/>
                    </a:prstGeom>
                    <a:noFill/>
                    <a:ln>
                      <a:noFill/>
                    </a:ln>
                  </pic:spPr>
                </pic:pic>
              </a:graphicData>
            </a:graphic>
          </wp:anchor>
        </w:drawing>
      </w:r>
      <w:r>
        <w:rPr>
          <w:rFonts w:hint="eastAsia"/>
          <w:b/>
          <w:bCs/>
          <w:sz w:val="28"/>
          <w:szCs w:val="28"/>
          <w:lang w:val="en-US" w:eastAsia="zh-CN"/>
        </w:rPr>
        <w:t>附图二：项目敏感目标示意图</w:t>
      </w:r>
    </w:p>
    <w:p>
      <w:pPr>
        <w:bidi w:val="0"/>
        <w:rPr>
          <w:rFonts w:hint="default"/>
          <w:b/>
          <w:bCs/>
          <w:sz w:val="28"/>
          <w:szCs w:val="28"/>
          <w:lang w:val="en-US" w:eastAsia="zh-CN"/>
        </w:rPr>
      </w:pPr>
      <w:r>
        <w:rPr>
          <w:sz w:val="28"/>
        </w:rPr>
        <mc:AlternateContent>
          <mc:Choice Requires="wps">
            <w:drawing>
              <wp:anchor distT="0" distB="0" distL="114300" distR="114300" simplePos="0" relativeHeight="251660288" behindDoc="0" locked="0" layoutInCell="1" allowOverlap="1">
                <wp:simplePos x="0" y="0"/>
                <wp:positionH relativeFrom="column">
                  <wp:posOffset>7030085</wp:posOffset>
                </wp:positionH>
                <wp:positionV relativeFrom="paragraph">
                  <wp:posOffset>1434465</wp:posOffset>
                </wp:positionV>
                <wp:extent cx="1537970" cy="277495"/>
                <wp:effectExtent l="158115" t="6350" r="18415" b="230505"/>
                <wp:wrapNone/>
                <wp:docPr id="27" name="矩形标注 27"/>
                <wp:cNvGraphicFramePr/>
                <a:graphic xmlns:a="http://schemas.openxmlformats.org/drawingml/2006/main">
                  <a:graphicData uri="http://schemas.microsoft.com/office/word/2010/wordprocessingShape">
                    <wps:wsp>
                      <wps:cNvSpPr/>
                      <wps:spPr>
                        <a:xfrm>
                          <a:off x="0" y="0"/>
                          <a:ext cx="1537970" cy="277495"/>
                        </a:xfrm>
                        <a:prstGeom prst="wedgeRectCallout">
                          <a:avLst>
                            <a:gd name="adj1" fmla="val -57203"/>
                            <a:gd name="adj2" fmla="val 12437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大气环境保护目标范围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53.55pt;margin-top:112.95pt;height:21.85pt;width:121.1pt;z-index:251660288;v-text-anchor:middle;mso-width-relative:page;mso-height-relative:page;" fillcolor="#FFFFFF [3212]" filled="t" stroked="t" coordsize="21600,21600" o:gfxdata="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&#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JOQBP/bAAAADQEAAA8AAAAAAAAAAQAgAAAAIgAAAGRy&#10;cy9kb3ducmV2LnhtbFBLAQIUABQAAAAIAIdO4kCXCcxGrQIAAGYFAAAOAAAAAAAAAAEAIAAAACoB&#10;AABkcnMvZTJvRG9jLnhtbFBLBQYAAAAABgAGAFkBAABJBgAAAAA=&#10;" adj="-1556,37664">
                <v:fill on="t" focussize="0,0"/>
                <v:stroke weight="1pt" color="#000000 [3213]" miterlimit="8" joinstyle="miter"/>
                <v:imagedata o:title=""/>
                <o:lock v:ext="edit" aspectratio="f"/>
                <v:textbox>
                  <w:txbxContent>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大气环境保护目标范围</w:t>
                      </w:r>
                    </w:p>
                  </w:txbxContent>
                </v:textbox>
              </v:shape>
            </w:pict>
          </mc:Fallback>
        </mc:AlternateContent>
      </w:r>
      <w:r>
        <w:rPr>
          <w:sz w:val="28"/>
        </w:rPr>
        <mc:AlternateContent>
          <mc:Choice Requires="wps">
            <w:drawing>
              <wp:anchor distT="0" distB="0" distL="114300" distR="114300" simplePos="0" relativeHeight="251659264" behindDoc="0" locked="0" layoutInCell="1" allowOverlap="1">
                <wp:simplePos x="0" y="0"/>
                <wp:positionH relativeFrom="column">
                  <wp:posOffset>4817110</wp:posOffset>
                </wp:positionH>
                <wp:positionV relativeFrom="paragraph">
                  <wp:posOffset>1490345</wp:posOffset>
                </wp:positionV>
                <wp:extent cx="1410335" cy="277495"/>
                <wp:effectExtent l="146685" t="6350" r="24130" b="230505"/>
                <wp:wrapNone/>
                <wp:docPr id="25" name="矩形标注 25"/>
                <wp:cNvGraphicFramePr/>
                <a:graphic xmlns:a="http://schemas.openxmlformats.org/drawingml/2006/main">
                  <a:graphicData uri="http://schemas.microsoft.com/office/word/2010/wordprocessingShape">
                    <wps:wsp>
                      <wps:cNvSpPr/>
                      <wps:spPr>
                        <a:xfrm>
                          <a:off x="5922010" y="3324225"/>
                          <a:ext cx="1410335" cy="277495"/>
                        </a:xfrm>
                        <a:prstGeom prst="wedgeRectCallout">
                          <a:avLst>
                            <a:gd name="adj1" fmla="val -57203"/>
                            <a:gd name="adj2" fmla="val 12437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声环境保护目标范围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9.3pt;margin-top:117.35pt;height:21.85pt;width:111.05pt;z-index:251659264;v-text-anchor:middle;mso-width-relative:page;mso-height-relative:page;" fillcolor="#FFFFFF [3212]" filled="t" stroked="t" coordsize="21600,21600" o:gfxdata="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A6mv7HaAAAACwEAAA8AAAAAAAAA&#10;AQAgAAAAIgAAAGRycy9kb3ducmV2LnhtbFBLAQIUABQAAAAIAIdO4kCVF4X3ugIAAHIFAAAOAAAA&#10;AAAAAAEAIAAAACkBAABkcnMvZTJvRG9jLnhtbFBLBQYAAAAABgAGAFkBAABVBgAAAAA=&#10;" adj="-1556,37664">
                <v:fill on="t" focussize="0,0"/>
                <v:stroke weight="1pt" color="#000000 [3213]" miterlimit="8" joinstyle="miter"/>
                <v:imagedata o:title=""/>
                <o:lock v:ext="edit" aspectratio="f"/>
                <v:textbox>
                  <w:txbxContent>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声环境保护目标范围</w:t>
                      </w:r>
                    </w:p>
                  </w:txbxContent>
                </v:textbox>
              </v:shape>
            </w:pict>
          </mc:Fallback>
        </mc:AlternateContent>
      </w:r>
      <w:r>
        <w:rPr>
          <w:rFonts w:hint="default"/>
          <w:b/>
          <w:bCs/>
          <w:sz w:val="28"/>
          <w:szCs w:val="28"/>
          <w:lang w:val="en-US" w:eastAsia="zh-CN"/>
        </w:rPr>
        <w:drawing>
          <wp:inline distT="0" distB="0" distL="114300" distR="114300">
            <wp:extent cx="8854440" cy="4518025"/>
            <wp:effectExtent l="0" t="0" r="3810" b="15875"/>
            <wp:docPr id="23" name="图片 23" descr="1625726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625726186(1)"/>
                    <pic:cNvPicPr>
                      <a:picLocks noChangeAspect="1"/>
                    </pic:cNvPicPr>
                  </pic:nvPicPr>
                  <pic:blipFill>
                    <a:blip r:embed="rId46"/>
                    <a:stretch>
                      <a:fillRect/>
                    </a:stretch>
                  </pic:blipFill>
                  <pic:spPr>
                    <a:xfrm>
                      <a:off x="0" y="0"/>
                      <a:ext cx="8854440" cy="4518025"/>
                    </a:xfrm>
                    <a:prstGeom prst="rect">
                      <a:avLst/>
                    </a:prstGeom>
                  </pic:spPr>
                </pic:pic>
              </a:graphicData>
            </a:graphic>
          </wp:inline>
        </w:drawing>
      </w:r>
    </w:p>
    <w:p>
      <w:pPr>
        <w:rPr>
          <w:rFonts w:hint="default"/>
          <w:b/>
          <w:bCs/>
          <w:sz w:val="28"/>
          <w:szCs w:val="28"/>
          <w:lang w:val="en-US" w:eastAsia="zh-CN"/>
        </w:rPr>
      </w:pPr>
      <w:r>
        <w:rPr>
          <w:rFonts w:hint="default"/>
          <w:b/>
          <w:bCs/>
          <w:sz w:val="28"/>
          <w:szCs w:val="28"/>
          <w:lang w:val="en-US" w:eastAsia="zh-CN"/>
        </w:rPr>
        <w:br w:type="page"/>
      </w:r>
    </w:p>
    <w:p>
      <w:pPr>
        <w:bidi w:val="0"/>
        <w:rPr>
          <w:rFonts w:hint="default"/>
          <w:b/>
          <w:bCs/>
          <w:sz w:val="28"/>
          <w:szCs w:val="28"/>
          <w:lang w:val="en-US" w:eastAsia="zh-CN"/>
        </w:rPr>
      </w:pPr>
      <w:r>
        <w:rPr>
          <w:rFonts w:hint="eastAsia"/>
          <w:b/>
          <w:bCs/>
          <w:sz w:val="28"/>
          <w:szCs w:val="28"/>
          <w:lang w:val="en-US" w:eastAsia="zh-CN"/>
        </w:rPr>
        <w:t>附图三：项目排气筒位置、位置暂存间位置示意图</w:t>
      </w:r>
    </w:p>
    <w:p>
      <w:pPr>
        <w:jc w:val="center"/>
        <w:rPr>
          <w:rFonts w:hint="default"/>
          <w:b/>
          <w:bCs/>
          <w:sz w:val="28"/>
          <w:szCs w:val="28"/>
          <w:lang w:val="en-US" w:eastAsia="zh-CN"/>
        </w:rPr>
      </w:pPr>
      <w:r>
        <w:drawing>
          <wp:anchor distT="0" distB="0" distL="114300" distR="114300" simplePos="0" relativeHeight="251667456" behindDoc="0" locked="0" layoutInCell="1" allowOverlap="1">
            <wp:simplePos x="0" y="0"/>
            <wp:positionH relativeFrom="column">
              <wp:posOffset>8191500</wp:posOffset>
            </wp:positionH>
            <wp:positionV relativeFrom="paragraph">
              <wp:posOffset>69850</wp:posOffset>
            </wp:positionV>
            <wp:extent cx="833120" cy="867410"/>
            <wp:effectExtent l="0" t="0" r="5080" b="8890"/>
            <wp:wrapNone/>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45"/>
                    <a:stretch>
                      <a:fillRect/>
                    </a:stretch>
                  </pic:blipFill>
                  <pic:spPr>
                    <a:xfrm>
                      <a:off x="0" y="0"/>
                      <a:ext cx="833120" cy="867410"/>
                    </a:xfrm>
                    <a:prstGeom prst="rect">
                      <a:avLst/>
                    </a:prstGeom>
                    <a:noFill/>
                    <a:ln>
                      <a:noFill/>
                    </a:ln>
                  </pic:spPr>
                </pic:pic>
              </a:graphicData>
            </a:graphic>
          </wp:anchor>
        </w:drawing>
      </w:r>
      <w:r>
        <w:rPr>
          <w:rFonts w:hint="default"/>
          <w:b/>
          <w:bCs/>
          <w:sz w:val="28"/>
          <w:szCs w:val="28"/>
          <w:lang w:val="en-US" w:eastAsia="zh-CN"/>
        </w:rPr>
        <w:drawing>
          <wp:inline distT="0" distB="0" distL="114300" distR="114300">
            <wp:extent cx="9044305" cy="4615180"/>
            <wp:effectExtent l="0" t="0" r="4445" b="13970"/>
            <wp:docPr id="39" name="图片 39" descr="1631264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631264443(1)"/>
                    <pic:cNvPicPr>
                      <a:picLocks noChangeAspect="1"/>
                    </pic:cNvPicPr>
                  </pic:nvPicPr>
                  <pic:blipFill>
                    <a:blip r:embed="rId47"/>
                    <a:stretch>
                      <a:fillRect/>
                    </a:stretch>
                  </pic:blipFill>
                  <pic:spPr>
                    <a:xfrm>
                      <a:off x="0" y="0"/>
                      <a:ext cx="9044305" cy="4615180"/>
                    </a:xfrm>
                    <a:prstGeom prst="rect">
                      <a:avLst/>
                    </a:prstGeom>
                  </pic:spPr>
                </pic:pic>
              </a:graphicData>
            </a:graphic>
          </wp:inline>
        </w:drawing>
      </w:r>
      <w:r>
        <w:rPr>
          <w:rFonts w:hint="default"/>
          <w:b/>
          <w:bCs/>
          <w:sz w:val="28"/>
          <w:szCs w:val="28"/>
          <w:lang w:val="en-US" w:eastAsia="zh-CN"/>
        </w:rPr>
        <w:br w:type="page"/>
      </w:r>
    </w:p>
    <w:p>
      <w:pPr>
        <w:bidi w:val="0"/>
        <w:rPr>
          <w:rFonts w:hint="eastAsia"/>
          <w:b/>
          <w:bCs/>
          <w:sz w:val="28"/>
          <w:szCs w:val="28"/>
          <w:lang w:val="en-US" w:eastAsia="zh-CN"/>
        </w:rPr>
      </w:pPr>
      <w:r>
        <w:rPr>
          <w:rFonts w:hint="eastAsia"/>
          <w:b/>
          <w:bCs/>
          <w:sz w:val="28"/>
          <w:szCs w:val="28"/>
          <w:lang w:val="en-US" w:eastAsia="zh-CN"/>
        </w:rPr>
        <w:t>附图四：项目平面布置图</w:t>
      </w:r>
    </w:p>
    <w:p>
      <w:pPr>
        <w:bidi w:val="0"/>
        <w:rPr>
          <w:rFonts w:hint="default"/>
          <w:b/>
          <w:bCs/>
          <w:sz w:val="28"/>
          <w:szCs w:val="28"/>
          <w:lang w:val="en-US" w:eastAsia="zh-CN"/>
        </w:rPr>
      </w:pPr>
      <w:r>
        <w:rPr>
          <w:sz w:val="28"/>
        </w:rPr>
        <mc:AlternateContent>
          <mc:Choice Requires="wps">
            <w:drawing>
              <wp:anchor distT="0" distB="0" distL="114300" distR="114300" simplePos="0" relativeHeight="251670528" behindDoc="0" locked="0" layoutInCell="1" allowOverlap="1">
                <wp:simplePos x="0" y="0"/>
                <wp:positionH relativeFrom="column">
                  <wp:posOffset>8644255</wp:posOffset>
                </wp:positionH>
                <wp:positionV relativeFrom="paragraph">
                  <wp:posOffset>240030</wp:posOffset>
                </wp:positionV>
                <wp:extent cx="260350" cy="276860"/>
                <wp:effectExtent l="0" t="0" r="0" b="0"/>
                <wp:wrapNone/>
                <wp:docPr id="55" name="文本框 55"/>
                <wp:cNvGraphicFramePr/>
                <a:graphic xmlns:a="http://schemas.openxmlformats.org/drawingml/2006/main">
                  <a:graphicData uri="http://schemas.microsoft.com/office/word/2010/wordprocessingShape">
                    <wps:wsp>
                      <wps:cNvSpPr txBox="1"/>
                      <wps:spPr>
                        <a:xfrm>
                          <a:off x="9749155" y="1848485"/>
                          <a:ext cx="260350" cy="2768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val="en-US" w:eastAsia="zh-CN"/>
                              </w:rPr>
                            </w:pPr>
                            <w:r>
                              <w:rPr>
                                <w:rFonts w:hint="eastAsia"/>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0.65pt;margin-top:18.9pt;height:21.8pt;width:20.5pt;z-index:251670528;mso-width-relative:page;mso-height-relative:page;" filled="f" stroked="f" coordsize="21600,21600" o:gfxdata="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LkuMrbAAAACwEAAA8AAAAAAAAA&#10;AQAgAAAAIgAAAGRycy9kb3ducmV2LnhtbFBLAQIUABQAAAAIAIdO4kCJ2P+uRwIAAHMEAAAOAAAA&#10;AAAAAAEAIAAAACoBAABkcnMvZTJvRG9jLnhtbFBLBQYAAAAABgAGAFkBAADjBQAAAAA=&#10;">
                <v:fill on="f" focussize="0,0"/>
                <v:stroke on="f" weight="0.5pt"/>
                <v:imagedata o:title=""/>
                <o:lock v:ext="edit" aspectratio="f"/>
                <v:textbox>
                  <w:txbxContent>
                    <w:p>
                      <w:pPr>
                        <w:jc w:val="center"/>
                        <w:rPr>
                          <w:rFonts w:hint="eastAsia" w:eastAsia="宋体"/>
                          <w:lang w:val="en-US" w:eastAsia="zh-CN"/>
                        </w:rPr>
                      </w:pPr>
                      <w:r>
                        <w:rPr>
                          <w:rFonts w:hint="eastAsia"/>
                          <w:lang w:val="en-US" w:eastAsia="zh-CN"/>
                        </w:rPr>
                        <w:t>N</w:t>
                      </w:r>
                    </w:p>
                  </w:txbxContent>
                </v:textbox>
              </v:shape>
            </w:pict>
          </mc:Fallback>
        </mc:AlternateContent>
      </w:r>
      <w:r>
        <w:rPr>
          <w:sz w:val="28"/>
        </w:rPr>
        <mc:AlternateContent>
          <mc:Choice Requires="wps">
            <w:drawing>
              <wp:anchor distT="0" distB="0" distL="114300" distR="114300" simplePos="0" relativeHeight="251669504" behindDoc="0" locked="0" layoutInCell="1" allowOverlap="1">
                <wp:simplePos x="0" y="0"/>
                <wp:positionH relativeFrom="column">
                  <wp:posOffset>8289925</wp:posOffset>
                </wp:positionH>
                <wp:positionV relativeFrom="paragraph">
                  <wp:posOffset>378460</wp:posOffset>
                </wp:positionV>
                <wp:extent cx="441325" cy="8890"/>
                <wp:effectExtent l="0" t="52070" r="15875" b="53340"/>
                <wp:wrapNone/>
                <wp:docPr id="54" name="直接箭头连接符 54"/>
                <wp:cNvGraphicFramePr/>
                <a:graphic xmlns:a="http://schemas.openxmlformats.org/drawingml/2006/main">
                  <a:graphicData uri="http://schemas.microsoft.com/office/word/2010/wordprocessingShape">
                    <wps:wsp>
                      <wps:cNvCnPr/>
                      <wps:spPr>
                        <a:xfrm flipV="1">
                          <a:off x="9238615" y="1960880"/>
                          <a:ext cx="441325" cy="8890"/>
                        </a:xfrm>
                        <a:prstGeom prst="straightConnector1">
                          <a:avLst/>
                        </a:prstGeom>
                        <a:ln w="19050">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652.75pt;margin-top:29.8pt;height:0.7pt;width:34.75pt;z-index:251669504;mso-width-relative:page;mso-height-relative:page;" filled="f" stroked="t" coordsize="21600,21600" o:gfxdata="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Fk8N&#10;5twAAAALAQAADwAAAAAAAAABACAAAAAiAAAAZHJzL2Rvd25yZXYueG1sUEsBAhQAFAAAAAgAh07i&#10;QNRmqD4eAgAA+QMAAA4AAAAAAAAAAQAgAAAAKwEAAGRycy9lMm9Eb2MueG1sUEsFBgAAAAAGAAYA&#10;WQEAALsFAAAAAA==&#10;">
                <v:fill on="f" focussize="0,0"/>
                <v:stroke weight="1.5pt" color="#00B0F0 [3204]" miterlimit="8" joinstyle="miter" endarrow="open"/>
                <v:imagedata o:title=""/>
                <o:lock v:ext="edit" aspectratio="f"/>
              </v:shape>
            </w:pict>
          </mc:Fallback>
        </mc:AlternateContent>
      </w:r>
      <w:r>
        <w:rPr>
          <w:rFonts w:hint="default"/>
          <w:b/>
          <w:bCs/>
          <w:sz w:val="28"/>
          <w:szCs w:val="28"/>
          <w:lang w:val="en-US" w:eastAsia="zh-CN"/>
        </w:rPr>
        <w:drawing>
          <wp:inline distT="0" distB="0" distL="114300" distR="114300">
            <wp:extent cx="8832850" cy="1418590"/>
            <wp:effectExtent l="0" t="0" r="6350" b="10160"/>
            <wp:docPr id="29" name="图片 29" descr="1625726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625726934(1)"/>
                    <pic:cNvPicPr>
                      <a:picLocks noChangeAspect="1"/>
                    </pic:cNvPicPr>
                  </pic:nvPicPr>
                  <pic:blipFill>
                    <a:blip r:embed="rId48"/>
                    <a:srcRect l="738" r="1978"/>
                    <a:stretch>
                      <a:fillRect/>
                    </a:stretch>
                  </pic:blipFill>
                  <pic:spPr>
                    <a:xfrm>
                      <a:off x="0" y="0"/>
                      <a:ext cx="8832850" cy="1418590"/>
                    </a:xfrm>
                    <a:prstGeom prst="rect">
                      <a:avLst/>
                    </a:prstGeom>
                  </pic:spPr>
                </pic:pic>
              </a:graphicData>
            </a:graphic>
          </wp:inline>
        </w:drawing>
      </w:r>
    </w:p>
    <w:p>
      <w:pPr>
        <w:rPr>
          <w:rFonts w:hint="default"/>
          <w:b/>
          <w:bCs/>
          <w:sz w:val="28"/>
          <w:szCs w:val="28"/>
          <w:lang w:val="en-US" w:eastAsia="zh-CN"/>
        </w:rPr>
      </w:pPr>
      <w:r>
        <w:rPr>
          <w:rFonts w:hint="default"/>
          <w:b/>
          <w:bCs/>
          <w:sz w:val="28"/>
          <w:szCs w:val="28"/>
          <w:lang w:val="en-US" w:eastAsia="zh-CN"/>
        </w:rPr>
        <w:br w:type="page"/>
      </w:r>
    </w:p>
    <w:p>
      <w:pPr>
        <w:bidi w:val="0"/>
        <w:rPr>
          <w:rFonts w:hint="eastAsia"/>
          <w:b/>
          <w:bCs/>
          <w:sz w:val="28"/>
          <w:szCs w:val="28"/>
          <w:lang w:val="en-US" w:eastAsia="zh-CN"/>
        </w:rPr>
      </w:pPr>
      <w:r>
        <w:rPr>
          <w:rFonts w:hint="eastAsia"/>
          <w:b/>
          <w:bCs/>
          <w:sz w:val="28"/>
          <w:szCs w:val="28"/>
          <w:lang w:val="en-US" w:eastAsia="zh-CN"/>
        </w:rPr>
        <w:t>附图五：项目监测点位示意图</w:t>
      </w:r>
    </w:p>
    <w:p>
      <w:pPr>
        <w:bidi w:val="0"/>
        <w:rPr>
          <w:rFonts w:hint="default"/>
          <w:b/>
          <w:bCs/>
          <w:sz w:val="28"/>
          <w:szCs w:val="28"/>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drawing>
          <wp:anchor distT="0" distB="0" distL="114300" distR="114300" simplePos="0" relativeHeight="251666432" behindDoc="0" locked="0" layoutInCell="1" allowOverlap="1">
            <wp:simplePos x="0" y="0"/>
            <wp:positionH relativeFrom="column">
              <wp:posOffset>8018145</wp:posOffset>
            </wp:positionH>
            <wp:positionV relativeFrom="paragraph">
              <wp:posOffset>6985</wp:posOffset>
            </wp:positionV>
            <wp:extent cx="833120" cy="867410"/>
            <wp:effectExtent l="0" t="0" r="5080" b="8890"/>
            <wp:wrapNone/>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45"/>
                    <a:stretch>
                      <a:fillRect/>
                    </a:stretch>
                  </pic:blipFill>
                  <pic:spPr>
                    <a:xfrm>
                      <a:off x="0" y="0"/>
                      <a:ext cx="833120" cy="867410"/>
                    </a:xfrm>
                    <a:prstGeom prst="rect">
                      <a:avLst/>
                    </a:prstGeom>
                    <a:noFill/>
                    <a:ln>
                      <a:noFill/>
                    </a:ln>
                  </pic:spPr>
                </pic:pic>
              </a:graphicData>
            </a:graphic>
          </wp:anchor>
        </w:drawing>
      </w:r>
      <w:r>
        <w:rPr>
          <w:sz w:val="28"/>
        </w:rPr>
        <mc:AlternateContent>
          <mc:Choice Requires="wps">
            <w:drawing>
              <wp:anchor distT="0" distB="0" distL="114300" distR="114300" simplePos="0" relativeHeight="251665408" behindDoc="0" locked="0" layoutInCell="1" allowOverlap="1">
                <wp:simplePos x="0" y="0"/>
                <wp:positionH relativeFrom="column">
                  <wp:posOffset>4199255</wp:posOffset>
                </wp:positionH>
                <wp:positionV relativeFrom="paragraph">
                  <wp:posOffset>889635</wp:posOffset>
                </wp:positionV>
                <wp:extent cx="71755" cy="71755"/>
                <wp:effectExtent l="10160" t="13970" r="13335" b="9525"/>
                <wp:wrapNone/>
                <wp:docPr id="48" name="等腰三角形 48"/>
                <wp:cNvGraphicFramePr/>
                <a:graphic xmlns:a="http://schemas.openxmlformats.org/drawingml/2006/main">
                  <a:graphicData uri="http://schemas.microsoft.com/office/word/2010/wordprocessingShape">
                    <wps:wsp>
                      <wps:cNvSpPr/>
                      <wps:spPr>
                        <a:xfrm>
                          <a:off x="0" y="0"/>
                          <a:ext cx="71755" cy="7175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30.65pt;margin-top:70.05pt;height:5.65pt;width:5.65pt;z-index:251665408;v-text-anchor:middle;mso-width-relative:page;mso-height-relative:page;" fillcolor="#FF0000" filled="t" stroked="t" coordsize="21600,21600" o:gfxdata="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QPT359sAAAALAQAADwAAAAAAAAABACAA&#10;AAAiAAAAZHJzL2Rvd25yZXYueG1sUEsBAhQAFAAAAAgAh07iQPWzq6Z8AgAAAAUAAA4AAAAAAAAA&#10;AQAgAAAAKgEAAGRycy9lMm9Eb2MueG1sUEsFBgAAAAAGAAYAWQEAABgGAAAAAA==&#10;" adj="10800">
                <v:fill on="t" focussize="0,0"/>
                <v:stroke weight="1pt" color="#FF0000 [3204]" miterlimit="8" joinstyle="miter"/>
                <v:imagedata o:title=""/>
                <o:lock v:ext="edit" aspectratio="f"/>
              </v:shape>
            </w:pict>
          </mc:Fallback>
        </mc:AlternateContent>
      </w:r>
      <w:r>
        <w:rPr>
          <w:sz w:val="28"/>
        </w:rPr>
        <mc:AlternateContent>
          <mc:Choice Requires="wps">
            <w:drawing>
              <wp:anchor distT="0" distB="0" distL="114300" distR="114300" simplePos="0" relativeHeight="251664384" behindDoc="0" locked="0" layoutInCell="1" allowOverlap="1">
                <wp:simplePos x="0" y="0"/>
                <wp:positionH relativeFrom="column">
                  <wp:posOffset>3298190</wp:posOffset>
                </wp:positionH>
                <wp:positionV relativeFrom="paragraph">
                  <wp:posOffset>2274570</wp:posOffset>
                </wp:positionV>
                <wp:extent cx="71755" cy="71755"/>
                <wp:effectExtent l="10160" t="13970" r="13335" b="9525"/>
                <wp:wrapNone/>
                <wp:docPr id="47" name="等腰三角形 47"/>
                <wp:cNvGraphicFramePr/>
                <a:graphic xmlns:a="http://schemas.openxmlformats.org/drawingml/2006/main">
                  <a:graphicData uri="http://schemas.microsoft.com/office/word/2010/wordprocessingShape">
                    <wps:wsp>
                      <wps:cNvSpPr/>
                      <wps:spPr>
                        <a:xfrm>
                          <a:off x="0" y="0"/>
                          <a:ext cx="71755" cy="7175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59.7pt;margin-top:179.1pt;height:5.65pt;width:5.65pt;z-index:251664384;v-text-anchor:middle;mso-width-relative:page;mso-height-relative:page;" fillcolor="#FF0000" filled="t" stroked="t" coordsize="21600,21600" o:gfxdata="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C2dS1jcAAAACwEAAA8AAAAAAAAAAQAg&#10;AAAAIgAAAGRycy9kb3ducmV2LnhtbFBLAQIUABQAAAAIAIdO4kAaWrdlfAIAAAAFAAAOAAAAAAAA&#10;AAEAIAAAACsBAABkcnMvZTJvRG9jLnhtbFBLBQYAAAAABgAGAFkBAAAZBgAAAAA=&#10;" adj="10800">
                <v:fill on="t" focussize="0,0"/>
                <v:stroke weight="1pt" color="#FF0000 [3204]" miterlimit="8" joinstyle="miter"/>
                <v:imagedata o:title=""/>
                <o:lock v:ext="edit" aspectratio="f"/>
              </v:shape>
            </w:pict>
          </mc:Fallback>
        </mc:AlternateContent>
      </w:r>
      <w:r>
        <w:rPr>
          <w:sz w:val="28"/>
        </w:rPr>
        <mc:AlternateContent>
          <mc:Choice Requires="wps">
            <w:drawing>
              <wp:anchor distT="0" distB="0" distL="114300" distR="114300" simplePos="0" relativeHeight="251663360" behindDoc="0" locked="0" layoutInCell="1" allowOverlap="1">
                <wp:simplePos x="0" y="0"/>
                <wp:positionH relativeFrom="column">
                  <wp:posOffset>5133975</wp:posOffset>
                </wp:positionH>
                <wp:positionV relativeFrom="paragraph">
                  <wp:posOffset>2136140</wp:posOffset>
                </wp:positionV>
                <wp:extent cx="71755" cy="71755"/>
                <wp:effectExtent l="10160" t="13970" r="13335" b="9525"/>
                <wp:wrapNone/>
                <wp:docPr id="46" name="等腰三角形 46"/>
                <wp:cNvGraphicFramePr/>
                <a:graphic xmlns:a="http://schemas.openxmlformats.org/drawingml/2006/main">
                  <a:graphicData uri="http://schemas.microsoft.com/office/word/2010/wordprocessingShape">
                    <wps:wsp>
                      <wps:cNvSpPr/>
                      <wps:spPr>
                        <a:xfrm>
                          <a:off x="0" y="0"/>
                          <a:ext cx="71755" cy="7175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04.25pt;margin-top:168.2pt;height:5.65pt;width:5.65pt;z-index:251663360;v-text-anchor:middle;mso-width-relative:page;mso-height-relative:page;" fillcolor="#FF0000" filled="t" stroked="t" coordsize="21600,21600" o:gfxdata="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cS5BntsAAAALAQAADwAAAAAAAAABACAA&#10;AAAiAAAAZHJzL2Rvd25yZXYueG1sUEsBAhQAFAAAAAgAh07iQN1JlTl8AgAAAAUAAA4AAAAAAAAA&#10;AQAgAAAAKgEAAGRycy9lMm9Eb2MueG1sUEsFBgAAAAAGAAYAWQEAABgGAAAAAA==&#10;" adj="10800">
                <v:fill on="t" focussize="0,0"/>
                <v:stroke weight="1pt" color="#FF0000 [3204]" miterlimit="8" joinstyle="miter"/>
                <v:imagedata o:title=""/>
                <o:lock v:ext="edit" aspectratio="f"/>
              </v:shape>
            </w:pict>
          </mc:Fallback>
        </mc:AlternateContent>
      </w:r>
      <w:r>
        <w:rPr>
          <w:sz w:val="28"/>
        </w:rPr>
        <mc:AlternateContent>
          <mc:Choice Requires="wps">
            <w:drawing>
              <wp:anchor distT="0" distB="0" distL="114300" distR="114300" simplePos="0" relativeHeight="251661312" behindDoc="0" locked="0" layoutInCell="1" allowOverlap="1">
                <wp:simplePos x="0" y="0"/>
                <wp:positionH relativeFrom="column">
                  <wp:posOffset>3930650</wp:posOffset>
                </wp:positionH>
                <wp:positionV relativeFrom="paragraph">
                  <wp:posOffset>3443605</wp:posOffset>
                </wp:positionV>
                <wp:extent cx="71755" cy="71755"/>
                <wp:effectExtent l="10160" t="13970" r="13335" b="9525"/>
                <wp:wrapNone/>
                <wp:docPr id="42" name="等腰三角形 42"/>
                <wp:cNvGraphicFramePr/>
                <a:graphic xmlns:a="http://schemas.openxmlformats.org/drawingml/2006/main">
                  <a:graphicData uri="http://schemas.microsoft.com/office/word/2010/wordprocessingShape">
                    <wps:wsp>
                      <wps:cNvSpPr/>
                      <wps:spPr>
                        <a:xfrm>
                          <a:off x="0" y="0"/>
                          <a:ext cx="71755" cy="7175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09.5pt;margin-top:271.15pt;height:5.65pt;width:5.65pt;z-index:251661312;v-text-anchor:middle;mso-width-relative:page;mso-height-relative:page;" fillcolor="#FF0000" filled="t" stroked="t" coordsize="21600,21600" o:gfxdata="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BLL1zLcAAAACwEAAA8AAAAAAAAAAQAg&#10;AAAAIgAAAGRycy9kb3ducmV2LnhtbFBLAQIUABQAAAAIAIdO4kCAAGySfAIAAAAFAAAOAAAAAAAA&#10;AAEAIAAAACsBAABkcnMvZTJvRG9jLnhtbFBLBQYAAAAABgAGAFkBAAAZBgAAAAA=&#10;" adj="10800">
                <v:fill on="t" focussize="0,0"/>
                <v:stroke weight="1pt" color="#FF0000 [3204]" miterlimit="8" joinstyle="miter"/>
                <v:imagedata o:title=""/>
                <o:lock v:ext="edit" aspectratio="f"/>
              </v:shape>
            </w:pict>
          </mc:Fallback>
        </mc:AlternateContent>
      </w:r>
      <w:r>
        <w:rPr>
          <w:sz w:val="28"/>
        </w:rPr>
        <mc:AlternateContent>
          <mc:Choice Requires="wps">
            <w:drawing>
              <wp:anchor distT="0" distB="0" distL="114300" distR="114300" simplePos="0" relativeHeight="251662336" behindDoc="0" locked="0" layoutInCell="1" allowOverlap="1">
                <wp:simplePos x="0" y="0"/>
                <wp:positionH relativeFrom="column">
                  <wp:posOffset>4178300</wp:posOffset>
                </wp:positionH>
                <wp:positionV relativeFrom="paragraph">
                  <wp:posOffset>3639820</wp:posOffset>
                </wp:positionV>
                <wp:extent cx="71755" cy="71755"/>
                <wp:effectExtent l="10160" t="13970" r="13335" b="9525"/>
                <wp:wrapNone/>
                <wp:docPr id="45" name="等腰三角形 45"/>
                <wp:cNvGraphicFramePr/>
                <a:graphic xmlns:a="http://schemas.openxmlformats.org/drawingml/2006/main">
                  <a:graphicData uri="http://schemas.microsoft.com/office/word/2010/wordprocessingShape">
                    <wps:wsp>
                      <wps:cNvSpPr/>
                      <wps:spPr>
                        <a:xfrm>
                          <a:off x="0" y="0"/>
                          <a:ext cx="71755" cy="71755"/>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29pt;margin-top:286.6pt;height:5.65pt;width:5.65pt;z-index:251662336;v-text-anchor:middle;mso-width-relative:page;mso-height-relative:page;" fillcolor="#FF0000" filled="t" stroked="t" coordsize="21600,21600" o:gfxdata="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xlhxmdwAAAALAQAADwAAAAAAAAABACAA&#10;AAAiAAAAZHJzL2Rvd25yZXYueG1sUEsBAhQAFAAAAAgAh07iQJR98917AgAAAAUAAA4AAAAAAAAA&#10;AQAgAAAAKwEAAGRycy9lMm9Eb2MueG1sUEsFBgAAAAAGAAYAWQEAABgGAAAAAA==&#10;" adj="10800">
                <v:fill on="t" focussize="0,0"/>
                <v:stroke weight="1pt" color="#FF0000 [3204]" miterlimit="8" joinstyle="miter"/>
                <v:imagedata o:title=""/>
                <o:lock v:ext="edit" aspectratio="f"/>
              </v:shape>
            </w:pict>
          </mc:Fallback>
        </mc:AlternateContent>
      </w:r>
      <w:r>
        <w:rPr>
          <w:rFonts w:hint="default"/>
          <w:b/>
          <w:bCs/>
          <w:sz w:val="28"/>
          <w:szCs w:val="28"/>
          <w:lang w:val="en-US" w:eastAsia="zh-CN"/>
        </w:rPr>
        <w:drawing>
          <wp:inline distT="0" distB="0" distL="114300" distR="114300">
            <wp:extent cx="8854440" cy="4518025"/>
            <wp:effectExtent l="0" t="0" r="3810" b="15875"/>
            <wp:docPr id="38" name="图片 38" descr="1626342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626342440(1)"/>
                    <pic:cNvPicPr>
                      <a:picLocks noChangeAspect="1"/>
                    </pic:cNvPicPr>
                  </pic:nvPicPr>
                  <pic:blipFill>
                    <a:blip r:embed="rId49"/>
                    <a:stretch>
                      <a:fillRect/>
                    </a:stretch>
                  </pic:blipFill>
                  <pic:spPr>
                    <a:xfrm>
                      <a:off x="0" y="0"/>
                      <a:ext cx="8854440" cy="4518025"/>
                    </a:xfrm>
                    <a:prstGeom prst="rect">
                      <a:avLst/>
                    </a:prstGeom>
                  </pic:spPr>
                </pic:pic>
              </a:graphicData>
            </a:graphic>
          </wp:inline>
        </w:drawing>
      </w:r>
    </w:p>
    <w:p>
      <w:pPr>
        <w:bidi w:val="0"/>
        <w:rPr>
          <w:rFonts w:hint="default"/>
          <w:b/>
          <w:bCs/>
          <w:sz w:val="28"/>
          <w:szCs w:val="28"/>
          <w:lang w:val="en-US" w:eastAsia="zh-CN"/>
        </w:rPr>
      </w:pPr>
      <w:r>
        <w:rPr>
          <w:rFonts w:hint="eastAsia"/>
          <w:b/>
          <w:bCs/>
          <w:sz w:val="28"/>
          <w:szCs w:val="28"/>
          <w:lang w:val="en-US" w:eastAsia="zh-CN"/>
        </w:rPr>
        <w:t>附图六：项目现场照片</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vAlign w:val="center"/>
          </w:tcPr>
          <w:p>
            <w:pPr>
              <w:bidi w:val="0"/>
              <w:jc w:val="center"/>
              <w:rPr>
                <w:rFonts w:hint="eastAsia"/>
                <w:b/>
                <w:bCs/>
                <w:sz w:val="21"/>
                <w:szCs w:val="21"/>
                <w:vertAlign w:val="baseline"/>
                <w:lang w:val="en-US" w:eastAsia="zh-CN"/>
              </w:rPr>
            </w:pPr>
            <w:r>
              <w:rPr>
                <w:rFonts w:hint="eastAsia"/>
                <w:b/>
                <w:bCs/>
                <w:sz w:val="21"/>
                <w:szCs w:val="21"/>
                <w:vertAlign w:val="baseline"/>
                <w:lang w:val="en-US" w:eastAsia="zh-CN"/>
              </w:rPr>
              <w:drawing>
                <wp:inline distT="0" distB="0" distL="114300" distR="114300">
                  <wp:extent cx="2536825" cy="2536825"/>
                  <wp:effectExtent l="0" t="0" r="15875" b="15875"/>
                  <wp:docPr id="56" name="图片 56" descr="闲置厂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闲置厂房1"/>
                          <pic:cNvPicPr>
                            <a:picLocks noChangeAspect="1"/>
                          </pic:cNvPicPr>
                        </pic:nvPicPr>
                        <pic:blipFill>
                          <a:blip r:embed="rId50"/>
                          <a:stretch>
                            <a:fillRect/>
                          </a:stretch>
                        </pic:blipFill>
                        <pic:spPr>
                          <a:xfrm>
                            <a:off x="0" y="0"/>
                            <a:ext cx="2536825" cy="2536825"/>
                          </a:xfrm>
                          <a:prstGeom prst="rect">
                            <a:avLst/>
                          </a:prstGeom>
                        </pic:spPr>
                      </pic:pic>
                    </a:graphicData>
                  </a:graphic>
                </wp:inline>
              </w:drawing>
            </w:r>
          </w:p>
        </w:tc>
        <w:tc>
          <w:tcPr>
            <w:tcW w:w="4261" w:type="dxa"/>
            <w:tcBorders>
              <w:tl2br w:val="nil"/>
              <w:tr2bl w:val="nil"/>
            </w:tcBorders>
            <w:vAlign w:val="center"/>
          </w:tcPr>
          <w:p>
            <w:pPr>
              <w:bidi w:val="0"/>
              <w:jc w:val="center"/>
              <w:rPr>
                <w:rFonts w:hint="eastAsia"/>
                <w:b/>
                <w:bCs/>
                <w:sz w:val="21"/>
                <w:szCs w:val="21"/>
                <w:vertAlign w:val="baseline"/>
                <w:lang w:val="en-US" w:eastAsia="zh-CN"/>
              </w:rPr>
            </w:pPr>
            <w:r>
              <w:rPr>
                <w:rFonts w:hint="eastAsia"/>
                <w:b/>
                <w:bCs/>
                <w:sz w:val="21"/>
                <w:szCs w:val="21"/>
                <w:vertAlign w:val="baseline"/>
                <w:lang w:val="en-US" w:eastAsia="zh-CN"/>
              </w:rPr>
              <w:drawing>
                <wp:inline distT="0" distB="0" distL="114300" distR="114300">
                  <wp:extent cx="2536825" cy="2536825"/>
                  <wp:effectExtent l="0" t="0" r="15875" b="15875"/>
                  <wp:docPr id="57" name="图片 57" descr="闲置厂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闲置厂房2"/>
                          <pic:cNvPicPr>
                            <a:picLocks noChangeAspect="1"/>
                          </pic:cNvPicPr>
                        </pic:nvPicPr>
                        <pic:blipFill>
                          <a:blip r:embed="rId51"/>
                          <a:stretch>
                            <a:fillRect/>
                          </a:stretch>
                        </pic:blipFill>
                        <pic:spPr>
                          <a:xfrm>
                            <a:off x="0" y="0"/>
                            <a:ext cx="2536825" cy="253682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vAlign w:val="center"/>
          </w:tcPr>
          <w:p>
            <w:pPr>
              <w:bidi w:val="0"/>
              <w:jc w:val="center"/>
              <w:rPr>
                <w:rFonts w:hint="default"/>
                <w:b/>
                <w:bCs/>
                <w:sz w:val="21"/>
                <w:szCs w:val="21"/>
                <w:vertAlign w:val="baseline"/>
                <w:lang w:val="en-US" w:eastAsia="zh-CN"/>
              </w:rPr>
            </w:pPr>
            <w:r>
              <w:rPr>
                <w:rFonts w:hint="eastAsia"/>
                <w:b/>
                <w:bCs/>
                <w:sz w:val="21"/>
                <w:szCs w:val="21"/>
                <w:vertAlign w:val="baseline"/>
                <w:lang w:val="en-US" w:eastAsia="zh-CN"/>
              </w:rPr>
              <w:t>项目闲置厂房</w:t>
            </w:r>
          </w:p>
        </w:tc>
        <w:tc>
          <w:tcPr>
            <w:tcW w:w="4261" w:type="dxa"/>
            <w:tcBorders>
              <w:tl2br w:val="nil"/>
              <w:tr2bl w:val="nil"/>
            </w:tcBorders>
            <w:vAlign w:val="center"/>
          </w:tcPr>
          <w:p>
            <w:pPr>
              <w:bidi w:val="0"/>
              <w:jc w:val="center"/>
              <w:rPr>
                <w:rFonts w:hint="default"/>
                <w:b/>
                <w:bCs/>
                <w:sz w:val="21"/>
                <w:szCs w:val="21"/>
                <w:vertAlign w:val="baseline"/>
                <w:lang w:val="en-US" w:eastAsia="zh-CN"/>
              </w:rPr>
            </w:pPr>
            <w:r>
              <w:rPr>
                <w:rFonts w:hint="eastAsia"/>
                <w:b/>
                <w:bCs/>
                <w:sz w:val="21"/>
                <w:szCs w:val="21"/>
                <w:vertAlign w:val="baseline"/>
                <w:lang w:val="en-US" w:eastAsia="zh-CN"/>
              </w:rPr>
              <w:t>项目闲置厂房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vAlign w:val="center"/>
          </w:tcPr>
          <w:p>
            <w:pPr>
              <w:bidi w:val="0"/>
              <w:jc w:val="center"/>
              <w:rPr>
                <w:rFonts w:hint="eastAsia"/>
                <w:b/>
                <w:bCs/>
                <w:sz w:val="21"/>
                <w:szCs w:val="21"/>
                <w:vertAlign w:val="baseline"/>
                <w:lang w:val="en-US" w:eastAsia="zh-CN"/>
              </w:rPr>
            </w:pPr>
            <w:r>
              <w:rPr>
                <w:rFonts w:hint="eastAsia"/>
                <w:b/>
                <w:bCs/>
                <w:sz w:val="21"/>
                <w:szCs w:val="21"/>
                <w:vertAlign w:val="baseline"/>
                <w:lang w:val="en-US" w:eastAsia="zh-CN"/>
              </w:rPr>
              <w:drawing>
                <wp:inline distT="0" distB="0" distL="114300" distR="114300">
                  <wp:extent cx="2516505" cy="1162050"/>
                  <wp:effectExtent l="0" t="0" r="17145" b="0"/>
                  <wp:docPr id="58" name="图片 58" descr="项目北侧厂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项目北侧厂房"/>
                          <pic:cNvPicPr>
                            <a:picLocks noChangeAspect="1"/>
                          </pic:cNvPicPr>
                        </pic:nvPicPr>
                        <pic:blipFill>
                          <a:blip r:embed="rId52"/>
                          <a:stretch>
                            <a:fillRect/>
                          </a:stretch>
                        </pic:blipFill>
                        <pic:spPr>
                          <a:xfrm>
                            <a:off x="0" y="0"/>
                            <a:ext cx="2516505" cy="1162050"/>
                          </a:xfrm>
                          <a:prstGeom prst="rect">
                            <a:avLst/>
                          </a:prstGeom>
                        </pic:spPr>
                      </pic:pic>
                    </a:graphicData>
                  </a:graphic>
                </wp:inline>
              </w:drawing>
            </w:r>
          </w:p>
        </w:tc>
        <w:tc>
          <w:tcPr>
            <w:tcW w:w="4261" w:type="dxa"/>
            <w:tcBorders>
              <w:tl2br w:val="nil"/>
              <w:tr2bl w:val="nil"/>
            </w:tcBorders>
            <w:vAlign w:val="center"/>
          </w:tcPr>
          <w:p>
            <w:pPr>
              <w:bidi w:val="0"/>
              <w:jc w:val="center"/>
              <w:rPr>
                <w:rFonts w:hint="eastAsia"/>
                <w:b/>
                <w:bCs/>
                <w:sz w:val="21"/>
                <w:szCs w:val="21"/>
                <w:vertAlign w:val="baseline"/>
                <w:lang w:val="en-US" w:eastAsia="zh-CN"/>
              </w:rPr>
            </w:pPr>
            <w:r>
              <w:rPr>
                <w:rFonts w:hint="eastAsia"/>
                <w:b/>
                <w:bCs/>
                <w:sz w:val="21"/>
                <w:szCs w:val="21"/>
                <w:vertAlign w:val="baseline"/>
                <w:lang w:val="en-US" w:eastAsia="zh-CN"/>
              </w:rPr>
              <w:drawing>
                <wp:inline distT="0" distB="0" distL="114300" distR="114300">
                  <wp:extent cx="2516505" cy="1162050"/>
                  <wp:effectExtent l="0" t="0" r="17145" b="0"/>
                  <wp:docPr id="59" name="图片 59" descr="项目东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项目东侧"/>
                          <pic:cNvPicPr>
                            <a:picLocks noChangeAspect="1"/>
                          </pic:cNvPicPr>
                        </pic:nvPicPr>
                        <pic:blipFill>
                          <a:blip r:embed="rId53"/>
                          <a:stretch>
                            <a:fillRect/>
                          </a:stretch>
                        </pic:blipFill>
                        <pic:spPr>
                          <a:xfrm>
                            <a:off x="0" y="0"/>
                            <a:ext cx="2516505" cy="116205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vAlign w:val="center"/>
          </w:tcPr>
          <w:p>
            <w:pPr>
              <w:bidi w:val="0"/>
              <w:jc w:val="center"/>
              <w:rPr>
                <w:rFonts w:hint="default"/>
                <w:b/>
                <w:bCs/>
                <w:sz w:val="21"/>
                <w:szCs w:val="21"/>
                <w:vertAlign w:val="baseline"/>
                <w:lang w:val="en-US" w:eastAsia="zh-CN"/>
              </w:rPr>
            </w:pPr>
            <w:r>
              <w:rPr>
                <w:rFonts w:hint="eastAsia"/>
                <w:b/>
                <w:bCs/>
                <w:sz w:val="21"/>
                <w:szCs w:val="21"/>
                <w:vertAlign w:val="baseline"/>
                <w:lang w:val="en-US" w:eastAsia="zh-CN"/>
              </w:rPr>
              <w:t>项目北侧厂房</w:t>
            </w:r>
          </w:p>
        </w:tc>
        <w:tc>
          <w:tcPr>
            <w:tcW w:w="4261" w:type="dxa"/>
            <w:tcBorders>
              <w:tl2br w:val="nil"/>
              <w:tr2bl w:val="nil"/>
            </w:tcBorders>
            <w:vAlign w:val="center"/>
          </w:tcPr>
          <w:p>
            <w:pPr>
              <w:bidi w:val="0"/>
              <w:jc w:val="center"/>
              <w:rPr>
                <w:rFonts w:hint="default"/>
                <w:b/>
                <w:bCs/>
                <w:sz w:val="21"/>
                <w:szCs w:val="21"/>
                <w:vertAlign w:val="baseline"/>
                <w:lang w:val="en-US" w:eastAsia="zh-CN"/>
              </w:rPr>
            </w:pPr>
            <w:r>
              <w:rPr>
                <w:rFonts w:hint="eastAsia"/>
                <w:b/>
                <w:bCs/>
                <w:sz w:val="21"/>
                <w:szCs w:val="21"/>
                <w:vertAlign w:val="baseline"/>
                <w:lang w:val="en-US" w:eastAsia="zh-CN"/>
              </w:rPr>
              <w:t>项目东侧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vAlign w:val="center"/>
          </w:tcPr>
          <w:p>
            <w:pPr>
              <w:bidi w:val="0"/>
              <w:jc w:val="center"/>
              <w:rPr>
                <w:rFonts w:hint="eastAsia"/>
                <w:b/>
                <w:bCs/>
                <w:sz w:val="21"/>
                <w:szCs w:val="21"/>
                <w:vertAlign w:val="baseline"/>
                <w:lang w:val="en-US" w:eastAsia="zh-CN"/>
              </w:rPr>
            </w:pPr>
            <w:r>
              <w:rPr>
                <w:rFonts w:hint="eastAsia"/>
                <w:b/>
                <w:bCs/>
                <w:sz w:val="21"/>
                <w:szCs w:val="21"/>
                <w:vertAlign w:val="baseline"/>
                <w:lang w:val="en-US" w:eastAsia="zh-CN"/>
              </w:rPr>
              <w:drawing>
                <wp:inline distT="0" distB="0" distL="114300" distR="114300">
                  <wp:extent cx="2516505" cy="1162050"/>
                  <wp:effectExtent l="0" t="0" r="17145" b="0"/>
                  <wp:docPr id="60" name="图片 60" descr="项目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项目南侧"/>
                          <pic:cNvPicPr>
                            <a:picLocks noChangeAspect="1"/>
                          </pic:cNvPicPr>
                        </pic:nvPicPr>
                        <pic:blipFill>
                          <a:blip r:embed="rId54"/>
                          <a:stretch>
                            <a:fillRect/>
                          </a:stretch>
                        </pic:blipFill>
                        <pic:spPr>
                          <a:xfrm>
                            <a:off x="0" y="0"/>
                            <a:ext cx="2516505" cy="1162050"/>
                          </a:xfrm>
                          <a:prstGeom prst="rect">
                            <a:avLst/>
                          </a:prstGeom>
                        </pic:spPr>
                      </pic:pic>
                    </a:graphicData>
                  </a:graphic>
                </wp:inline>
              </w:drawing>
            </w:r>
          </w:p>
        </w:tc>
        <w:tc>
          <w:tcPr>
            <w:tcW w:w="4261" w:type="dxa"/>
            <w:tcBorders>
              <w:tl2br w:val="nil"/>
              <w:tr2bl w:val="nil"/>
            </w:tcBorders>
            <w:vAlign w:val="center"/>
          </w:tcPr>
          <w:p>
            <w:pPr>
              <w:bidi w:val="0"/>
              <w:jc w:val="center"/>
              <w:rPr>
                <w:rFonts w:hint="eastAsia"/>
                <w:b/>
                <w:bCs/>
                <w:sz w:val="21"/>
                <w:szCs w:val="21"/>
                <w:vertAlign w:val="baseline"/>
                <w:lang w:val="en-US" w:eastAsia="zh-CN"/>
              </w:rPr>
            </w:pPr>
            <w:r>
              <w:rPr>
                <w:rFonts w:hint="eastAsia"/>
                <w:b/>
                <w:bCs/>
                <w:sz w:val="21"/>
                <w:szCs w:val="21"/>
                <w:vertAlign w:val="baseline"/>
                <w:lang w:val="en-US" w:eastAsia="zh-CN"/>
              </w:rPr>
              <w:drawing>
                <wp:inline distT="0" distB="0" distL="114300" distR="114300">
                  <wp:extent cx="2516505" cy="1162050"/>
                  <wp:effectExtent l="0" t="0" r="17145" b="0"/>
                  <wp:docPr id="61" name="图片 61" descr="项目西侧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项目西侧1"/>
                          <pic:cNvPicPr>
                            <a:picLocks noChangeAspect="1"/>
                          </pic:cNvPicPr>
                        </pic:nvPicPr>
                        <pic:blipFill>
                          <a:blip r:embed="rId55"/>
                          <a:stretch>
                            <a:fillRect/>
                          </a:stretch>
                        </pic:blipFill>
                        <pic:spPr>
                          <a:xfrm>
                            <a:off x="0" y="0"/>
                            <a:ext cx="2516505" cy="116205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Borders>
              <w:tl2br w:val="nil"/>
              <w:tr2bl w:val="nil"/>
            </w:tcBorders>
            <w:vAlign w:val="center"/>
          </w:tcPr>
          <w:p>
            <w:pPr>
              <w:bidi w:val="0"/>
              <w:jc w:val="center"/>
              <w:rPr>
                <w:rFonts w:hint="default"/>
                <w:b/>
                <w:bCs/>
                <w:sz w:val="21"/>
                <w:szCs w:val="21"/>
                <w:vertAlign w:val="baseline"/>
                <w:lang w:val="en-US" w:eastAsia="zh-CN"/>
              </w:rPr>
            </w:pPr>
            <w:r>
              <w:rPr>
                <w:rFonts w:hint="eastAsia"/>
                <w:b/>
                <w:bCs/>
                <w:sz w:val="21"/>
                <w:szCs w:val="21"/>
                <w:vertAlign w:val="baseline"/>
                <w:lang w:val="en-US" w:eastAsia="zh-CN"/>
              </w:rPr>
              <w:t>项目南侧</w:t>
            </w:r>
          </w:p>
        </w:tc>
        <w:tc>
          <w:tcPr>
            <w:tcW w:w="4261" w:type="dxa"/>
            <w:tcBorders>
              <w:tl2br w:val="nil"/>
              <w:tr2bl w:val="nil"/>
            </w:tcBorders>
            <w:vAlign w:val="center"/>
          </w:tcPr>
          <w:p>
            <w:pPr>
              <w:bidi w:val="0"/>
              <w:jc w:val="center"/>
              <w:rPr>
                <w:rFonts w:hint="default"/>
                <w:b/>
                <w:bCs/>
                <w:sz w:val="21"/>
                <w:szCs w:val="21"/>
                <w:vertAlign w:val="baseline"/>
                <w:lang w:val="en-US" w:eastAsia="zh-CN"/>
              </w:rPr>
            </w:pPr>
            <w:r>
              <w:rPr>
                <w:rFonts w:hint="eastAsia"/>
                <w:b/>
                <w:bCs/>
                <w:sz w:val="21"/>
                <w:szCs w:val="21"/>
                <w:vertAlign w:val="baseline"/>
                <w:lang w:val="en-US" w:eastAsia="zh-CN"/>
              </w:rPr>
              <w:t>项目西侧</w:t>
            </w:r>
          </w:p>
        </w:tc>
      </w:tr>
    </w:tbl>
    <w:p>
      <w:pPr>
        <w:rPr>
          <w:rFonts w:hint="default"/>
          <w:b/>
          <w:bCs/>
          <w:sz w:val="28"/>
          <w:szCs w:val="28"/>
          <w:lang w:val="en-US" w:eastAsia="zh-CN"/>
        </w:rPr>
      </w:pPr>
      <w:r>
        <w:rPr>
          <w:rFonts w:hint="default"/>
          <w:b/>
          <w:bCs/>
          <w:sz w:val="28"/>
          <w:szCs w:val="28"/>
          <w:lang w:val="en-US" w:eastAsia="zh-CN"/>
        </w:rPr>
        <w:br w:type="page"/>
      </w:r>
    </w:p>
    <w:p>
      <w:pPr>
        <w:pStyle w:val="2"/>
        <w:ind w:left="0" w:leftChars="0" w:firstLine="0" w:firstLineChars="0"/>
        <w:rPr>
          <w:rFonts w:hint="eastAsia"/>
          <w:b/>
          <w:bCs/>
          <w:lang w:val="en-US" w:eastAsia="zh-CN"/>
        </w:rPr>
      </w:pPr>
      <w:r>
        <w:rPr>
          <w:rFonts w:hint="eastAsia"/>
          <w:b/>
          <w:bCs/>
          <w:lang w:val="en-US" w:eastAsia="zh-CN"/>
        </w:rPr>
        <w:t>专家评审意见</w:t>
      </w:r>
    </w:p>
    <w:p>
      <w:pPr>
        <w:pStyle w:val="2"/>
        <w:ind w:left="0" w:leftChars="0" w:firstLine="0" w:firstLineChars="0"/>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lang w:val="en-US" w:eastAsia="zh-CN"/>
        </w:rPr>
        <w:drawing>
          <wp:inline distT="0" distB="0" distL="114300" distR="114300">
            <wp:extent cx="5268595" cy="7450455"/>
            <wp:effectExtent l="0" t="0" r="8255" b="17145"/>
            <wp:docPr id="51" name="图片 51" descr="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Page0001"/>
                    <pic:cNvPicPr>
                      <a:picLocks noChangeAspect="1"/>
                    </pic:cNvPicPr>
                  </pic:nvPicPr>
                  <pic:blipFill>
                    <a:blip r:embed="rId56"/>
                    <a:stretch>
                      <a:fillRect/>
                    </a:stretch>
                  </pic:blipFill>
                  <pic:spPr>
                    <a:xfrm>
                      <a:off x="0" y="0"/>
                      <a:ext cx="5268595" cy="7450455"/>
                    </a:xfrm>
                    <a:prstGeom prst="rect">
                      <a:avLst/>
                    </a:prstGeom>
                  </pic:spPr>
                </pic:pic>
              </a:graphicData>
            </a:graphic>
          </wp:inline>
        </w:drawing>
      </w:r>
      <w:r>
        <w:rPr>
          <w:rFonts w:hint="default"/>
          <w:lang w:val="en-US" w:eastAsia="zh-CN"/>
        </w:rPr>
        <w:drawing>
          <wp:inline distT="0" distB="0" distL="114300" distR="114300">
            <wp:extent cx="5268595" cy="7450455"/>
            <wp:effectExtent l="0" t="0" r="8255" b="17145"/>
            <wp:docPr id="22" name="图片 22" descr="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Page0002"/>
                    <pic:cNvPicPr>
                      <a:picLocks noChangeAspect="1"/>
                    </pic:cNvPicPr>
                  </pic:nvPicPr>
                  <pic:blipFill>
                    <a:blip r:embed="rId57"/>
                    <a:stretch>
                      <a:fillRect/>
                    </a:stretch>
                  </pic:blipFill>
                  <pic:spPr>
                    <a:xfrm>
                      <a:off x="0" y="0"/>
                      <a:ext cx="5268595" cy="7450455"/>
                    </a:xfrm>
                    <a:prstGeom prst="rect">
                      <a:avLst/>
                    </a:prstGeom>
                  </pic:spPr>
                </pic:pic>
              </a:graphicData>
            </a:graphic>
          </wp:inline>
        </w:drawing>
      </w:r>
    </w:p>
    <w:p>
      <w:pPr>
        <w:rPr>
          <w:rFonts w:hint="eastAsia"/>
          <w:b/>
          <w:bCs/>
          <w:sz w:val="24"/>
          <w:szCs w:val="24"/>
          <w:lang w:val="en-US" w:eastAsia="zh-CN"/>
        </w:rPr>
      </w:pPr>
      <w:r>
        <w:rPr>
          <w:rFonts w:hint="eastAsia"/>
          <w:b/>
          <w:bCs/>
          <w:sz w:val="24"/>
          <w:szCs w:val="24"/>
          <w:lang w:val="en-US" w:eastAsia="zh-CN"/>
        </w:rPr>
        <w:t>专家签到表</w:t>
      </w:r>
    </w:p>
    <w:p>
      <w:pPr>
        <w:jc w:val="center"/>
        <w:rPr>
          <w:rFonts w:hint="default"/>
          <w:lang w:val="en-US" w:eastAsia="zh-CN"/>
        </w:rPr>
      </w:pPr>
      <w:r>
        <w:rPr>
          <w:rFonts w:hint="default"/>
          <w:lang w:val="en-US" w:eastAsia="zh-CN"/>
        </w:rPr>
        <w:drawing>
          <wp:inline distT="0" distB="0" distL="114300" distR="114300">
            <wp:extent cx="4708525" cy="6659880"/>
            <wp:effectExtent l="0" t="0" r="7620" b="15875"/>
            <wp:docPr id="62" name="图片 62" descr="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Page0005"/>
                    <pic:cNvPicPr>
                      <a:picLocks noChangeAspect="1"/>
                    </pic:cNvPicPr>
                  </pic:nvPicPr>
                  <pic:blipFill>
                    <a:blip r:embed="rId58"/>
                    <a:stretch>
                      <a:fillRect/>
                    </a:stretch>
                  </pic:blipFill>
                  <pic:spPr>
                    <a:xfrm rot="5400000">
                      <a:off x="0" y="0"/>
                      <a:ext cx="4708525" cy="6659880"/>
                    </a:xfrm>
                    <a:prstGeom prst="rect">
                      <a:avLst/>
                    </a:prstGeom>
                  </pic:spPr>
                </pic:pic>
              </a:graphicData>
            </a:graphic>
          </wp:inline>
        </w:drawing>
      </w:r>
    </w:p>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Narrow">
    <w:panose1 w:val="020B0606020202030204"/>
    <w:charset w:val="00"/>
    <w:family w:val="swiss"/>
    <w:pitch w:val="default"/>
    <w:sig w:usb0="00000287" w:usb1="00000800" w:usb2="00000000" w:usb3="00000000" w:csb0="2000009F" w:csb1="DFD70000"/>
  </w:font>
  <w:font w:name="新宋体-18030">
    <w:altName w:val="宋体"/>
    <w:panose1 w:val="00000000000000000000"/>
    <w:charset w:val="00"/>
    <w:family w:val="auto"/>
    <w:pitch w:val="default"/>
    <w:sig w:usb0="00000000" w:usb1="00000000" w:usb2="00000000" w:usb3="00000000" w:csb0="00040001" w:csb1="00000000"/>
  </w:font>
  <w:font w:name="Verdana">
    <w:panose1 w:val="020B0604030504040204"/>
    <w:charset w:val="00"/>
    <w:family w:val="swiss"/>
    <w:pitch w:val="default"/>
    <w:sig w:usb0="A00006FF" w:usb1="4000205B" w:usb2="00000010" w:usb3="00000000" w:csb0="2000019F" w:csb1="00000000"/>
  </w:font>
  <w:font w:name="仿宋_GB2312">
    <w:panose1 w:val="02010609030101010101"/>
    <w:charset w:val="86"/>
    <w:family w:val="modern"/>
    <w:pitch w:val="default"/>
    <w:sig w:usb0="00000001" w:usb1="080E0000" w:usb2="00000000" w:usb3="00000000" w:csb0="00040000" w:csb1="00000000"/>
  </w:font>
  <w:font w:name="方正小标宋_GBK">
    <w:altName w:val="微软雅黑"/>
    <w:panose1 w:val="03000509000000000000"/>
    <w:charset w:val="86"/>
    <w:family w:val="script"/>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新宋体">
    <w:panose1 w:val="02010609030101010101"/>
    <w:charset w:val="86"/>
    <w:family w:val="modern"/>
    <w:pitch w:val="default"/>
    <w:sig w:usb0="00000283" w:usb1="288F0000" w:usb2="00000006" w:usb3="00000000" w:csb0="00040001"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framePr w:wrap="around" w:vAnchor="text" w:hAnchor="margin" w:xAlign="center" w:y="1"/>
      <w:rPr>
        <w:rStyle w:val="17"/>
      </w:rPr>
    </w:pPr>
    <w:r>
      <w:fldChar w:fldCharType="begin"/>
    </w:r>
    <w:r>
      <w:rPr>
        <w:rStyle w:val="17"/>
      </w:rPr>
      <w:instrText xml:space="preserve">PAGE  </w:instrText>
    </w:r>
    <w:r>
      <w:fldChar w:fldCharType="end"/>
    </w:r>
  </w:p>
  <w:p>
    <w:pPr>
      <w:pStyle w:val="1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framePr w:wrap="around" w:vAnchor="text" w:hAnchor="margin" w:xAlign="outside" w:y="1"/>
      <w:rPr>
        <w:rStyle w:val="17"/>
        <w:rFonts w:ascii="宋体" w:hAnsi="宋体"/>
        <w:sz w:val="28"/>
        <w:szCs w:val="28"/>
      </w:rPr>
    </w:pPr>
    <w:r>
      <w:rPr>
        <w:rStyle w:val="17"/>
        <w:rFonts w:hint="eastAsia" w:ascii="宋体" w:hAnsi="宋体"/>
        <w:sz w:val="28"/>
        <w:szCs w:val="28"/>
      </w:rPr>
      <w:t>—</w:t>
    </w:r>
    <w:r>
      <w:rPr>
        <w:rStyle w:val="17"/>
        <w:rFonts w:hint="eastAsia" w:ascii="宋体" w:hAnsi="宋体"/>
        <w:sz w:val="20"/>
      </w:rPr>
      <w:t xml:space="preserve">  </w:t>
    </w:r>
    <w:r>
      <w:rPr>
        <w:rStyle w:val="17"/>
        <w:rFonts w:ascii="宋体" w:hAnsi="宋体"/>
        <w:sz w:val="26"/>
        <w:szCs w:val="26"/>
      </w:rPr>
      <w:fldChar w:fldCharType="begin"/>
    </w:r>
    <w:r>
      <w:rPr>
        <w:rStyle w:val="17"/>
        <w:rFonts w:ascii="宋体" w:hAnsi="宋体"/>
        <w:sz w:val="26"/>
        <w:szCs w:val="26"/>
      </w:rPr>
      <w:instrText xml:space="preserve">PAGE  </w:instrText>
    </w:r>
    <w:r>
      <w:rPr>
        <w:rStyle w:val="17"/>
        <w:rFonts w:ascii="宋体" w:hAnsi="宋体"/>
        <w:sz w:val="26"/>
        <w:szCs w:val="26"/>
      </w:rPr>
      <w:fldChar w:fldCharType="separate"/>
    </w:r>
    <w:r>
      <w:rPr>
        <w:rStyle w:val="17"/>
        <w:rFonts w:ascii="宋体" w:hAnsi="宋体"/>
        <w:sz w:val="26"/>
        <w:szCs w:val="26"/>
      </w:rPr>
      <w:t>9</w:t>
    </w:r>
    <w:r>
      <w:rPr>
        <w:rStyle w:val="17"/>
        <w:rFonts w:ascii="宋体" w:hAnsi="宋体"/>
        <w:sz w:val="26"/>
        <w:szCs w:val="26"/>
      </w:rPr>
      <w:fldChar w:fldCharType="end"/>
    </w:r>
    <w:r>
      <w:rPr>
        <w:rStyle w:val="17"/>
        <w:rFonts w:hint="eastAsia" w:ascii="宋体" w:hAnsi="宋体"/>
        <w:sz w:val="20"/>
      </w:rPr>
      <w:t xml:space="preserve">  </w:t>
    </w:r>
    <w:r>
      <w:rPr>
        <w:rStyle w:val="17"/>
        <w:rFonts w:hint="eastAsia" w:ascii="宋体" w:hAnsi="宋体"/>
        <w:sz w:val="28"/>
        <w:szCs w:val="28"/>
      </w:rPr>
      <w:t>—</w:t>
    </w:r>
  </w:p>
  <w:p>
    <w:pPr>
      <w:pStyle w:val="10"/>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framePr w:wrap="around" w:vAnchor="text" w:hAnchor="margin" w:xAlign="center" w:y="1"/>
      <w:rPr>
        <w:rStyle w:val="17"/>
        <w:rFonts w:ascii="宋体" w:hAnsi="宋体"/>
        <w:sz w:val="28"/>
        <w:szCs w:val="28"/>
      </w:rPr>
    </w:pPr>
    <w:r>
      <w:rPr>
        <w:rStyle w:val="17"/>
        <w:rFonts w:hint="eastAsia" w:ascii="宋体" w:hAnsi="宋体"/>
        <w:sz w:val="28"/>
        <w:szCs w:val="28"/>
      </w:rPr>
      <w:t>—</w:t>
    </w:r>
    <w:r>
      <w:rPr>
        <w:rStyle w:val="17"/>
        <w:rFonts w:hint="eastAsia" w:ascii="宋体" w:hAnsi="宋体"/>
        <w:sz w:val="20"/>
      </w:rPr>
      <w:t xml:space="preserve">  </w:t>
    </w:r>
    <w:r>
      <w:rPr>
        <w:rStyle w:val="17"/>
        <w:rFonts w:ascii="宋体" w:hAnsi="宋体"/>
        <w:sz w:val="26"/>
        <w:szCs w:val="26"/>
      </w:rPr>
      <w:fldChar w:fldCharType="begin"/>
    </w:r>
    <w:r>
      <w:rPr>
        <w:rStyle w:val="17"/>
        <w:rFonts w:ascii="宋体" w:hAnsi="宋体"/>
        <w:sz w:val="26"/>
        <w:szCs w:val="26"/>
      </w:rPr>
      <w:instrText xml:space="preserve">PAGE  </w:instrText>
    </w:r>
    <w:r>
      <w:rPr>
        <w:rStyle w:val="17"/>
        <w:rFonts w:ascii="宋体" w:hAnsi="宋体"/>
        <w:sz w:val="26"/>
        <w:szCs w:val="26"/>
      </w:rPr>
      <w:fldChar w:fldCharType="separate"/>
    </w:r>
    <w:r>
      <w:rPr>
        <w:rStyle w:val="17"/>
        <w:rFonts w:ascii="宋体" w:hAnsi="宋体"/>
        <w:sz w:val="26"/>
        <w:szCs w:val="26"/>
      </w:rPr>
      <w:t>10</w:t>
    </w:r>
    <w:r>
      <w:rPr>
        <w:rStyle w:val="17"/>
        <w:rFonts w:ascii="宋体" w:hAnsi="宋体"/>
        <w:sz w:val="26"/>
        <w:szCs w:val="26"/>
      </w:rPr>
      <w:fldChar w:fldCharType="end"/>
    </w:r>
    <w:r>
      <w:rPr>
        <w:rStyle w:val="17"/>
        <w:rFonts w:hint="eastAsia" w:ascii="宋体" w:hAnsi="宋体"/>
        <w:sz w:val="20"/>
      </w:rPr>
      <w:t xml:space="preserve">  </w:t>
    </w:r>
    <w:r>
      <w:rPr>
        <w:rStyle w:val="17"/>
        <w:rFonts w:hint="eastAsia" w:ascii="宋体" w:hAnsi="宋体"/>
        <w:sz w:val="28"/>
        <w:szCs w:val="28"/>
      </w:rPr>
      <w:t>—</w:t>
    </w:r>
  </w:p>
  <w:p>
    <w:pPr>
      <w:pStyle w:val="10"/>
      <w:ind w:right="360" w:firstLine="360"/>
      <w:jc w:val="cente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EE27108"/>
    <w:rsid w:val="00A42C27"/>
    <w:rsid w:val="01556665"/>
    <w:rsid w:val="0B000E01"/>
    <w:rsid w:val="12187638"/>
    <w:rsid w:val="1238650B"/>
    <w:rsid w:val="152727BF"/>
    <w:rsid w:val="1C096759"/>
    <w:rsid w:val="1EE27108"/>
    <w:rsid w:val="214C4332"/>
    <w:rsid w:val="236777C6"/>
    <w:rsid w:val="2484656F"/>
    <w:rsid w:val="268F539A"/>
    <w:rsid w:val="27086FE9"/>
    <w:rsid w:val="281B50E8"/>
    <w:rsid w:val="295C74E6"/>
    <w:rsid w:val="2BD20BC3"/>
    <w:rsid w:val="2DFC00A6"/>
    <w:rsid w:val="2FAC1396"/>
    <w:rsid w:val="30887BE6"/>
    <w:rsid w:val="312C5BA1"/>
    <w:rsid w:val="328F0686"/>
    <w:rsid w:val="32CB72C9"/>
    <w:rsid w:val="35481C33"/>
    <w:rsid w:val="36254D80"/>
    <w:rsid w:val="38DF5AE3"/>
    <w:rsid w:val="3A017252"/>
    <w:rsid w:val="3CE41E7E"/>
    <w:rsid w:val="4674653A"/>
    <w:rsid w:val="47AD37C5"/>
    <w:rsid w:val="499E614D"/>
    <w:rsid w:val="509C4F71"/>
    <w:rsid w:val="51780C0D"/>
    <w:rsid w:val="51EC17A7"/>
    <w:rsid w:val="51FC4BC8"/>
    <w:rsid w:val="52556FED"/>
    <w:rsid w:val="52DA3AE1"/>
    <w:rsid w:val="5317170C"/>
    <w:rsid w:val="548B7A1A"/>
    <w:rsid w:val="580F6474"/>
    <w:rsid w:val="5C1F2AB3"/>
    <w:rsid w:val="5C484388"/>
    <w:rsid w:val="5E680E9B"/>
    <w:rsid w:val="5F2C1193"/>
    <w:rsid w:val="5FD16A75"/>
    <w:rsid w:val="625F4816"/>
    <w:rsid w:val="62A82BBB"/>
    <w:rsid w:val="66BD789E"/>
    <w:rsid w:val="6AC84550"/>
    <w:rsid w:val="6B2C67C2"/>
    <w:rsid w:val="6BE648C2"/>
    <w:rsid w:val="6F78321C"/>
    <w:rsid w:val="6FD50915"/>
    <w:rsid w:val="748F1F8C"/>
    <w:rsid w:val="7B2B3D5D"/>
    <w:rsid w:val="7C8605E3"/>
    <w:rsid w:val="7C8C0001"/>
    <w:rsid w:val="7DF858C5"/>
    <w:rsid w:val="7E956BFB"/>
    <w:rsid w:val="7EBC4AA4"/>
    <w:rsid w:val="7FD64E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3"/>
    <w:basedOn w:val="1"/>
    <w:next w:val="1"/>
    <w:qFormat/>
    <w:uiPriority w:val="0"/>
    <w:pPr>
      <w:keepNext/>
      <w:keepLines/>
      <w:spacing w:before="260" w:beforeLines="0" w:after="260" w:afterLines="0" w:line="413" w:lineRule="auto"/>
      <w:outlineLvl w:val="2"/>
    </w:pPr>
    <w:rPr>
      <w:b/>
      <w:bCs/>
      <w:kern w:val="2"/>
      <w:sz w:val="32"/>
      <w:szCs w:val="32"/>
    </w:rPr>
  </w:style>
  <w:style w:type="character" w:default="1" w:styleId="16">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1"/>
    <w:unhideWhenUsed/>
    <w:qFormat/>
    <w:uiPriority w:val="0"/>
    <w:pPr>
      <w:spacing w:after="120" w:line="360" w:lineRule="auto"/>
      <w:ind w:firstLine="420"/>
    </w:pPr>
  </w:style>
  <w:style w:type="paragraph" w:styleId="3">
    <w:name w:val="Body Text Indent"/>
    <w:basedOn w:val="1"/>
    <w:next w:val="4"/>
    <w:qFormat/>
    <w:uiPriority w:val="0"/>
    <w:pPr>
      <w:spacing w:after="120"/>
      <w:ind w:left="420" w:leftChars="200"/>
    </w:pPr>
    <w:rPr>
      <w:kern w:val="0"/>
      <w:sz w:val="24"/>
      <w:szCs w:val="20"/>
    </w:rPr>
  </w:style>
  <w:style w:type="paragraph" w:customStyle="1" w:styleId="4">
    <w:name w:val="样式 正文文本缩进 + 行距: 1.5 倍行距"/>
    <w:basedOn w:val="3"/>
    <w:qFormat/>
    <w:uiPriority w:val="0"/>
    <w:pPr>
      <w:spacing w:before="0" w:after="120"/>
      <w:ind w:left="90" w:leftChars="32" w:firstLine="560" w:firstLineChars="200"/>
    </w:pPr>
    <w:rPr>
      <w:rFonts w:ascii="Times New Roman" w:cs="宋体"/>
    </w:rPr>
  </w:style>
  <w:style w:type="paragraph" w:styleId="6">
    <w:name w:val="Normal Indent"/>
    <w:basedOn w:val="1"/>
    <w:qFormat/>
    <w:uiPriority w:val="0"/>
    <w:pPr>
      <w:spacing w:after="120" w:line="400" w:lineRule="exact"/>
      <w:ind w:firstLine="480" w:firstLineChars="200"/>
    </w:pPr>
    <w:rPr>
      <w:sz w:val="24"/>
      <w:szCs w:val="20"/>
    </w:rPr>
  </w:style>
  <w:style w:type="paragraph" w:styleId="7">
    <w:name w:val="caption"/>
    <w:basedOn w:val="1"/>
    <w:next w:val="1"/>
    <w:qFormat/>
    <w:uiPriority w:val="0"/>
    <w:pPr>
      <w:jc w:val="center"/>
    </w:pPr>
    <w:rPr>
      <w:rFonts w:ascii="Arial Narrow" w:hAnsi="Arial Narrow"/>
      <w:b/>
      <w:sz w:val="24"/>
      <w:szCs w:val="20"/>
    </w:rPr>
  </w:style>
  <w:style w:type="paragraph" w:styleId="8">
    <w:name w:val="Body Text"/>
    <w:basedOn w:val="1"/>
    <w:next w:val="9"/>
    <w:qFormat/>
    <w:uiPriority w:val="0"/>
    <w:pPr>
      <w:widowControl/>
      <w:snapToGrid w:val="0"/>
      <w:spacing w:before="60" w:after="160" w:line="259" w:lineRule="auto"/>
      <w:ind w:right="113"/>
    </w:pPr>
    <w:rPr>
      <w:kern w:val="0"/>
      <w:sz w:val="18"/>
      <w:szCs w:val="20"/>
    </w:rPr>
  </w:style>
  <w:style w:type="paragraph" w:customStyle="1" w:styleId="9">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styleId="10">
    <w:name w:val="footer"/>
    <w:basedOn w:val="1"/>
    <w:qFormat/>
    <w:uiPriority w:val="99"/>
    <w:pPr>
      <w:tabs>
        <w:tab w:val="center" w:pos="4153"/>
        <w:tab w:val="right" w:pos="8306"/>
      </w:tabs>
      <w:snapToGrid w:val="0"/>
      <w:jc w:val="left"/>
    </w:pPr>
    <w:rPr>
      <w:kern w:val="0"/>
      <w:sz w:val="18"/>
      <w:szCs w:val="20"/>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13">
    <w:name w:val="Body Text First Indent"/>
    <w:basedOn w:val="1"/>
    <w:qFormat/>
    <w:uiPriority w:val="0"/>
    <w:pPr>
      <w:spacing w:after="120" w:line="240" w:lineRule="auto"/>
      <w:ind w:firstLine="420" w:firstLineChars="100"/>
    </w:pPr>
    <w:rPr>
      <w:sz w:val="21"/>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page number"/>
    <w:basedOn w:val="16"/>
    <w:qFormat/>
    <w:uiPriority w:val="0"/>
  </w:style>
  <w:style w:type="paragraph" w:customStyle="1" w:styleId="18">
    <w:name w:val="Default"/>
    <w:basedOn w:val="19"/>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9">
    <w:name w:val="！正文 Alt+0"/>
    <w:basedOn w:val="1"/>
    <w:qFormat/>
    <w:uiPriority w:val="0"/>
    <w:pPr>
      <w:spacing w:line="360" w:lineRule="auto"/>
      <w:ind w:firstLine="200" w:firstLineChars="200"/>
    </w:pPr>
    <w:rPr>
      <w:rFonts w:ascii="Times New Roman" w:hAnsi="Times New Roman"/>
      <w:sz w:val="28"/>
      <w:szCs w:val="28"/>
    </w:rPr>
  </w:style>
  <w:style w:type="paragraph" w:customStyle="1" w:styleId="20">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21">
    <w:name w:val="正文1"/>
    <w:basedOn w:val="1"/>
    <w:qFormat/>
    <w:uiPriority w:val="0"/>
    <w:pPr>
      <w:spacing w:line="500" w:lineRule="exact"/>
      <w:ind w:firstLine="560"/>
    </w:pPr>
    <w:rPr>
      <w:sz w:val="28"/>
    </w:rPr>
  </w:style>
  <w:style w:type="paragraph" w:customStyle="1" w:styleId="22">
    <w:name w:val="样式 (符号) 宋体 小四 行距: 1.5 倍行距"/>
    <w:basedOn w:val="1"/>
    <w:qFormat/>
    <w:uiPriority w:val="0"/>
    <w:pPr>
      <w:spacing w:line="360" w:lineRule="auto"/>
      <w:ind w:firstLine="480" w:firstLineChars="200"/>
    </w:pPr>
    <w:rPr>
      <w:rFonts w:ascii="Calibri" w:hAnsi="宋体" w:cs="宋体"/>
      <w:sz w:val="24"/>
      <w:szCs w:val="21"/>
    </w:rPr>
  </w:style>
  <w:style w:type="paragraph" w:customStyle="1" w:styleId="23">
    <w:name w:val="表格题注"/>
    <w:qFormat/>
    <w:uiPriority w:val="0"/>
    <w:pPr>
      <w:jc w:val="center"/>
    </w:pPr>
    <w:rPr>
      <w:rFonts w:ascii="Calibri" w:hAnsi="Calibri" w:eastAsia="宋体" w:cs="Times New Roman"/>
      <w:b/>
      <w:sz w:val="21"/>
      <w:szCs w:val="22"/>
      <w:lang w:val="en-US" w:eastAsia="zh-CN" w:bidi="ar-SA"/>
    </w:rPr>
  </w:style>
  <w:style w:type="paragraph" w:customStyle="1" w:styleId="24">
    <w:name w:val="表格文字"/>
    <w:basedOn w:val="12"/>
    <w:next w:val="6"/>
    <w:qFormat/>
    <w:uiPriority w:val="0"/>
    <w:pPr>
      <w:widowControl w:val="0"/>
      <w:snapToGrid w:val="0"/>
      <w:spacing w:before="0" w:beforeAutospacing="0" w:after="120" w:afterAutospacing="0"/>
      <w:ind w:firstLine="420" w:firstLineChars="100"/>
      <w:jc w:val="center"/>
      <w:textAlignment w:val="center"/>
    </w:pPr>
    <w:rPr>
      <w:rFonts w:ascii="Calibri" w:hAnsi="Calibri"/>
      <w:kern w:val="2"/>
      <w:sz w:val="21"/>
      <w:szCs w:val="18"/>
    </w:rPr>
  </w:style>
  <w:style w:type="paragraph" w:customStyle="1" w:styleId="25">
    <w:name w:val="报告书正文"/>
    <w:basedOn w:val="1"/>
    <w:qFormat/>
    <w:uiPriority w:val="0"/>
    <w:pPr>
      <w:spacing w:line="300" w:lineRule="auto"/>
      <w:ind w:firstLine="200" w:firstLineChars="200"/>
    </w:pPr>
    <w:rPr>
      <w:sz w:val="24"/>
      <w:szCs w:val="20"/>
    </w:rPr>
  </w:style>
  <w:style w:type="paragraph" w:customStyle="1" w:styleId="26">
    <w:name w:val="表字体"/>
    <w:basedOn w:val="1"/>
    <w:next w:val="1"/>
    <w:qFormat/>
    <w:uiPriority w:val="0"/>
    <w:pPr>
      <w:jc w:val="center"/>
    </w:pPr>
    <w:rPr>
      <w:rFonts w:ascii="Times New Roman" w:hAnsi="Times New Roman" w:eastAsia="宋体"/>
    </w:rPr>
  </w:style>
  <w:style w:type="paragraph" w:customStyle="1" w:styleId="27">
    <w:name w:val="ctrl+~  正文"/>
    <w:basedOn w:val="1"/>
    <w:qFormat/>
    <w:uiPriority w:val="0"/>
    <w:pPr>
      <w:spacing w:line="480" w:lineRule="exact"/>
      <w:ind w:firstLine="480" w:firstLineChars="200"/>
    </w:pPr>
    <w:rPr>
      <w:rFonts w:eastAsia="Times New Roman"/>
      <w:sz w:val="24"/>
      <w:szCs w:val="20"/>
    </w:rPr>
  </w:style>
  <w:style w:type="paragraph" w:customStyle="1" w:styleId="28">
    <w:name w:val=" Char Char Char Char Char Char Char Char Char Char"/>
    <w:basedOn w:val="1"/>
    <w:qFormat/>
    <w:uiPriority w:val="0"/>
    <w:pPr>
      <w:widowControl/>
      <w:spacing w:after="160" w:line="240" w:lineRule="exact"/>
      <w:jc w:val="left"/>
    </w:pPr>
    <w:rPr>
      <w:rFonts w:ascii="Verdana" w:hAnsi="Verdana"/>
      <w:kern w:val="0"/>
      <w:sz w:val="20"/>
      <w:szCs w:val="20"/>
      <w:lang w:eastAsia="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5.xml"/><Relationship Id="rId60" Type="http://schemas.openxmlformats.org/officeDocument/2006/relationships/fontTable" Target="fontTable.xml"/><Relationship Id="rId6" Type="http://schemas.openxmlformats.org/officeDocument/2006/relationships/footer" Target="footer4.xml"/><Relationship Id="rId59" Type="http://schemas.openxmlformats.org/officeDocument/2006/relationships/customXml" Target="../customXml/item1.xml"/><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footer" Target="footer3.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jpeg"/><Relationship Id="rId42" Type="http://schemas.openxmlformats.org/officeDocument/2006/relationships/image" Target="media/image34.jpe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footer" Target="footer2.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TotalTime>
  <ScaleCrop>false</ScaleCrop>
  <LinksUpToDate>false</LinksUpToDate>
  <CharactersWithSpaces>0</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2021-05-08T01:54:00Z</dcterms:created>
  <dc:creator>Dufour不是豆腐</dc:creator>
  <cp:lastModifiedBy>arker</cp:lastModifiedBy>
  <cp:lastPrinted>2021-07-19T00:19:00Z</cp:lastPrinted>
  <dcterms:modified xsi:type="dcterms:W3CDTF">2023-03-31T01:21:50Z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ICV">
    <vt:lpwstr>1B67D31CF0304E11AE36E3BCA4FB5437</vt:lpwstr>
  </property>
</Properties>
</file>