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Style w:val="11"/>
          <w:rFonts w:ascii="仿宋_GB2312" w:hAnsi="黑体" w:eastAsia="仿宋_GB2312" w:cs="Times New Roman"/>
          <w:smallCaps/>
          <w:sz w:val="32"/>
          <w:szCs w:val="32"/>
        </w:rPr>
      </w:pPr>
      <w:r>
        <w:rPr>
          <w:rStyle w:val="11"/>
          <w:rFonts w:hint="eastAsia" w:ascii="仿宋_GB2312" w:hAnsi="黑体" w:eastAsia="仿宋_GB2312" w:cs="仿宋_GB2312"/>
          <w:smallCaps/>
          <w:sz w:val="32"/>
          <w:szCs w:val="32"/>
        </w:rPr>
        <w:t>附件一</w:t>
      </w:r>
    </w:p>
    <w:p>
      <w:pPr>
        <w:spacing w:line="600" w:lineRule="exact"/>
        <w:ind w:firstLine="640" w:firstLineChars="200"/>
        <w:rPr>
          <w:rStyle w:val="11"/>
          <w:rFonts w:ascii="仿宋_GB2312" w:hAnsi="黑体" w:eastAsia="仿宋_GB2312" w:cs="Times New Roman"/>
          <w:smallCaps/>
          <w:sz w:val="32"/>
          <w:szCs w:val="32"/>
        </w:rPr>
      </w:pPr>
    </w:p>
    <w:p>
      <w:pPr>
        <w:spacing w:line="600" w:lineRule="exact"/>
        <w:ind w:firstLine="640"/>
        <w:jc w:val="center"/>
        <w:rPr>
          <w:rStyle w:val="11"/>
          <w:rFonts w:ascii="方正小标宋简体" w:hAnsi="宋体" w:eastAsia="方正小标宋简体" w:cs="Times New Roman"/>
          <w:sz w:val="44"/>
          <w:szCs w:val="44"/>
        </w:rPr>
      </w:pPr>
      <w:r>
        <w:rPr>
          <w:rStyle w:val="11"/>
          <w:rFonts w:hint="eastAsia" w:ascii="方正小标宋简体" w:hAnsi="宋体" w:eastAsia="方正小标宋简体" w:cs="方正小标宋简体"/>
          <w:sz w:val="44"/>
          <w:szCs w:val="44"/>
        </w:rPr>
        <w:t>湘阴县湘资砂石资源有限公司</w:t>
      </w:r>
    </w:p>
    <w:p>
      <w:pPr>
        <w:spacing w:line="600" w:lineRule="exact"/>
        <w:ind w:firstLine="640"/>
        <w:jc w:val="center"/>
        <w:rPr>
          <w:rStyle w:val="11"/>
          <w:rFonts w:ascii="方正小标宋简体" w:hAnsi="宋体" w:eastAsia="方正小标宋简体" w:cs="Times New Roman"/>
          <w:sz w:val="44"/>
          <w:szCs w:val="44"/>
        </w:rPr>
      </w:pPr>
      <w:r>
        <w:rPr>
          <w:rStyle w:val="11"/>
          <w:rFonts w:ascii="方正小标宋简体" w:hAnsi="宋体" w:eastAsia="方正小标宋简体" w:cs="方正小标宋简体"/>
          <w:sz w:val="44"/>
          <w:szCs w:val="44"/>
        </w:rPr>
        <w:t>2022</w:t>
      </w:r>
      <w:r>
        <w:rPr>
          <w:rStyle w:val="11"/>
          <w:rFonts w:hint="eastAsia" w:ascii="方正小标宋简体" w:hAnsi="宋体" w:eastAsia="方正小标宋简体" w:cs="方正小标宋简体"/>
          <w:sz w:val="44"/>
          <w:szCs w:val="44"/>
        </w:rPr>
        <w:t>年度河道砂石开采入围劳务作业</w:t>
      </w:r>
    </w:p>
    <w:p>
      <w:pPr>
        <w:spacing w:line="600" w:lineRule="exact"/>
        <w:ind w:firstLine="640"/>
        <w:jc w:val="center"/>
        <w:rPr>
          <w:rStyle w:val="11"/>
          <w:rFonts w:ascii="方正小标宋简体" w:hAnsi="宋体" w:eastAsia="方正小标宋简体" w:cs="Times New Roman"/>
          <w:sz w:val="44"/>
          <w:szCs w:val="44"/>
        </w:rPr>
      </w:pPr>
      <w:r>
        <w:rPr>
          <w:rStyle w:val="11"/>
          <w:rFonts w:hint="eastAsia" w:ascii="方正小标宋简体" w:hAnsi="宋体" w:eastAsia="方正小标宋简体" w:cs="方正小标宋简体"/>
          <w:sz w:val="44"/>
          <w:szCs w:val="44"/>
        </w:rPr>
        <w:t>工程船只公开选用方案</w:t>
      </w:r>
    </w:p>
    <w:p>
      <w:pPr>
        <w:spacing w:line="600" w:lineRule="exact"/>
        <w:ind w:firstLine="640" w:firstLineChars="200"/>
        <w:rPr>
          <w:rStyle w:val="11"/>
          <w:rFonts w:ascii="黑体" w:hAnsi="黑体" w:eastAsia="黑体" w:cs="Times New Roman"/>
          <w:smallCaps/>
          <w:sz w:val="32"/>
          <w:szCs w:val="32"/>
        </w:rPr>
      </w:pPr>
    </w:p>
    <w:p>
      <w:pPr>
        <w:spacing w:line="600" w:lineRule="exact"/>
        <w:ind w:firstLine="640" w:firstLineChars="200"/>
        <w:rPr>
          <w:rStyle w:val="11"/>
          <w:rFonts w:ascii="黑体" w:hAnsi="黑体" w:eastAsia="黑体" w:cs="Times New Roman"/>
          <w:smallCaps/>
          <w:sz w:val="32"/>
          <w:szCs w:val="32"/>
        </w:rPr>
      </w:pPr>
      <w:r>
        <w:rPr>
          <w:rStyle w:val="11"/>
          <w:rFonts w:hint="eastAsia" w:ascii="黑体" w:hAnsi="黑体" w:eastAsia="黑体" w:cs="黑体"/>
          <w:smallCaps/>
          <w:sz w:val="32"/>
          <w:szCs w:val="32"/>
        </w:rPr>
        <w:t>一、选用标准和数量</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1</w:t>
      </w:r>
      <w:r>
        <w:rPr>
          <w:rStyle w:val="11"/>
          <w:rFonts w:hint="eastAsia" w:ascii="仿宋_GB2312" w:hAnsi="仿宋" w:eastAsia="仿宋_GB2312" w:cs="仿宋_GB2312"/>
          <w:smallCaps/>
          <w:sz w:val="32"/>
          <w:szCs w:val="32"/>
        </w:rPr>
        <w:t>、鉴于湘阴采区现状，工程船只或工程船经营者必须熟悉采区水域且已办理工商许可、税务登记（以船舶所有权证书、工商营业执照、税务登记证为准）。</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2</w:t>
      </w:r>
      <w:r>
        <w:rPr>
          <w:rStyle w:val="11"/>
          <w:rFonts w:hint="eastAsia" w:ascii="仿宋_GB2312" w:hAnsi="仿宋" w:eastAsia="仿宋_GB2312" w:cs="仿宋_GB2312"/>
          <w:smallCaps/>
          <w:sz w:val="32"/>
          <w:szCs w:val="32"/>
        </w:rPr>
        <w:t>、工程船只类型：工程船须为采挖功率</w:t>
      </w:r>
      <w:r>
        <w:rPr>
          <w:rStyle w:val="11"/>
          <w:rFonts w:ascii="仿宋_GB2312" w:hAnsi="仿宋" w:eastAsia="仿宋_GB2312" w:cs="仿宋_GB2312"/>
          <w:smallCaps/>
          <w:sz w:val="32"/>
          <w:szCs w:val="32"/>
        </w:rPr>
        <w:t>2500KW-5000KW</w:t>
      </w:r>
      <w:r>
        <w:rPr>
          <w:rStyle w:val="11"/>
          <w:rFonts w:hint="eastAsia" w:ascii="仿宋_GB2312" w:hAnsi="仿宋" w:eastAsia="仿宋_GB2312" w:cs="仿宋_GB2312"/>
          <w:smallCaps/>
          <w:sz w:val="32"/>
          <w:szCs w:val="32"/>
        </w:rPr>
        <w:t>、具备砂卵石分离功能、有双筛双洗装置的</w:t>
      </w:r>
      <w:r>
        <w:rPr>
          <w:rStyle w:val="9"/>
          <w:rFonts w:hint="eastAsia" w:ascii="仿宋_GB2312" w:hAnsi="仿宋" w:eastAsia="仿宋_GB2312" w:cs="仿宋_GB2312"/>
          <w:smallCaps/>
          <w:sz w:val="32"/>
          <w:szCs w:val="32"/>
        </w:rPr>
        <w:t>吸砂式挖砂船</w:t>
      </w:r>
      <w:r>
        <w:rPr>
          <w:rStyle w:val="9"/>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日产能（</w:t>
      </w:r>
      <w:r>
        <w:rPr>
          <w:rStyle w:val="11"/>
          <w:rFonts w:ascii="仿宋_GB2312" w:hAnsi="仿宋" w:eastAsia="仿宋_GB2312" w:cs="仿宋_GB2312"/>
          <w:smallCaps/>
          <w:sz w:val="32"/>
          <w:szCs w:val="32"/>
        </w:rPr>
        <w:t>12</w:t>
      </w:r>
      <w:r>
        <w:rPr>
          <w:rStyle w:val="11"/>
          <w:rFonts w:hint="eastAsia" w:ascii="仿宋_GB2312" w:hAnsi="仿宋" w:eastAsia="仿宋_GB2312" w:cs="仿宋_GB2312"/>
          <w:smallCaps/>
          <w:sz w:val="32"/>
          <w:szCs w:val="32"/>
        </w:rPr>
        <w:t>小时）在</w:t>
      </w:r>
      <w:r>
        <w:rPr>
          <w:rStyle w:val="11"/>
          <w:rFonts w:ascii="仿宋_GB2312" w:hAnsi="仿宋" w:eastAsia="仿宋_GB2312" w:cs="仿宋_GB2312"/>
          <w:smallCaps/>
          <w:sz w:val="32"/>
          <w:szCs w:val="32"/>
        </w:rPr>
        <w:t>15000</w:t>
      </w:r>
      <w:r>
        <w:rPr>
          <w:rStyle w:val="11"/>
          <w:rFonts w:hint="eastAsia" w:ascii="仿宋_GB2312" w:hAnsi="仿宋" w:eastAsia="仿宋_GB2312" w:cs="仿宋_GB2312"/>
          <w:smallCaps/>
          <w:sz w:val="32"/>
          <w:szCs w:val="32"/>
        </w:rPr>
        <w:t>吨以上；采挖所产生的砂含泥量不得高于</w:t>
      </w:r>
      <w:r>
        <w:rPr>
          <w:rStyle w:val="11"/>
          <w:rFonts w:ascii="仿宋_GB2312" w:hAnsi="仿宋" w:eastAsia="仿宋_GB2312" w:cs="仿宋_GB2312"/>
          <w:smallCaps/>
          <w:sz w:val="32"/>
          <w:szCs w:val="32"/>
        </w:rPr>
        <w:t>2.0%</w:t>
      </w:r>
      <w:r>
        <w:rPr>
          <w:rStyle w:val="11"/>
          <w:rFonts w:hint="eastAsia" w:ascii="仿宋_GB2312" w:hAnsi="仿宋" w:eastAsia="仿宋_GB2312" w:cs="仿宋_GB2312"/>
          <w:smallCaps/>
          <w:sz w:val="32"/>
          <w:szCs w:val="32"/>
        </w:rPr>
        <w:t>、砂头子不高于</w:t>
      </w:r>
      <w:r>
        <w:rPr>
          <w:rStyle w:val="11"/>
          <w:rFonts w:ascii="仿宋_GB2312" w:hAnsi="仿宋" w:eastAsia="仿宋_GB2312" w:cs="仿宋_GB2312"/>
          <w:smallCaps/>
          <w:sz w:val="32"/>
          <w:szCs w:val="32"/>
        </w:rPr>
        <w:t>3%</w:t>
      </w:r>
      <w:r>
        <w:rPr>
          <w:rStyle w:val="11"/>
          <w:rFonts w:hint="eastAsia" w:ascii="仿宋_GB2312" w:hAnsi="仿宋" w:eastAsia="仿宋_GB2312" w:cs="仿宋_GB2312"/>
          <w:smallCaps/>
          <w:sz w:val="32"/>
          <w:szCs w:val="32"/>
        </w:rPr>
        <w:t>，卵石含泥量不得高于</w:t>
      </w:r>
      <w:r>
        <w:rPr>
          <w:rStyle w:val="11"/>
          <w:rFonts w:ascii="仿宋_GB2312" w:hAnsi="仿宋" w:eastAsia="仿宋_GB2312" w:cs="仿宋_GB2312"/>
          <w:smallCaps/>
          <w:sz w:val="32"/>
          <w:szCs w:val="32"/>
        </w:rPr>
        <w:t>8%</w:t>
      </w:r>
      <w:r>
        <w:rPr>
          <w:rStyle w:val="11"/>
          <w:rFonts w:hint="eastAsia" w:ascii="仿宋_GB2312" w:hAnsi="仿宋" w:eastAsia="仿宋_GB2312" w:cs="仿宋_GB2312"/>
          <w:smallCaps/>
          <w:sz w:val="32"/>
          <w:szCs w:val="32"/>
        </w:rPr>
        <w:t>；具备独立法人资格。</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4</w:t>
      </w:r>
      <w:r>
        <w:rPr>
          <w:rStyle w:val="11"/>
          <w:rFonts w:hint="eastAsia" w:ascii="仿宋_GB2312" w:hAnsi="仿宋" w:eastAsia="仿宋_GB2312" w:cs="仿宋_GB2312"/>
          <w:smallCaps/>
          <w:sz w:val="32"/>
          <w:szCs w:val="32"/>
        </w:rPr>
        <w:t>、选用入围后</w:t>
      </w:r>
      <w:r>
        <w:rPr>
          <w:rStyle w:val="11"/>
          <w:rFonts w:ascii="仿宋_GB2312" w:hAnsi="仿宋" w:eastAsia="仿宋_GB2312" w:cs="仿宋_GB2312"/>
          <w:smallCaps/>
          <w:sz w:val="32"/>
          <w:szCs w:val="32"/>
        </w:rPr>
        <w:t>15</w:t>
      </w:r>
      <w:r>
        <w:rPr>
          <w:rStyle w:val="11"/>
          <w:rFonts w:hint="eastAsia" w:ascii="仿宋_GB2312" w:hAnsi="仿宋" w:eastAsia="仿宋_GB2312" w:cs="仿宋_GB2312"/>
          <w:smallCaps/>
          <w:sz w:val="32"/>
          <w:szCs w:val="32"/>
        </w:rPr>
        <w:t>个工作日内在湘阴县完成工商、税务登记后方可签订合同。</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5</w:t>
      </w:r>
      <w:r>
        <w:rPr>
          <w:rStyle w:val="11"/>
          <w:rFonts w:hint="eastAsia" w:ascii="仿宋_GB2312" w:hAnsi="仿宋" w:eastAsia="仿宋_GB2312" w:cs="仿宋_GB2312"/>
          <w:smallCaps/>
          <w:sz w:val="32"/>
          <w:szCs w:val="32"/>
        </w:rPr>
        <w:t>、在签订入围劳务合同后，能按照湘阴县湘资砂石资源有限公司指定时间进入采区正常开采或疏浚。</w:t>
      </w:r>
    </w:p>
    <w:p>
      <w:pPr>
        <w:spacing w:line="600" w:lineRule="exact"/>
        <w:ind w:firstLine="640" w:firstLineChars="200"/>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6</w:t>
      </w:r>
      <w:r>
        <w:rPr>
          <w:rStyle w:val="11"/>
          <w:rFonts w:hint="eastAsia" w:ascii="仿宋_GB2312" w:hAnsi="仿宋" w:eastAsia="仿宋_GB2312" w:cs="仿宋_GB2312"/>
          <w:smallCaps/>
          <w:sz w:val="32"/>
          <w:szCs w:val="32"/>
        </w:rPr>
        <w:t>、船舶安全和环保相关要求：</w:t>
      </w:r>
    </w:p>
    <w:p>
      <w:pPr>
        <w:widowControl w:val="0"/>
        <w:spacing w:line="600" w:lineRule="exact"/>
        <w:ind w:firstLine="640" w:firstLineChars="200"/>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①具备有效的“船舶检验证书”“船舶所有权证书”“船舶国籍证书”；</w:t>
      </w:r>
    </w:p>
    <w:p>
      <w:pPr>
        <w:spacing w:line="600" w:lineRule="exact"/>
        <w:ind w:firstLine="640" w:firstLineChars="200"/>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②航行状态时必须按内河船舶安全配员证书配备合格的持证船员，作业状态时配备人员必须相对固定且持有相关的资质认定证书；</w:t>
      </w:r>
    </w:p>
    <w:p>
      <w:pPr>
        <w:spacing w:line="600" w:lineRule="exact"/>
        <w:ind w:firstLine="640" w:firstLineChars="200"/>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③在醒目位置标明船名、船籍港；</w:t>
      </w:r>
    </w:p>
    <w:p>
      <w:pPr>
        <w:spacing w:line="600" w:lineRule="exact"/>
        <w:ind w:firstLine="640" w:firstLineChars="200"/>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④安装</w:t>
      </w:r>
      <w:r>
        <w:rPr>
          <w:rStyle w:val="11"/>
          <w:rFonts w:ascii="仿宋_GB2312" w:hAnsi="仿宋" w:eastAsia="仿宋_GB2312" w:cs="仿宋_GB2312"/>
          <w:smallCaps/>
          <w:sz w:val="32"/>
          <w:szCs w:val="32"/>
        </w:rPr>
        <w:t>AIS</w:t>
      </w:r>
      <w:r>
        <w:rPr>
          <w:rStyle w:val="11"/>
          <w:rFonts w:hint="eastAsia" w:ascii="仿宋_GB2312" w:hAnsi="仿宋" w:eastAsia="仿宋_GB2312" w:cs="仿宋_GB2312"/>
          <w:smallCaps/>
          <w:sz w:val="32"/>
          <w:szCs w:val="32"/>
        </w:rPr>
        <w:t>设备，并有效登记和显示；</w:t>
      </w:r>
    </w:p>
    <w:p>
      <w:pPr>
        <w:spacing w:line="600" w:lineRule="exact"/>
        <w:ind w:firstLine="640" w:firstLineChars="200"/>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⑤船舶消防与救生设施按《船舶检验证书簿》要求配备齐全并能有效使用；</w:t>
      </w:r>
    </w:p>
    <w:p>
      <w:pPr>
        <w:spacing w:line="600" w:lineRule="exact"/>
        <w:ind w:firstLine="640" w:firstLineChars="200"/>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⑥配备“油水分离器”与“生活污水处理器”并能安全有效使用；</w:t>
      </w:r>
    </w:p>
    <w:p>
      <w:pPr>
        <w:spacing w:line="600" w:lineRule="exact"/>
        <w:ind w:firstLine="640" w:firstLineChars="200"/>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⑦船舶防污制度机制健全，必备资料记录完整，生活垃圾、污水、废油等船舶污染物必须统一回收，上岸处置，不能直排；</w:t>
      </w:r>
    </w:p>
    <w:p>
      <w:pPr>
        <w:spacing w:line="600" w:lineRule="exact"/>
        <w:ind w:firstLine="640" w:firstLineChars="200"/>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⑧必须购买了作业人员意外险</w:t>
      </w:r>
      <w:r>
        <w:rPr>
          <w:rStyle w:val="11"/>
          <w:rFonts w:ascii="仿宋_GB2312" w:hAnsi="仿宋" w:eastAsia="仿宋_GB2312" w:cs="仿宋_GB2312"/>
          <w:smallCaps/>
          <w:sz w:val="32"/>
          <w:szCs w:val="32"/>
        </w:rPr>
        <w:t>;</w:t>
      </w:r>
    </w:p>
    <w:p>
      <w:pPr>
        <w:numPr>
          <w:ilvl w:val="0"/>
          <w:numId w:val="1"/>
        </w:numPr>
        <w:spacing w:line="600" w:lineRule="exact"/>
        <w:jc w:val="left"/>
        <w:rPr>
          <w:rStyle w:val="11"/>
          <w:rFonts w:ascii="仿宋_GB2312" w:hAnsi="仿宋" w:eastAsia="仿宋_GB2312" w:cs="仿宋_GB2312"/>
          <w:smallCaps/>
          <w:sz w:val="32"/>
          <w:szCs w:val="32"/>
        </w:rPr>
      </w:pPr>
      <w:r>
        <w:rPr>
          <w:rStyle w:val="11"/>
          <w:rFonts w:hint="eastAsia" w:ascii="仿宋_GB2312" w:hAnsi="仿宋" w:eastAsia="仿宋_GB2312" w:cs="仿宋_GB2312"/>
          <w:smallCaps/>
          <w:sz w:val="32"/>
          <w:szCs w:val="32"/>
        </w:rPr>
        <w:t>自</w:t>
      </w:r>
      <w:r>
        <w:rPr>
          <w:rStyle w:val="11"/>
          <w:rFonts w:ascii="仿宋_GB2312" w:hAnsi="仿宋" w:eastAsia="仿宋_GB2312" w:cs="仿宋_GB2312"/>
          <w:smallCaps/>
          <w:sz w:val="32"/>
          <w:szCs w:val="32"/>
        </w:rPr>
        <w:t>2018</w:t>
      </w:r>
      <w:r>
        <w:rPr>
          <w:rStyle w:val="11"/>
          <w:rFonts w:hint="eastAsia" w:ascii="仿宋_GB2312" w:hAnsi="仿宋" w:eastAsia="仿宋_GB2312" w:cs="仿宋_GB2312"/>
          <w:smallCaps/>
          <w:sz w:val="32"/>
          <w:szCs w:val="32"/>
        </w:rPr>
        <w:t>年</w:t>
      </w:r>
      <w:r>
        <w:rPr>
          <w:rStyle w:val="11"/>
          <w:rFonts w:ascii="仿宋_GB2312" w:hAnsi="仿宋" w:eastAsia="仿宋_GB2312" w:cs="仿宋_GB2312"/>
          <w:smallCaps/>
          <w:sz w:val="32"/>
          <w:szCs w:val="32"/>
        </w:rPr>
        <w:t>1</w:t>
      </w:r>
      <w:r>
        <w:rPr>
          <w:rStyle w:val="11"/>
          <w:rFonts w:hint="eastAsia" w:ascii="仿宋_GB2312" w:hAnsi="仿宋" w:eastAsia="仿宋_GB2312" w:cs="仿宋_GB2312"/>
          <w:smallCaps/>
          <w:sz w:val="32"/>
          <w:szCs w:val="32"/>
        </w:rPr>
        <w:t>月</w:t>
      </w:r>
      <w:r>
        <w:rPr>
          <w:rStyle w:val="11"/>
          <w:rFonts w:ascii="仿宋_GB2312" w:hAnsi="仿宋" w:eastAsia="仿宋_GB2312" w:cs="仿宋_GB2312"/>
          <w:smallCaps/>
          <w:sz w:val="32"/>
          <w:szCs w:val="32"/>
        </w:rPr>
        <w:t>1</w:t>
      </w:r>
      <w:r>
        <w:rPr>
          <w:rStyle w:val="11"/>
          <w:rFonts w:hint="eastAsia" w:ascii="仿宋_GB2312" w:hAnsi="仿宋" w:eastAsia="仿宋_GB2312" w:cs="仿宋_GB2312"/>
          <w:smallCaps/>
          <w:sz w:val="32"/>
          <w:szCs w:val="32"/>
        </w:rPr>
        <w:t>日起至今无盗采记录</w:t>
      </w:r>
      <w:r>
        <w:rPr>
          <w:rStyle w:val="11"/>
          <w:rFonts w:ascii="仿宋_GB2312" w:hAnsi="仿宋" w:eastAsia="仿宋_GB2312" w:cs="仿宋_GB2312"/>
          <w:smallCaps/>
          <w:sz w:val="32"/>
          <w:szCs w:val="32"/>
        </w:rPr>
        <w:t>;</w:t>
      </w:r>
    </w:p>
    <w:p>
      <w:pPr>
        <w:numPr>
          <w:ilvl w:val="0"/>
          <w:numId w:val="1"/>
        </w:numPr>
        <w:spacing w:line="600" w:lineRule="exact"/>
        <w:jc w:val="left"/>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无安全责任事故、</w:t>
      </w:r>
      <w:r>
        <w:rPr>
          <w:rStyle w:val="9"/>
          <w:rFonts w:hint="eastAsia" w:ascii="仿宋_GB2312" w:hAnsi="仿宋" w:eastAsia="仿宋_GB2312" w:cs="仿宋_GB2312"/>
          <w:smallCaps/>
          <w:sz w:val="32"/>
          <w:szCs w:val="32"/>
        </w:rPr>
        <w:t>无债务和诉讼纠纷</w:t>
      </w:r>
      <w:r>
        <w:rPr>
          <w:rStyle w:val="11"/>
          <w:rFonts w:hint="eastAsia" w:ascii="仿宋_GB2312" w:hAnsi="仿宋" w:eastAsia="仿宋_GB2312" w:cs="仿宋_GB2312"/>
          <w:smallCaps/>
          <w:sz w:val="32"/>
          <w:szCs w:val="32"/>
        </w:rPr>
        <w:t>及其他不良记录</w:t>
      </w:r>
      <w:r>
        <w:rPr>
          <w:rStyle w:val="11"/>
          <w:rFonts w:ascii="仿宋_GB2312" w:hAnsi="仿宋" w:eastAsia="仿宋_GB2312" w:cs="仿宋_GB2312"/>
          <w:smallCaps/>
          <w:sz w:val="32"/>
          <w:szCs w:val="32"/>
        </w:rPr>
        <w:t>;</w:t>
      </w:r>
    </w:p>
    <w:p>
      <w:pPr>
        <w:spacing w:line="600" w:lineRule="exact"/>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 xml:space="preserve">    9</w:t>
      </w:r>
      <w:r>
        <w:rPr>
          <w:rStyle w:val="11"/>
          <w:rFonts w:hint="eastAsia" w:ascii="仿宋_GB2312" w:hAnsi="仿宋" w:eastAsia="仿宋_GB2312" w:cs="仿宋_GB2312"/>
          <w:smallCaps/>
          <w:sz w:val="32"/>
          <w:szCs w:val="32"/>
        </w:rPr>
        <w:t>、选用入围作业工程船数量：根据公司年度生产计划，选用入围采挖作业工程船只（含备用）</w:t>
      </w:r>
      <w:r>
        <w:rPr>
          <w:rStyle w:val="11"/>
          <w:rFonts w:ascii="仿宋_GB2312" w:hAnsi="仿宋" w:eastAsia="仿宋_GB2312" w:cs="仿宋_GB2312"/>
          <w:smallCaps/>
          <w:sz w:val="32"/>
          <w:szCs w:val="32"/>
        </w:rPr>
        <w:t>22</w:t>
      </w:r>
      <w:r>
        <w:rPr>
          <w:rStyle w:val="11"/>
          <w:rFonts w:hint="eastAsia" w:ascii="仿宋_GB2312" w:hAnsi="仿宋" w:eastAsia="仿宋_GB2312" w:cs="仿宋_GB2312"/>
          <w:smallCaps/>
          <w:sz w:val="32"/>
          <w:szCs w:val="32"/>
        </w:rPr>
        <w:t>条。</w:t>
      </w:r>
    </w:p>
    <w:p>
      <w:pPr>
        <w:spacing w:line="600" w:lineRule="exact"/>
        <w:jc w:val="left"/>
        <w:rPr>
          <w:rStyle w:val="11"/>
          <w:rFonts w:ascii="黑体" w:hAnsi="黑体" w:eastAsia="黑体" w:cs="Times New Roman"/>
          <w:smallCaps/>
          <w:sz w:val="32"/>
          <w:szCs w:val="32"/>
        </w:rPr>
      </w:pPr>
      <w:r>
        <w:rPr>
          <w:rStyle w:val="11"/>
          <w:rFonts w:ascii="黑体" w:hAnsi="黑体" w:eastAsia="黑体" w:cs="黑体"/>
          <w:smallCaps/>
          <w:sz w:val="32"/>
          <w:szCs w:val="32"/>
        </w:rPr>
        <w:t xml:space="preserve">     </w:t>
      </w:r>
      <w:r>
        <w:rPr>
          <w:rStyle w:val="11"/>
          <w:rFonts w:hint="eastAsia" w:ascii="黑体" w:hAnsi="黑体" w:eastAsia="黑体" w:cs="黑体"/>
          <w:smallCaps/>
          <w:sz w:val="32"/>
          <w:szCs w:val="32"/>
        </w:rPr>
        <w:t>二、优先选用条件</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近五年内在湘阴有河道砂石开采或疏浚作业经验的优先、岳阳港籍优先、采砂船主机功率大的优先（</w:t>
      </w:r>
      <w:r>
        <w:rPr>
          <w:rStyle w:val="11"/>
          <w:rFonts w:ascii="仿宋_GB2312" w:hAnsi="仿宋" w:eastAsia="仿宋_GB2312" w:cs="仿宋_GB2312"/>
          <w:smallCaps/>
          <w:sz w:val="32"/>
          <w:szCs w:val="32"/>
        </w:rPr>
        <w:t>5000KW</w:t>
      </w:r>
      <w:r>
        <w:rPr>
          <w:rStyle w:val="11"/>
          <w:rFonts w:hint="eastAsia" w:ascii="仿宋_GB2312" w:hAnsi="仿宋" w:eastAsia="仿宋_GB2312" w:cs="仿宋_GB2312"/>
          <w:smallCaps/>
          <w:sz w:val="32"/>
          <w:szCs w:val="32"/>
        </w:rPr>
        <w:t>内）。</w:t>
      </w:r>
    </w:p>
    <w:p>
      <w:pPr>
        <w:numPr>
          <w:ilvl w:val="0"/>
          <w:numId w:val="2"/>
        </w:numPr>
        <w:spacing w:line="600" w:lineRule="exact"/>
        <w:ind w:firstLine="640" w:firstLineChars="200"/>
        <w:jc w:val="left"/>
        <w:rPr>
          <w:rStyle w:val="11"/>
          <w:rFonts w:ascii="黑体" w:hAnsi="黑体" w:eastAsia="黑体" w:cs="Times New Roman"/>
          <w:smallCaps/>
          <w:sz w:val="32"/>
          <w:szCs w:val="32"/>
        </w:rPr>
      </w:pPr>
      <w:r>
        <w:rPr>
          <w:rStyle w:val="11"/>
          <w:rFonts w:hint="eastAsia" w:ascii="黑体" w:hAnsi="黑体" w:eastAsia="黑体" w:cs="黑体"/>
          <w:smallCaps/>
          <w:sz w:val="32"/>
          <w:szCs w:val="32"/>
        </w:rPr>
        <w:t>规范供油渠道</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为贯彻落实湘阴县人民政府《关于规范水上加油秩序实施方案》的文件要求，配合相关职能部门加强水上加油的监督管理，遏制水上加油隐匿销售收入、虚开发票牟利等违法行为，营造良好的水上加油环境，助推湘阴县成品油行业税收征管工作良性发展，入围工程船签约后需严格按照实施方案的要求规范定点水上加油并取得合法票据。</w:t>
      </w:r>
    </w:p>
    <w:p>
      <w:pPr>
        <w:spacing w:line="600" w:lineRule="exact"/>
        <w:rPr>
          <w:rStyle w:val="11"/>
          <w:rFonts w:ascii="黑体" w:hAnsi="黑体" w:eastAsia="黑体" w:cs="Times New Roman"/>
          <w:smallCaps/>
          <w:sz w:val="32"/>
          <w:szCs w:val="32"/>
        </w:rPr>
      </w:pPr>
      <w:r>
        <w:rPr>
          <w:rStyle w:val="11"/>
          <w:rFonts w:ascii="黑体" w:hAnsi="黑体" w:eastAsia="黑体" w:cs="黑体"/>
          <w:smallCaps/>
          <w:sz w:val="32"/>
          <w:szCs w:val="32"/>
        </w:rPr>
        <w:t xml:space="preserve">     </w:t>
      </w:r>
      <w:r>
        <w:rPr>
          <w:rStyle w:val="11"/>
          <w:rFonts w:hint="eastAsia" w:ascii="黑体" w:hAnsi="黑体" w:eastAsia="黑体" w:cs="黑体"/>
          <w:smallCaps/>
          <w:sz w:val="32"/>
          <w:szCs w:val="32"/>
        </w:rPr>
        <w:t>四、定船流程及合同签订</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1</w:t>
      </w:r>
      <w:r>
        <w:rPr>
          <w:rStyle w:val="11"/>
          <w:rFonts w:hint="eastAsia" w:ascii="仿宋_GB2312" w:hAnsi="仿宋" w:eastAsia="仿宋_GB2312" w:cs="仿宋_GB2312"/>
          <w:smallCaps/>
          <w:sz w:val="32"/>
          <w:szCs w:val="32"/>
        </w:rPr>
        <w:t>、编制资格审查清单。资格审查清单由湘阴县湘资砂石资源有限公司负责制定，报相关主管部门审定备案。</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2</w:t>
      </w:r>
      <w:r>
        <w:rPr>
          <w:rStyle w:val="11"/>
          <w:rFonts w:hint="eastAsia" w:ascii="仿宋_GB2312" w:hAnsi="仿宋" w:eastAsia="仿宋_GB2312" w:cs="仿宋_GB2312"/>
          <w:smallCaps/>
          <w:sz w:val="32"/>
          <w:szCs w:val="32"/>
        </w:rPr>
        <w:t>、报名资格联合审查。由湘阴县湘资砂石资源有限公司在湘阴政府网和洞庭控股微信公众号上公布资格审查条件和报名须知，凡符合报名条件的采砂工程船只，由湘阴县湘资砂石资源有限公司联合相关主管部门审查确定入围工程船只。</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3</w:t>
      </w:r>
      <w:r>
        <w:rPr>
          <w:rStyle w:val="11"/>
          <w:rFonts w:hint="eastAsia" w:ascii="仿宋_GB2312" w:hAnsi="仿宋" w:eastAsia="仿宋_GB2312" w:cs="仿宋_GB2312"/>
          <w:smallCaps/>
          <w:sz w:val="32"/>
          <w:szCs w:val="32"/>
        </w:rPr>
        <w:t>、入围工程船只选定。符合条件的工程船多于拟选用船数时，根据选用标准择优选定；符合条件的工程船排序末位者出现多艘条件完全相同的时，以吹球方式确定；符合条件的工程船少于拟选用船数时，对符合条件的船只直接选定，缺额船只由湘阴县湘资砂石资源有限公司参照本方案另行直接选定。</w:t>
      </w:r>
    </w:p>
    <w:p>
      <w:pPr>
        <w:widowControl w:val="0"/>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4</w:t>
      </w:r>
      <w:r>
        <w:rPr>
          <w:rStyle w:val="11"/>
          <w:rFonts w:hint="eastAsia" w:ascii="仿宋_GB2312" w:hAnsi="仿宋" w:eastAsia="仿宋_GB2312" w:cs="仿宋_GB2312"/>
          <w:smallCaps/>
          <w:sz w:val="32"/>
          <w:szCs w:val="32"/>
        </w:rPr>
        <w:t>、入围选用结果公示。工程船入围名单确定后在湘阴政府网和洞庭控股微信公众号公开公示，公示期为</w:t>
      </w:r>
      <w:r>
        <w:rPr>
          <w:rStyle w:val="11"/>
          <w:rFonts w:ascii="仿宋_GB2312" w:hAnsi="仿宋" w:eastAsia="仿宋_GB2312" w:cs="仿宋_GB2312"/>
          <w:smallCaps/>
          <w:sz w:val="32"/>
          <w:szCs w:val="32"/>
        </w:rPr>
        <w:t>3</w:t>
      </w:r>
      <w:r>
        <w:rPr>
          <w:rStyle w:val="11"/>
          <w:rFonts w:hint="eastAsia" w:ascii="仿宋_GB2312" w:hAnsi="仿宋" w:eastAsia="仿宋_GB2312" w:cs="仿宋_GB2312"/>
          <w:smallCaps/>
          <w:sz w:val="32"/>
          <w:szCs w:val="32"/>
        </w:rPr>
        <w:t>个自然日，公示期满后无异议的进入合同谈判程序。</w:t>
      </w:r>
    </w:p>
    <w:p>
      <w:pPr>
        <w:spacing w:line="600" w:lineRule="exact"/>
        <w:ind w:firstLine="640" w:firstLineChars="200"/>
        <w:jc w:val="left"/>
        <w:rPr>
          <w:rStyle w:val="11"/>
          <w:rFonts w:ascii="仿宋_GB2312" w:hAnsi="仿宋" w:eastAsia="仿宋_GB2312" w:cs="Times New Roman"/>
          <w:b/>
          <w:bCs/>
          <w:smallCaps/>
          <w:sz w:val="32"/>
          <w:szCs w:val="32"/>
        </w:rPr>
      </w:pPr>
      <w:r>
        <w:rPr>
          <w:rStyle w:val="11"/>
          <w:rFonts w:ascii="仿宋_GB2312" w:hAnsi="仿宋" w:eastAsia="仿宋_GB2312" w:cs="仿宋_GB2312"/>
          <w:smallCaps/>
          <w:sz w:val="32"/>
          <w:szCs w:val="32"/>
        </w:rPr>
        <w:t>5</w:t>
      </w:r>
      <w:r>
        <w:rPr>
          <w:rStyle w:val="11"/>
          <w:rFonts w:hint="eastAsia" w:ascii="仿宋_GB2312" w:hAnsi="仿宋" w:eastAsia="仿宋_GB2312" w:cs="仿宋_GB2312"/>
          <w:smallCaps/>
          <w:sz w:val="32"/>
          <w:szCs w:val="32"/>
        </w:rPr>
        <w:t>、签订入围劳务合同。每艘入围工程船须缴纳履约保证金</w:t>
      </w:r>
      <w:r>
        <w:rPr>
          <w:rStyle w:val="11"/>
          <w:rFonts w:ascii="仿宋_GB2312" w:hAnsi="仿宋" w:eastAsia="仿宋_GB2312" w:cs="仿宋_GB2312"/>
          <w:smallCaps/>
          <w:sz w:val="32"/>
          <w:szCs w:val="32"/>
        </w:rPr>
        <w:t>100</w:t>
      </w:r>
      <w:r>
        <w:rPr>
          <w:rStyle w:val="11"/>
          <w:rFonts w:hint="eastAsia" w:ascii="仿宋_GB2312" w:hAnsi="仿宋" w:eastAsia="仿宋_GB2312" w:cs="仿宋_GB2312"/>
          <w:smallCaps/>
          <w:sz w:val="32"/>
          <w:szCs w:val="32"/>
        </w:rPr>
        <w:t>万元，同意接受监控，自费安装智能监控设施并接入湘阴县砂管局和湘阴县湘资砂石资源有限公司监控平台后，签订入围劳务合同，合同周期为自签订合同之日起至</w:t>
      </w:r>
      <w:r>
        <w:rPr>
          <w:rStyle w:val="11"/>
          <w:rFonts w:ascii="仿宋_GB2312" w:hAnsi="仿宋" w:eastAsia="仿宋_GB2312" w:cs="仿宋_GB2312"/>
          <w:smallCaps/>
          <w:sz w:val="32"/>
          <w:szCs w:val="32"/>
        </w:rPr>
        <w:t>2022</w:t>
      </w:r>
      <w:r>
        <w:rPr>
          <w:rStyle w:val="11"/>
          <w:rFonts w:hint="eastAsia" w:ascii="仿宋_GB2312" w:hAnsi="仿宋" w:eastAsia="仿宋_GB2312" w:cs="仿宋_GB2312"/>
          <w:smallCaps/>
          <w:sz w:val="32"/>
          <w:szCs w:val="32"/>
        </w:rPr>
        <w:t>年</w:t>
      </w:r>
      <w:r>
        <w:rPr>
          <w:rStyle w:val="11"/>
          <w:rFonts w:ascii="仿宋_GB2312" w:hAnsi="仿宋" w:eastAsia="仿宋_GB2312" w:cs="仿宋_GB2312"/>
          <w:smallCaps/>
          <w:sz w:val="32"/>
          <w:szCs w:val="32"/>
        </w:rPr>
        <w:t>12</w:t>
      </w:r>
      <w:r>
        <w:rPr>
          <w:rStyle w:val="11"/>
          <w:rFonts w:hint="eastAsia" w:ascii="仿宋_GB2312" w:hAnsi="仿宋" w:eastAsia="仿宋_GB2312" w:cs="仿宋_GB2312"/>
          <w:smallCaps/>
          <w:sz w:val="32"/>
          <w:szCs w:val="32"/>
        </w:rPr>
        <w:t>月</w:t>
      </w:r>
      <w:r>
        <w:rPr>
          <w:rStyle w:val="11"/>
          <w:rFonts w:ascii="仿宋_GB2312" w:hAnsi="仿宋" w:eastAsia="仿宋_GB2312" w:cs="仿宋_GB2312"/>
          <w:smallCaps/>
          <w:sz w:val="32"/>
          <w:szCs w:val="32"/>
        </w:rPr>
        <w:t>31</w:t>
      </w:r>
      <w:r>
        <w:rPr>
          <w:rStyle w:val="11"/>
          <w:rFonts w:hint="eastAsia" w:ascii="仿宋_GB2312" w:hAnsi="仿宋" w:eastAsia="仿宋_GB2312" w:cs="仿宋_GB2312"/>
          <w:smallCaps/>
          <w:sz w:val="32"/>
          <w:szCs w:val="32"/>
        </w:rPr>
        <w:t>日</w:t>
      </w:r>
      <w:r>
        <w:rPr>
          <w:rStyle w:val="11"/>
          <w:rFonts w:hint="eastAsia" w:ascii="仿宋_GB2312" w:hAnsi="仿宋" w:eastAsia="仿宋_GB2312" w:cs="仿宋_GB2312"/>
          <w:b/>
          <w:bCs/>
          <w:smallCaps/>
          <w:sz w:val="32"/>
          <w:szCs w:val="32"/>
        </w:rPr>
        <w:t>。</w:t>
      </w:r>
    </w:p>
    <w:p>
      <w:pPr>
        <w:spacing w:line="600" w:lineRule="exact"/>
        <w:ind w:firstLine="640" w:firstLineChars="200"/>
        <w:jc w:val="left"/>
        <w:rPr>
          <w:rStyle w:val="11"/>
          <w:rFonts w:ascii="黑体" w:hAnsi="黑体" w:eastAsia="黑体" w:cs="Times New Roman"/>
          <w:smallCaps/>
          <w:sz w:val="32"/>
          <w:szCs w:val="32"/>
        </w:rPr>
      </w:pPr>
      <w:r>
        <w:rPr>
          <w:rStyle w:val="11"/>
          <w:rFonts w:hint="eastAsia" w:ascii="黑体" w:hAnsi="黑体" w:eastAsia="黑体" w:cs="黑体"/>
          <w:smallCaps/>
          <w:sz w:val="32"/>
          <w:szCs w:val="32"/>
        </w:rPr>
        <w:t>五、退出机制</w:t>
      </w:r>
    </w:p>
    <w:p>
      <w:pPr>
        <w:spacing w:line="600" w:lineRule="exact"/>
        <w:ind w:firstLine="640" w:firstLineChars="200"/>
        <w:jc w:val="left"/>
        <w:rPr>
          <w:rStyle w:val="11"/>
          <w:rFonts w:ascii="黑体" w:hAnsi="黑体" w:eastAsia="黑体" w:cs="Times New Roman"/>
          <w:smallCaps/>
          <w:sz w:val="32"/>
          <w:szCs w:val="32"/>
        </w:rPr>
      </w:pPr>
      <w:r>
        <w:rPr>
          <w:rStyle w:val="11"/>
          <w:rFonts w:hint="eastAsia" w:ascii="仿宋_GB2312" w:hAnsi="仿宋" w:eastAsia="仿宋_GB2312" w:cs="仿宋_GB2312"/>
          <w:smallCaps/>
          <w:sz w:val="32"/>
          <w:szCs w:val="32"/>
        </w:rPr>
        <w:t>作业工程船如违反下列任一条款规定，湘阴县湘资砂石资源有限公司可以取消其劳务作业资格，终止劳务合同；情节严重、造成重大影响的，报请湘阴县砂石管理执法大队纳入我县采砂船舶管理黑名单，并追究其相应的经济责任和法律责任。</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1</w:t>
      </w:r>
      <w:r>
        <w:rPr>
          <w:rStyle w:val="11"/>
          <w:rFonts w:hint="eastAsia" w:ascii="仿宋_GB2312" w:hAnsi="仿宋" w:eastAsia="仿宋_GB2312" w:cs="仿宋_GB2312"/>
          <w:smallCaps/>
          <w:sz w:val="32"/>
          <w:szCs w:val="32"/>
        </w:rPr>
        <w:t>、合同期内发生盗采的；</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2</w:t>
      </w:r>
      <w:r>
        <w:rPr>
          <w:rStyle w:val="11"/>
          <w:rFonts w:hint="eastAsia" w:ascii="仿宋_GB2312" w:hAnsi="仿宋" w:eastAsia="仿宋_GB2312" w:cs="仿宋_GB2312"/>
          <w:smallCaps/>
          <w:sz w:val="32"/>
          <w:szCs w:val="32"/>
        </w:rPr>
        <w:t>、不服从相关主管部门和湘阴县湘资砂石资源有限公司统一指挥调度的；</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3</w:t>
      </w:r>
      <w:r>
        <w:rPr>
          <w:rStyle w:val="11"/>
          <w:rFonts w:hint="eastAsia" w:ascii="仿宋_GB2312" w:hAnsi="仿宋" w:eastAsia="仿宋_GB2312" w:cs="仿宋_GB2312"/>
          <w:smallCaps/>
          <w:sz w:val="32"/>
          <w:szCs w:val="32"/>
        </w:rPr>
        <w:t>、工程船只不能满足采挖产量要求的；</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4</w:t>
      </w:r>
      <w:r>
        <w:rPr>
          <w:rStyle w:val="11"/>
          <w:rFonts w:hint="eastAsia" w:ascii="仿宋_GB2312" w:hAnsi="仿宋" w:eastAsia="仿宋_GB2312" w:cs="仿宋_GB2312"/>
          <w:smallCaps/>
          <w:sz w:val="32"/>
          <w:szCs w:val="32"/>
        </w:rPr>
        <w:t>、工程船只不能满足采挖质量要求的；</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5</w:t>
      </w:r>
      <w:r>
        <w:rPr>
          <w:rStyle w:val="11"/>
          <w:rFonts w:hint="eastAsia" w:ascii="仿宋_GB2312" w:hAnsi="仿宋" w:eastAsia="仿宋_GB2312" w:cs="仿宋_GB2312"/>
          <w:smallCaps/>
          <w:sz w:val="32"/>
          <w:szCs w:val="32"/>
        </w:rPr>
        <w:t>、工程船只存在严重安全隐患的；</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6</w:t>
      </w:r>
      <w:r>
        <w:rPr>
          <w:rStyle w:val="11"/>
          <w:rFonts w:hint="eastAsia" w:ascii="仿宋_GB2312" w:hAnsi="仿宋" w:eastAsia="仿宋_GB2312" w:cs="仿宋_GB2312"/>
          <w:smallCaps/>
          <w:sz w:val="32"/>
          <w:szCs w:val="32"/>
        </w:rPr>
        <w:t>、工程船只作业工艺不符合环保要求的；</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7</w:t>
      </w:r>
      <w:r>
        <w:rPr>
          <w:rStyle w:val="11"/>
          <w:rFonts w:hint="eastAsia" w:ascii="仿宋_GB2312" w:hAnsi="仿宋" w:eastAsia="仿宋_GB2312" w:cs="仿宋_GB2312"/>
          <w:smallCaps/>
          <w:sz w:val="32"/>
          <w:szCs w:val="32"/>
        </w:rPr>
        <w:t>、工程船只瞒报安全责任事故、</w:t>
      </w:r>
      <w:r>
        <w:rPr>
          <w:rStyle w:val="9"/>
          <w:rFonts w:hint="eastAsia" w:ascii="仿宋_GB2312" w:hAnsi="仿宋" w:eastAsia="仿宋_GB2312" w:cs="仿宋_GB2312"/>
          <w:smallCaps/>
          <w:sz w:val="32"/>
          <w:szCs w:val="32"/>
        </w:rPr>
        <w:t>债务和诉讼纠纷</w:t>
      </w:r>
      <w:r>
        <w:rPr>
          <w:rStyle w:val="11"/>
          <w:rFonts w:hint="eastAsia" w:ascii="仿宋_GB2312" w:hAnsi="仿宋" w:eastAsia="仿宋_GB2312" w:cs="仿宋_GB2312"/>
          <w:smallCaps/>
          <w:sz w:val="32"/>
          <w:szCs w:val="32"/>
        </w:rPr>
        <w:t>及其他不良记录的；</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8</w:t>
      </w:r>
      <w:r>
        <w:rPr>
          <w:rStyle w:val="11"/>
          <w:rFonts w:hint="eastAsia" w:ascii="仿宋_GB2312" w:hAnsi="仿宋" w:eastAsia="仿宋_GB2312" w:cs="仿宋_GB2312"/>
          <w:smallCaps/>
          <w:sz w:val="32"/>
          <w:szCs w:val="32"/>
        </w:rPr>
        <w:t>、有其他违法违规行为的。</w:t>
      </w:r>
    </w:p>
    <w:p>
      <w:pPr>
        <w:spacing w:line="600" w:lineRule="exact"/>
        <w:ind w:firstLine="640" w:firstLineChars="200"/>
        <w:rPr>
          <w:rStyle w:val="11"/>
          <w:rFonts w:ascii="黑体" w:hAnsi="黑体" w:eastAsia="黑体" w:cs="Times New Roman"/>
          <w:smallCaps/>
          <w:sz w:val="32"/>
          <w:szCs w:val="32"/>
        </w:rPr>
      </w:pPr>
      <w:r>
        <w:rPr>
          <w:rStyle w:val="11"/>
          <w:rFonts w:hint="eastAsia" w:ascii="黑体" w:hAnsi="黑体" w:eastAsia="黑体" w:cs="黑体"/>
          <w:smallCaps/>
          <w:sz w:val="32"/>
          <w:szCs w:val="32"/>
        </w:rPr>
        <w:t>六、采挖工程船劳务价格</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1</w:t>
      </w:r>
      <w:r>
        <w:rPr>
          <w:rStyle w:val="11"/>
          <w:rFonts w:hint="eastAsia" w:ascii="仿宋_GB2312" w:hAnsi="仿宋" w:eastAsia="仿宋_GB2312" w:cs="仿宋_GB2312"/>
          <w:smallCaps/>
          <w:sz w:val="32"/>
          <w:szCs w:val="32"/>
        </w:rPr>
        <w:t>、按采挖所产生的达标砂石量，以自然月为周期凭公开选用船只法人的增值税票办理结算，未提供合法有效税票不予结算。</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ascii="仿宋_GB2312" w:hAnsi="仿宋" w:eastAsia="仿宋_GB2312" w:cs="仿宋_GB2312"/>
          <w:smallCaps/>
          <w:sz w:val="32"/>
          <w:szCs w:val="32"/>
        </w:rPr>
        <w:t>2</w:t>
      </w:r>
      <w:r>
        <w:rPr>
          <w:rStyle w:val="11"/>
          <w:rFonts w:hint="eastAsia" w:ascii="仿宋_GB2312" w:hAnsi="仿宋" w:eastAsia="仿宋_GB2312" w:cs="仿宋_GB2312"/>
          <w:smallCaps/>
          <w:sz w:val="32"/>
          <w:szCs w:val="32"/>
        </w:rPr>
        <w:t>、采挖劳务价格：</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①按我县砂石工作领导小组</w:t>
      </w:r>
      <w:r>
        <w:rPr>
          <w:rStyle w:val="11"/>
          <w:rFonts w:ascii="仿宋_GB2312" w:hAnsi="仿宋" w:eastAsia="仿宋_GB2312" w:cs="仿宋_GB2312"/>
          <w:smallCaps/>
          <w:sz w:val="32"/>
          <w:szCs w:val="32"/>
        </w:rPr>
        <w:t>2021</w:t>
      </w:r>
      <w:r>
        <w:rPr>
          <w:rStyle w:val="11"/>
          <w:rFonts w:hint="eastAsia" w:ascii="仿宋_GB2312" w:hAnsi="仿宋" w:eastAsia="仿宋_GB2312" w:cs="仿宋_GB2312"/>
          <w:smallCaps/>
          <w:sz w:val="32"/>
          <w:szCs w:val="32"/>
        </w:rPr>
        <w:t>年</w:t>
      </w:r>
      <w:r>
        <w:rPr>
          <w:rStyle w:val="11"/>
          <w:rFonts w:ascii="仿宋_GB2312" w:hAnsi="仿宋" w:eastAsia="仿宋_GB2312" w:cs="仿宋_GB2312"/>
          <w:smallCaps/>
          <w:sz w:val="32"/>
          <w:szCs w:val="32"/>
        </w:rPr>
        <w:t>11</w:t>
      </w:r>
      <w:r>
        <w:rPr>
          <w:rStyle w:val="11"/>
          <w:rFonts w:hint="eastAsia" w:ascii="仿宋_GB2312" w:hAnsi="仿宋" w:eastAsia="仿宋_GB2312" w:cs="仿宋_GB2312"/>
          <w:smallCaps/>
          <w:sz w:val="32"/>
          <w:szCs w:val="32"/>
        </w:rPr>
        <w:t>月</w:t>
      </w:r>
      <w:r>
        <w:rPr>
          <w:rStyle w:val="11"/>
          <w:rFonts w:ascii="仿宋_GB2312" w:hAnsi="仿宋" w:eastAsia="仿宋_GB2312" w:cs="仿宋_GB2312"/>
          <w:smallCaps/>
          <w:sz w:val="32"/>
          <w:szCs w:val="32"/>
        </w:rPr>
        <w:t>30</w:t>
      </w:r>
      <w:r>
        <w:rPr>
          <w:rStyle w:val="11"/>
          <w:rFonts w:hint="eastAsia" w:ascii="仿宋_GB2312" w:hAnsi="仿宋" w:eastAsia="仿宋_GB2312" w:cs="仿宋_GB2312"/>
          <w:smallCaps/>
          <w:sz w:val="32"/>
          <w:szCs w:val="32"/>
        </w:rPr>
        <w:t>日确定的采挖劳务费动态调价机制，柴油在</w:t>
      </w:r>
      <w:r>
        <w:rPr>
          <w:rStyle w:val="11"/>
          <w:rFonts w:ascii="仿宋_GB2312" w:hAnsi="仿宋" w:eastAsia="仿宋_GB2312" w:cs="仿宋_GB2312"/>
          <w:smallCaps/>
          <w:sz w:val="32"/>
          <w:szCs w:val="32"/>
        </w:rPr>
        <w:t>6500</w:t>
      </w:r>
      <w:r>
        <w:rPr>
          <w:rStyle w:val="11"/>
          <w:rFonts w:hint="eastAsia" w:ascii="仿宋_GB2312" w:hAnsi="仿宋" w:eastAsia="仿宋_GB2312" w:cs="仿宋_GB2312"/>
          <w:smallCaps/>
          <w:sz w:val="32"/>
          <w:szCs w:val="32"/>
        </w:rPr>
        <w:t>元</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吨的基准价时，工程船采砂作业劳务费为</w:t>
      </w:r>
      <w:r>
        <w:rPr>
          <w:rStyle w:val="11"/>
          <w:rFonts w:ascii="仿宋_GB2312" w:hAnsi="仿宋" w:eastAsia="仿宋_GB2312" w:cs="仿宋_GB2312"/>
          <w:smallCaps/>
          <w:sz w:val="32"/>
          <w:szCs w:val="32"/>
        </w:rPr>
        <w:t>14.07</w:t>
      </w:r>
      <w:r>
        <w:rPr>
          <w:rStyle w:val="11"/>
          <w:rFonts w:hint="eastAsia" w:ascii="仿宋_GB2312" w:hAnsi="仿宋" w:eastAsia="仿宋_GB2312" w:cs="仿宋_GB2312"/>
          <w:smallCaps/>
          <w:sz w:val="32"/>
          <w:szCs w:val="32"/>
        </w:rPr>
        <w:t>元</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吨；在柴油基准价</w:t>
      </w:r>
      <w:r>
        <w:rPr>
          <w:rStyle w:val="11"/>
          <w:rFonts w:ascii="仿宋_GB2312" w:hAnsi="仿宋" w:eastAsia="仿宋_GB2312" w:cs="仿宋_GB2312"/>
          <w:smallCaps/>
          <w:sz w:val="32"/>
          <w:szCs w:val="32"/>
        </w:rPr>
        <w:t>6500</w:t>
      </w:r>
      <w:r>
        <w:rPr>
          <w:rStyle w:val="11"/>
          <w:rFonts w:hint="eastAsia" w:ascii="仿宋_GB2312" w:hAnsi="仿宋" w:eastAsia="仿宋_GB2312" w:cs="仿宋_GB2312"/>
          <w:smallCaps/>
          <w:sz w:val="32"/>
          <w:szCs w:val="32"/>
        </w:rPr>
        <w:t>元</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吨的基础上油价每增减</w:t>
      </w:r>
      <w:r>
        <w:rPr>
          <w:rStyle w:val="11"/>
          <w:rFonts w:ascii="仿宋_GB2312" w:hAnsi="仿宋" w:eastAsia="仿宋_GB2312" w:cs="仿宋_GB2312"/>
          <w:smallCaps/>
          <w:sz w:val="32"/>
          <w:szCs w:val="32"/>
        </w:rPr>
        <w:t>500</w:t>
      </w:r>
      <w:r>
        <w:rPr>
          <w:rStyle w:val="11"/>
          <w:rFonts w:hint="eastAsia" w:ascii="仿宋_GB2312" w:hAnsi="仿宋" w:eastAsia="仿宋_GB2312" w:cs="仿宋_GB2312"/>
          <w:smallCaps/>
          <w:sz w:val="32"/>
          <w:szCs w:val="32"/>
        </w:rPr>
        <w:t>元</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吨时，工程船采砂作业劳务费单价相应涨跌</w:t>
      </w:r>
      <w:r>
        <w:rPr>
          <w:rStyle w:val="11"/>
          <w:rFonts w:ascii="仿宋_GB2312" w:hAnsi="仿宋" w:eastAsia="仿宋_GB2312" w:cs="仿宋_GB2312"/>
          <w:smallCaps/>
          <w:sz w:val="32"/>
          <w:szCs w:val="32"/>
        </w:rPr>
        <w:t>0.61</w:t>
      </w:r>
      <w:r>
        <w:rPr>
          <w:rStyle w:val="11"/>
          <w:rFonts w:hint="eastAsia" w:ascii="仿宋_GB2312" w:hAnsi="仿宋" w:eastAsia="仿宋_GB2312" w:cs="仿宋_GB2312"/>
          <w:smallCaps/>
          <w:sz w:val="32"/>
          <w:szCs w:val="32"/>
        </w:rPr>
        <w:t>元</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吨。</w:t>
      </w:r>
    </w:p>
    <w:p>
      <w:pPr>
        <w:spacing w:line="600" w:lineRule="exact"/>
        <w:ind w:firstLine="640" w:firstLineChars="200"/>
        <w:jc w:val="left"/>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②如遇到采区作业工况差、开采难度大、单船平均日产能（月总产量</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实际作业天数）在</w:t>
      </w:r>
      <w:r>
        <w:rPr>
          <w:rStyle w:val="11"/>
          <w:rFonts w:ascii="仿宋_GB2312" w:hAnsi="仿宋" w:eastAsia="仿宋_GB2312" w:cs="仿宋_GB2312"/>
          <w:smallCaps/>
          <w:sz w:val="32"/>
          <w:szCs w:val="32"/>
        </w:rPr>
        <w:t>7000</w:t>
      </w:r>
      <w:r>
        <w:rPr>
          <w:rStyle w:val="11"/>
          <w:rFonts w:hint="eastAsia" w:ascii="仿宋_GB2312" w:hAnsi="仿宋" w:eastAsia="仿宋_GB2312" w:cs="仿宋_GB2312"/>
          <w:smallCaps/>
          <w:sz w:val="32"/>
          <w:szCs w:val="32"/>
        </w:rPr>
        <w:t>吨以上、</w:t>
      </w:r>
      <w:r>
        <w:rPr>
          <w:rStyle w:val="11"/>
          <w:rFonts w:ascii="仿宋_GB2312" w:hAnsi="仿宋" w:eastAsia="仿宋_GB2312" w:cs="仿宋_GB2312"/>
          <w:smallCaps/>
          <w:sz w:val="32"/>
          <w:szCs w:val="32"/>
        </w:rPr>
        <w:t>10000</w:t>
      </w:r>
      <w:r>
        <w:rPr>
          <w:rStyle w:val="11"/>
          <w:rFonts w:hint="eastAsia" w:ascii="仿宋_GB2312" w:hAnsi="仿宋" w:eastAsia="仿宋_GB2312" w:cs="仿宋_GB2312"/>
          <w:smallCaps/>
          <w:sz w:val="32"/>
          <w:szCs w:val="32"/>
        </w:rPr>
        <w:t>吨以下时，工程船采砂作业劳务费适当上调，具体为：</w:t>
      </w:r>
      <w:r>
        <w:rPr>
          <w:rStyle w:val="11"/>
          <w:rFonts w:ascii="仿宋_GB2312" w:hAnsi="仿宋" w:eastAsia="仿宋_GB2312" w:cs="仿宋_GB2312"/>
          <w:smallCaps/>
          <w:sz w:val="32"/>
          <w:szCs w:val="32"/>
        </w:rPr>
        <w:t>9000-10000</w:t>
      </w:r>
      <w:r>
        <w:rPr>
          <w:rStyle w:val="11"/>
          <w:rFonts w:hint="eastAsia" w:ascii="仿宋_GB2312" w:hAnsi="仿宋" w:eastAsia="仿宋_GB2312" w:cs="仿宋_GB2312"/>
          <w:smallCaps/>
          <w:sz w:val="32"/>
          <w:szCs w:val="32"/>
        </w:rPr>
        <w:t>吨上调</w:t>
      </w:r>
      <w:r>
        <w:rPr>
          <w:rStyle w:val="11"/>
          <w:rFonts w:ascii="仿宋_GB2312" w:hAnsi="仿宋" w:eastAsia="仿宋_GB2312" w:cs="仿宋_GB2312"/>
          <w:smallCaps/>
          <w:sz w:val="32"/>
          <w:szCs w:val="32"/>
        </w:rPr>
        <w:t>0.2</w:t>
      </w:r>
      <w:r>
        <w:rPr>
          <w:rStyle w:val="11"/>
          <w:rFonts w:hint="eastAsia" w:ascii="仿宋_GB2312" w:hAnsi="仿宋" w:eastAsia="仿宋_GB2312" w:cs="仿宋_GB2312"/>
          <w:smallCaps/>
          <w:sz w:val="32"/>
          <w:szCs w:val="32"/>
        </w:rPr>
        <w:t>元</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吨</w:t>
      </w:r>
      <w:r>
        <w:rPr>
          <w:rStyle w:val="11"/>
          <w:rFonts w:ascii="仿宋_GB2312" w:hAnsi="仿宋" w:eastAsia="仿宋_GB2312" w:cs="仿宋_GB2312"/>
          <w:smallCaps/>
          <w:sz w:val="32"/>
          <w:szCs w:val="32"/>
        </w:rPr>
        <w:t>,8000-9000</w:t>
      </w:r>
      <w:r>
        <w:rPr>
          <w:rStyle w:val="11"/>
          <w:rFonts w:hint="eastAsia" w:ascii="仿宋_GB2312" w:hAnsi="仿宋" w:eastAsia="仿宋_GB2312" w:cs="仿宋_GB2312"/>
          <w:smallCaps/>
          <w:sz w:val="32"/>
          <w:szCs w:val="32"/>
        </w:rPr>
        <w:t>吨上调</w:t>
      </w:r>
      <w:r>
        <w:rPr>
          <w:rStyle w:val="11"/>
          <w:rFonts w:ascii="仿宋_GB2312" w:hAnsi="仿宋" w:eastAsia="仿宋_GB2312" w:cs="仿宋_GB2312"/>
          <w:smallCaps/>
          <w:sz w:val="32"/>
          <w:szCs w:val="32"/>
        </w:rPr>
        <w:t>0.4</w:t>
      </w:r>
      <w:r>
        <w:rPr>
          <w:rStyle w:val="11"/>
          <w:rFonts w:hint="eastAsia" w:ascii="仿宋_GB2312" w:hAnsi="仿宋" w:eastAsia="仿宋_GB2312" w:cs="仿宋_GB2312"/>
          <w:smallCaps/>
          <w:sz w:val="32"/>
          <w:szCs w:val="32"/>
        </w:rPr>
        <w:t>元</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吨，</w:t>
      </w:r>
      <w:r>
        <w:rPr>
          <w:rStyle w:val="11"/>
          <w:rFonts w:ascii="仿宋_GB2312" w:hAnsi="仿宋" w:eastAsia="仿宋_GB2312" w:cs="仿宋_GB2312"/>
          <w:smallCaps/>
          <w:sz w:val="32"/>
          <w:szCs w:val="32"/>
        </w:rPr>
        <w:t>7000-8000</w:t>
      </w:r>
      <w:r>
        <w:rPr>
          <w:rStyle w:val="11"/>
          <w:rFonts w:hint="eastAsia" w:ascii="仿宋_GB2312" w:hAnsi="仿宋" w:eastAsia="仿宋_GB2312" w:cs="仿宋_GB2312"/>
          <w:smallCaps/>
          <w:sz w:val="32"/>
          <w:szCs w:val="32"/>
        </w:rPr>
        <w:t>上调</w:t>
      </w:r>
      <w:r>
        <w:rPr>
          <w:rStyle w:val="11"/>
          <w:rFonts w:ascii="仿宋_GB2312" w:hAnsi="仿宋" w:eastAsia="仿宋_GB2312" w:cs="仿宋_GB2312"/>
          <w:smallCaps/>
          <w:sz w:val="32"/>
          <w:szCs w:val="32"/>
        </w:rPr>
        <w:t>0.6</w:t>
      </w:r>
      <w:r>
        <w:rPr>
          <w:rStyle w:val="11"/>
          <w:rFonts w:hint="eastAsia" w:ascii="仿宋_GB2312" w:hAnsi="仿宋" w:eastAsia="仿宋_GB2312" w:cs="仿宋_GB2312"/>
          <w:smallCaps/>
          <w:sz w:val="32"/>
          <w:szCs w:val="32"/>
        </w:rPr>
        <w:t>元</w:t>
      </w:r>
      <w:r>
        <w:rPr>
          <w:rStyle w:val="11"/>
          <w:rFonts w:ascii="仿宋_GB2312" w:hAnsi="仿宋" w:eastAsia="仿宋_GB2312" w:cs="仿宋_GB2312"/>
          <w:smallCaps/>
          <w:sz w:val="32"/>
          <w:szCs w:val="32"/>
        </w:rPr>
        <w:t>/</w:t>
      </w:r>
      <w:r>
        <w:rPr>
          <w:rStyle w:val="11"/>
          <w:rFonts w:hint="eastAsia" w:ascii="仿宋_GB2312" w:hAnsi="仿宋" w:eastAsia="仿宋_GB2312" w:cs="仿宋_GB2312"/>
          <w:smallCaps/>
          <w:sz w:val="32"/>
          <w:szCs w:val="32"/>
        </w:rPr>
        <w:t>吨。单船平均日产能不足</w:t>
      </w:r>
      <w:r>
        <w:rPr>
          <w:rStyle w:val="11"/>
          <w:rFonts w:ascii="仿宋_GB2312" w:hAnsi="仿宋" w:eastAsia="仿宋_GB2312" w:cs="仿宋_GB2312"/>
          <w:smallCaps/>
          <w:sz w:val="32"/>
          <w:szCs w:val="32"/>
        </w:rPr>
        <w:t>7000</w:t>
      </w:r>
      <w:r>
        <w:rPr>
          <w:rStyle w:val="11"/>
          <w:rFonts w:hint="eastAsia" w:ascii="仿宋_GB2312" w:hAnsi="仿宋" w:eastAsia="仿宋_GB2312" w:cs="仿宋_GB2312"/>
          <w:smallCaps/>
          <w:sz w:val="32"/>
          <w:szCs w:val="32"/>
        </w:rPr>
        <w:t>吨的，视为消极怠工，工程船采砂作业劳务费按第一条的动态调价机制执行。</w:t>
      </w:r>
    </w:p>
    <w:p>
      <w:pPr>
        <w:numPr>
          <w:ilvl w:val="0"/>
          <w:numId w:val="3"/>
        </w:numPr>
        <w:spacing w:line="600" w:lineRule="exact"/>
        <w:ind w:firstLine="640" w:firstLineChars="200"/>
        <w:jc w:val="left"/>
        <w:rPr>
          <w:rStyle w:val="11"/>
          <w:rFonts w:ascii="仿宋_GB2312" w:hAnsi="仿宋" w:eastAsia="仿宋_GB2312" w:cs="Times New Roman"/>
          <w:smallCaps/>
          <w:sz w:val="32"/>
          <w:szCs w:val="32"/>
        </w:rPr>
      </w:pPr>
      <w:r>
        <w:rPr>
          <w:rStyle w:val="11"/>
          <w:rFonts w:hint="eastAsia" w:ascii="仿宋_GB2312" w:hAnsi="仿宋" w:eastAsia="仿宋_GB2312" w:cs="仿宋_GB2312"/>
          <w:smallCaps/>
          <w:sz w:val="32"/>
          <w:szCs w:val="32"/>
        </w:rPr>
        <w:t>以上结算价格均为含税价，且合同周期内不予调整</w:t>
      </w:r>
      <w:bookmarkStart w:id="0" w:name="_GoBack"/>
      <w:bookmarkEnd w:id="0"/>
      <w:r>
        <w:rPr>
          <w:rStyle w:val="11"/>
          <w:rFonts w:hint="eastAsia" w:ascii="仿宋_GB2312" w:hAnsi="仿宋" w:eastAsia="仿宋_GB2312" w:cs="仿宋_GB2312"/>
          <w:smallCaps/>
          <w:sz w:val="32"/>
          <w:szCs w:val="32"/>
        </w:rPr>
        <w:t>。</w:t>
      </w:r>
    </w:p>
    <w:sectPr>
      <w:footerReference r:id="rId4" w:type="first"/>
      <w:footerReference r:id="rId3" w:type="default"/>
      <w:pgSz w:w="11906" w:h="16838"/>
      <w:pgMar w:top="2155" w:right="1531" w:bottom="1985" w:left="153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Style w:val="6"/>
                    <w:rFonts w:cs="Times New Roman"/>
                  </w:rPr>
                </w:pPr>
                <w:r>
                  <w:rPr>
                    <w:rStyle w:val="6"/>
                    <w:rFonts w:cs="Times New Roman"/>
                  </w:rPr>
                  <w:t xml:space="preserve">— </w:t>
                </w:r>
                <w:r>
                  <w:rPr>
                    <w:rStyle w:val="6"/>
                    <w:rFonts w:cs="Times New Roman"/>
                  </w:rPr>
                  <w:fldChar w:fldCharType="begin"/>
                </w:r>
                <w:r>
                  <w:rPr>
                    <w:rStyle w:val="6"/>
                    <w:rFonts w:cs="Times New Roman"/>
                  </w:rPr>
                  <w:instrText xml:space="preserve"> PAGE  \* MERGEFORMAT </w:instrText>
                </w:r>
                <w:r>
                  <w:rPr>
                    <w:rStyle w:val="6"/>
                    <w:rFonts w:cs="Times New Roman"/>
                  </w:rPr>
                  <w:fldChar w:fldCharType="separate"/>
                </w:r>
                <w:r>
                  <w:rPr>
                    <w:rStyle w:val="6"/>
                    <w:rFonts w:cs="Times New Roman"/>
                  </w:rPr>
                  <w:t>- 2 -</w:t>
                </w:r>
                <w:r>
                  <w:rPr>
                    <w:rStyle w:val="6"/>
                    <w:rFonts w:cs="Times New Roman"/>
                  </w:rPr>
                  <w:fldChar w:fldCharType="end"/>
                </w:r>
                <w:r>
                  <w:rPr>
                    <w:rStyle w:val="6"/>
                    <w:rFonts w:cs="Times New Roma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5F610"/>
    <w:multiLevelType w:val="singleLevel"/>
    <w:tmpl w:val="BBA5F610"/>
    <w:lvl w:ilvl="0" w:tentative="0">
      <w:start w:val="7"/>
      <w:numFmt w:val="decimal"/>
      <w:suff w:val="nothing"/>
      <w:lvlText w:val="%1、"/>
      <w:lvlJc w:val="left"/>
      <w:pPr>
        <w:ind w:left="512"/>
      </w:pPr>
    </w:lvl>
  </w:abstractNum>
  <w:abstractNum w:abstractNumId="1">
    <w:nsid w:val="D08CDFFE"/>
    <w:multiLevelType w:val="singleLevel"/>
    <w:tmpl w:val="D08CDFFE"/>
    <w:lvl w:ilvl="0" w:tentative="0">
      <w:start w:val="3"/>
      <w:numFmt w:val="chineseCounting"/>
      <w:suff w:val="nothing"/>
      <w:lvlText w:val="%1、"/>
      <w:lvlJc w:val="left"/>
      <w:rPr>
        <w:rFonts w:hint="eastAsia" w:ascii="黑体" w:hAnsi="黑体" w:eastAsia="黑体"/>
      </w:rPr>
    </w:lvl>
  </w:abstractNum>
  <w:abstractNum w:abstractNumId="2">
    <w:nsid w:val="29EE67EC"/>
    <w:multiLevelType w:val="singleLevel"/>
    <w:tmpl w:val="29EE67EC"/>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98F"/>
    <w:rsid w:val="0012463C"/>
    <w:rsid w:val="001B7022"/>
    <w:rsid w:val="00210679"/>
    <w:rsid w:val="00292608"/>
    <w:rsid w:val="002958B1"/>
    <w:rsid w:val="003B2EF8"/>
    <w:rsid w:val="00487F8A"/>
    <w:rsid w:val="004B6F30"/>
    <w:rsid w:val="0058298F"/>
    <w:rsid w:val="0065179C"/>
    <w:rsid w:val="00924EC2"/>
    <w:rsid w:val="009711DA"/>
    <w:rsid w:val="00A37917"/>
    <w:rsid w:val="00A531ED"/>
    <w:rsid w:val="00B47DBD"/>
    <w:rsid w:val="00BF5FF3"/>
    <w:rsid w:val="00C30FFD"/>
    <w:rsid w:val="00DA1818"/>
    <w:rsid w:val="00DC24CD"/>
    <w:rsid w:val="00E0203B"/>
    <w:rsid w:val="00E85947"/>
    <w:rsid w:val="00FB040D"/>
    <w:rsid w:val="00FD3C51"/>
    <w:rsid w:val="07D37A24"/>
    <w:rsid w:val="09A36A58"/>
    <w:rsid w:val="1E4D61C9"/>
    <w:rsid w:val="24822822"/>
    <w:rsid w:val="258C57FC"/>
    <w:rsid w:val="289C75D0"/>
    <w:rsid w:val="2A85788A"/>
    <w:rsid w:val="2C2833E5"/>
    <w:rsid w:val="2F054593"/>
    <w:rsid w:val="3269068F"/>
    <w:rsid w:val="36962AE1"/>
    <w:rsid w:val="39B85035"/>
    <w:rsid w:val="3A6E1426"/>
    <w:rsid w:val="41A3010E"/>
    <w:rsid w:val="41E3725E"/>
    <w:rsid w:val="432F1AF7"/>
    <w:rsid w:val="459333C6"/>
    <w:rsid w:val="4A26417F"/>
    <w:rsid w:val="4BD26E88"/>
    <w:rsid w:val="50B85A3D"/>
    <w:rsid w:val="578366AE"/>
    <w:rsid w:val="620C7E8F"/>
    <w:rsid w:val="640C0F73"/>
    <w:rsid w:val="65611F18"/>
    <w:rsid w:val="7D76478A"/>
    <w:rsid w:val="7E7735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styleId="6">
    <w:name w:val="page number"/>
    <w:basedOn w:val="5"/>
    <w:uiPriority w:val="99"/>
  </w:style>
  <w:style w:type="character" w:customStyle="1" w:styleId="7">
    <w:name w:val="Footer Char"/>
    <w:basedOn w:val="5"/>
    <w:link w:val="2"/>
    <w:semiHidden/>
    <w:locked/>
    <w:uiPriority w:val="99"/>
    <w:rPr>
      <w:rFonts w:ascii="Calibri" w:hAnsi="Calibri" w:cs="Calibri"/>
      <w:sz w:val="18"/>
      <w:szCs w:val="18"/>
    </w:rPr>
  </w:style>
  <w:style w:type="character" w:customStyle="1" w:styleId="8">
    <w:name w:val="Header Char"/>
    <w:basedOn w:val="5"/>
    <w:link w:val="3"/>
    <w:semiHidden/>
    <w:locked/>
    <w:uiPriority w:val="99"/>
    <w:rPr>
      <w:rFonts w:ascii="Calibri" w:hAnsi="Calibri" w:cs="Calibri"/>
      <w:sz w:val="18"/>
      <w:szCs w:val="18"/>
    </w:rPr>
  </w:style>
  <w:style w:type="character" w:customStyle="1" w:styleId="9">
    <w:name w:val="NormalCharacter"/>
    <w:semiHidden/>
    <w:uiPriority w:val="99"/>
  </w:style>
  <w:style w:type="table" w:customStyle="1" w:styleId="10">
    <w:name w:val="TableNormal"/>
    <w:semiHidden/>
    <w:uiPriority w:val="99"/>
    <w:rPr>
      <w:kern w:val="0"/>
      <w:sz w:val="20"/>
      <w:szCs w:val="20"/>
    </w:rPr>
    <w:tblPr>
      <w:tblCellMar>
        <w:top w:w="0" w:type="dxa"/>
        <w:left w:w="0" w:type="dxa"/>
        <w:bottom w:w="0" w:type="dxa"/>
        <w:right w:w="0" w:type="dxa"/>
      </w:tblCellMar>
    </w:tblPr>
  </w:style>
  <w:style w:type="character" w:customStyle="1" w:styleId="11">
    <w:name w:val="UserStyle_0"/>
    <w:semiHidden/>
    <w:uiPriority w:val="99"/>
  </w:style>
  <w:style w:type="character" w:customStyle="1" w:styleId="12">
    <w:name w:val="PageNumber"/>
    <w:basedOn w:val="9"/>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315</Words>
  <Characters>1802</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2022-01-26T07:51:00Z</dcterms:created>
  <dc:creator>zonghebu</dc:creator>
  <cp:lastModifiedBy>自在小酆</cp:lastModifiedBy>
  <cp:lastPrinted>2022-01-26T08:26:40Z</cp:lastPrinted>
  <dcterms:modified xsi:type="dcterms:W3CDTF">2022-01-26T08:32:28Z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0432668ED4534ADD8B2456AA0CA35038</vt:lpwstr>
  </property>
</Properties>
</file>