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仿宋_GB2312" w:hAnsi="仿宋_GB2312" w:eastAsia="仿宋_GB2312" w:cs="仿宋_GB2312"/>
          <w:color w:val="0000FF"/>
          <w:sz w:val="36"/>
          <w:szCs w:val="36"/>
        </w:rPr>
      </w:pPr>
    </w:p>
    <w:p>
      <w:pPr>
        <w:rPr>
          <w:rFonts w:ascii="仿宋_GB2312" w:hAnsi="仿宋_GB2312" w:eastAsia="仿宋_GB2312" w:cs="仿宋_GB2312"/>
          <w:color w:val="0000FF"/>
          <w:sz w:val="36"/>
          <w:szCs w:val="36"/>
        </w:rPr>
      </w:pPr>
    </w:p>
    <w:p>
      <w:pPr>
        <w:rPr>
          <w:rFonts w:ascii="仿宋_GB2312" w:hAnsi="仿宋_GB2312" w:eastAsia="仿宋_GB2312" w:cs="仿宋_GB2312"/>
          <w:color w:val="0000FF"/>
          <w:sz w:val="36"/>
          <w:szCs w:val="36"/>
        </w:rPr>
      </w:pPr>
    </w:p>
    <w:p>
      <w:pPr>
        <w:rPr>
          <w:rFonts w:ascii="仿宋_GB2312" w:hAnsi="仿宋_GB2312" w:eastAsia="仿宋_GB2312" w:cs="仿宋_GB2312"/>
          <w:color w:val="0000FF"/>
          <w:sz w:val="36"/>
          <w:szCs w:val="36"/>
        </w:rPr>
      </w:pPr>
    </w:p>
    <w:p>
      <w:pPr>
        <w:rPr>
          <w:rFonts w:hint="eastAsia" w:ascii="仿宋_GB2312" w:hAnsi="仿宋_GB2312" w:eastAsia="仿宋_GB2312" w:cs="仿宋_GB2312"/>
          <w:color w:val="0000FF"/>
          <w:sz w:val="36"/>
          <w:szCs w:val="36"/>
        </w:rPr>
      </w:pPr>
    </w:p>
    <w:p>
      <w:pPr>
        <w:adjustRightInd w:val="0"/>
        <w:snapToGrid w:val="0"/>
        <w:jc w:val="center"/>
        <w:outlineLvl w:val="0"/>
        <w:rPr>
          <w:rFonts w:hint="eastAsia" w:ascii="方正小标宋_GBK" w:eastAsia="方正小标宋_GBK"/>
          <w:bCs/>
          <w:color w:val="auto"/>
          <w:sz w:val="72"/>
          <w:szCs w:val="72"/>
        </w:rPr>
      </w:pPr>
      <w:bookmarkStart w:id="0" w:name="_Toc28143"/>
      <w:bookmarkStart w:id="1" w:name="_Toc23313"/>
      <w:bookmarkStart w:id="2" w:name="_Toc18675"/>
      <w:r>
        <w:rPr>
          <w:rFonts w:hint="eastAsia" w:ascii="方正小标宋_GBK" w:eastAsia="方正小标宋_GBK"/>
          <w:bCs/>
          <w:color w:val="auto"/>
          <w:sz w:val="72"/>
          <w:szCs w:val="72"/>
        </w:rPr>
        <w:t>建设项目环境影响报告表</w:t>
      </w:r>
      <w:bookmarkEnd w:id="0"/>
      <w:bookmarkEnd w:id="1"/>
      <w:bookmarkEnd w:id="2"/>
    </w:p>
    <w:p>
      <w:pPr>
        <w:adjustRightInd w:val="0"/>
        <w:snapToGrid w:val="0"/>
        <w:spacing w:before="192" w:beforeLines="80"/>
        <w:jc w:val="center"/>
        <w:rPr>
          <w:rFonts w:hint="eastAsia" w:ascii="楷体_GB2312" w:eastAsia="楷体_GB2312"/>
          <w:bCs/>
          <w:color w:val="auto"/>
          <w:sz w:val="48"/>
          <w:szCs w:val="48"/>
        </w:rPr>
      </w:pPr>
      <w:r>
        <w:rPr>
          <w:rFonts w:hint="eastAsia" w:ascii="楷体_GB2312" w:eastAsia="楷体_GB2312"/>
          <w:bCs/>
          <w:color w:val="auto"/>
          <w:sz w:val="48"/>
          <w:szCs w:val="48"/>
        </w:rPr>
        <w:t>（污染影响类）</w:t>
      </w:r>
    </w:p>
    <w:p>
      <w:pPr>
        <w:adjustRightInd w:val="0"/>
        <w:snapToGrid w:val="0"/>
        <w:spacing w:line="288" w:lineRule="auto"/>
        <w:jc w:val="center"/>
        <w:outlineLvl w:val="9"/>
        <w:rPr>
          <w:rFonts w:ascii="华文仿宋" w:hAnsi="华文仿宋" w:eastAsia="华文仿宋" w:cs="华文仿宋"/>
          <w:color w:val="auto"/>
          <w:kern w:val="44"/>
          <w:sz w:val="44"/>
          <w:szCs w:val="44"/>
        </w:rPr>
      </w:pPr>
    </w:p>
    <w:p>
      <w:pPr>
        <w:jc w:val="center"/>
        <w:rPr>
          <w:rFonts w:eastAsia="仿宋"/>
          <w:color w:val="auto"/>
          <w:sz w:val="52"/>
          <w:szCs w:val="52"/>
        </w:rPr>
      </w:pPr>
    </w:p>
    <w:p>
      <w:pPr>
        <w:ind w:firstLine="1040"/>
        <w:rPr>
          <w:rFonts w:eastAsia="仿宋"/>
          <w:color w:val="auto"/>
          <w:sz w:val="44"/>
          <w:szCs w:val="44"/>
        </w:rPr>
      </w:pPr>
    </w:p>
    <w:p>
      <w:pPr>
        <w:ind w:firstLine="1040"/>
        <w:rPr>
          <w:rFonts w:eastAsia="仿宋"/>
          <w:color w:val="auto"/>
          <w:sz w:val="44"/>
          <w:szCs w:val="44"/>
        </w:rPr>
      </w:pPr>
    </w:p>
    <w:p>
      <w:pPr>
        <w:ind w:firstLine="1040"/>
        <w:rPr>
          <w:rFonts w:eastAsia="仿宋"/>
          <w:color w:val="auto"/>
          <w:sz w:val="44"/>
          <w:szCs w:val="44"/>
        </w:rPr>
      </w:pPr>
    </w:p>
    <w:p>
      <w:pPr>
        <w:ind w:firstLine="1040"/>
        <w:rPr>
          <w:rFonts w:eastAsia="仿宋"/>
          <w:color w:val="auto"/>
          <w:sz w:val="44"/>
          <w:szCs w:val="44"/>
        </w:rPr>
      </w:pPr>
    </w:p>
    <w:p>
      <w:pPr>
        <w:adjustRightInd w:val="0"/>
        <w:snapToGrid w:val="0"/>
        <w:spacing w:line="288" w:lineRule="auto"/>
        <w:jc w:val="left"/>
        <w:rPr>
          <w:rFonts w:hint="eastAsia" w:ascii="仿宋_GB2312" w:eastAsia="仿宋_GB2312"/>
          <w:color w:val="auto"/>
          <w:sz w:val="36"/>
          <w:szCs w:val="36"/>
          <w:u w:val="single"/>
        </w:rPr>
      </w:pPr>
      <w:r>
        <w:rPr>
          <w:rFonts w:hint="eastAsia" w:ascii="仿宋_GB2312" w:eastAsia="仿宋_GB2312"/>
          <w:color w:val="auto"/>
          <w:sz w:val="36"/>
          <w:szCs w:val="36"/>
        </w:rPr>
        <w:t>项目名称：</w:t>
      </w:r>
      <w:r>
        <w:rPr>
          <w:rFonts w:hint="eastAsia" w:ascii="仿宋_GB2312" w:eastAsia="仿宋_GB2312"/>
          <w:color w:val="auto"/>
          <w:sz w:val="36"/>
          <w:szCs w:val="36"/>
          <w:u w:val="single"/>
        </w:rPr>
        <w:t xml:space="preserve">  </w:t>
      </w:r>
      <w:r>
        <w:rPr>
          <w:rFonts w:hint="eastAsia" w:ascii="仿宋_GB2312" w:eastAsia="仿宋_GB2312"/>
          <w:color w:val="auto"/>
          <w:sz w:val="36"/>
          <w:szCs w:val="36"/>
          <w:u w:val="single"/>
          <w:lang w:eastAsia="zh-CN"/>
        </w:rPr>
        <w:t>年回收7500t船舶废矿物油、13000t船舶生活污水、3800t船舶生活垃圾建设项目</w:t>
      </w:r>
      <w:r>
        <w:rPr>
          <w:rFonts w:hint="eastAsia" w:ascii="仿宋_GB2312" w:eastAsia="仿宋_GB2312"/>
          <w:color w:val="auto"/>
          <w:sz w:val="36"/>
          <w:szCs w:val="36"/>
          <w:u w:val="single"/>
        </w:rPr>
        <w:t xml:space="preserve">  </w:t>
      </w:r>
    </w:p>
    <w:p>
      <w:pPr>
        <w:adjustRightInd w:val="0"/>
        <w:snapToGrid w:val="0"/>
        <w:spacing w:line="288" w:lineRule="auto"/>
        <w:jc w:val="left"/>
        <w:rPr>
          <w:rFonts w:ascii="仿宋_GB2312" w:eastAsia="仿宋_GB2312"/>
          <w:color w:val="auto"/>
          <w:sz w:val="36"/>
          <w:szCs w:val="36"/>
          <w:u w:val="single"/>
        </w:rPr>
      </w:pPr>
      <w:r>
        <w:rPr>
          <w:rFonts w:hint="eastAsia" w:ascii="仿宋_GB2312" w:eastAsia="仿宋_GB2312"/>
          <w:color w:val="auto"/>
          <w:sz w:val="36"/>
          <w:szCs w:val="36"/>
        </w:rPr>
        <w:t>建设单位（盖章）：</w:t>
      </w:r>
      <w:r>
        <w:rPr>
          <w:rFonts w:hint="eastAsia" w:ascii="仿宋_GB2312" w:eastAsia="仿宋_GB2312"/>
          <w:color w:val="auto"/>
          <w:sz w:val="36"/>
          <w:szCs w:val="36"/>
          <w:u w:val="single"/>
        </w:rPr>
        <w:t xml:space="preserve"> </w:t>
      </w:r>
      <w:r>
        <w:rPr>
          <w:rFonts w:hint="eastAsia" w:ascii="仿宋_GB2312" w:eastAsia="仿宋_GB2312"/>
          <w:color w:val="auto"/>
          <w:sz w:val="36"/>
          <w:szCs w:val="36"/>
          <w:u w:val="single"/>
          <w:lang w:val="en-US" w:eastAsia="zh-CN"/>
        </w:rPr>
        <w:t xml:space="preserve"> 湖南捷凯环保科技有限公司 </w:t>
      </w:r>
      <w:r>
        <w:rPr>
          <w:rFonts w:hint="eastAsia" w:ascii="仿宋_GB2312" w:eastAsia="仿宋_GB2312"/>
          <w:color w:val="auto"/>
          <w:sz w:val="36"/>
          <w:szCs w:val="36"/>
          <w:u w:val="single"/>
        </w:rPr>
        <w:t xml:space="preserve"> </w:t>
      </w:r>
    </w:p>
    <w:p>
      <w:pPr>
        <w:adjustRightInd w:val="0"/>
        <w:snapToGrid w:val="0"/>
        <w:spacing w:line="288" w:lineRule="auto"/>
        <w:jc w:val="left"/>
        <w:rPr>
          <w:rFonts w:hint="eastAsia" w:ascii="仿宋_GB2312" w:eastAsia="仿宋_GB2312"/>
          <w:color w:val="auto"/>
          <w:sz w:val="36"/>
          <w:szCs w:val="36"/>
          <w:u w:val="single"/>
        </w:rPr>
      </w:pPr>
      <w:r>
        <w:rPr>
          <w:rFonts w:hint="eastAsia" w:ascii="仿宋_GB2312" w:eastAsia="仿宋_GB2312"/>
          <w:color w:val="auto"/>
          <w:sz w:val="36"/>
          <w:szCs w:val="36"/>
        </w:rPr>
        <w:t>编制日期：</w:t>
      </w:r>
      <w:r>
        <w:rPr>
          <w:rFonts w:hint="eastAsia" w:ascii="仿宋_GB2312" w:eastAsia="仿宋_GB2312"/>
          <w:color w:val="auto"/>
          <w:sz w:val="36"/>
          <w:szCs w:val="36"/>
          <w:u w:val="single"/>
        </w:rPr>
        <w:t xml:space="preserve"> </w:t>
      </w:r>
      <w:r>
        <w:rPr>
          <w:rFonts w:ascii="仿宋_GB2312" w:eastAsia="仿宋_GB2312"/>
          <w:color w:val="auto"/>
          <w:sz w:val="36"/>
          <w:szCs w:val="36"/>
          <w:u w:val="single"/>
        </w:rPr>
        <w:t xml:space="preserve">   </w:t>
      </w:r>
      <w:r>
        <w:rPr>
          <w:rFonts w:hint="eastAsia" w:ascii="仿宋_GB2312" w:eastAsia="仿宋_GB2312"/>
          <w:color w:val="auto"/>
          <w:sz w:val="36"/>
          <w:szCs w:val="36"/>
          <w:u w:val="single"/>
          <w:lang w:val="en-US" w:eastAsia="zh-CN"/>
        </w:rPr>
        <w:t xml:space="preserve">      二零二一年七月 </w:t>
      </w:r>
      <w:r>
        <w:rPr>
          <w:rFonts w:ascii="仿宋_GB2312" w:eastAsia="仿宋_GB2312"/>
          <w:color w:val="auto"/>
          <w:sz w:val="36"/>
          <w:szCs w:val="36"/>
          <w:u w:val="single"/>
        </w:rPr>
        <w:t xml:space="preserve">    </w:t>
      </w:r>
      <w:r>
        <w:rPr>
          <w:rFonts w:hint="eastAsia" w:ascii="仿宋_GB2312" w:eastAsia="仿宋_GB2312"/>
          <w:color w:val="auto"/>
          <w:sz w:val="36"/>
          <w:szCs w:val="36"/>
          <w:u w:val="single"/>
          <w:lang w:val="en-US" w:eastAsia="zh-CN"/>
        </w:rPr>
        <w:t xml:space="preserve">    </w:t>
      </w:r>
      <w:r>
        <w:rPr>
          <w:rFonts w:ascii="仿宋_GB2312" w:eastAsia="仿宋_GB2312"/>
          <w:color w:val="auto"/>
          <w:sz w:val="36"/>
          <w:szCs w:val="36"/>
          <w:u w:val="single"/>
        </w:rPr>
        <w:t xml:space="preserve"> </w:t>
      </w:r>
      <w:r>
        <w:rPr>
          <w:rFonts w:hint="eastAsia" w:ascii="仿宋_GB2312" w:eastAsia="仿宋_GB2312"/>
          <w:color w:val="auto"/>
          <w:sz w:val="36"/>
          <w:szCs w:val="36"/>
          <w:u w:val="single"/>
          <w:lang w:val="en-US" w:eastAsia="zh-CN"/>
        </w:rPr>
        <w:t xml:space="preserve"> </w:t>
      </w:r>
    </w:p>
    <w:p>
      <w:pPr>
        <w:adjustRightInd w:val="0"/>
        <w:snapToGrid w:val="0"/>
        <w:spacing w:line="288" w:lineRule="auto"/>
        <w:ind w:firstLine="1040"/>
        <w:rPr>
          <w:rFonts w:ascii="仿宋_GB2312" w:eastAsia="仿宋_GB2312"/>
          <w:color w:val="auto"/>
          <w:sz w:val="36"/>
          <w:szCs w:val="36"/>
          <w:u w:val="single"/>
        </w:rPr>
      </w:pPr>
      <w:bookmarkStart w:id="3" w:name="_Hlk57884087"/>
    </w:p>
    <w:p>
      <w:pPr>
        <w:adjustRightInd w:val="0"/>
        <w:snapToGrid w:val="0"/>
        <w:spacing w:line="288" w:lineRule="auto"/>
        <w:ind w:firstLine="1040"/>
        <w:rPr>
          <w:rFonts w:ascii="仿宋_GB2312" w:eastAsia="仿宋_GB2312"/>
          <w:color w:val="auto"/>
          <w:sz w:val="36"/>
          <w:szCs w:val="36"/>
        </w:rPr>
      </w:pPr>
    </w:p>
    <w:p>
      <w:pPr>
        <w:adjustRightInd w:val="0"/>
        <w:snapToGrid w:val="0"/>
        <w:spacing w:line="288" w:lineRule="auto"/>
        <w:ind w:firstLine="1040"/>
        <w:rPr>
          <w:rFonts w:ascii="仿宋_GB2312" w:eastAsia="仿宋_GB2312"/>
          <w:color w:val="auto"/>
          <w:sz w:val="36"/>
          <w:szCs w:val="36"/>
        </w:rPr>
      </w:pPr>
    </w:p>
    <w:p>
      <w:pPr>
        <w:adjustRightInd w:val="0"/>
        <w:snapToGrid w:val="0"/>
        <w:spacing w:line="288" w:lineRule="auto"/>
        <w:ind w:firstLine="1040"/>
        <w:rPr>
          <w:rFonts w:hint="eastAsia" w:ascii="仿宋_GB2312" w:eastAsia="仿宋_GB2312"/>
          <w:color w:val="auto"/>
          <w:sz w:val="36"/>
          <w:szCs w:val="36"/>
        </w:rPr>
      </w:pPr>
    </w:p>
    <w:p>
      <w:pPr>
        <w:adjustRightInd w:val="0"/>
        <w:snapToGrid w:val="0"/>
        <w:spacing w:line="288" w:lineRule="auto"/>
        <w:ind w:firstLine="1040"/>
        <w:rPr>
          <w:rFonts w:hint="eastAsia" w:ascii="仿宋_GB2312" w:eastAsia="仿宋_GB2312"/>
          <w:color w:val="auto"/>
          <w:sz w:val="36"/>
          <w:szCs w:val="36"/>
        </w:rPr>
      </w:pPr>
    </w:p>
    <w:bookmarkEnd w:id="3"/>
    <w:p>
      <w:pPr>
        <w:adjustRightInd w:val="0"/>
        <w:snapToGrid w:val="0"/>
        <w:spacing w:line="288" w:lineRule="auto"/>
        <w:jc w:val="center"/>
        <w:rPr>
          <w:rFonts w:hint="eastAsia" w:ascii="楷体_GB2312" w:eastAsia="楷体_GB2312"/>
          <w:color w:val="0000FF"/>
          <w:sz w:val="36"/>
          <w:szCs w:val="36"/>
        </w:rPr>
      </w:pPr>
      <w:r>
        <w:rPr>
          <w:rFonts w:hint="eastAsia" w:ascii="楷体_GB2312" w:eastAsia="楷体_GB2312"/>
          <w:color w:val="auto"/>
          <w:sz w:val="36"/>
          <w:szCs w:val="36"/>
        </w:rPr>
        <w:t>中华人民共和国生态环境部制</w:t>
      </w:r>
    </w:p>
    <w:p>
      <w:pPr>
        <w:adjustRightInd w:val="0"/>
        <w:snapToGrid w:val="0"/>
        <w:spacing w:line="288" w:lineRule="auto"/>
        <w:ind w:firstLine="1040"/>
        <w:rPr>
          <w:rFonts w:ascii="仿宋_GB2312" w:eastAsia="仿宋_GB2312"/>
          <w:color w:val="0000FF"/>
          <w:sz w:val="36"/>
          <w:szCs w:val="36"/>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pPr>
        <w:pStyle w:val="14"/>
        <w:jc w:val="center"/>
        <w:outlineLvl w:val="0"/>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r>
        <w:drawing>
          <wp:inline distT="0" distB="0" distL="114300" distR="114300">
            <wp:extent cx="5543550" cy="7439025"/>
            <wp:effectExtent l="0" t="0" r="0" b="9525"/>
            <wp:docPr id="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pic:cNvPicPr>
                      <a:picLocks noChangeAspect="1"/>
                    </pic:cNvPicPr>
                  </pic:nvPicPr>
                  <pic:blipFill>
                    <a:blip r:embed="rId11"/>
                    <a:stretch>
                      <a:fillRect/>
                    </a:stretch>
                  </pic:blipFill>
                  <pic:spPr>
                    <a:xfrm>
                      <a:off x="0" y="0"/>
                      <a:ext cx="5543550" cy="7439025"/>
                    </a:xfrm>
                    <a:prstGeom prst="rect">
                      <a:avLst/>
                    </a:prstGeom>
                    <a:noFill/>
                    <a:ln>
                      <a:noFill/>
                    </a:ln>
                  </pic:spPr>
                </pic:pic>
              </a:graphicData>
            </a:graphic>
          </wp:inline>
        </w:drawing>
      </w:r>
    </w:p>
    <w:p>
      <w:pPr>
        <w:pStyle w:val="14"/>
        <w:jc w:val="center"/>
        <w:outlineLvl w:val="0"/>
      </w:pPr>
      <w:r>
        <w:drawing>
          <wp:inline distT="0" distB="0" distL="114300" distR="114300">
            <wp:extent cx="5614670" cy="7860030"/>
            <wp:effectExtent l="0" t="0" r="7620" b="5080"/>
            <wp:docPr id="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
                    <pic:cNvPicPr>
                      <a:picLocks noChangeAspect="1"/>
                    </pic:cNvPicPr>
                  </pic:nvPicPr>
                  <pic:blipFill>
                    <a:blip r:embed="rId12"/>
                    <a:stretch>
                      <a:fillRect/>
                    </a:stretch>
                  </pic:blipFill>
                  <pic:spPr>
                    <a:xfrm rot="5400000">
                      <a:off x="0" y="0"/>
                      <a:ext cx="5614670" cy="7860030"/>
                    </a:xfrm>
                    <a:prstGeom prst="rect">
                      <a:avLst/>
                    </a:prstGeom>
                    <a:noFill/>
                    <a:ln>
                      <a:noFill/>
                    </a:ln>
                  </pic:spPr>
                </pic:pic>
              </a:graphicData>
            </a:graphic>
          </wp:inline>
        </w:drawing>
      </w:r>
    </w:p>
    <w:p>
      <w:r>
        <w:drawing>
          <wp:inline distT="0" distB="0" distL="114300" distR="114300">
            <wp:extent cx="5019675" cy="8429625"/>
            <wp:effectExtent l="0" t="0" r="9525" b="9525"/>
            <wp:docPr id="4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
                    <pic:cNvPicPr>
                      <a:picLocks noChangeAspect="1"/>
                    </pic:cNvPicPr>
                  </pic:nvPicPr>
                  <pic:blipFill>
                    <a:blip r:embed="rId13"/>
                    <a:stretch>
                      <a:fillRect/>
                    </a:stretch>
                  </pic:blipFill>
                  <pic:spPr>
                    <a:xfrm rot="5400000">
                      <a:off x="0" y="0"/>
                      <a:ext cx="5019675" cy="8429625"/>
                    </a:xfrm>
                    <a:prstGeom prst="rect">
                      <a:avLst/>
                    </a:prstGeom>
                    <a:noFill/>
                    <a:ln>
                      <a:noFill/>
                    </a:ln>
                  </pic:spPr>
                </pic:pic>
              </a:graphicData>
            </a:graphic>
          </wp:inline>
        </w:drawing>
      </w:r>
    </w:p>
    <w:p>
      <w:pPr>
        <w:rPr>
          <w:rFonts w:hint="eastAsia"/>
          <w:lang w:val="en-US" w:eastAsia="zh-CN"/>
        </w:rPr>
      </w:pPr>
      <w:r>
        <w:rPr>
          <w:rFonts w:hint="eastAsia"/>
          <w:lang w:val="en-US" w:eastAsia="zh-CN"/>
        </w:rPr>
        <w:br w:type="page"/>
      </w:r>
    </w:p>
    <w:p>
      <w:r>
        <w:drawing>
          <wp:inline distT="0" distB="0" distL="114300" distR="114300">
            <wp:extent cx="3241675" cy="8526780"/>
            <wp:effectExtent l="0" t="0" r="7620" b="15875"/>
            <wp:docPr id="4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
                    <pic:cNvPicPr>
                      <a:picLocks noChangeAspect="1"/>
                    </pic:cNvPicPr>
                  </pic:nvPicPr>
                  <pic:blipFill>
                    <a:blip r:embed="rId14"/>
                    <a:stretch>
                      <a:fillRect/>
                    </a:stretch>
                  </pic:blipFill>
                  <pic:spPr>
                    <a:xfrm rot="5400000">
                      <a:off x="0" y="0"/>
                      <a:ext cx="3241675" cy="8526780"/>
                    </a:xfrm>
                    <a:prstGeom prst="rect">
                      <a:avLst/>
                    </a:prstGeom>
                    <a:noFill/>
                    <a:ln>
                      <a:noFill/>
                    </a:ln>
                  </pic:spPr>
                </pic:pic>
              </a:graphicData>
            </a:graphic>
          </wp:inline>
        </w:drawing>
      </w:r>
      <w:r>
        <w:br w:type="page"/>
      </w:r>
    </w:p>
    <w:p>
      <w:pPr>
        <w:pStyle w:val="14"/>
        <w:jc w:val="center"/>
        <w:outlineLvl w:val="0"/>
        <w:sectPr>
          <w:pgSz w:w="16838" w:h="11906" w:orient="landscape"/>
          <w:pgMar w:top="1531" w:right="1701" w:bottom="1531" w:left="1701" w:header="851" w:footer="1077" w:gutter="0"/>
          <w:pgBorders>
            <w:top w:val="none" w:sz="0" w:space="0"/>
            <w:left w:val="none" w:sz="0" w:space="0"/>
            <w:bottom w:val="none" w:sz="0" w:space="0"/>
            <w:right w:val="none" w:sz="0" w:space="0"/>
          </w:pgBorders>
          <w:pgNumType w:start="1"/>
          <w:cols w:space="720" w:num="1"/>
          <w:docGrid w:linePitch="312" w:charSpace="0"/>
        </w:sectPr>
      </w:pPr>
    </w:p>
    <w:p>
      <w:pPr>
        <w:pStyle w:val="14"/>
        <w:jc w:val="center"/>
        <w:outlineLvl w:val="0"/>
        <w:sectPr>
          <w:footerReference r:id="rId6"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r>
        <w:drawing>
          <wp:inline distT="0" distB="0" distL="114300" distR="114300">
            <wp:extent cx="5438775" cy="5238750"/>
            <wp:effectExtent l="0" t="0" r="9525" b="0"/>
            <wp:docPr id="4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5"/>
                    <pic:cNvPicPr>
                      <a:picLocks noChangeAspect="1"/>
                    </pic:cNvPicPr>
                  </pic:nvPicPr>
                  <pic:blipFill>
                    <a:blip r:embed="rId15"/>
                    <a:stretch>
                      <a:fillRect/>
                    </a:stretch>
                  </pic:blipFill>
                  <pic:spPr>
                    <a:xfrm>
                      <a:off x="0" y="0"/>
                      <a:ext cx="5438775" cy="523875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color w:val="auto"/>
          <w:sz w:val="28"/>
          <w:szCs w:val="28"/>
          <w:lang w:eastAsia="zh-CN"/>
        </w:rPr>
      </w:pPr>
      <w:r>
        <w:rPr>
          <w:rFonts w:hint="default" w:ascii="Times New Roman" w:hAnsi="Times New Roman" w:eastAsia="宋体" w:cs="Times New Roman"/>
          <w:b/>
          <w:color w:val="auto"/>
          <w:sz w:val="28"/>
          <w:szCs w:val="28"/>
          <w:lang w:eastAsia="zh-CN"/>
        </w:rPr>
        <w:t>《</w:t>
      </w:r>
      <w:r>
        <w:rPr>
          <w:rFonts w:hint="default" w:ascii="Times New Roman" w:hAnsi="Times New Roman" w:eastAsia="宋体" w:cs="Times New Roman"/>
          <w:b/>
          <w:color w:val="auto"/>
          <w:sz w:val="28"/>
          <w:szCs w:val="28"/>
          <w:lang w:val="en-US" w:eastAsia="zh-CN"/>
        </w:rPr>
        <w:t>湖南捷凯环保科技有限公司</w:t>
      </w:r>
      <w:r>
        <w:rPr>
          <w:rFonts w:hint="default" w:ascii="Times New Roman" w:hAnsi="Times New Roman" w:eastAsia="宋体" w:cs="Times New Roman"/>
          <w:b/>
          <w:color w:val="auto"/>
          <w:sz w:val="28"/>
          <w:szCs w:val="28"/>
          <w:lang w:eastAsia="zh-CN"/>
        </w:rPr>
        <w:t>年回收7500t船舶废矿物油、13000t船舶生活污水、3800t船舶生活垃圾建设项目》</w:t>
      </w:r>
    </w:p>
    <w:p>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lang w:eastAsia="zh-CN"/>
        </w:rPr>
        <w:t>专家函审意见</w:t>
      </w:r>
      <w:r>
        <w:rPr>
          <w:rFonts w:hint="default" w:ascii="Times New Roman" w:hAnsi="Times New Roman" w:eastAsia="宋体" w:cs="Times New Roman"/>
          <w:b/>
          <w:color w:val="auto"/>
          <w:sz w:val="28"/>
          <w:szCs w:val="28"/>
        </w:rPr>
        <w:t>修改说明</w:t>
      </w:r>
    </w:p>
    <w:tbl>
      <w:tblPr>
        <w:tblStyle w:val="18"/>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27"/>
        <w:gridCol w:w="3407"/>
        <w:gridCol w:w="3305"/>
        <w:gridCol w:w="133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54" w:hRule="atLeast"/>
          <w:jc w:val="center"/>
        </w:trPr>
        <w:tc>
          <w:tcPr>
            <w:tcW w:w="72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trike w:val="0"/>
                <w:dstrike w:val="0"/>
                <w:color w:val="auto"/>
                <w:sz w:val="24"/>
                <w:u w:val="none"/>
                <w:lang w:eastAsia="zh-CN"/>
              </w:rPr>
            </w:pPr>
            <w:r>
              <w:rPr>
                <w:rFonts w:hint="default" w:ascii="Times New Roman" w:hAnsi="Times New Roman" w:eastAsia="宋体" w:cs="Times New Roman"/>
                <w:b/>
                <w:bCs/>
                <w:strike w:val="0"/>
                <w:dstrike w:val="0"/>
                <w:color w:val="auto"/>
                <w:sz w:val="24"/>
                <w:u w:val="none"/>
                <w:lang w:eastAsia="zh-CN"/>
              </w:rPr>
              <w:t>序号</w:t>
            </w:r>
          </w:p>
        </w:tc>
        <w:tc>
          <w:tcPr>
            <w:tcW w:w="34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trike w:val="0"/>
                <w:dstrike w:val="0"/>
                <w:color w:val="auto"/>
                <w:sz w:val="24"/>
                <w:u w:val="none"/>
                <w:lang w:eastAsia="zh-CN"/>
              </w:rPr>
            </w:pPr>
            <w:r>
              <w:rPr>
                <w:rFonts w:hint="default" w:ascii="Times New Roman" w:hAnsi="Times New Roman" w:eastAsia="宋体" w:cs="Times New Roman"/>
                <w:b/>
                <w:bCs/>
                <w:strike w:val="0"/>
                <w:dstrike w:val="0"/>
                <w:color w:val="auto"/>
                <w:sz w:val="24"/>
                <w:u w:val="none"/>
                <w:lang w:eastAsia="zh-CN"/>
              </w:rPr>
              <w:t>函审意见</w:t>
            </w:r>
          </w:p>
        </w:tc>
        <w:tc>
          <w:tcPr>
            <w:tcW w:w="330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trike w:val="0"/>
                <w:dstrike w:val="0"/>
                <w:color w:val="auto"/>
                <w:sz w:val="24"/>
                <w:u w:val="none"/>
                <w:lang w:eastAsia="zh-CN"/>
              </w:rPr>
            </w:pPr>
            <w:r>
              <w:rPr>
                <w:rFonts w:hint="default" w:ascii="Times New Roman" w:hAnsi="Times New Roman" w:eastAsia="宋体" w:cs="Times New Roman"/>
                <w:b/>
                <w:bCs/>
                <w:strike w:val="0"/>
                <w:dstrike w:val="0"/>
                <w:color w:val="auto"/>
                <w:sz w:val="24"/>
                <w:u w:val="none"/>
                <w:lang w:eastAsia="zh-CN"/>
              </w:rPr>
              <w:t>修改说明</w:t>
            </w:r>
          </w:p>
        </w:tc>
        <w:tc>
          <w:tcPr>
            <w:tcW w:w="10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trike w:val="0"/>
                <w:dstrike w:val="0"/>
                <w:color w:val="auto"/>
                <w:sz w:val="24"/>
                <w:highlight w:val="none"/>
                <w:u w:val="none"/>
                <w:lang w:eastAsia="zh-CN"/>
              </w:rPr>
            </w:pPr>
            <w:r>
              <w:rPr>
                <w:rFonts w:hint="default" w:ascii="Times New Roman" w:hAnsi="Times New Roman" w:eastAsia="宋体" w:cs="Times New Roman"/>
                <w:b/>
                <w:bCs/>
                <w:strike w:val="0"/>
                <w:dstrike w:val="0"/>
                <w:color w:val="auto"/>
                <w:sz w:val="24"/>
                <w:highlight w:val="none"/>
                <w:u w:val="none"/>
                <w:lang w:eastAsia="zh-CN"/>
              </w:rPr>
              <w:t>索引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trike w:val="0"/>
                <w:dstrike w:val="0"/>
                <w:color w:val="auto"/>
                <w:sz w:val="24"/>
                <w:u w:val="none"/>
                <w:lang w:val="en-US" w:eastAsia="zh-CN"/>
              </w:rPr>
            </w:pPr>
            <w:r>
              <w:rPr>
                <w:rFonts w:hint="default" w:ascii="Times New Roman" w:hAnsi="Times New Roman" w:eastAsia="宋体" w:cs="Times New Roman"/>
                <w:strike w:val="0"/>
                <w:dstrike w:val="0"/>
                <w:color w:val="auto"/>
                <w:sz w:val="24"/>
                <w:u w:val="none"/>
                <w:lang w:val="en-US" w:eastAsia="zh-CN"/>
              </w:rPr>
              <w:t>1</w:t>
            </w:r>
          </w:p>
        </w:tc>
        <w:tc>
          <w:tcPr>
            <w:tcW w:w="34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trike w:val="0"/>
                <w:dstrike w:val="0"/>
                <w:color w:val="auto"/>
                <w:sz w:val="24"/>
                <w:u w:val="none"/>
                <w:lang w:val="en-US" w:eastAsia="zh-CN"/>
              </w:rPr>
            </w:pPr>
            <w:r>
              <w:rPr>
                <w:rFonts w:hint="eastAsia" w:ascii="Times New Roman" w:hAnsi="Times New Roman" w:cs="Times New Roman"/>
                <w:strike w:val="0"/>
                <w:dstrike w:val="0"/>
                <w:color w:val="auto"/>
                <w:sz w:val="24"/>
                <w:u w:val="none"/>
                <w:lang w:val="en-US" w:eastAsia="zh-CN"/>
              </w:rPr>
              <w:t>校核行业类别，细化项目由来及建设内容，分项核实项目规模，校核项目主要生产设备一览表。</w:t>
            </w:r>
          </w:p>
        </w:tc>
        <w:tc>
          <w:tcPr>
            <w:tcW w:w="330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trike w:val="0"/>
                <w:dstrike w:val="0"/>
                <w:color w:val="auto"/>
                <w:sz w:val="24"/>
                <w:u w:val="none"/>
                <w:lang w:val="en-US" w:eastAsia="zh-CN"/>
              </w:rPr>
            </w:pPr>
            <w:r>
              <w:rPr>
                <w:rFonts w:hint="eastAsia" w:ascii="Times New Roman" w:hAnsi="Times New Roman" w:eastAsia="宋体" w:cs="Times New Roman"/>
                <w:strike w:val="0"/>
                <w:dstrike w:val="0"/>
                <w:color w:val="auto"/>
                <w:sz w:val="24"/>
                <w:u w:val="none"/>
                <w:lang w:val="en-US" w:eastAsia="zh-CN"/>
              </w:rPr>
              <w:t>已</w:t>
            </w:r>
            <w:r>
              <w:rPr>
                <w:rFonts w:hint="eastAsia" w:ascii="Times New Roman" w:hAnsi="Times New Roman" w:cs="Times New Roman"/>
                <w:strike w:val="0"/>
                <w:dstrike w:val="0"/>
                <w:color w:val="auto"/>
                <w:sz w:val="24"/>
                <w:u w:val="none"/>
                <w:lang w:val="en-US" w:eastAsia="zh-CN"/>
              </w:rPr>
              <w:t>校核、已细化、已核实、已校核</w:t>
            </w:r>
          </w:p>
        </w:tc>
        <w:tc>
          <w:tcPr>
            <w:tcW w:w="10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trike w:val="0"/>
                <w:dstrike w:val="0"/>
                <w:color w:val="auto"/>
                <w:sz w:val="24"/>
                <w:highlight w:val="none"/>
                <w:u w:val="none"/>
                <w:lang w:val="en-US" w:eastAsia="zh-CN"/>
              </w:rPr>
            </w:pPr>
            <w:r>
              <w:rPr>
                <w:rFonts w:hint="eastAsia" w:ascii="Times New Roman" w:hAnsi="Times New Roman" w:cs="Times New Roman"/>
                <w:strike w:val="0"/>
                <w:dstrike w:val="0"/>
                <w:color w:val="auto"/>
                <w:sz w:val="24"/>
                <w:highlight w:val="none"/>
                <w:u w:val="none"/>
                <w:lang w:val="en-US" w:eastAsia="zh-CN"/>
              </w:rPr>
              <w:t>P1、P4、P6、P7~P19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trike w:val="0"/>
                <w:dstrike w:val="0"/>
                <w:color w:val="auto"/>
                <w:sz w:val="24"/>
                <w:u w:val="none"/>
                <w:lang w:val="en-US" w:eastAsia="zh-CN"/>
              </w:rPr>
            </w:pPr>
            <w:r>
              <w:rPr>
                <w:rFonts w:hint="default" w:ascii="Times New Roman" w:hAnsi="Times New Roman" w:eastAsia="宋体" w:cs="Times New Roman"/>
                <w:strike w:val="0"/>
                <w:dstrike w:val="0"/>
                <w:color w:val="auto"/>
                <w:sz w:val="24"/>
                <w:u w:val="none"/>
                <w:lang w:val="en-US" w:eastAsia="zh-CN"/>
              </w:rPr>
              <w:t>2</w:t>
            </w:r>
          </w:p>
        </w:tc>
        <w:tc>
          <w:tcPr>
            <w:tcW w:w="34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trike w:val="0"/>
                <w:dstrike w:val="0"/>
                <w:color w:val="auto"/>
                <w:sz w:val="24"/>
                <w:u w:val="none"/>
                <w:lang w:val="en-US" w:eastAsia="zh-CN"/>
              </w:rPr>
            </w:pPr>
            <w:r>
              <w:rPr>
                <w:rFonts w:hint="eastAsia" w:ascii="Times New Roman" w:hAnsi="Times New Roman" w:cs="Times New Roman"/>
                <w:strike w:val="0"/>
                <w:dstrike w:val="0"/>
                <w:color w:val="auto"/>
                <w:sz w:val="24"/>
                <w:u w:val="none"/>
                <w:lang w:val="en-US" w:eastAsia="zh-CN"/>
              </w:rPr>
              <w:t>校核生态环境现状情况，补充完善生态环境保护目标，补充收集地表水环境质量现状数据。</w:t>
            </w:r>
          </w:p>
        </w:tc>
        <w:tc>
          <w:tcPr>
            <w:tcW w:w="330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trike w:val="0"/>
                <w:dstrike w:val="0"/>
                <w:color w:val="auto"/>
                <w:sz w:val="24"/>
                <w:u w:val="none"/>
                <w:lang w:val="en-US" w:eastAsia="zh-CN"/>
              </w:rPr>
            </w:pPr>
            <w:r>
              <w:rPr>
                <w:rFonts w:hint="eastAsia" w:ascii="Times New Roman" w:hAnsi="Times New Roman" w:eastAsia="宋体" w:cs="Times New Roman"/>
                <w:strike w:val="0"/>
                <w:dstrike w:val="0"/>
                <w:color w:val="auto"/>
                <w:sz w:val="24"/>
                <w:u w:val="none"/>
                <w:lang w:val="en-US" w:eastAsia="zh-CN"/>
              </w:rPr>
              <w:t>已</w:t>
            </w:r>
            <w:r>
              <w:rPr>
                <w:rFonts w:hint="eastAsia" w:ascii="Times New Roman" w:hAnsi="Times New Roman" w:cs="Times New Roman"/>
                <w:strike w:val="0"/>
                <w:dstrike w:val="0"/>
                <w:color w:val="auto"/>
                <w:sz w:val="24"/>
                <w:u w:val="none"/>
                <w:lang w:val="en-US" w:eastAsia="zh-CN"/>
              </w:rPr>
              <w:t>校核，已补充，已补充</w:t>
            </w:r>
          </w:p>
        </w:tc>
        <w:tc>
          <w:tcPr>
            <w:tcW w:w="10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trike w:val="0"/>
                <w:dstrike w:val="0"/>
                <w:color w:val="auto"/>
                <w:sz w:val="24"/>
                <w:highlight w:val="none"/>
                <w:u w:val="none"/>
                <w:lang w:val="en-US" w:eastAsia="zh-CN"/>
              </w:rPr>
            </w:pPr>
            <w:r>
              <w:rPr>
                <w:rFonts w:hint="eastAsia" w:ascii="Times New Roman" w:hAnsi="Times New Roman" w:cs="Times New Roman"/>
                <w:strike w:val="0"/>
                <w:dstrike w:val="0"/>
                <w:color w:val="auto"/>
                <w:sz w:val="24"/>
                <w:highlight w:val="none"/>
                <w:u w:val="none"/>
                <w:lang w:val="en-US" w:eastAsia="zh-CN"/>
              </w:rPr>
              <w:t>P25~P27、P27~P28、P24~P25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trike w:val="0"/>
                <w:dstrike w:val="0"/>
                <w:color w:val="auto"/>
                <w:sz w:val="24"/>
                <w:u w:val="none"/>
                <w:lang w:val="en-US" w:eastAsia="zh-CN"/>
              </w:rPr>
            </w:pPr>
            <w:r>
              <w:rPr>
                <w:rFonts w:hint="eastAsia" w:ascii="Times New Roman" w:hAnsi="Times New Roman" w:eastAsia="宋体" w:cs="Times New Roman"/>
                <w:strike w:val="0"/>
                <w:dstrike w:val="0"/>
                <w:color w:val="auto"/>
                <w:sz w:val="24"/>
                <w:u w:val="none"/>
                <w:lang w:val="en-US" w:eastAsia="zh-CN"/>
              </w:rPr>
              <w:t>3</w:t>
            </w:r>
          </w:p>
        </w:tc>
        <w:tc>
          <w:tcPr>
            <w:tcW w:w="34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trike w:val="0"/>
                <w:dstrike w:val="0"/>
                <w:color w:val="auto"/>
                <w:sz w:val="24"/>
                <w:u w:val="none"/>
                <w:lang w:val="en-US" w:eastAsia="zh-CN"/>
              </w:rPr>
            </w:pPr>
            <w:r>
              <w:rPr>
                <w:rFonts w:hint="eastAsia" w:ascii="Times New Roman" w:hAnsi="Times New Roman" w:cs="Times New Roman"/>
                <w:strike w:val="0"/>
                <w:dstrike w:val="0"/>
                <w:color w:val="auto"/>
                <w:sz w:val="24"/>
                <w:u w:val="none"/>
                <w:lang w:val="en-US" w:eastAsia="zh-CN"/>
              </w:rPr>
              <w:t>校核生产工艺流程图，核实产排污系数，细化各类废物收集范围、收集频次及防污措施，强化大气污染物防治措施的可行性分析；明确转运驳接区域范围，补充作业码头建设污染防治要求。</w:t>
            </w:r>
          </w:p>
        </w:tc>
        <w:tc>
          <w:tcPr>
            <w:tcW w:w="330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trike w:val="0"/>
                <w:dstrike w:val="0"/>
                <w:color w:val="auto"/>
                <w:sz w:val="24"/>
                <w:u w:val="none"/>
                <w:lang w:val="en-US" w:eastAsia="zh-CN"/>
              </w:rPr>
            </w:pPr>
            <w:r>
              <w:rPr>
                <w:rFonts w:hint="eastAsia" w:ascii="Times New Roman" w:hAnsi="Times New Roman" w:eastAsia="宋体" w:cs="Times New Roman"/>
                <w:strike w:val="0"/>
                <w:dstrike w:val="0"/>
                <w:color w:val="auto"/>
                <w:sz w:val="24"/>
                <w:u w:val="none"/>
                <w:lang w:val="en-US" w:eastAsia="zh-CN"/>
              </w:rPr>
              <w:t>已</w:t>
            </w:r>
            <w:r>
              <w:rPr>
                <w:rFonts w:hint="eastAsia" w:ascii="Times New Roman" w:hAnsi="Times New Roman" w:cs="Times New Roman"/>
                <w:strike w:val="0"/>
                <w:dstrike w:val="0"/>
                <w:color w:val="auto"/>
                <w:sz w:val="24"/>
                <w:u w:val="none"/>
                <w:lang w:val="en-US" w:eastAsia="zh-CN"/>
              </w:rPr>
              <w:t>校核，已核实，已细化，已强化，已明确，已补充</w:t>
            </w:r>
          </w:p>
        </w:tc>
        <w:tc>
          <w:tcPr>
            <w:tcW w:w="10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trike w:val="0"/>
                <w:dstrike w:val="0"/>
                <w:color w:val="auto"/>
                <w:sz w:val="24"/>
                <w:highlight w:val="none"/>
                <w:u w:val="none"/>
                <w:lang w:val="en-US" w:eastAsia="zh-CN"/>
              </w:rPr>
            </w:pPr>
            <w:r>
              <w:rPr>
                <w:rFonts w:hint="eastAsia" w:ascii="Times New Roman" w:hAnsi="Times New Roman" w:cs="Times New Roman"/>
                <w:strike w:val="0"/>
                <w:dstrike w:val="0"/>
                <w:color w:val="auto"/>
                <w:sz w:val="24"/>
                <w:highlight w:val="none"/>
                <w:u w:val="none"/>
                <w:lang w:val="en-US" w:eastAsia="zh-CN"/>
              </w:rPr>
              <w:t>P21、P31~P32、P31~P33、P38~P47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trike w:val="0"/>
                <w:dstrike w:val="0"/>
                <w:color w:val="auto"/>
                <w:sz w:val="24"/>
                <w:u w:val="none"/>
                <w:lang w:val="en-US" w:eastAsia="zh-CN"/>
              </w:rPr>
            </w:pPr>
            <w:r>
              <w:rPr>
                <w:rFonts w:hint="eastAsia" w:ascii="Times New Roman" w:hAnsi="Times New Roman" w:eastAsia="宋体" w:cs="Times New Roman"/>
                <w:strike w:val="0"/>
                <w:dstrike w:val="0"/>
                <w:color w:val="auto"/>
                <w:sz w:val="24"/>
                <w:u w:val="none"/>
                <w:lang w:val="en-US" w:eastAsia="zh-CN"/>
              </w:rPr>
              <w:t>4</w:t>
            </w:r>
          </w:p>
        </w:tc>
        <w:tc>
          <w:tcPr>
            <w:tcW w:w="34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trike w:val="0"/>
                <w:dstrike w:val="0"/>
                <w:color w:val="auto"/>
                <w:sz w:val="24"/>
                <w:u w:val="none"/>
                <w:lang w:val="en-US" w:eastAsia="zh-CN"/>
              </w:rPr>
            </w:pPr>
            <w:r>
              <w:rPr>
                <w:rFonts w:hint="eastAsia" w:ascii="Times New Roman" w:hAnsi="Times New Roman" w:cs="Times New Roman"/>
                <w:strike w:val="0"/>
                <w:dstrike w:val="0"/>
                <w:color w:val="auto"/>
                <w:sz w:val="24"/>
                <w:u w:val="none"/>
                <w:lang w:val="en-US" w:eastAsia="zh-CN"/>
              </w:rPr>
              <w:t>补充船舶租赁协议、海事局同意使用作业码头的意见和生活污水处理协议。</w:t>
            </w:r>
          </w:p>
        </w:tc>
        <w:tc>
          <w:tcPr>
            <w:tcW w:w="330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trike w:val="0"/>
                <w:dstrike w:val="0"/>
                <w:color w:val="auto"/>
                <w:sz w:val="24"/>
                <w:u w:val="none"/>
                <w:lang w:val="en-US" w:eastAsia="zh-CN"/>
              </w:rPr>
            </w:pPr>
            <w:r>
              <w:rPr>
                <w:rFonts w:hint="eastAsia" w:ascii="Times New Roman" w:hAnsi="Times New Roman" w:eastAsia="宋体" w:cs="Times New Roman"/>
                <w:strike w:val="0"/>
                <w:dstrike w:val="0"/>
                <w:color w:val="auto"/>
                <w:sz w:val="24"/>
                <w:u w:val="none"/>
                <w:lang w:val="en-US" w:eastAsia="zh-CN"/>
              </w:rPr>
              <w:t>已补充</w:t>
            </w:r>
          </w:p>
        </w:tc>
        <w:tc>
          <w:tcPr>
            <w:tcW w:w="10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trike w:val="0"/>
                <w:dstrike w:val="0"/>
                <w:color w:val="auto"/>
                <w:sz w:val="24"/>
                <w:highlight w:val="none"/>
                <w:u w:val="none"/>
                <w:lang w:val="en-US" w:eastAsia="zh-CN"/>
              </w:rPr>
            </w:pPr>
            <w:r>
              <w:rPr>
                <w:rFonts w:hint="eastAsia" w:ascii="Times New Roman" w:hAnsi="Times New Roman" w:cs="Times New Roman"/>
                <w:strike w:val="0"/>
                <w:dstrike w:val="0"/>
                <w:color w:val="auto"/>
                <w:sz w:val="24"/>
                <w:highlight w:val="none"/>
                <w:u w:val="none"/>
                <w:lang w:val="en-US" w:eastAsia="zh-CN"/>
              </w:rPr>
              <w:t>附件八、附件九、附件十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trike w:val="0"/>
                <w:dstrike w:val="0"/>
                <w:color w:val="auto"/>
                <w:sz w:val="24"/>
                <w:u w:val="none"/>
                <w:lang w:val="en-US" w:eastAsia="zh-CN"/>
              </w:rPr>
            </w:pPr>
            <w:r>
              <w:rPr>
                <w:rFonts w:hint="eastAsia" w:ascii="Times New Roman" w:hAnsi="Times New Roman" w:eastAsia="宋体" w:cs="Times New Roman"/>
                <w:strike w:val="0"/>
                <w:dstrike w:val="0"/>
                <w:color w:val="auto"/>
                <w:sz w:val="24"/>
                <w:u w:val="none"/>
                <w:lang w:val="en-US" w:eastAsia="zh-CN"/>
              </w:rPr>
              <w:t>5</w:t>
            </w:r>
          </w:p>
        </w:tc>
        <w:tc>
          <w:tcPr>
            <w:tcW w:w="34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trike w:val="0"/>
                <w:dstrike w:val="0"/>
                <w:color w:val="auto"/>
                <w:sz w:val="24"/>
                <w:u w:val="none"/>
                <w:lang w:val="en-US" w:eastAsia="zh-CN"/>
              </w:rPr>
            </w:pPr>
            <w:r>
              <w:rPr>
                <w:rFonts w:hint="eastAsia" w:ascii="Times New Roman" w:hAnsi="Times New Roman" w:cs="Times New Roman"/>
                <w:strike w:val="0"/>
                <w:dstrike w:val="0"/>
                <w:color w:val="auto"/>
                <w:sz w:val="24"/>
                <w:u w:val="none"/>
                <w:lang w:val="en-US" w:eastAsia="zh-CN"/>
              </w:rPr>
              <w:t>核实各类固废数量、属性和暂存要求，补充分析油水分离器废过滤器产生量；强化水上作业及码头转运风险防范措施。</w:t>
            </w:r>
          </w:p>
        </w:tc>
        <w:tc>
          <w:tcPr>
            <w:tcW w:w="330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trike w:val="0"/>
                <w:dstrike w:val="0"/>
                <w:color w:val="auto"/>
                <w:sz w:val="24"/>
                <w:u w:val="none"/>
                <w:lang w:val="en-US" w:eastAsia="zh-CN"/>
              </w:rPr>
            </w:pPr>
            <w:r>
              <w:rPr>
                <w:rFonts w:hint="eastAsia" w:ascii="Times New Roman" w:hAnsi="Times New Roman" w:eastAsia="宋体" w:cs="Times New Roman"/>
                <w:strike w:val="0"/>
                <w:dstrike w:val="0"/>
                <w:color w:val="auto"/>
                <w:sz w:val="24"/>
                <w:u w:val="none"/>
                <w:lang w:val="en-US" w:eastAsia="zh-CN"/>
              </w:rPr>
              <w:t>已</w:t>
            </w:r>
            <w:r>
              <w:rPr>
                <w:rFonts w:hint="eastAsia" w:ascii="Times New Roman" w:hAnsi="Times New Roman" w:cs="Times New Roman"/>
                <w:strike w:val="0"/>
                <w:dstrike w:val="0"/>
                <w:color w:val="auto"/>
                <w:sz w:val="24"/>
                <w:u w:val="none"/>
                <w:lang w:val="en-US" w:eastAsia="zh-CN"/>
              </w:rPr>
              <w:t>核实</w:t>
            </w:r>
            <w:r>
              <w:rPr>
                <w:rFonts w:hint="eastAsia" w:ascii="Times New Roman" w:hAnsi="Times New Roman" w:eastAsia="宋体" w:cs="Times New Roman"/>
                <w:strike w:val="0"/>
                <w:dstrike w:val="0"/>
                <w:color w:val="auto"/>
                <w:sz w:val="24"/>
                <w:u w:val="none"/>
                <w:lang w:val="en-US" w:eastAsia="zh-CN"/>
              </w:rPr>
              <w:t>；已</w:t>
            </w:r>
            <w:r>
              <w:rPr>
                <w:rFonts w:hint="eastAsia" w:ascii="Times New Roman" w:hAnsi="Times New Roman" w:cs="Times New Roman"/>
                <w:strike w:val="0"/>
                <w:dstrike w:val="0"/>
                <w:color w:val="auto"/>
                <w:sz w:val="24"/>
                <w:u w:val="none"/>
                <w:lang w:val="en-US" w:eastAsia="zh-CN"/>
              </w:rPr>
              <w:t>补充</w:t>
            </w:r>
            <w:r>
              <w:rPr>
                <w:rFonts w:hint="eastAsia" w:ascii="Times New Roman" w:hAnsi="Times New Roman" w:eastAsia="宋体" w:cs="Times New Roman"/>
                <w:strike w:val="0"/>
                <w:dstrike w:val="0"/>
                <w:color w:val="auto"/>
                <w:sz w:val="24"/>
                <w:u w:val="none"/>
                <w:lang w:val="en-US" w:eastAsia="zh-CN"/>
              </w:rPr>
              <w:t>；已</w:t>
            </w:r>
            <w:r>
              <w:rPr>
                <w:rFonts w:hint="eastAsia" w:ascii="Times New Roman" w:hAnsi="Times New Roman" w:cs="Times New Roman"/>
                <w:strike w:val="0"/>
                <w:dstrike w:val="0"/>
                <w:color w:val="auto"/>
                <w:sz w:val="24"/>
                <w:u w:val="none"/>
                <w:lang w:val="en-US" w:eastAsia="zh-CN"/>
              </w:rPr>
              <w:t>强化</w:t>
            </w:r>
          </w:p>
        </w:tc>
        <w:tc>
          <w:tcPr>
            <w:tcW w:w="10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trike w:val="0"/>
                <w:dstrike w:val="0"/>
                <w:color w:val="auto"/>
                <w:sz w:val="24"/>
                <w:highlight w:val="none"/>
                <w:u w:val="none"/>
                <w:lang w:val="en-US" w:eastAsia="zh-CN"/>
              </w:rPr>
            </w:pPr>
            <w:r>
              <w:rPr>
                <w:rFonts w:hint="eastAsia" w:ascii="Times New Roman" w:hAnsi="Times New Roman" w:eastAsia="宋体" w:cs="Times New Roman"/>
                <w:strike w:val="0"/>
                <w:dstrike w:val="0"/>
                <w:color w:val="auto"/>
                <w:sz w:val="24"/>
                <w:highlight w:val="none"/>
                <w:u w:val="none"/>
                <w:lang w:val="en-US" w:eastAsia="zh-CN"/>
              </w:rPr>
              <w:t>P</w:t>
            </w:r>
            <w:r>
              <w:rPr>
                <w:rFonts w:hint="eastAsia" w:ascii="Times New Roman" w:hAnsi="Times New Roman" w:cs="Times New Roman"/>
                <w:strike w:val="0"/>
                <w:dstrike w:val="0"/>
                <w:color w:val="auto"/>
                <w:sz w:val="24"/>
                <w:highlight w:val="none"/>
                <w:u w:val="none"/>
                <w:lang w:val="en-US" w:eastAsia="zh-CN"/>
              </w:rPr>
              <w:t>36</w:t>
            </w:r>
            <w:r>
              <w:rPr>
                <w:rFonts w:hint="eastAsia" w:ascii="Times New Roman" w:hAnsi="Times New Roman" w:eastAsia="宋体" w:cs="Times New Roman"/>
                <w:strike w:val="0"/>
                <w:dstrike w:val="0"/>
                <w:color w:val="auto"/>
                <w:sz w:val="24"/>
                <w:highlight w:val="none"/>
                <w:u w:val="none"/>
                <w:lang w:val="en-US" w:eastAsia="zh-CN"/>
              </w:rPr>
              <w:t>、</w:t>
            </w:r>
            <w:r>
              <w:rPr>
                <w:rFonts w:hint="eastAsia" w:ascii="Times New Roman" w:hAnsi="Times New Roman" w:cs="Times New Roman"/>
                <w:strike w:val="0"/>
                <w:dstrike w:val="0"/>
                <w:color w:val="auto"/>
                <w:sz w:val="24"/>
                <w:highlight w:val="none"/>
                <w:u w:val="none"/>
                <w:lang w:val="en-US" w:eastAsia="zh-CN"/>
              </w:rPr>
              <w:t>P35~P38、P38~P47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trike w:val="0"/>
                <w:dstrike w:val="0"/>
                <w:color w:val="auto"/>
                <w:sz w:val="24"/>
                <w:u w:val="none"/>
                <w:lang w:val="en-US" w:eastAsia="zh-CN"/>
              </w:rPr>
            </w:pPr>
            <w:r>
              <w:rPr>
                <w:rFonts w:hint="eastAsia" w:ascii="Times New Roman" w:hAnsi="Times New Roman" w:cs="Times New Roman"/>
                <w:strike w:val="0"/>
                <w:dstrike w:val="0"/>
                <w:color w:val="auto"/>
                <w:sz w:val="24"/>
                <w:u w:val="none"/>
                <w:lang w:val="en-US" w:eastAsia="zh-CN"/>
              </w:rPr>
              <w:t>6</w:t>
            </w:r>
          </w:p>
        </w:tc>
        <w:tc>
          <w:tcPr>
            <w:tcW w:w="34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trike w:val="0"/>
                <w:dstrike w:val="0"/>
                <w:color w:val="auto"/>
                <w:sz w:val="24"/>
                <w:u w:val="none"/>
                <w:lang w:val="en-US" w:eastAsia="zh-CN"/>
              </w:rPr>
            </w:pPr>
            <w:r>
              <w:rPr>
                <w:rFonts w:hint="eastAsia" w:ascii="Times New Roman" w:hAnsi="Times New Roman" w:cs="Times New Roman"/>
                <w:strike w:val="0"/>
                <w:dstrike w:val="0"/>
                <w:color w:val="auto"/>
                <w:sz w:val="24"/>
                <w:u w:val="none"/>
                <w:lang w:val="en-US" w:eastAsia="zh-CN"/>
              </w:rPr>
              <w:t>核实项目环保投资，完善竣工环保验收一览表。</w:t>
            </w:r>
          </w:p>
        </w:tc>
        <w:tc>
          <w:tcPr>
            <w:tcW w:w="330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trike w:val="0"/>
                <w:dstrike w:val="0"/>
                <w:color w:val="auto"/>
                <w:sz w:val="24"/>
                <w:u w:val="none"/>
                <w:lang w:val="en-US" w:eastAsia="zh-CN"/>
              </w:rPr>
            </w:pPr>
            <w:r>
              <w:rPr>
                <w:rFonts w:hint="eastAsia" w:ascii="Times New Roman" w:hAnsi="Times New Roman" w:cs="Times New Roman"/>
                <w:strike w:val="0"/>
                <w:dstrike w:val="0"/>
                <w:color w:val="auto"/>
                <w:sz w:val="24"/>
                <w:u w:val="none"/>
                <w:lang w:val="en-US" w:eastAsia="zh-CN"/>
              </w:rPr>
              <w:t>已核实；</w:t>
            </w:r>
          </w:p>
        </w:tc>
        <w:tc>
          <w:tcPr>
            <w:tcW w:w="10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trike w:val="0"/>
                <w:dstrike w:val="0"/>
                <w:color w:val="auto"/>
                <w:sz w:val="24"/>
                <w:highlight w:val="none"/>
                <w:u w:val="none"/>
                <w:lang w:val="en-US" w:eastAsia="zh-CN"/>
              </w:rPr>
            </w:pPr>
            <w:r>
              <w:rPr>
                <w:rFonts w:hint="eastAsia" w:ascii="Times New Roman" w:hAnsi="Times New Roman" w:cs="Times New Roman"/>
                <w:strike w:val="0"/>
                <w:dstrike w:val="0"/>
                <w:color w:val="auto"/>
                <w:sz w:val="24"/>
                <w:highlight w:val="none"/>
                <w:u w:val="none"/>
                <w:lang w:val="en-US" w:eastAsia="zh-CN"/>
              </w:rPr>
              <w:t>P1、P48</w:t>
            </w:r>
          </w:p>
        </w:tc>
      </w:tr>
    </w:tbl>
    <w:p>
      <w:pPr>
        <w:pStyle w:val="14"/>
        <w:jc w:val="center"/>
        <w:outlineLvl w:val="0"/>
        <w:rPr>
          <w:rFonts w:hint="default"/>
          <w:lang w:val="en-US" w:eastAsia="zh-CN"/>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sdt>
      <w:sdtPr>
        <w:rPr>
          <w:rFonts w:ascii="宋体" w:hAnsi="宋体" w:eastAsia="宋体" w:cs="Times New Roman"/>
          <w:kern w:val="2"/>
          <w:sz w:val="28"/>
          <w:szCs w:val="28"/>
          <w:lang w:val="en-US" w:eastAsia="zh-CN" w:bidi="ar-SA"/>
        </w:rPr>
        <w:id w:val="147463901"/>
        <w15:color w:val="DBDBDB"/>
        <w:docPartObj>
          <w:docPartGallery w:val="Table of Contents"/>
          <w:docPartUnique/>
        </w:docPartObj>
      </w:sdtPr>
      <w:sdtEndPr>
        <w:rPr>
          <w:rFonts w:ascii="宋体" w:hAnsi="宋体" w:eastAsia="宋体" w:cs="Times New Roman"/>
          <w:kern w:val="2"/>
          <w:sz w:val="21"/>
          <w:szCs w:val="24"/>
          <w:lang w:val="en-US" w:eastAsia="zh-CN" w:bidi="ar-SA"/>
        </w:rPr>
      </w:sdtEndPr>
      <w:sdtContent>
        <w:p>
          <w:pPr>
            <w:spacing w:before="0" w:beforeLines="0" w:after="0" w:afterLines="0" w:line="360" w:lineRule="auto"/>
            <w:ind w:left="0" w:leftChars="0" w:right="0" w:rightChars="0" w:firstLine="0" w:firstLineChars="0"/>
            <w:jc w:val="center"/>
            <w:rPr>
              <w:sz w:val="28"/>
              <w:szCs w:val="28"/>
            </w:rPr>
          </w:pPr>
          <w:r>
            <w:rPr>
              <w:rFonts w:ascii="宋体" w:hAnsi="宋体" w:eastAsia="宋体"/>
              <w:sz w:val="28"/>
              <w:szCs w:val="28"/>
            </w:rPr>
            <w:t>目录</w:t>
          </w:r>
        </w:p>
        <w:p>
          <w:pPr>
            <w:pStyle w:val="13"/>
            <w:tabs>
              <w:tab w:val="right" w:leader="dot" w:pos="8844"/>
            </w:tabs>
            <w:spacing w:line="360" w:lineRule="auto"/>
            <w:rPr>
              <w:sz w:val="28"/>
              <w:szCs w:val="28"/>
            </w:rPr>
          </w:pPr>
          <w:r>
            <w:rPr>
              <w:sz w:val="28"/>
              <w:szCs w:val="28"/>
            </w:rPr>
            <w:fldChar w:fldCharType="begin"/>
          </w:r>
          <w:r>
            <w:rPr>
              <w:sz w:val="28"/>
              <w:szCs w:val="28"/>
            </w:rPr>
            <w:instrText xml:space="preserve">TOC \o "1-1" \h \u </w:instrText>
          </w:r>
          <w:r>
            <w:rPr>
              <w:sz w:val="28"/>
              <w:szCs w:val="28"/>
            </w:rPr>
            <w:fldChar w:fldCharType="separate"/>
          </w:r>
          <w:r>
            <w:rPr>
              <w:sz w:val="28"/>
              <w:szCs w:val="28"/>
            </w:rPr>
            <w:fldChar w:fldCharType="begin"/>
          </w:r>
          <w:r>
            <w:rPr>
              <w:sz w:val="28"/>
              <w:szCs w:val="28"/>
            </w:rPr>
            <w:instrText xml:space="preserve"> HYPERLINK \l _Toc29605 </w:instrText>
          </w:r>
          <w:r>
            <w:rPr>
              <w:sz w:val="28"/>
              <w:szCs w:val="28"/>
            </w:rPr>
            <w:fldChar w:fldCharType="separate"/>
          </w:r>
          <w:r>
            <w:rPr>
              <w:rFonts w:hint="eastAsia" w:ascii="黑体" w:hAnsi="黑体" w:eastAsia="黑体"/>
              <w:snapToGrid w:val="0"/>
              <w:sz w:val="28"/>
              <w:szCs w:val="28"/>
            </w:rPr>
            <w:t>一、建设项目基本情况</w:t>
          </w:r>
          <w:r>
            <w:rPr>
              <w:sz w:val="28"/>
              <w:szCs w:val="28"/>
            </w:rPr>
            <w:tab/>
          </w:r>
          <w:r>
            <w:rPr>
              <w:sz w:val="28"/>
              <w:szCs w:val="28"/>
            </w:rPr>
            <w:fldChar w:fldCharType="begin"/>
          </w:r>
          <w:r>
            <w:rPr>
              <w:sz w:val="28"/>
              <w:szCs w:val="28"/>
            </w:rPr>
            <w:instrText xml:space="preserve"> PAGEREF _Toc29605 \h </w:instrText>
          </w:r>
          <w:r>
            <w:rPr>
              <w:sz w:val="28"/>
              <w:szCs w:val="28"/>
            </w:rPr>
            <w:fldChar w:fldCharType="separate"/>
          </w:r>
          <w:r>
            <w:rPr>
              <w:sz w:val="28"/>
              <w:szCs w:val="28"/>
            </w:rPr>
            <w:t>1</w:t>
          </w:r>
          <w:r>
            <w:rPr>
              <w:sz w:val="28"/>
              <w:szCs w:val="28"/>
            </w:rPr>
            <w:fldChar w:fldCharType="end"/>
          </w:r>
          <w:r>
            <w:rPr>
              <w:sz w:val="28"/>
              <w:szCs w:val="28"/>
            </w:rPr>
            <w:fldChar w:fldCharType="end"/>
          </w:r>
        </w:p>
        <w:p>
          <w:pPr>
            <w:pStyle w:val="13"/>
            <w:tabs>
              <w:tab w:val="right" w:leader="dot" w:pos="8844"/>
            </w:tabs>
            <w:spacing w:line="360" w:lineRule="auto"/>
            <w:rPr>
              <w:sz w:val="28"/>
              <w:szCs w:val="28"/>
            </w:rPr>
          </w:pPr>
          <w:r>
            <w:rPr>
              <w:sz w:val="28"/>
              <w:szCs w:val="28"/>
            </w:rPr>
            <w:fldChar w:fldCharType="begin"/>
          </w:r>
          <w:r>
            <w:rPr>
              <w:sz w:val="28"/>
              <w:szCs w:val="28"/>
            </w:rPr>
            <w:instrText xml:space="preserve"> HYPERLINK \l _Toc3858 </w:instrText>
          </w:r>
          <w:r>
            <w:rPr>
              <w:sz w:val="28"/>
              <w:szCs w:val="28"/>
            </w:rPr>
            <w:fldChar w:fldCharType="separate"/>
          </w:r>
          <w:r>
            <w:rPr>
              <w:rFonts w:hint="eastAsia" w:ascii="黑体" w:hAnsi="黑体" w:eastAsia="黑体"/>
              <w:snapToGrid w:val="0"/>
              <w:sz w:val="28"/>
              <w:szCs w:val="28"/>
            </w:rPr>
            <w:t>二、建设项目工程分析</w:t>
          </w:r>
          <w:r>
            <w:rPr>
              <w:sz w:val="28"/>
              <w:szCs w:val="28"/>
            </w:rPr>
            <w:tab/>
          </w:r>
          <w:r>
            <w:rPr>
              <w:sz w:val="28"/>
              <w:szCs w:val="28"/>
            </w:rPr>
            <w:fldChar w:fldCharType="begin"/>
          </w:r>
          <w:r>
            <w:rPr>
              <w:sz w:val="28"/>
              <w:szCs w:val="28"/>
            </w:rPr>
            <w:instrText xml:space="preserve"> PAGEREF _Toc3858 \h </w:instrText>
          </w:r>
          <w:r>
            <w:rPr>
              <w:sz w:val="28"/>
              <w:szCs w:val="28"/>
            </w:rPr>
            <w:fldChar w:fldCharType="separate"/>
          </w:r>
          <w:r>
            <w:rPr>
              <w:sz w:val="28"/>
              <w:szCs w:val="28"/>
            </w:rPr>
            <w:t>4</w:t>
          </w:r>
          <w:r>
            <w:rPr>
              <w:sz w:val="28"/>
              <w:szCs w:val="28"/>
            </w:rPr>
            <w:fldChar w:fldCharType="end"/>
          </w:r>
          <w:r>
            <w:rPr>
              <w:sz w:val="28"/>
              <w:szCs w:val="28"/>
            </w:rPr>
            <w:fldChar w:fldCharType="end"/>
          </w:r>
        </w:p>
        <w:p>
          <w:pPr>
            <w:pStyle w:val="13"/>
            <w:tabs>
              <w:tab w:val="right" w:leader="dot" w:pos="8844"/>
            </w:tabs>
            <w:spacing w:line="360" w:lineRule="auto"/>
            <w:rPr>
              <w:sz w:val="28"/>
              <w:szCs w:val="28"/>
            </w:rPr>
          </w:pPr>
          <w:r>
            <w:rPr>
              <w:sz w:val="28"/>
              <w:szCs w:val="28"/>
            </w:rPr>
            <w:fldChar w:fldCharType="begin"/>
          </w:r>
          <w:r>
            <w:rPr>
              <w:sz w:val="28"/>
              <w:szCs w:val="28"/>
            </w:rPr>
            <w:instrText xml:space="preserve"> HYPERLINK \l _Toc16541 </w:instrText>
          </w:r>
          <w:r>
            <w:rPr>
              <w:sz w:val="28"/>
              <w:szCs w:val="28"/>
            </w:rPr>
            <w:fldChar w:fldCharType="separate"/>
          </w:r>
          <w:r>
            <w:rPr>
              <w:rFonts w:hint="eastAsia" w:ascii="黑体" w:hAnsi="黑体" w:eastAsia="黑体"/>
              <w:snapToGrid w:val="0"/>
              <w:sz w:val="28"/>
              <w:szCs w:val="28"/>
            </w:rPr>
            <w:t>三、区域环境质量现状、环境保护目标及评价标准</w:t>
          </w:r>
          <w:r>
            <w:rPr>
              <w:sz w:val="28"/>
              <w:szCs w:val="28"/>
            </w:rPr>
            <w:tab/>
          </w:r>
          <w:r>
            <w:rPr>
              <w:sz w:val="28"/>
              <w:szCs w:val="28"/>
            </w:rPr>
            <w:fldChar w:fldCharType="begin"/>
          </w:r>
          <w:r>
            <w:rPr>
              <w:sz w:val="28"/>
              <w:szCs w:val="28"/>
            </w:rPr>
            <w:instrText xml:space="preserve"> PAGEREF _Toc16541 \h </w:instrText>
          </w:r>
          <w:r>
            <w:rPr>
              <w:sz w:val="28"/>
              <w:szCs w:val="28"/>
            </w:rPr>
            <w:fldChar w:fldCharType="separate"/>
          </w:r>
          <w:r>
            <w:rPr>
              <w:sz w:val="28"/>
              <w:szCs w:val="28"/>
            </w:rPr>
            <w:t>23</w:t>
          </w:r>
          <w:r>
            <w:rPr>
              <w:sz w:val="28"/>
              <w:szCs w:val="28"/>
            </w:rPr>
            <w:fldChar w:fldCharType="end"/>
          </w:r>
          <w:r>
            <w:rPr>
              <w:sz w:val="28"/>
              <w:szCs w:val="28"/>
            </w:rPr>
            <w:fldChar w:fldCharType="end"/>
          </w:r>
        </w:p>
        <w:p>
          <w:pPr>
            <w:pStyle w:val="13"/>
            <w:tabs>
              <w:tab w:val="right" w:leader="dot" w:pos="8844"/>
            </w:tabs>
            <w:spacing w:line="360" w:lineRule="auto"/>
            <w:rPr>
              <w:sz w:val="28"/>
              <w:szCs w:val="28"/>
            </w:rPr>
          </w:pPr>
          <w:r>
            <w:rPr>
              <w:sz w:val="28"/>
              <w:szCs w:val="28"/>
            </w:rPr>
            <w:fldChar w:fldCharType="begin"/>
          </w:r>
          <w:r>
            <w:rPr>
              <w:sz w:val="28"/>
              <w:szCs w:val="28"/>
            </w:rPr>
            <w:instrText xml:space="preserve"> HYPERLINK \l _Toc11171 </w:instrText>
          </w:r>
          <w:r>
            <w:rPr>
              <w:sz w:val="28"/>
              <w:szCs w:val="28"/>
            </w:rPr>
            <w:fldChar w:fldCharType="separate"/>
          </w:r>
          <w:r>
            <w:rPr>
              <w:rFonts w:hint="eastAsia" w:ascii="黑体" w:hAnsi="黑体" w:eastAsia="黑体"/>
              <w:snapToGrid w:val="0"/>
              <w:sz w:val="28"/>
              <w:szCs w:val="28"/>
            </w:rPr>
            <w:t>四、主要环境影响和保护措施</w:t>
          </w:r>
          <w:r>
            <w:rPr>
              <w:sz w:val="28"/>
              <w:szCs w:val="28"/>
            </w:rPr>
            <w:tab/>
          </w:r>
          <w:r>
            <w:rPr>
              <w:sz w:val="28"/>
              <w:szCs w:val="28"/>
            </w:rPr>
            <w:fldChar w:fldCharType="begin"/>
          </w:r>
          <w:r>
            <w:rPr>
              <w:sz w:val="28"/>
              <w:szCs w:val="28"/>
            </w:rPr>
            <w:instrText xml:space="preserve"> PAGEREF _Toc11171 \h </w:instrText>
          </w:r>
          <w:r>
            <w:rPr>
              <w:sz w:val="28"/>
              <w:szCs w:val="28"/>
            </w:rPr>
            <w:fldChar w:fldCharType="separate"/>
          </w:r>
          <w:r>
            <w:rPr>
              <w:sz w:val="28"/>
              <w:szCs w:val="28"/>
            </w:rPr>
            <w:t>30</w:t>
          </w:r>
          <w:r>
            <w:rPr>
              <w:sz w:val="28"/>
              <w:szCs w:val="28"/>
            </w:rPr>
            <w:fldChar w:fldCharType="end"/>
          </w:r>
          <w:r>
            <w:rPr>
              <w:sz w:val="28"/>
              <w:szCs w:val="28"/>
            </w:rPr>
            <w:fldChar w:fldCharType="end"/>
          </w:r>
        </w:p>
        <w:p>
          <w:pPr>
            <w:pStyle w:val="13"/>
            <w:tabs>
              <w:tab w:val="right" w:leader="dot" w:pos="8844"/>
            </w:tabs>
            <w:spacing w:line="360" w:lineRule="auto"/>
            <w:rPr>
              <w:sz w:val="28"/>
              <w:szCs w:val="28"/>
            </w:rPr>
          </w:pPr>
          <w:r>
            <w:rPr>
              <w:sz w:val="28"/>
              <w:szCs w:val="28"/>
            </w:rPr>
            <w:fldChar w:fldCharType="begin"/>
          </w:r>
          <w:r>
            <w:rPr>
              <w:sz w:val="28"/>
              <w:szCs w:val="28"/>
            </w:rPr>
            <w:instrText xml:space="preserve"> HYPERLINK \l _Toc21349 </w:instrText>
          </w:r>
          <w:r>
            <w:rPr>
              <w:sz w:val="28"/>
              <w:szCs w:val="28"/>
            </w:rPr>
            <w:fldChar w:fldCharType="separate"/>
          </w:r>
          <w:r>
            <w:rPr>
              <w:rFonts w:hint="eastAsia" w:ascii="黑体" w:hAnsi="黑体" w:eastAsia="黑体"/>
              <w:snapToGrid w:val="0"/>
              <w:sz w:val="28"/>
              <w:szCs w:val="28"/>
            </w:rPr>
            <w:t>五、环境保护措施监督检查清单</w:t>
          </w:r>
          <w:r>
            <w:rPr>
              <w:sz w:val="28"/>
              <w:szCs w:val="28"/>
            </w:rPr>
            <w:tab/>
          </w:r>
          <w:r>
            <w:rPr>
              <w:sz w:val="28"/>
              <w:szCs w:val="28"/>
            </w:rPr>
            <w:fldChar w:fldCharType="begin"/>
          </w:r>
          <w:r>
            <w:rPr>
              <w:sz w:val="28"/>
              <w:szCs w:val="28"/>
            </w:rPr>
            <w:instrText xml:space="preserve"> PAGEREF _Toc21349 \h </w:instrText>
          </w:r>
          <w:r>
            <w:rPr>
              <w:sz w:val="28"/>
              <w:szCs w:val="28"/>
            </w:rPr>
            <w:fldChar w:fldCharType="separate"/>
          </w:r>
          <w:r>
            <w:rPr>
              <w:sz w:val="28"/>
              <w:szCs w:val="28"/>
            </w:rPr>
            <w:t>48</w:t>
          </w:r>
          <w:r>
            <w:rPr>
              <w:sz w:val="28"/>
              <w:szCs w:val="28"/>
            </w:rPr>
            <w:fldChar w:fldCharType="end"/>
          </w:r>
          <w:r>
            <w:rPr>
              <w:sz w:val="28"/>
              <w:szCs w:val="28"/>
            </w:rPr>
            <w:fldChar w:fldCharType="end"/>
          </w:r>
        </w:p>
        <w:p>
          <w:pPr>
            <w:pStyle w:val="13"/>
            <w:tabs>
              <w:tab w:val="right" w:leader="dot" w:pos="8844"/>
            </w:tabs>
            <w:spacing w:line="360" w:lineRule="auto"/>
            <w:rPr>
              <w:sz w:val="28"/>
              <w:szCs w:val="28"/>
            </w:rPr>
          </w:pPr>
          <w:r>
            <w:rPr>
              <w:sz w:val="28"/>
              <w:szCs w:val="28"/>
            </w:rPr>
            <w:fldChar w:fldCharType="begin"/>
          </w:r>
          <w:r>
            <w:rPr>
              <w:sz w:val="28"/>
              <w:szCs w:val="28"/>
            </w:rPr>
            <w:instrText xml:space="preserve"> HYPERLINK \l _Toc25597 </w:instrText>
          </w:r>
          <w:r>
            <w:rPr>
              <w:sz w:val="28"/>
              <w:szCs w:val="28"/>
            </w:rPr>
            <w:fldChar w:fldCharType="separate"/>
          </w:r>
          <w:r>
            <w:rPr>
              <w:rFonts w:hint="eastAsia" w:ascii="黑体" w:hAnsi="黑体" w:eastAsia="黑体"/>
              <w:snapToGrid w:val="0"/>
              <w:sz w:val="28"/>
              <w:szCs w:val="28"/>
            </w:rPr>
            <w:t>六、结论</w:t>
          </w:r>
          <w:r>
            <w:rPr>
              <w:sz w:val="28"/>
              <w:szCs w:val="28"/>
            </w:rPr>
            <w:tab/>
          </w:r>
          <w:r>
            <w:rPr>
              <w:sz w:val="28"/>
              <w:szCs w:val="28"/>
            </w:rPr>
            <w:fldChar w:fldCharType="begin"/>
          </w:r>
          <w:r>
            <w:rPr>
              <w:sz w:val="28"/>
              <w:szCs w:val="28"/>
            </w:rPr>
            <w:instrText xml:space="preserve"> PAGEREF _Toc25597 \h </w:instrText>
          </w:r>
          <w:r>
            <w:rPr>
              <w:sz w:val="28"/>
              <w:szCs w:val="28"/>
            </w:rPr>
            <w:fldChar w:fldCharType="separate"/>
          </w:r>
          <w:r>
            <w:rPr>
              <w:sz w:val="28"/>
              <w:szCs w:val="28"/>
            </w:rPr>
            <w:t>49</w:t>
          </w:r>
          <w:r>
            <w:rPr>
              <w:sz w:val="28"/>
              <w:szCs w:val="28"/>
            </w:rPr>
            <w:fldChar w:fldCharType="end"/>
          </w:r>
          <w:r>
            <w:rPr>
              <w:sz w:val="28"/>
              <w:szCs w:val="28"/>
            </w:rPr>
            <w:fldChar w:fldCharType="end"/>
          </w:r>
        </w:p>
        <w:p>
          <w:pPr>
            <w:pStyle w:val="13"/>
            <w:tabs>
              <w:tab w:val="right" w:leader="dot" w:pos="8844"/>
            </w:tabs>
            <w:spacing w:line="360" w:lineRule="auto"/>
            <w:rPr>
              <w:sz w:val="28"/>
              <w:szCs w:val="28"/>
            </w:rPr>
          </w:pPr>
          <w:r>
            <w:rPr>
              <w:sz w:val="28"/>
              <w:szCs w:val="28"/>
            </w:rPr>
            <w:fldChar w:fldCharType="begin"/>
          </w:r>
          <w:r>
            <w:rPr>
              <w:sz w:val="28"/>
              <w:szCs w:val="28"/>
            </w:rPr>
            <w:instrText xml:space="preserve"> HYPERLINK \l _Toc15494 </w:instrText>
          </w:r>
          <w:r>
            <w:rPr>
              <w:sz w:val="28"/>
              <w:szCs w:val="28"/>
            </w:rPr>
            <w:fldChar w:fldCharType="separate"/>
          </w:r>
          <w:r>
            <w:rPr>
              <w:rFonts w:hint="eastAsia" w:ascii="黑体" w:hAnsi="黑体" w:eastAsia="黑体"/>
              <w:snapToGrid w:val="0"/>
              <w:sz w:val="28"/>
              <w:szCs w:val="28"/>
            </w:rPr>
            <w:t>附表</w:t>
          </w:r>
          <w:r>
            <w:rPr>
              <w:sz w:val="28"/>
              <w:szCs w:val="28"/>
            </w:rPr>
            <w:tab/>
          </w:r>
          <w:r>
            <w:rPr>
              <w:sz w:val="28"/>
              <w:szCs w:val="28"/>
            </w:rPr>
            <w:fldChar w:fldCharType="begin"/>
          </w:r>
          <w:r>
            <w:rPr>
              <w:sz w:val="28"/>
              <w:szCs w:val="28"/>
            </w:rPr>
            <w:instrText xml:space="preserve"> PAGEREF _Toc15494 \h </w:instrText>
          </w:r>
          <w:r>
            <w:rPr>
              <w:sz w:val="28"/>
              <w:szCs w:val="28"/>
            </w:rPr>
            <w:fldChar w:fldCharType="separate"/>
          </w:r>
          <w:r>
            <w:rPr>
              <w:sz w:val="28"/>
              <w:szCs w:val="28"/>
            </w:rPr>
            <w:t>50</w:t>
          </w:r>
          <w:r>
            <w:rPr>
              <w:sz w:val="28"/>
              <w:szCs w:val="28"/>
            </w:rPr>
            <w:fldChar w:fldCharType="end"/>
          </w:r>
          <w:r>
            <w:rPr>
              <w:sz w:val="28"/>
              <w:szCs w:val="28"/>
            </w:rPr>
            <w:fldChar w:fldCharType="end"/>
          </w:r>
        </w:p>
        <w:p>
          <w:pPr>
            <w:spacing w:line="360" w:lineRule="auto"/>
          </w:pPr>
          <w:r>
            <w:rPr>
              <w:sz w:val="28"/>
              <w:szCs w:val="28"/>
            </w:rPr>
            <w:fldChar w:fldCharType="end"/>
          </w:r>
        </w:p>
      </w:sdtContent>
    </w:sdt>
    <w:p>
      <w:pPr>
        <w:pStyle w:val="14"/>
        <w:jc w:val="both"/>
        <w:outlineLvl w:val="0"/>
        <w:rPr>
          <w:rFonts w:hint="eastAsia" w:ascii="黑体" w:hAnsi="黑体" w:eastAsia="黑体"/>
          <w:snapToGrid w:val="0"/>
          <w:color w:val="000000" w:themeColor="text1"/>
          <w:sz w:val="30"/>
          <w:szCs w:val="30"/>
          <w14:textFill>
            <w14:solidFill>
              <w14:schemeClr w14:val="tx1"/>
            </w14:solidFill>
          </w14:textFill>
        </w:rPr>
        <w:sectPr>
          <w:footerReference r:id="rId7"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pPr>
        <w:pStyle w:val="14"/>
        <w:jc w:val="center"/>
        <w:outlineLvl w:val="0"/>
        <w:rPr>
          <w:rFonts w:hint="eastAsia" w:ascii="黑体" w:hAnsi="黑体" w:eastAsia="黑体"/>
          <w:snapToGrid w:val="0"/>
          <w:color w:val="000000" w:themeColor="text1"/>
          <w:sz w:val="30"/>
          <w:szCs w:val="30"/>
          <w14:textFill>
            <w14:solidFill>
              <w14:schemeClr w14:val="tx1"/>
            </w14:solidFill>
          </w14:textFill>
        </w:rPr>
      </w:pPr>
      <w:bookmarkStart w:id="4" w:name="_Toc29605"/>
      <w:r>
        <w:rPr>
          <w:rFonts w:hint="eastAsia" w:ascii="黑体" w:hAnsi="黑体" w:eastAsia="黑体"/>
          <w:snapToGrid w:val="0"/>
          <w:color w:val="000000" w:themeColor="text1"/>
          <w:sz w:val="30"/>
          <w:szCs w:val="30"/>
          <w14:textFill>
            <w14:solidFill>
              <w14:schemeClr w14:val="tx1"/>
            </w14:solidFill>
          </w14:textFill>
        </w:rPr>
        <w:t>一、建设项目基本情况</w:t>
      </w:r>
      <w:bookmarkEnd w:id="4"/>
    </w:p>
    <w:tbl>
      <w:tblPr>
        <w:tblStyle w:val="1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2151"/>
        <w:gridCol w:w="2134"/>
        <w:gridCol w:w="1174"/>
        <w:gridCol w:w="772"/>
        <w:gridCol w:w="263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51" w:type="dxa"/>
            <w:tcBorders>
              <w:tl2br w:val="nil"/>
              <w:tr2bl w:val="nil"/>
            </w:tcBorders>
            <w:noWrap w:val="0"/>
            <w:tcMar>
              <w:top w:w="16" w:type="dxa"/>
              <w:left w:w="16" w:type="dxa"/>
              <w:right w:w="16" w:type="dxa"/>
            </w:tcMar>
            <w:vAlign w:val="center"/>
          </w:tcPr>
          <w:p>
            <w:pPr>
              <w:adjustRightInd w:val="0"/>
              <w:snapToGrid w:val="0"/>
              <w:jc w:val="center"/>
              <w:rPr>
                <w:rFonts w:hint="default" w:ascii="Times New Roman" w:hAnsi="Times New Roman" w:cs="Times New Roman" w:eastAsiaTheme="minorEastAsia"/>
                <w:color w:val="000000" w:themeColor="text1"/>
                <w:sz w:val="24"/>
                <w:szCs w:val="24"/>
                <w14:textFill>
                  <w14:solidFill>
                    <w14:schemeClr w14:val="tx1"/>
                  </w14:solidFill>
                </w14:textFill>
              </w:rPr>
            </w:pPr>
            <w:r>
              <w:rPr>
                <w:rFonts w:hint="default" w:ascii="Times New Roman" w:hAnsi="Times New Roman" w:cs="Times New Roman" w:eastAsiaTheme="minorEastAsia"/>
                <w:color w:val="000000" w:themeColor="text1"/>
                <w:sz w:val="24"/>
                <w:szCs w:val="24"/>
                <w14:textFill>
                  <w14:solidFill>
                    <w14:schemeClr w14:val="tx1"/>
                  </w14:solidFill>
                </w14:textFill>
              </w:rPr>
              <w:t>建设项目名称</w:t>
            </w:r>
          </w:p>
        </w:tc>
        <w:tc>
          <w:tcPr>
            <w:tcW w:w="6719" w:type="dxa"/>
            <w:gridSpan w:val="4"/>
            <w:tcBorders>
              <w:tl2br w:val="nil"/>
              <w:tr2bl w:val="nil"/>
            </w:tcBorders>
            <w:noWrap w:val="0"/>
            <w:vAlign w:val="center"/>
          </w:tcPr>
          <w:p>
            <w:pPr>
              <w:adjustRightInd w:val="0"/>
              <w:snapToGrid w:val="0"/>
              <w:jc w:val="cente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年回收7500t船舶废矿物油、13000t船舶生活污水、3800t船舶生活垃圾建设项目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51" w:type="dxa"/>
            <w:tcBorders>
              <w:tl2br w:val="nil"/>
              <w:tr2bl w:val="nil"/>
            </w:tcBorders>
            <w:noWrap w:val="0"/>
            <w:tcMar>
              <w:top w:w="16" w:type="dxa"/>
              <w:left w:w="16" w:type="dxa"/>
              <w:right w:w="16" w:type="dxa"/>
            </w:tcMar>
            <w:vAlign w:val="center"/>
          </w:tcPr>
          <w:p>
            <w:pPr>
              <w:adjustRightInd w:val="0"/>
              <w:snapToGrid w:val="0"/>
              <w:jc w:val="center"/>
              <w:rPr>
                <w:rFonts w:hint="default" w:ascii="Times New Roman" w:hAnsi="Times New Roman" w:cs="Times New Roman" w:eastAsiaTheme="minorEastAsia"/>
                <w:color w:val="000000" w:themeColor="text1"/>
                <w:sz w:val="24"/>
                <w:szCs w:val="24"/>
                <w14:textFill>
                  <w14:solidFill>
                    <w14:schemeClr w14:val="tx1"/>
                  </w14:solidFill>
                </w14:textFill>
              </w:rPr>
            </w:pPr>
            <w:r>
              <w:rPr>
                <w:rFonts w:hint="default" w:ascii="Times New Roman" w:hAnsi="Times New Roman" w:cs="Times New Roman" w:eastAsiaTheme="minorEastAsia"/>
                <w:color w:val="000000" w:themeColor="text1"/>
                <w:sz w:val="24"/>
                <w:szCs w:val="24"/>
                <w14:textFill>
                  <w14:solidFill>
                    <w14:schemeClr w14:val="tx1"/>
                  </w14:solidFill>
                </w14:textFill>
              </w:rPr>
              <w:t>项目代码</w:t>
            </w:r>
          </w:p>
        </w:tc>
        <w:tc>
          <w:tcPr>
            <w:tcW w:w="6719" w:type="dxa"/>
            <w:gridSpan w:val="4"/>
            <w:tcBorders>
              <w:tl2br w:val="nil"/>
              <w:tr2bl w:val="nil"/>
            </w:tcBorders>
            <w:noWrap w:val="0"/>
            <w:vAlign w:val="center"/>
          </w:tcPr>
          <w:p>
            <w:pPr>
              <w:adjustRightInd w:val="0"/>
              <w:snapToGrid w:val="0"/>
              <w:jc w:val="cente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51" w:type="dxa"/>
            <w:tcBorders>
              <w:tl2br w:val="nil"/>
              <w:tr2bl w:val="nil"/>
            </w:tcBorders>
            <w:noWrap w:val="0"/>
            <w:tcMar>
              <w:top w:w="16" w:type="dxa"/>
              <w:left w:w="16" w:type="dxa"/>
              <w:right w:w="16" w:type="dxa"/>
            </w:tcMar>
            <w:vAlign w:val="center"/>
          </w:tcPr>
          <w:p>
            <w:pPr>
              <w:adjustRightInd w:val="0"/>
              <w:snapToGrid w:val="0"/>
              <w:jc w:val="center"/>
              <w:rPr>
                <w:rFonts w:hint="default" w:ascii="Times New Roman" w:hAnsi="Times New Roman" w:cs="Times New Roman" w:eastAsiaTheme="minorEastAsia"/>
                <w:color w:val="000000" w:themeColor="text1"/>
                <w:sz w:val="24"/>
                <w:szCs w:val="24"/>
                <w14:textFill>
                  <w14:solidFill>
                    <w14:schemeClr w14:val="tx1"/>
                  </w14:solidFill>
                </w14:textFill>
              </w:rPr>
            </w:pPr>
            <w:r>
              <w:rPr>
                <w:rFonts w:hint="default" w:ascii="Times New Roman" w:hAnsi="Times New Roman" w:cs="Times New Roman" w:eastAsiaTheme="minorEastAsia"/>
                <w:color w:val="000000" w:themeColor="text1"/>
                <w:sz w:val="24"/>
                <w:szCs w:val="24"/>
                <w14:textFill>
                  <w14:solidFill>
                    <w14:schemeClr w14:val="tx1"/>
                  </w14:solidFill>
                </w14:textFill>
              </w:rPr>
              <w:t>建设单位联系人</w:t>
            </w:r>
          </w:p>
        </w:tc>
        <w:tc>
          <w:tcPr>
            <w:tcW w:w="2134" w:type="dxa"/>
            <w:tcBorders>
              <w:tl2br w:val="nil"/>
              <w:tr2bl w:val="nil"/>
            </w:tcBorders>
            <w:noWrap w:val="0"/>
            <w:vAlign w:val="center"/>
          </w:tcPr>
          <w:p>
            <w:pPr>
              <w:adjustRightInd w:val="0"/>
              <w:snapToGrid w:val="0"/>
              <w:jc w:val="cente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张旭</w:t>
            </w:r>
          </w:p>
        </w:tc>
        <w:tc>
          <w:tcPr>
            <w:tcW w:w="1946" w:type="dxa"/>
            <w:gridSpan w:val="2"/>
            <w:tcBorders>
              <w:tl2br w:val="nil"/>
              <w:tr2bl w:val="nil"/>
            </w:tcBorders>
            <w:noWrap w:val="0"/>
            <w:vAlign w:val="center"/>
          </w:tcPr>
          <w:p>
            <w:pPr>
              <w:adjustRightInd w:val="0"/>
              <w:snapToGrid w:val="0"/>
              <w:jc w:val="center"/>
              <w:rPr>
                <w:rFonts w:hint="default" w:ascii="Times New Roman" w:hAnsi="Times New Roman" w:cs="Times New Roman" w:eastAsiaTheme="minorEastAsia"/>
                <w:color w:val="000000" w:themeColor="text1"/>
                <w:sz w:val="24"/>
                <w:szCs w:val="24"/>
                <w14:textFill>
                  <w14:solidFill>
                    <w14:schemeClr w14:val="tx1"/>
                  </w14:solidFill>
                </w14:textFill>
              </w:rPr>
            </w:pPr>
            <w:r>
              <w:rPr>
                <w:rFonts w:hint="default" w:ascii="Times New Roman" w:hAnsi="Times New Roman" w:cs="Times New Roman" w:eastAsiaTheme="minorEastAsia"/>
                <w:color w:val="000000" w:themeColor="text1"/>
                <w:sz w:val="24"/>
                <w:szCs w:val="24"/>
                <w14:textFill>
                  <w14:solidFill>
                    <w14:schemeClr w14:val="tx1"/>
                  </w14:solidFill>
                </w14:textFill>
              </w:rPr>
              <w:t>联系方式</w:t>
            </w:r>
          </w:p>
        </w:tc>
        <w:tc>
          <w:tcPr>
            <w:tcW w:w="2639" w:type="dxa"/>
            <w:tcBorders>
              <w:tl2br w:val="nil"/>
              <w:tr2bl w:val="nil"/>
            </w:tcBorders>
            <w:noWrap w:val="0"/>
            <w:vAlign w:val="center"/>
          </w:tcPr>
          <w:p>
            <w:pPr>
              <w:adjustRightInd w:val="0"/>
              <w:snapToGrid w:val="0"/>
              <w:jc w:val="cente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18873025555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51" w:type="dxa"/>
            <w:tcBorders>
              <w:tl2br w:val="nil"/>
              <w:tr2bl w:val="nil"/>
            </w:tcBorders>
            <w:noWrap w:val="0"/>
            <w:tcMar>
              <w:top w:w="16" w:type="dxa"/>
              <w:left w:w="16" w:type="dxa"/>
              <w:right w:w="16" w:type="dxa"/>
            </w:tcMar>
            <w:vAlign w:val="center"/>
          </w:tcPr>
          <w:p>
            <w:pPr>
              <w:adjustRightInd w:val="0"/>
              <w:snapToGrid w:val="0"/>
              <w:jc w:val="center"/>
              <w:rPr>
                <w:rFonts w:hint="default" w:ascii="Times New Roman" w:hAnsi="Times New Roman" w:cs="Times New Roman" w:eastAsiaTheme="minorEastAsia"/>
                <w:color w:val="000000" w:themeColor="text1"/>
                <w:sz w:val="24"/>
                <w:szCs w:val="24"/>
                <w14:textFill>
                  <w14:solidFill>
                    <w14:schemeClr w14:val="tx1"/>
                  </w14:solidFill>
                </w14:textFill>
              </w:rPr>
            </w:pPr>
            <w:r>
              <w:rPr>
                <w:rFonts w:hint="default" w:ascii="Times New Roman" w:hAnsi="Times New Roman" w:cs="Times New Roman" w:eastAsiaTheme="minorEastAsia"/>
                <w:color w:val="000000" w:themeColor="text1"/>
                <w:sz w:val="24"/>
                <w:szCs w:val="24"/>
                <w14:textFill>
                  <w14:solidFill>
                    <w14:schemeClr w14:val="tx1"/>
                  </w14:solidFill>
                </w14:textFill>
              </w:rPr>
              <w:t>建设地点</w:t>
            </w:r>
          </w:p>
        </w:tc>
        <w:tc>
          <w:tcPr>
            <w:tcW w:w="6719" w:type="dxa"/>
            <w:gridSpan w:val="4"/>
            <w:tcBorders>
              <w:tl2br w:val="nil"/>
              <w:tr2bl w:val="nil"/>
            </w:tcBorders>
            <w:noWrap w:val="0"/>
            <w:vAlign w:val="center"/>
          </w:tcPr>
          <w:p>
            <w:pPr>
              <w:adjustRightInd w:val="0"/>
              <w:snapToGrid w:val="0"/>
              <w:jc w:val="cente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湖南省岳阳市湘阴县</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51" w:type="dxa"/>
            <w:tcBorders>
              <w:tl2br w:val="nil"/>
              <w:tr2bl w:val="nil"/>
            </w:tcBorders>
            <w:noWrap w:val="0"/>
            <w:tcMar>
              <w:top w:w="16" w:type="dxa"/>
              <w:left w:w="16" w:type="dxa"/>
              <w:right w:w="16" w:type="dxa"/>
            </w:tcMar>
            <w:vAlign w:val="center"/>
          </w:tcPr>
          <w:p>
            <w:pPr>
              <w:adjustRightInd w:val="0"/>
              <w:snapToGrid w:val="0"/>
              <w:jc w:val="center"/>
              <w:rPr>
                <w:rFonts w:hint="default" w:ascii="Times New Roman" w:hAnsi="Times New Roman" w:cs="Times New Roman" w:eastAsiaTheme="minorEastAsia"/>
                <w:color w:val="000000" w:themeColor="text1"/>
                <w:sz w:val="24"/>
                <w:szCs w:val="24"/>
                <w14:textFill>
                  <w14:solidFill>
                    <w14:schemeClr w14:val="tx1"/>
                  </w14:solidFill>
                </w14:textFill>
              </w:rPr>
            </w:pPr>
            <w:r>
              <w:rPr>
                <w:rFonts w:hint="default" w:ascii="Times New Roman" w:hAnsi="Times New Roman" w:cs="Times New Roman" w:eastAsiaTheme="minorEastAsia"/>
                <w:color w:val="000000" w:themeColor="text1"/>
                <w:sz w:val="24"/>
                <w:szCs w:val="24"/>
                <w14:textFill>
                  <w14:solidFill>
                    <w14:schemeClr w14:val="tx1"/>
                  </w14:solidFill>
                </w14:textFill>
              </w:rPr>
              <w:t>地理坐标</w:t>
            </w:r>
          </w:p>
        </w:tc>
        <w:tc>
          <w:tcPr>
            <w:tcW w:w="6719" w:type="dxa"/>
            <w:gridSpan w:val="4"/>
            <w:tcBorders>
              <w:tl2br w:val="nil"/>
              <w:tr2bl w:val="nil"/>
            </w:tcBorders>
            <w:noWrap w:val="0"/>
            <w:vAlign w:val="center"/>
          </w:tcPr>
          <w:p>
            <w:pPr>
              <w:jc w:val="cente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2151" w:type="dxa"/>
            <w:tcBorders>
              <w:tl2br w:val="nil"/>
              <w:tr2bl w:val="nil"/>
            </w:tcBorders>
            <w:noWrap w:val="0"/>
            <w:tcMar>
              <w:top w:w="16" w:type="dxa"/>
              <w:left w:w="16" w:type="dxa"/>
              <w:right w:w="16" w:type="dxa"/>
            </w:tcMar>
            <w:vAlign w:val="center"/>
          </w:tcPr>
          <w:p>
            <w:pPr>
              <w:adjustRightInd w:val="0"/>
              <w:snapToGrid w:val="0"/>
              <w:jc w:val="center"/>
              <w:rPr>
                <w:rFonts w:hint="default" w:ascii="Times New Roman" w:hAnsi="Times New Roman" w:cs="Times New Roman" w:eastAsiaTheme="minorEastAsia"/>
                <w:color w:val="000000" w:themeColor="text1"/>
                <w:sz w:val="24"/>
                <w:szCs w:val="24"/>
                <w14:textFill>
                  <w14:solidFill>
                    <w14:schemeClr w14:val="tx1"/>
                  </w14:solidFill>
                </w14:textFill>
              </w:rPr>
            </w:pPr>
            <w:r>
              <w:rPr>
                <w:rFonts w:hint="default" w:ascii="Times New Roman" w:hAnsi="Times New Roman" w:cs="Times New Roman" w:eastAsiaTheme="minorEastAsia"/>
                <w:color w:val="000000" w:themeColor="text1"/>
                <w:sz w:val="24"/>
                <w:szCs w:val="24"/>
                <w14:textFill>
                  <w14:solidFill>
                    <w14:schemeClr w14:val="tx1"/>
                  </w14:solidFill>
                </w14:textFill>
              </w:rPr>
              <w:t>国民经济行业类别</w:t>
            </w:r>
          </w:p>
        </w:tc>
        <w:tc>
          <w:tcPr>
            <w:tcW w:w="2134" w:type="dxa"/>
            <w:tcBorders>
              <w:tl2br w:val="nil"/>
              <w:tr2bl w:val="nil"/>
            </w:tcBorders>
            <w:noWrap w:val="0"/>
            <w:vAlign w:val="center"/>
          </w:tcPr>
          <w:p>
            <w:pPr>
              <w:adjustRightInd w:val="0"/>
              <w:snapToGrid w:val="0"/>
              <w:jc w:val="cente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N7723固体废物治理</w:t>
            </w:r>
          </w:p>
          <w:p>
            <w:pPr>
              <w:adjustRightInd w:val="0"/>
              <w:snapToGrid w:val="0"/>
              <w:jc w:val="cente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N7724危险废物治理</w:t>
            </w:r>
          </w:p>
        </w:tc>
        <w:tc>
          <w:tcPr>
            <w:tcW w:w="1174" w:type="dxa"/>
            <w:tcBorders>
              <w:tl2br w:val="nil"/>
              <w:tr2bl w:val="nil"/>
            </w:tcBorders>
            <w:noWrap w:val="0"/>
            <w:vAlign w:val="center"/>
          </w:tcPr>
          <w:p>
            <w:pPr>
              <w:adjustRightInd w:val="0"/>
              <w:snapToGrid w:val="0"/>
              <w:jc w:val="center"/>
              <w:rPr>
                <w:rFonts w:hint="default" w:ascii="Times New Roman" w:hAnsi="Times New Roman" w:cs="Times New Roman" w:eastAsiaTheme="minorEastAsia"/>
                <w:color w:val="FF0000"/>
                <w:sz w:val="24"/>
                <w:szCs w:val="24"/>
                <w:u w:val="single"/>
              </w:rPr>
            </w:pPr>
            <w:bookmarkStart w:id="5" w:name="_Hlk49843745"/>
            <w:r>
              <w:rPr>
                <w:rFonts w:hint="default" w:ascii="Times New Roman" w:hAnsi="Times New Roman" w:cs="Times New Roman" w:eastAsiaTheme="minorEastAsia"/>
                <w:color w:val="FF0000"/>
                <w:sz w:val="24"/>
                <w:szCs w:val="24"/>
                <w:u w:val="single"/>
              </w:rPr>
              <w:t>建设项目</w:t>
            </w:r>
          </w:p>
          <w:p>
            <w:pPr>
              <w:adjustRightInd w:val="0"/>
              <w:snapToGrid w:val="0"/>
              <w:jc w:val="center"/>
              <w:rPr>
                <w:rFonts w:hint="default" w:ascii="Times New Roman" w:hAnsi="Times New Roman" w:cs="Times New Roman" w:eastAsiaTheme="minorEastAsia"/>
                <w:color w:val="FF0000"/>
                <w:sz w:val="24"/>
                <w:szCs w:val="24"/>
                <w:u w:val="single"/>
              </w:rPr>
            </w:pPr>
            <w:r>
              <w:rPr>
                <w:rFonts w:hint="default" w:ascii="Times New Roman" w:hAnsi="Times New Roman" w:cs="Times New Roman" w:eastAsiaTheme="minorEastAsia"/>
                <w:color w:val="FF0000"/>
                <w:sz w:val="24"/>
                <w:szCs w:val="24"/>
                <w:u w:val="single"/>
              </w:rPr>
              <w:t>行业类别</w:t>
            </w:r>
            <w:bookmarkEnd w:id="5"/>
          </w:p>
        </w:tc>
        <w:tc>
          <w:tcPr>
            <w:tcW w:w="3411" w:type="dxa"/>
            <w:gridSpan w:val="2"/>
            <w:tcBorders>
              <w:tl2br w:val="nil"/>
              <w:tr2bl w:val="nil"/>
            </w:tcBorders>
            <w:noWrap w:val="0"/>
            <w:vAlign w:val="center"/>
          </w:tcPr>
          <w:p>
            <w:pPr>
              <w:adjustRightInd w:val="0"/>
              <w:snapToGrid w:val="0"/>
              <w:jc w:val="center"/>
              <w:rPr>
                <w:rFonts w:hint="default" w:ascii="Times New Roman" w:hAnsi="Times New Roman" w:cs="Times New Roman" w:eastAsiaTheme="minorEastAsia"/>
                <w:color w:val="FF0000"/>
                <w:sz w:val="24"/>
                <w:szCs w:val="24"/>
                <w:u w:val="single"/>
                <w:lang w:val="en-US" w:eastAsia="zh-CN"/>
              </w:rPr>
            </w:pPr>
            <w:r>
              <w:rPr>
                <w:rFonts w:hint="eastAsia" w:ascii="Times New Roman" w:hAnsi="Times New Roman" w:cs="Times New Roman" w:eastAsiaTheme="minorEastAsia"/>
                <w:color w:val="FF0000"/>
                <w:sz w:val="24"/>
                <w:szCs w:val="24"/>
                <w:u w:val="single"/>
                <w:lang w:val="en-US" w:eastAsia="zh-CN"/>
              </w:rPr>
              <w:t>四十七</w:t>
            </w:r>
            <w:r>
              <w:rPr>
                <w:rFonts w:hint="default" w:ascii="Times New Roman" w:hAnsi="Times New Roman" w:cs="Times New Roman" w:eastAsiaTheme="minorEastAsia"/>
                <w:color w:val="FF0000"/>
                <w:sz w:val="24"/>
                <w:szCs w:val="24"/>
                <w:u w:val="single"/>
                <w:lang w:val="en-US" w:eastAsia="zh-CN"/>
              </w:rPr>
              <w:t>、</w:t>
            </w:r>
            <w:r>
              <w:rPr>
                <w:rFonts w:hint="eastAsia" w:ascii="Times New Roman" w:hAnsi="Times New Roman" w:cs="Times New Roman" w:eastAsiaTheme="minorEastAsia"/>
                <w:color w:val="FF0000"/>
                <w:sz w:val="24"/>
                <w:szCs w:val="24"/>
                <w:u w:val="single"/>
                <w:lang w:val="en-US" w:eastAsia="zh-CN"/>
              </w:rPr>
              <w:t>生态保护和环境治理业101危险废物（不含医疗废物）利用及处置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2151" w:type="dxa"/>
            <w:tcBorders>
              <w:tl2br w:val="nil"/>
              <w:tr2bl w:val="nil"/>
            </w:tcBorders>
            <w:noWrap w:val="0"/>
            <w:tcMar>
              <w:top w:w="16" w:type="dxa"/>
              <w:left w:w="16" w:type="dxa"/>
              <w:right w:w="16" w:type="dxa"/>
            </w:tcMar>
            <w:vAlign w:val="center"/>
          </w:tcPr>
          <w:p>
            <w:pPr>
              <w:adjustRightInd w:val="0"/>
              <w:snapToGrid w:val="0"/>
              <w:jc w:val="center"/>
              <w:rPr>
                <w:rFonts w:hint="default" w:ascii="Times New Roman" w:hAnsi="Times New Roman" w:cs="Times New Roman" w:eastAsiaTheme="minorEastAsia"/>
                <w:color w:val="000000" w:themeColor="text1"/>
                <w:sz w:val="24"/>
                <w:szCs w:val="24"/>
                <w14:textFill>
                  <w14:solidFill>
                    <w14:schemeClr w14:val="tx1"/>
                  </w14:solidFill>
                </w14:textFill>
              </w:rPr>
            </w:pPr>
            <w:r>
              <w:rPr>
                <w:rFonts w:hint="default" w:ascii="Times New Roman" w:hAnsi="Times New Roman" w:cs="Times New Roman" w:eastAsiaTheme="minorEastAsia"/>
                <w:color w:val="000000" w:themeColor="text1"/>
                <w:sz w:val="24"/>
                <w:szCs w:val="24"/>
                <w14:textFill>
                  <w14:solidFill>
                    <w14:schemeClr w14:val="tx1"/>
                  </w14:solidFill>
                </w14:textFill>
              </w:rPr>
              <w:t>建设性质</w:t>
            </w:r>
          </w:p>
        </w:tc>
        <w:tc>
          <w:tcPr>
            <w:tcW w:w="2134" w:type="dxa"/>
            <w:tcBorders>
              <w:tl2br w:val="nil"/>
              <w:tr2bl w:val="nil"/>
            </w:tcBorders>
            <w:noWrap w:val="0"/>
            <w:vAlign w:val="center"/>
          </w:tcPr>
          <w:p>
            <w:pPr>
              <w:jc w:val="left"/>
              <w:rPr>
                <w:rFonts w:hint="default" w:ascii="Times New Roman" w:hAnsi="Times New Roman" w:cs="Times New Roman" w:eastAsiaTheme="minorEastAsia"/>
                <w:color w:val="000000" w:themeColor="text1"/>
                <w:sz w:val="24"/>
                <w:szCs w:val="24"/>
                <w14:textFill>
                  <w14:solidFill>
                    <w14:schemeClr w14:val="tx1"/>
                  </w14:solidFill>
                </w14:textFill>
              </w:rPr>
            </w:pPr>
            <w:r>
              <w:rPr>
                <w:rFonts w:hint="eastAsia" w:cs="Times New Roman" w:eastAsiaTheme="minorEastAsia"/>
                <w:color w:val="000000" w:themeColor="text1"/>
                <w:sz w:val="24"/>
                <w:szCs w:val="24"/>
                <w:lang w:eastAsia="zh-CN"/>
                <w14:textFill>
                  <w14:solidFill>
                    <w14:schemeClr w14:val="tx1"/>
                  </w14:solidFill>
                </w14:textFill>
              </w:rPr>
              <w:t>（</w:t>
            </w:r>
            <w:r>
              <w:rPr>
                <w:rFonts w:hint="default" w:ascii="Times New Roman" w:hAnsi="Times New Roman" w:cs="Times New Roman" w:eastAsiaTheme="minorEastAsia"/>
                <w:color w:val="000000" w:themeColor="text1"/>
                <w:sz w:val="24"/>
                <w:szCs w:val="24"/>
                <w14:textFill>
                  <w14:solidFill>
                    <w14:schemeClr w14:val="tx1"/>
                  </w14:solidFill>
                </w14:textFill>
              </w:rPr>
              <w:t>新建（迁建）</w:t>
            </w:r>
          </w:p>
          <w:p>
            <w:pPr>
              <w:jc w:val="left"/>
              <w:rPr>
                <w:rFonts w:hint="default" w:ascii="Times New Roman" w:hAnsi="Times New Roman" w:cs="Times New Roman" w:eastAsiaTheme="minorEastAsia"/>
                <w:color w:val="000000" w:themeColor="text1"/>
                <w:sz w:val="24"/>
                <w:szCs w:val="24"/>
                <w14:textFill>
                  <w14:solidFill>
                    <w14:schemeClr w14:val="tx1"/>
                  </w14:solidFill>
                </w14:textFill>
              </w:rPr>
            </w:pPr>
            <w:r>
              <w:rPr>
                <w:rFonts w:hint="eastAsia" w:cs="Times New Roman" w:eastAsiaTheme="minorEastAsia"/>
                <w:color w:val="000000" w:themeColor="text1"/>
                <w:sz w:val="24"/>
                <w:szCs w:val="24"/>
                <w:lang w:eastAsia="zh-CN"/>
                <w14:textFill>
                  <w14:solidFill>
                    <w14:schemeClr w14:val="tx1"/>
                  </w14:solidFill>
                </w14:textFill>
              </w:rPr>
              <w:t>（</w:t>
            </w:r>
            <w:r>
              <w:rPr>
                <w:rFonts w:hint="default" w:ascii="Times New Roman" w:hAnsi="Times New Roman" w:cs="Times New Roman" w:eastAsiaTheme="minorEastAsia"/>
                <w:color w:val="000000" w:themeColor="text1"/>
                <w:sz w:val="24"/>
                <w:szCs w:val="24"/>
                <w14:textFill>
                  <w14:solidFill>
                    <w14:schemeClr w14:val="tx1"/>
                  </w14:solidFill>
                </w14:textFill>
              </w:rPr>
              <w:t>改建</w:t>
            </w:r>
          </w:p>
          <w:p>
            <w:pPr>
              <w:jc w:val="left"/>
              <w:rPr>
                <w:rFonts w:hint="default" w:ascii="Times New Roman" w:hAnsi="Times New Roman" w:cs="Times New Roman" w:eastAsiaTheme="minorEastAsia"/>
                <w:color w:val="000000" w:themeColor="text1"/>
                <w:sz w:val="24"/>
                <w:szCs w:val="24"/>
                <w14:textFill>
                  <w14:solidFill>
                    <w14:schemeClr w14:val="tx1"/>
                  </w14:solidFill>
                </w14:textFill>
              </w:rPr>
            </w:pPr>
            <w:r>
              <w:rPr>
                <w:rFonts w:hint="eastAsia" w:cs="Times New Roman" w:eastAsiaTheme="minorEastAsia"/>
                <w:color w:val="000000" w:themeColor="text1"/>
                <w:sz w:val="24"/>
                <w:szCs w:val="24"/>
                <w:lang w:eastAsia="zh-CN"/>
                <w14:textFill>
                  <w14:solidFill>
                    <w14:schemeClr w14:val="tx1"/>
                  </w14:solidFill>
                </w14:textFill>
              </w:rPr>
              <w:t>（</w:t>
            </w:r>
            <w:r>
              <w:rPr>
                <w:rFonts w:hint="default" w:ascii="Times New Roman" w:hAnsi="Times New Roman" w:cs="Times New Roman" w:eastAsiaTheme="minorEastAsia"/>
                <w:color w:val="000000" w:themeColor="text1"/>
                <w:sz w:val="24"/>
                <w:szCs w:val="24"/>
                <w14:textFill>
                  <w14:solidFill>
                    <w14:schemeClr w14:val="tx1"/>
                  </w14:solidFill>
                </w14:textFill>
              </w:rPr>
              <w:t>扩建</w:t>
            </w:r>
          </w:p>
          <w:p>
            <w:pPr>
              <w:jc w:val="left"/>
              <w:rPr>
                <w:rFonts w:hint="default" w:ascii="Times New Roman" w:hAnsi="Times New Roman" w:cs="Times New Roman" w:eastAsiaTheme="minorEastAsia"/>
                <w:color w:val="000000" w:themeColor="text1"/>
                <w:sz w:val="24"/>
                <w:szCs w:val="24"/>
                <w14:textFill>
                  <w14:solidFill>
                    <w14:schemeClr w14:val="tx1"/>
                  </w14:solidFill>
                </w14:textFill>
              </w:rPr>
            </w:pPr>
            <w:r>
              <w:rPr>
                <w:rFonts w:hint="eastAsia" w:cs="Times New Roman" w:eastAsiaTheme="minorEastAsia"/>
                <w:color w:val="000000" w:themeColor="text1"/>
                <w:sz w:val="24"/>
                <w:szCs w:val="24"/>
                <w:lang w:eastAsia="zh-CN"/>
                <w14:textFill>
                  <w14:solidFill>
                    <w14:schemeClr w14:val="tx1"/>
                  </w14:solidFill>
                </w14:textFill>
              </w:rPr>
              <w:t>（</w:t>
            </w:r>
            <w:r>
              <w:rPr>
                <w:rFonts w:hint="default" w:ascii="Times New Roman" w:hAnsi="Times New Roman" w:cs="Times New Roman" w:eastAsiaTheme="minorEastAsia"/>
                <w:color w:val="000000" w:themeColor="text1"/>
                <w:sz w:val="24"/>
                <w:szCs w:val="24"/>
                <w14:textFill>
                  <w14:solidFill>
                    <w14:schemeClr w14:val="tx1"/>
                  </w14:solidFill>
                </w14:textFill>
              </w:rPr>
              <w:t>技术改造</w:t>
            </w:r>
          </w:p>
        </w:tc>
        <w:tc>
          <w:tcPr>
            <w:tcW w:w="1174" w:type="dxa"/>
            <w:tcBorders>
              <w:tl2br w:val="nil"/>
              <w:tr2bl w:val="nil"/>
            </w:tcBorders>
            <w:noWrap w:val="0"/>
            <w:vAlign w:val="center"/>
          </w:tcPr>
          <w:p>
            <w:pPr>
              <w:adjustRightInd w:val="0"/>
              <w:snapToGrid w:val="0"/>
              <w:jc w:val="center"/>
              <w:rPr>
                <w:rFonts w:hint="default" w:ascii="Times New Roman" w:hAnsi="Times New Roman" w:cs="Times New Roman" w:eastAsiaTheme="minorEastAsia"/>
                <w:color w:val="000000" w:themeColor="text1"/>
                <w:sz w:val="24"/>
                <w:szCs w:val="24"/>
                <w14:textFill>
                  <w14:solidFill>
                    <w14:schemeClr w14:val="tx1"/>
                  </w14:solidFill>
                </w14:textFill>
              </w:rPr>
            </w:pPr>
            <w:r>
              <w:rPr>
                <w:rFonts w:hint="default" w:ascii="Times New Roman" w:hAnsi="Times New Roman" w:cs="Times New Roman" w:eastAsiaTheme="minorEastAsia"/>
                <w:color w:val="000000" w:themeColor="text1"/>
                <w:sz w:val="24"/>
                <w:szCs w:val="24"/>
                <w14:textFill>
                  <w14:solidFill>
                    <w14:schemeClr w14:val="tx1"/>
                  </w14:solidFill>
                </w14:textFill>
              </w:rPr>
              <w:t>建设项目</w:t>
            </w:r>
          </w:p>
          <w:p>
            <w:pPr>
              <w:adjustRightInd w:val="0"/>
              <w:snapToGrid w:val="0"/>
              <w:jc w:val="center"/>
              <w:rPr>
                <w:rFonts w:hint="default" w:ascii="Times New Roman" w:hAnsi="Times New Roman" w:cs="Times New Roman" w:eastAsiaTheme="minorEastAsia"/>
                <w:color w:val="000000" w:themeColor="text1"/>
                <w:sz w:val="24"/>
                <w:szCs w:val="24"/>
                <w14:textFill>
                  <w14:solidFill>
                    <w14:schemeClr w14:val="tx1"/>
                  </w14:solidFill>
                </w14:textFill>
              </w:rPr>
            </w:pPr>
            <w:r>
              <w:rPr>
                <w:rFonts w:hint="default" w:ascii="Times New Roman" w:hAnsi="Times New Roman" w:cs="Times New Roman" w:eastAsiaTheme="minorEastAsia"/>
                <w:color w:val="000000" w:themeColor="text1"/>
                <w:sz w:val="24"/>
                <w:szCs w:val="24"/>
                <w14:textFill>
                  <w14:solidFill>
                    <w14:schemeClr w14:val="tx1"/>
                  </w14:solidFill>
                </w14:textFill>
              </w:rPr>
              <w:t>申报情形</w:t>
            </w:r>
          </w:p>
        </w:tc>
        <w:tc>
          <w:tcPr>
            <w:tcW w:w="3411" w:type="dxa"/>
            <w:gridSpan w:val="2"/>
            <w:tcBorders>
              <w:tl2br w:val="nil"/>
              <w:tr2bl w:val="nil"/>
            </w:tcBorders>
            <w:noWrap w:val="0"/>
            <w:vAlign w:val="center"/>
          </w:tcPr>
          <w:p>
            <w:pPr>
              <w:jc w:val="left"/>
              <w:rPr>
                <w:rFonts w:hint="default" w:ascii="Times New Roman" w:hAnsi="Times New Roman" w:cs="Times New Roman" w:eastAsiaTheme="minorEastAsia"/>
                <w:color w:val="000000" w:themeColor="text1"/>
                <w:sz w:val="24"/>
                <w:szCs w:val="24"/>
                <w14:textFill>
                  <w14:solidFill>
                    <w14:schemeClr w14:val="tx1"/>
                  </w14:solidFill>
                </w14:textFill>
              </w:rPr>
            </w:pPr>
            <w:r>
              <w:rPr>
                <w:rFonts w:hint="eastAsia" w:cs="Times New Roman" w:eastAsiaTheme="minorEastAsia"/>
                <w:color w:val="000000" w:themeColor="text1"/>
                <w:sz w:val="24"/>
                <w:szCs w:val="24"/>
                <w:lang w:eastAsia="zh-CN"/>
                <w14:textFill>
                  <w14:solidFill>
                    <w14:schemeClr w14:val="tx1"/>
                  </w14:solidFill>
                </w14:textFill>
              </w:rPr>
              <w:t>（</w:t>
            </w:r>
            <w:r>
              <w:rPr>
                <w:rFonts w:hint="default" w:ascii="Times New Roman" w:hAnsi="Times New Roman" w:cs="Times New Roman" w:eastAsiaTheme="minorEastAsia"/>
                <w:color w:val="000000" w:themeColor="text1"/>
                <w:sz w:val="24"/>
                <w:szCs w:val="24"/>
                <w14:textFill>
                  <w14:solidFill>
                    <w14:schemeClr w14:val="tx1"/>
                  </w14:solidFill>
                </w14:textFill>
              </w:rPr>
              <w:t xml:space="preserve">首次申报项目             </w:t>
            </w:r>
          </w:p>
          <w:p>
            <w:pPr>
              <w:jc w:val="left"/>
              <w:rPr>
                <w:rFonts w:hint="default" w:ascii="Times New Roman" w:hAnsi="Times New Roman" w:cs="Times New Roman" w:eastAsiaTheme="minorEastAsia"/>
                <w:color w:val="000000" w:themeColor="text1"/>
                <w:sz w:val="24"/>
                <w:szCs w:val="24"/>
                <w14:textFill>
                  <w14:solidFill>
                    <w14:schemeClr w14:val="tx1"/>
                  </w14:solidFill>
                </w14:textFill>
              </w:rPr>
            </w:pPr>
            <w:r>
              <w:rPr>
                <w:rFonts w:hint="eastAsia" w:cs="Times New Roman" w:eastAsiaTheme="minorEastAsia"/>
                <w:color w:val="000000" w:themeColor="text1"/>
                <w:sz w:val="24"/>
                <w:szCs w:val="24"/>
                <w:lang w:eastAsia="zh-CN"/>
                <w14:textFill>
                  <w14:solidFill>
                    <w14:schemeClr w14:val="tx1"/>
                  </w14:solidFill>
                </w14:textFill>
              </w:rPr>
              <w:t>（</w:t>
            </w:r>
            <w:r>
              <w:rPr>
                <w:rFonts w:hint="default" w:ascii="Times New Roman" w:hAnsi="Times New Roman" w:cs="Times New Roman" w:eastAsiaTheme="minorEastAsia"/>
                <w:color w:val="000000" w:themeColor="text1"/>
                <w:sz w:val="24"/>
                <w:szCs w:val="24"/>
                <w14:textFill>
                  <w14:solidFill>
                    <w14:schemeClr w14:val="tx1"/>
                  </w14:solidFill>
                </w14:textFill>
              </w:rPr>
              <w:t>不予批准后再次申报项目</w:t>
            </w:r>
          </w:p>
          <w:p>
            <w:pPr>
              <w:jc w:val="left"/>
              <w:rPr>
                <w:rFonts w:hint="default" w:ascii="Times New Roman" w:hAnsi="Times New Roman" w:cs="Times New Roman" w:eastAsiaTheme="minorEastAsia"/>
                <w:color w:val="000000" w:themeColor="text1"/>
                <w:sz w:val="24"/>
                <w:szCs w:val="24"/>
                <w14:textFill>
                  <w14:solidFill>
                    <w14:schemeClr w14:val="tx1"/>
                  </w14:solidFill>
                </w14:textFill>
              </w:rPr>
            </w:pPr>
            <w:r>
              <w:rPr>
                <w:rFonts w:hint="eastAsia" w:cs="Times New Roman" w:eastAsiaTheme="minorEastAsia"/>
                <w:color w:val="000000" w:themeColor="text1"/>
                <w:sz w:val="24"/>
                <w:szCs w:val="24"/>
                <w:lang w:eastAsia="zh-CN"/>
                <w14:textFill>
                  <w14:solidFill>
                    <w14:schemeClr w14:val="tx1"/>
                  </w14:solidFill>
                </w14:textFill>
              </w:rPr>
              <w:t>（</w:t>
            </w:r>
            <w:r>
              <w:rPr>
                <w:rFonts w:hint="default" w:ascii="Times New Roman" w:hAnsi="Times New Roman" w:cs="Times New Roman" w:eastAsiaTheme="minorEastAsia"/>
                <w:color w:val="000000" w:themeColor="text1"/>
                <w:sz w:val="24"/>
                <w:szCs w:val="24"/>
                <w14:textFill>
                  <w14:solidFill>
                    <w14:schemeClr w14:val="tx1"/>
                  </w14:solidFill>
                </w14:textFill>
              </w:rPr>
              <w:t xml:space="preserve">超五年重新审核项目     </w:t>
            </w:r>
          </w:p>
          <w:p>
            <w:pPr>
              <w:jc w:val="left"/>
              <w:rPr>
                <w:rFonts w:hint="default" w:ascii="Times New Roman" w:hAnsi="Times New Roman" w:cs="Times New Roman" w:eastAsiaTheme="minorEastAsia"/>
                <w:color w:val="000000" w:themeColor="text1"/>
                <w:sz w:val="24"/>
                <w:szCs w:val="24"/>
                <w14:textFill>
                  <w14:solidFill>
                    <w14:schemeClr w14:val="tx1"/>
                  </w14:solidFill>
                </w14:textFill>
              </w:rPr>
            </w:pPr>
            <w:r>
              <w:rPr>
                <w:rFonts w:hint="eastAsia" w:cs="Times New Roman" w:eastAsiaTheme="minorEastAsia"/>
                <w:color w:val="000000" w:themeColor="text1"/>
                <w:sz w:val="24"/>
                <w:szCs w:val="24"/>
                <w:lang w:eastAsia="zh-CN"/>
                <w14:textFill>
                  <w14:solidFill>
                    <w14:schemeClr w14:val="tx1"/>
                  </w14:solidFill>
                </w14:textFill>
              </w:rPr>
              <w:t>（</w:t>
            </w:r>
            <w:r>
              <w:rPr>
                <w:rFonts w:hint="default" w:ascii="Times New Roman" w:hAnsi="Times New Roman" w:cs="Times New Roman" w:eastAsiaTheme="minorEastAsia"/>
                <w:color w:val="000000" w:themeColor="text1"/>
                <w:sz w:val="24"/>
                <w:szCs w:val="24"/>
                <w14:textFill>
                  <w14:solidFill>
                    <w14:schemeClr w14:val="tx1"/>
                  </w14:solidFill>
                </w14:textFill>
              </w:rPr>
              <w:t>重大变动重新报批项目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2151" w:type="dxa"/>
            <w:tcBorders>
              <w:tl2br w:val="nil"/>
              <w:tr2bl w:val="nil"/>
            </w:tcBorders>
            <w:noWrap w:val="0"/>
            <w:tcMar>
              <w:top w:w="16" w:type="dxa"/>
              <w:left w:w="16" w:type="dxa"/>
              <w:right w:w="16" w:type="dxa"/>
            </w:tcMar>
            <w:vAlign w:val="center"/>
          </w:tcPr>
          <w:p>
            <w:pPr>
              <w:adjustRightInd w:val="0"/>
              <w:snapToGrid w:val="0"/>
              <w:jc w:val="center"/>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项目审批（核准/</w:t>
            </w:r>
          </w:p>
          <w:p>
            <w:pPr>
              <w:adjustRightInd w:val="0"/>
              <w:snapToGrid w:val="0"/>
              <w:jc w:val="center"/>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备案）部门（选填）</w:t>
            </w:r>
          </w:p>
        </w:tc>
        <w:tc>
          <w:tcPr>
            <w:tcW w:w="2134" w:type="dxa"/>
            <w:tcBorders>
              <w:tl2br w:val="nil"/>
              <w:tr2bl w:val="nil"/>
            </w:tcBorders>
            <w:noWrap w:val="0"/>
            <w:vAlign w:val="center"/>
          </w:tcPr>
          <w:p>
            <w:pPr>
              <w:adjustRightInd w:val="0"/>
              <w:snapToGrid w:val="0"/>
              <w:jc w:val="center"/>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w:t>
            </w:r>
          </w:p>
        </w:tc>
        <w:tc>
          <w:tcPr>
            <w:tcW w:w="1946" w:type="dxa"/>
            <w:gridSpan w:val="2"/>
            <w:tcBorders>
              <w:tl2br w:val="nil"/>
              <w:tr2bl w:val="nil"/>
            </w:tcBorders>
            <w:noWrap w:val="0"/>
            <w:vAlign w:val="center"/>
          </w:tcPr>
          <w:p>
            <w:pPr>
              <w:adjustRightInd w:val="0"/>
              <w:snapToGrid w:val="0"/>
              <w:jc w:val="center"/>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项目审批（核准/</w:t>
            </w:r>
          </w:p>
          <w:p>
            <w:pPr>
              <w:adjustRightInd w:val="0"/>
              <w:snapToGrid w:val="0"/>
              <w:jc w:val="center"/>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备案）文号（选填）</w:t>
            </w:r>
          </w:p>
        </w:tc>
        <w:tc>
          <w:tcPr>
            <w:tcW w:w="2639" w:type="dxa"/>
            <w:tcBorders>
              <w:tl2br w:val="nil"/>
              <w:tr2bl w:val="nil"/>
            </w:tcBorders>
            <w:noWrap w:val="0"/>
            <w:vAlign w:val="center"/>
          </w:tcPr>
          <w:p>
            <w:pPr>
              <w:adjustRightInd w:val="0"/>
              <w:snapToGrid w:val="0"/>
              <w:jc w:val="center"/>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51" w:type="dxa"/>
            <w:tcBorders>
              <w:tl2br w:val="nil"/>
              <w:tr2bl w:val="nil"/>
            </w:tcBorders>
            <w:noWrap w:val="0"/>
            <w:tcMar>
              <w:top w:w="16" w:type="dxa"/>
              <w:left w:w="16" w:type="dxa"/>
              <w:right w:w="16" w:type="dxa"/>
            </w:tcMar>
            <w:vAlign w:val="center"/>
          </w:tcPr>
          <w:p>
            <w:pPr>
              <w:adjustRightInd w:val="0"/>
              <w:snapToGrid w:val="0"/>
              <w:jc w:val="center"/>
              <w:rPr>
                <w:rFonts w:hint="default" w:ascii="Times New Roman" w:hAnsi="Times New Roman" w:cs="Times New Roman" w:eastAsiaTheme="minorEastAsia"/>
                <w:color w:val="FF0000"/>
                <w:sz w:val="24"/>
                <w:szCs w:val="24"/>
                <w:u w:val="single"/>
              </w:rPr>
            </w:pPr>
            <w:r>
              <w:rPr>
                <w:rFonts w:hint="default" w:ascii="Times New Roman" w:hAnsi="Times New Roman" w:cs="Times New Roman" w:eastAsiaTheme="minorEastAsia"/>
                <w:color w:val="FF0000"/>
                <w:sz w:val="24"/>
                <w:szCs w:val="24"/>
                <w:u w:val="single"/>
              </w:rPr>
              <w:t>总投资（万元）</w:t>
            </w:r>
          </w:p>
        </w:tc>
        <w:tc>
          <w:tcPr>
            <w:tcW w:w="2134" w:type="dxa"/>
            <w:tcBorders>
              <w:tl2br w:val="nil"/>
              <w:tr2bl w:val="nil"/>
            </w:tcBorders>
            <w:noWrap w:val="0"/>
            <w:vAlign w:val="center"/>
          </w:tcPr>
          <w:p>
            <w:pPr>
              <w:adjustRightInd w:val="0"/>
              <w:snapToGrid w:val="0"/>
              <w:jc w:val="center"/>
              <w:rPr>
                <w:rFonts w:hint="default" w:ascii="Times New Roman" w:hAnsi="Times New Roman" w:cs="Times New Roman" w:eastAsiaTheme="minorEastAsia"/>
                <w:color w:val="FF0000"/>
                <w:sz w:val="24"/>
                <w:szCs w:val="24"/>
                <w:u w:val="single"/>
                <w:lang w:val="en-US" w:eastAsia="zh-CN"/>
              </w:rPr>
            </w:pPr>
            <w:r>
              <w:rPr>
                <w:rFonts w:hint="default" w:ascii="Times New Roman" w:hAnsi="Times New Roman" w:cs="Times New Roman" w:eastAsiaTheme="minorEastAsia"/>
                <w:color w:val="FF0000"/>
                <w:sz w:val="24"/>
                <w:szCs w:val="24"/>
                <w:u w:val="single"/>
                <w:lang w:val="en-US" w:eastAsia="zh-CN"/>
              </w:rPr>
              <w:t>800</w:t>
            </w:r>
          </w:p>
        </w:tc>
        <w:tc>
          <w:tcPr>
            <w:tcW w:w="1946" w:type="dxa"/>
            <w:gridSpan w:val="2"/>
            <w:tcBorders>
              <w:tl2br w:val="nil"/>
              <w:tr2bl w:val="nil"/>
            </w:tcBorders>
            <w:noWrap w:val="0"/>
            <w:tcMar>
              <w:top w:w="16" w:type="dxa"/>
              <w:left w:w="16" w:type="dxa"/>
              <w:right w:w="16" w:type="dxa"/>
            </w:tcMar>
            <w:vAlign w:val="center"/>
          </w:tcPr>
          <w:p>
            <w:pPr>
              <w:adjustRightInd w:val="0"/>
              <w:snapToGrid w:val="0"/>
              <w:jc w:val="center"/>
              <w:rPr>
                <w:rFonts w:hint="default" w:ascii="Times New Roman" w:hAnsi="Times New Roman" w:cs="Times New Roman" w:eastAsiaTheme="minorEastAsia"/>
                <w:color w:val="FF0000"/>
                <w:sz w:val="24"/>
                <w:szCs w:val="24"/>
                <w:u w:val="single"/>
              </w:rPr>
            </w:pPr>
            <w:r>
              <w:rPr>
                <w:rFonts w:hint="default" w:ascii="Times New Roman" w:hAnsi="Times New Roman" w:cs="Times New Roman" w:eastAsiaTheme="minorEastAsia"/>
                <w:color w:val="FF0000"/>
                <w:sz w:val="24"/>
                <w:szCs w:val="24"/>
                <w:u w:val="single"/>
              </w:rPr>
              <w:t>环保投资（万元）</w:t>
            </w:r>
          </w:p>
        </w:tc>
        <w:tc>
          <w:tcPr>
            <w:tcW w:w="2639" w:type="dxa"/>
            <w:tcBorders>
              <w:tl2br w:val="nil"/>
              <w:tr2bl w:val="nil"/>
            </w:tcBorders>
            <w:noWrap w:val="0"/>
            <w:vAlign w:val="center"/>
          </w:tcPr>
          <w:p>
            <w:pPr>
              <w:adjustRightInd w:val="0"/>
              <w:snapToGrid w:val="0"/>
              <w:jc w:val="center"/>
              <w:rPr>
                <w:rFonts w:hint="default" w:ascii="Times New Roman" w:hAnsi="Times New Roman" w:cs="Times New Roman" w:eastAsiaTheme="minorEastAsia"/>
                <w:color w:val="FF0000"/>
                <w:sz w:val="24"/>
                <w:szCs w:val="24"/>
                <w:u w:val="single"/>
                <w:lang w:val="en-US" w:eastAsia="zh-CN"/>
              </w:rPr>
            </w:pPr>
            <w:r>
              <w:rPr>
                <w:rFonts w:hint="default" w:ascii="Times New Roman" w:hAnsi="Times New Roman" w:cs="Times New Roman" w:eastAsiaTheme="minorEastAsia"/>
                <w:color w:val="FF0000"/>
                <w:sz w:val="24"/>
                <w:szCs w:val="24"/>
                <w:u w:val="single"/>
                <w:lang w:val="en-US" w:eastAsia="zh-CN"/>
              </w:rPr>
              <w:t>21.5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51" w:type="dxa"/>
            <w:tcBorders>
              <w:tl2br w:val="nil"/>
              <w:tr2bl w:val="nil"/>
            </w:tcBorders>
            <w:noWrap w:val="0"/>
            <w:tcMar>
              <w:top w:w="16" w:type="dxa"/>
              <w:left w:w="16" w:type="dxa"/>
              <w:right w:w="16" w:type="dxa"/>
            </w:tcMar>
            <w:vAlign w:val="center"/>
          </w:tcPr>
          <w:p>
            <w:pPr>
              <w:adjustRightInd w:val="0"/>
              <w:snapToGrid w:val="0"/>
              <w:jc w:val="center"/>
              <w:rPr>
                <w:rFonts w:hint="default" w:ascii="Times New Roman" w:hAnsi="Times New Roman" w:cs="Times New Roman" w:eastAsiaTheme="minorEastAsia"/>
                <w:color w:val="000000" w:themeColor="text1"/>
                <w:sz w:val="24"/>
                <w:szCs w:val="24"/>
                <w14:textFill>
                  <w14:solidFill>
                    <w14:schemeClr w14:val="tx1"/>
                  </w14:solidFill>
                </w14:textFill>
              </w:rPr>
            </w:pPr>
            <w:r>
              <w:rPr>
                <w:rFonts w:hint="default" w:ascii="Times New Roman" w:hAnsi="Times New Roman" w:cs="Times New Roman" w:eastAsiaTheme="minorEastAsia"/>
                <w:color w:val="000000" w:themeColor="text1"/>
                <w:sz w:val="24"/>
                <w:szCs w:val="24"/>
                <w14:textFill>
                  <w14:solidFill>
                    <w14:schemeClr w14:val="tx1"/>
                  </w14:solidFill>
                </w14:textFill>
              </w:rPr>
              <w:t>环保投资占比（%）</w:t>
            </w:r>
          </w:p>
        </w:tc>
        <w:tc>
          <w:tcPr>
            <w:tcW w:w="2134" w:type="dxa"/>
            <w:tcBorders>
              <w:tl2br w:val="nil"/>
              <w:tr2bl w:val="nil"/>
            </w:tcBorders>
            <w:noWrap w:val="0"/>
            <w:vAlign w:val="center"/>
          </w:tcPr>
          <w:p>
            <w:pPr>
              <w:adjustRightInd w:val="0"/>
              <w:snapToGrid w:val="0"/>
              <w:jc w:val="cente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2.69</w:t>
            </w:r>
          </w:p>
        </w:tc>
        <w:tc>
          <w:tcPr>
            <w:tcW w:w="1946" w:type="dxa"/>
            <w:gridSpan w:val="2"/>
            <w:tcBorders>
              <w:tl2br w:val="nil"/>
              <w:tr2bl w:val="nil"/>
            </w:tcBorders>
            <w:noWrap w:val="0"/>
            <w:tcMar>
              <w:top w:w="16" w:type="dxa"/>
              <w:left w:w="16" w:type="dxa"/>
              <w:right w:w="16" w:type="dxa"/>
            </w:tcMar>
            <w:vAlign w:val="center"/>
          </w:tcPr>
          <w:p>
            <w:pPr>
              <w:adjustRightInd w:val="0"/>
              <w:snapToGrid w:val="0"/>
              <w:jc w:val="center"/>
              <w:rPr>
                <w:rFonts w:hint="default" w:ascii="Times New Roman" w:hAnsi="Times New Roman" w:cs="Times New Roman" w:eastAsiaTheme="minorEastAsia"/>
                <w:color w:val="000000" w:themeColor="text1"/>
                <w:sz w:val="24"/>
                <w:szCs w:val="24"/>
                <w14:textFill>
                  <w14:solidFill>
                    <w14:schemeClr w14:val="tx1"/>
                  </w14:solidFill>
                </w14:textFill>
              </w:rPr>
            </w:pPr>
            <w:r>
              <w:rPr>
                <w:rFonts w:hint="default" w:ascii="Times New Roman" w:hAnsi="Times New Roman" w:cs="Times New Roman" w:eastAsiaTheme="minorEastAsia"/>
                <w:color w:val="000000" w:themeColor="text1"/>
                <w:sz w:val="24"/>
                <w:szCs w:val="24"/>
                <w14:textFill>
                  <w14:solidFill>
                    <w14:schemeClr w14:val="tx1"/>
                  </w14:solidFill>
                </w14:textFill>
              </w:rPr>
              <w:t>施工工期</w:t>
            </w:r>
          </w:p>
        </w:tc>
        <w:tc>
          <w:tcPr>
            <w:tcW w:w="2639" w:type="dxa"/>
            <w:tcBorders>
              <w:tl2br w:val="nil"/>
              <w:tr2bl w:val="nil"/>
            </w:tcBorders>
            <w:noWrap w:val="0"/>
            <w:vAlign w:val="center"/>
          </w:tcPr>
          <w:p>
            <w:pPr>
              <w:adjustRightInd w:val="0"/>
              <w:snapToGrid w:val="0"/>
              <w:jc w:val="cente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2021年11月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51" w:type="dxa"/>
            <w:tcBorders>
              <w:tl2br w:val="nil"/>
              <w:tr2bl w:val="nil"/>
            </w:tcBorders>
            <w:noWrap w:val="0"/>
            <w:tcMar>
              <w:top w:w="16" w:type="dxa"/>
              <w:left w:w="16" w:type="dxa"/>
              <w:right w:w="16" w:type="dxa"/>
            </w:tcMar>
            <w:vAlign w:val="center"/>
          </w:tcPr>
          <w:p>
            <w:pPr>
              <w:adjustRightInd w:val="0"/>
              <w:snapToGrid w:val="0"/>
              <w:jc w:val="center"/>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是否开工建设</w:t>
            </w:r>
          </w:p>
        </w:tc>
        <w:tc>
          <w:tcPr>
            <w:tcW w:w="2134" w:type="dxa"/>
            <w:tcBorders>
              <w:tl2br w:val="nil"/>
              <w:tr2bl w:val="nil"/>
            </w:tcBorders>
            <w:noWrap w:val="0"/>
            <w:vAlign w:val="center"/>
          </w:tcPr>
          <w:p>
            <w:pPr>
              <w:adjustRightInd w:val="0"/>
              <w:snapToGrid w:val="0"/>
              <w:rPr>
                <w:rFonts w:hint="default" w:ascii="Times New Roman" w:hAnsi="Times New Roman" w:cs="Times New Roman" w:eastAsiaTheme="minorEastAsia"/>
                <w:color w:val="auto"/>
                <w:sz w:val="24"/>
                <w:szCs w:val="24"/>
              </w:rPr>
            </w:pPr>
            <w:r>
              <w:rPr>
                <w:rFonts w:hint="eastAsia"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否</w:t>
            </w:r>
          </w:p>
          <w:p>
            <w:pPr>
              <w:adjustRightInd w:val="0"/>
              <w:snapToGrid w:val="0"/>
              <w:rPr>
                <w:rFonts w:hint="default" w:ascii="Times New Roman" w:hAnsi="Times New Roman" w:cs="Times New Roman" w:eastAsiaTheme="minorEastAsia"/>
                <w:color w:val="auto"/>
                <w:sz w:val="24"/>
                <w:szCs w:val="24"/>
              </w:rPr>
            </w:pPr>
            <w:r>
              <w:rPr>
                <w:rFonts w:hint="eastAsia"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是：</w:t>
            </w:r>
            <w:r>
              <w:rPr>
                <w:rFonts w:hint="default" w:ascii="Times New Roman" w:hAnsi="Times New Roman" w:cs="Times New Roman" w:eastAsiaTheme="minorEastAsia"/>
                <w:color w:val="auto"/>
                <w:sz w:val="24"/>
                <w:szCs w:val="24"/>
                <w:u w:val="single"/>
              </w:rPr>
              <w:t xml:space="preserve">             </w:t>
            </w:r>
          </w:p>
        </w:tc>
        <w:tc>
          <w:tcPr>
            <w:tcW w:w="1946" w:type="dxa"/>
            <w:gridSpan w:val="2"/>
            <w:tcBorders>
              <w:tl2br w:val="nil"/>
              <w:tr2bl w:val="nil"/>
            </w:tcBorders>
            <w:noWrap w:val="0"/>
            <w:tcMar>
              <w:top w:w="16" w:type="dxa"/>
              <w:left w:w="16" w:type="dxa"/>
              <w:right w:w="16" w:type="dxa"/>
            </w:tcMar>
            <w:vAlign w:val="center"/>
          </w:tcPr>
          <w:p>
            <w:pPr>
              <w:adjustRightInd w:val="0"/>
              <w:snapToGrid w:val="0"/>
              <w:jc w:val="center"/>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pacing w:val="-6"/>
                <w:sz w:val="24"/>
                <w:szCs w:val="24"/>
              </w:rPr>
              <w:t>用地面积（m</w:t>
            </w:r>
            <w:r>
              <w:rPr>
                <w:rFonts w:hint="default" w:ascii="Times New Roman" w:hAnsi="Times New Roman" w:cs="Times New Roman" w:eastAsiaTheme="minorEastAsia"/>
                <w:color w:val="auto"/>
                <w:spacing w:val="-6"/>
                <w:sz w:val="24"/>
                <w:szCs w:val="24"/>
                <w:vertAlign w:val="superscript"/>
              </w:rPr>
              <w:t>2</w:t>
            </w:r>
            <w:r>
              <w:rPr>
                <w:rFonts w:hint="default" w:ascii="Times New Roman" w:hAnsi="Times New Roman" w:cs="Times New Roman" w:eastAsiaTheme="minorEastAsia"/>
                <w:color w:val="auto"/>
                <w:spacing w:val="-6"/>
                <w:sz w:val="24"/>
                <w:szCs w:val="24"/>
              </w:rPr>
              <w:t>）</w:t>
            </w:r>
          </w:p>
        </w:tc>
        <w:tc>
          <w:tcPr>
            <w:tcW w:w="2639" w:type="dxa"/>
            <w:tcBorders>
              <w:tl2br w:val="nil"/>
              <w:tr2bl w:val="nil"/>
            </w:tcBorders>
            <w:noWrap w:val="0"/>
            <w:vAlign w:val="center"/>
          </w:tcPr>
          <w:p>
            <w:pPr>
              <w:adjustRightInd w:val="0"/>
              <w:snapToGrid w:val="0"/>
              <w:jc w:val="center"/>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151" w:type="dxa"/>
            <w:tcBorders>
              <w:tl2br w:val="nil"/>
              <w:tr2bl w:val="nil"/>
            </w:tcBorders>
            <w:noWrap w:val="0"/>
            <w:vAlign w:val="center"/>
          </w:tcPr>
          <w:p>
            <w:pPr>
              <w:autoSpaceDE w:val="0"/>
              <w:autoSpaceDN w:val="0"/>
              <w:adjustRightInd w:val="0"/>
              <w:snapToGrid w:val="0"/>
              <w:jc w:val="center"/>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专项评价设置情况</w:t>
            </w:r>
          </w:p>
        </w:tc>
        <w:tc>
          <w:tcPr>
            <w:tcW w:w="6719" w:type="dxa"/>
            <w:gridSpan w:val="4"/>
            <w:tcBorders>
              <w:tl2br w:val="nil"/>
              <w:tr2bl w:val="nil"/>
            </w:tcBorders>
            <w:noWrap w:val="0"/>
            <w:vAlign w:val="center"/>
          </w:tcPr>
          <w:p>
            <w:pPr>
              <w:autoSpaceDE w:val="0"/>
              <w:autoSpaceDN w:val="0"/>
              <w:adjustRightInd w:val="0"/>
              <w:snapToGrid w:val="0"/>
              <w:jc w:val="center"/>
              <w:rPr>
                <w:rFonts w:hint="default" w:ascii="Times New Roman" w:hAnsi="Times New Roman" w:cs="Times New Roman" w:eastAsiaTheme="minorEastAsia"/>
                <w:color w:val="auto"/>
                <w:kern w:val="0"/>
                <w:sz w:val="24"/>
                <w:szCs w:val="24"/>
                <w:lang w:val="en-US" w:eastAsia="zh-CN"/>
              </w:rPr>
            </w:pPr>
            <w:r>
              <w:rPr>
                <w:rFonts w:hint="default" w:ascii="Times New Roman" w:hAnsi="Times New Roman" w:cs="Times New Roman" w:eastAsiaTheme="minorEastAsia"/>
                <w:color w:val="auto"/>
                <w:kern w:val="0"/>
                <w:sz w:val="24"/>
                <w:szCs w:val="24"/>
                <w:lang w:val="en-US" w:eastAsia="zh-CN"/>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151" w:type="dxa"/>
            <w:tcBorders>
              <w:tl2br w:val="nil"/>
              <w:tr2bl w:val="nil"/>
            </w:tcBorders>
            <w:noWrap w:val="0"/>
            <w:vAlign w:val="center"/>
          </w:tcPr>
          <w:p>
            <w:pPr>
              <w:autoSpaceDE w:val="0"/>
              <w:autoSpaceDN w:val="0"/>
              <w:adjustRightInd w:val="0"/>
              <w:snapToGrid w:val="0"/>
              <w:jc w:val="center"/>
              <w:rPr>
                <w:rFonts w:hint="default" w:ascii="Times New Roman" w:hAnsi="Times New Roman" w:cs="Times New Roman" w:eastAsiaTheme="minorEastAsia"/>
                <w:color w:val="auto"/>
                <w:kern w:val="0"/>
                <w:sz w:val="24"/>
                <w:szCs w:val="24"/>
                <w:u w:val="none" w:color="auto"/>
              </w:rPr>
            </w:pPr>
            <w:r>
              <w:rPr>
                <w:rFonts w:hint="default" w:ascii="Times New Roman" w:hAnsi="Times New Roman" w:cs="Times New Roman" w:eastAsiaTheme="minorEastAsia"/>
                <w:color w:val="auto"/>
                <w:sz w:val="24"/>
                <w:szCs w:val="24"/>
                <w:u w:val="none" w:color="auto"/>
              </w:rPr>
              <w:t>规划情况</w:t>
            </w:r>
          </w:p>
        </w:tc>
        <w:tc>
          <w:tcPr>
            <w:tcW w:w="6719" w:type="dxa"/>
            <w:gridSpan w:val="4"/>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eastAsiaTheme="minorEastAsia"/>
                <w:color w:val="0000FF"/>
                <w:kern w:val="0"/>
                <w:sz w:val="24"/>
                <w:szCs w:val="24"/>
                <w:u w:val="none" w:color="auto"/>
                <w:lang w:val="en-US" w:eastAsia="zh-CN"/>
              </w:rPr>
            </w:pPr>
            <w:r>
              <w:rPr>
                <w:rFonts w:hint="default" w:ascii="Times New Roman" w:hAnsi="Times New Roman" w:cs="Times New Roman" w:eastAsiaTheme="minorEastAsia"/>
                <w:color w:val="auto"/>
                <w:kern w:val="0"/>
                <w:sz w:val="24"/>
                <w:szCs w:val="24"/>
                <w:u w:val="none" w:color="auto"/>
                <w:lang w:val="en-US" w:eastAsia="zh-CN"/>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151" w:type="dxa"/>
            <w:tcBorders>
              <w:tl2br w:val="nil"/>
              <w:tr2bl w:val="nil"/>
            </w:tcBorders>
            <w:noWrap w:val="0"/>
            <w:vAlign w:val="center"/>
          </w:tcPr>
          <w:p>
            <w:pPr>
              <w:adjustRightInd w:val="0"/>
              <w:snapToGrid w:val="0"/>
              <w:jc w:val="center"/>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z w:val="24"/>
                <w:szCs w:val="24"/>
                <w:u w:val="none" w:color="auto"/>
              </w:rPr>
              <w:t>规划环境影响</w:t>
            </w:r>
          </w:p>
          <w:p>
            <w:pPr>
              <w:adjustRightInd w:val="0"/>
              <w:snapToGrid w:val="0"/>
              <w:jc w:val="center"/>
              <w:rPr>
                <w:rFonts w:hint="default" w:ascii="Times New Roman" w:hAnsi="Times New Roman" w:cs="Times New Roman" w:eastAsiaTheme="minorEastAsia"/>
                <w:color w:val="auto"/>
                <w:kern w:val="0"/>
                <w:sz w:val="24"/>
                <w:szCs w:val="24"/>
                <w:u w:val="none" w:color="auto"/>
              </w:rPr>
            </w:pPr>
            <w:r>
              <w:rPr>
                <w:rFonts w:hint="default" w:ascii="Times New Roman" w:hAnsi="Times New Roman" w:cs="Times New Roman" w:eastAsiaTheme="minorEastAsia"/>
                <w:color w:val="auto"/>
                <w:sz w:val="24"/>
                <w:szCs w:val="24"/>
                <w:u w:val="none" w:color="auto"/>
              </w:rPr>
              <w:t>评价情况</w:t>
            </w:r>
          </w:p>
        </w:tc>
        <w:tc>
          <w:tcPr>
            <w:tcW w:w="6719" w:type="dxa"/>
            <w:gridSpan w:val="4"/>
            <w:tcBorders>
              <w:tl2br w:val="nil"/>
              <w:tr2bl w:val="nil"/>
            </w:tcBorders>
            <w:noWrap w:val="0"/>
            <w:vAlign w:val="center"/>
          </w:tcPr>
          <w:p>
            <w:pPr>
              <w:spacing w:line="360" w:lineRule="auto"/>
              <w:jc w:val="center"/>
              <w:rPr>
                <w:rFonts w:hint="default" w:ascii="Times New Roman" w:hAnsi="Times New Roman" w:cs="Times New Roman" w:eastAsiaTheme="minorEastAsia"/>
                <w:color w:val="0000FF"/>
                <w:kern w:val="0"/>
                <w:sz w:val="24"/>
                <w:szCs w:val="24"/>
                <w:u w:val="none" w:color="auto"/>
                <w:lang w:val="en-US" w:eastAsia="zh-CN"/>
              </w:rPr>
            </w:pPr>
            <w:r>
              <w:rPr>
                <w:rFonts w:hint="default" w:ascii="Times New Roman" w:hAnsi="Times New Roman" w:cs="Times New Roman" w:eastAsiaTheme="minorEastAsia"/>
                <w:color w:val="auto"/>
                <w:kern w:val="0"/>
                <w:sz w:val="24"/>
                <w:szCs w:val="24"/>
                <w:lang w:val="en-US" w:eastAsia="zh-CN"/>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151" w:type="dxa"/>
            <w:tcBorders>
              <w:tl2br w:val="nil"/>
              <w:tr2bl w:val="nil"/>
            </w:tcBorders>
            <w:noWrap w:val="0"/>
            <w:vAlign w:val="center"/>
          </w:tcPr>
          <w:p>
            <w:pPr>
              <w:autoSpaceDE w:val="0"/>
              <w:autoSpaceDN w:val="0"/>
              <w:adjustRightInd w:val="0"/>
              <w:snapToGrid w:val="0"/>
              <w:jc w:val="center"/>
              <w:rPr>
                <w:rFonts w:hint="default" w:ascii="Times New Roman" w:hAnsi="Times New Roman" w:cs="Times New Roman" w:eastAsiaTheme="minorEastAsia"/>
                <w:color w:val="auto"/>
                <w:kern w:val="0"/>
                <w:sz w:val="24"/>
                <w:szCs w:val="24"/>
                <w:u w:val="none" w:color="auto"/>
              </w:rPr>
            </w:pPr>
            <w:r>
              <w:rPr>
                <w:rFonts w:hint="default" w:ascii="Times New Roman" w:hAnsi="Times New Roman" w:cs="Times New Roman" w:eastAsiaTheme="minorEastAsia"/>
                <w:color w:val="auto"/>
                <w:kern w:val="0"/>
                <w:sz w:val="24"/>
                <w:szCs w:val="24"/>
                <w:u w:val="none" w:color="auto"/>
              </w:rPr>
              <w:t>规划及规划环境</w:t>
            </w:r>
          </w:p>
          <w:p>
            <w:pPr>
              <w:autoSpaceDE w:val="0"/>
              <w:autoSpaceDN w:val="0"/>
              <w:adjustRightInd w:val="0"/>
              <w:snapToGrid w:val="0"/>
              <w:jc w:val="center"/>
              <w:rPr>
                <w:rFonts w:hint="default" w:ascii="Times New Roman" w:hAnsi="Times New Roman" w:cs="Times New Roman" w:eastAsiaTheme="minorEastAsia"/>
                <w:color w:val="auto"/>
                <w:kern w:val="0"/>
                <w:sz w:val="24"/>
                <w:szCs w:val="24"/>
                <w:u w:val="none" w:color="auto"/>
              </w:rPr>
            </w:pPr>
            <w:r>
              <w:rPr>
                <w:rFonts w:hint="default" w:ascii="Times New Roman" w:hAnsi="Times New Roman" w:cs="Times New Roman" w:eastAsiaTheme="minorEastAsia"/>
                <w:color w:val="auto"/>
                <w:kern w:val="0"/>
                <w:sz w:val="24"/>
                <w:szCs w:val="24"/>
                <w:u w:val="none" w:color="auto"/>
              </w:rPr>
              <w:t>影响评价符合性分析</w:t>
            </w:r>
          </w:p>
        </w:tc>
        <w:tc>
          <w:tcPr>
            <w:tcW w:w="6719" w:type="dxa"/>
            <w:gridSpan w:val="4"/>
            <w:tcBorders>
              <w:tl2br w:val="nil"/>
              <w:tr2bl w:val="nil"/>
            </w:tcBorders>
            <w:noWrap w:val="0"/>
            <w:vAlign w:val="center"/>
          </w:tcPr>
          <w:p>
            <w:pPr>
              <w:autoSpaceDE w:val="0"/>
              <w:autoSpaceDN w:val="0"/>
              <w:adjustRightInd w:val="0"/>
              <w:snapToGrid w:val="0"/>
              <w:spacing w:line="360" w:lineRule="auto"/>
              <w:jc w:val="center"/>
              <w:rPr>
                <w:rFonts w:hint="default" w:ascii="Times New Roman" w:hAnsi="Times New Roman" w:cs="Times New Roman" w:eastAsiaTheme="minorEastAsia"/>
                <w:color w:val="0000FF"/>
                <w:kern w:val="0"/>
                <w:sz w:val="24"/>
                <w:szCs w:val="24"/>
                <w:u w:val="none" w:color="auto"/>
                <w:lang w:val="en-US" w:eastAsia="zh-CN"/>
              </w:rPr>
            </w:pPr>
            <w:r>
              <w:rPr>
                <w:rFonts w:hint="default" w:ascii="Times New Roman" w:hAnsi="Times New Roman" w:cs="Times New Roman" w:eastAsiaTheme="minorEastAsia"/>
                <w:color w:val="auto"/>
                <w:kern w:val="0"/>
                <w:sz w:val="24"/>
                <w:szCs w:val="24"/>
                <w:lang w:val="en-US" w:eastAsia="zh-CN"/>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2151" w:type="dxa"/>
            <w:tcBorders>
              <w:tl2br w:val="nil"/>
              <w:tr2bl w:val="nil"/>
            </w:tcBorders>
            <w:noWrap w:val="0"/>
            <w:vAlign w:val="center"/>
          </w:tcPr>
          <w:p>
            <w:pPr>
              <w:autoSpaceDE w:val="0"/>
              <w:autoSpaceDN w:val="0"/>
              <w:adjustRightInd w:val="0"/>
              <w:snapToGrid w:val="0"/>
              <w:jc w:val="center"/>
              <w:rPr>
                <w:rFonts w:hint="default" w:ascii="Times New Roman" w:hAnsi="Times New Roman" w:cs="Times New Roman" w:eastAsiaTheme="minorEastAsia"/>
                <w:color w:val="auto"/>
                <w:kern w:val="0"/>
                <w:sz w:val="24"/>
                <w:szCs w:val="24"/>
                <w:u w:val="none" w:color="auto"/>
              </w:rPr>
            </w:pPr>
            <w:r>
              <w:rPr>
                <w:rFonts w:hint="default" w:ascii="Times New Roman" w:hAnsi="Times New Roman" w:cs="Times New Roman" w:eastAsiaTheme="minorEastAsia"/>
                <w:color w:val="auto"/>
                <w:kern w:val="0"/>
                <w:sz w:val="24"/>
                <w:szCs w:val="24"/>
                <w:u w:val="none" w:color="auto"/>
              </w:rPr>
              <w:t>其他符合性分析</w:t>
            </w:r>
          </w:p>
        </w:tc>
        <w:tc>
          <w:tcPr>
            <w:tcW w:w="6719" w:type="dxa"/>
            <w:gridSpan w:val="4"/>
            <w:tcBorders>
              <w:tl2br w:val="nil"/>
              <w:tr2bl w:val="nil"/>
            </w:tcBorders>
            <w:noWrap w:val="0"/>
            <w:vAlign w:val="center"/>
          </w:tcPr>
          <w:p>
            <w:pPr>
              <w:tabs>
                <w:tab w:val="left" w:pos="8918"/>
              </w:tabs>
              <w:spacing w:line="360" w:lineRule="auto"/>
              <w:rPr>
                <w:rFonts w:hint="default" w:ascii="Times New Roman" w:hAnsi="Times New Roman" w:cs="Times New Roman" w:eastAsiaTheme="minorEastAsia"/>
                <w:b/>
                <w:bCs/>
                <w:color w:val="auto"/>
                <w:sz w:val="24"/>
                <w:szCs w:val="24"/>
                <w:u w:val="none" w:color="auto"/>
                <w:lang w:val="en-US" w:eastAsia="zh-CN"/>
              </w:rPr>
            </w:pPr>
            <w:r>
              <w:rPr>
                <w:rFonts w:hint="default" w:ascii="Times New Roman" w:hAnsi="Times New Roman" w:cs="Times New Roman" w:eastAsiaTheme="minorEastAsia"/>
                <w:b/>
                <w:bCs/>
                <w:color w:val="auto"/>
                <w:sz w:val="24"/>
                <w:szCs w:val="24"/>
                <w:u w:val="none" w:color="auto"/>
                <w:lang w:val="en-US" w:eastAsia="zh-CN"/>
              </w:rPr>
              <w:t>1、</w:t>
            </w:r>
            <w:r>
              <w:rPr>
                <w:rFonts w:hint="default" w:ascii="Times New Roman" w:hAnsi="Times New Roman" w:cs="Times New Roman" w:eastAsiaTheme="minorEastAsia"/>
                <w:b/>
                <w:bCs/>
                <w:color w:val="auto"/>
                <w:sz w:val="24"/>
                <w:szCs w:val="24"/>
                <w:u w:val="none" w:color="auto"/>
              </w:rPr>
              <w:t>产业政策</w:t>
            </w:r>
            <w:r>
              <w:rPr>
                <w:rFonts w:hint="default" w:ascii="Times New Roman" w:hAnsi="Times New Roman" w:cs="Times New Roman" w:eastAsiaTheme="minorEastAsia"/>
                <w:b/>
                <w:bCs/>
                <w:color w:val="auto"/>
                <w:sz w:val="24"/>
                <w:szCs w:val="24"/>
                <w:u w:val="none" w:color="auto"/>
                <w:lang w:val="en-US" w:eastAsia="zh-CN"/>
              </w:rPr>
              <w:t>符合性分析</w:t>
            </w:r>
          </w:p>
          <w:p>
            <w:pPr>
              <w:tabs>
                <w:tab w:val="left" w:pos="8918"/>
              </w:tabs>
              <w:spacing w:line="360" w:lineRule="auto"/>
              <w:ind w:firstLine="480" w:firstLineChars="200"/>
              <w:rPr>
                <w:rFonts w:hint="default" w:ascii="Times New Roman" w:hAnsi="Times New Roman" w:cs="Times New Roman" w:eastAsiaTheme="minorEastAsia"/>
                <w:color w:val="auto"/>
                <w:sz w:val="24"/>
                <w:szCs w:val="24"/>
                <w:u w:val="none" w:color="auto"/>
                <w:lang w:eastAsia="zh-CN"/>
              </w:rPr>
            </w:pPr>
            <w:r>
              <w:rPr>
                <w:rFonts w:hint="default" w:ascii="Times New Roman" w:hAnsi="Times New Roman" w:cs="Times New Roman" w:eastAsiaTheme="minorEastAsia"/>
                <w:color w:val="auto"/>
                <w:sz w:val="24"/>
                <w:szCs w:val="24"/>
                <w:u w:val="none" w:color="auto"/>
              </w:rPr>
              <w:t>根据</w:t>
            </w:r>
            <w:r>
              <w:rPr>
                <w:rFonts w:hint="default" w:ascii="Times New Roman" w:hAnsi="Times New Roman" w:cs="Times New Roman" w:eastAsiaTheme="minorEastAsia"/>
                <w:color w:val="auto"/>
                <w:sz w:val="24"/>
                <w:szCs w:val="24"/>
                <w:u w:val="none" w:color="auto"/>
                <w:lang w:eastAsia="zh-CN"/>
              </w:rPr>
              <w:t>国家发改委颁布的</w:t>
            </w:r>
            <w:r>
              <w:rPr>
                <w:rFonts w:hint="default" w:ascii="Times New Roman" w:hAnsi="Times New Roman" w:cs="Times New Roman" w:eastAsiaTheme="minorEastAsia"/>
                <w:color w:val="auto"/>
                <w:sz w:val="24"/>
                <w:szCs w:val="24"/>
                <w:u w:val="none" w:color="auto"/>
              </w:rPr>
              <w:t>《产业结构调整指导目录》（201</w:t>
            </w:r>
            <w:r>
              <w:rPr>
                <w:rFonts w:hint="default" w:ascii="Times New Roman" w:hAnsi="Times New Roman" w:cs="Times New Roman" w:eastAsiaTheme="minorEastAsia"/>
                <w:color w:val="auto"/>
                <w:sz w:val="24"/>
                <w:szCs w:val="24"/>
                <w:u w:val="none" w:color="auto"/>
                <w:lang w:val="en-US" w:eastAsia="zh-CN"/>
              </w:rPr>
              <w:t>9</w:t>
            </w:r>
            <w:r>
              <w:rPr>
                <w:rFonts w:hint="default" w:ascii="Times New Roman" w:hAnsi="Times New Roman" w:cs="Times New Roman" w:eastAsiaTheme="minorEastAsia"/>
                <w:color w:val="auto"/>
                <w:sz w:val="24"/>
                <w:szCs w:val="24"/>
                <w:u w:val="none" w:color="auto"/>
              </w:rPr>
              <w:t>年）</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lang w:val="en-US" w:eastAsia="zh-CN"/>
              </w:rPr>
              <w:t>项目属于鼓励类中第四十二类中第7条再生资源回收利用网络体系建设，因此，本项目符合产业政策要求</w:t>
            </w:r>
            <w:r>
              <w:rPr>
                <w:rFonts w:hint="default" w:ascii="Times New Roman" w:hAnsi="Times New Roman" w:cs="Times New Roman" w:eastAsiaTheme="minorEastAsia"/>
                <w:color w:val="auto"/>
                <w:sz w:val="24"/>
                <w:szCs w:val="24"/>
                <w:u w:val="none" w:color="auto"/>
                <w:lang w:eastAsia="zh-CN"/>
              </w:rPr>
              <w:t>。</w:t>
            </w:r>
          </w:p>
          <w:p>
            <w:pPr>
              <w:bidi w:val="0"/>
              <w:spacing w:line="360" w:lineRule="auto"/>
              <w:rPr>
                <w:rFonts w:hint="default" w:ascii="Times New Roman" w:hAnsi="Times New Roman" w:cs="Times New Roman" w:eastAsiaTheme="minorEastAsia"/>
                <w:b/>
                <w:bCs/>
                <w:color w:val="auto"/>
                <w:sz w:val="24"/>
                <w:szCs w:val="24"/>
                <w:u w:val="none" w:color="auto"/>
                <w:lang w:val="en-US" w:eastAsia="zh-CN"/>
              </w:rPr>
            </w:pPr>
            <w:r>
              <w:rPr>
                <w:rFonts w:hint="default" w:ascii="Times New Roman" w:hAnsi="Times New Roman" w:cs="Times New Roman" w:eastAsiaTheme="minorEastAsia"/>
                <w:b/>
                <w:bCs/>
                <w:color w:val="auto"/>
                <w:sz w:val="24"/>
                <w:szCs w:val="24"/>
                <w:u w:val="none" w:color="auto"/>
                <w:lang w:val="en-US" w:eastAsia="zh-CN"/>
              </w:rPr>
              <w:t>2、“三线一单”相符性分析</w:t>
            </w:r>
          </w:p>
          <w:p>
            <w:pPr>
              <w:numPr>
                <w:ilvl w:val="0"/>
                <w:numId w:val="0"/>
              </w:numPr>
              <w:bidi w:val="0"/>
              <w:spacing w:line="360" w:lineRule="auto"/>
              <w:ind w:firstLine="480" w:firstLineChars="200"/>
              <w:jc w:val="both"/>
              <w:rPr>
                <w:rFonts w:hint="default" w:ascii="Times New Roman" w:hAnsi="Times New Roman" w:cs="Times New Roman" w:eastAsiaTheme="minorEastAsia"/>
                <w:b w:val="0"/>
                <w:bCs w:val="0"/>
                <w:color w:val="auto"/>
                <w:kern w:val="0"/>
                <w:sz w:val="24"/>
                <w:szCs w:val="24"/>
                <w:u w:val="none" w:color="auto"/>
                <w:lang w:val="en-US" w:eastAsia="zh-CN"/>
              </w:rPr>
            </w:pPr>
            <w:r>
              <w:rPr>
                <w:rFonts w:hint="default" w:ascii="Times New Roman" w:hAnsi="Times New Roman" w:cs="Times New Roman" w:eastAsiaTheme="minorEastAsia"/>
                <w:b w:val="0"/>
                <w:bCs w:val="0"/>
                <w:color w:val="auto"/>
                <w:kern w:val="0"/>
                <w:sz w:val="24"/>
                <w:szCs w:val="24"/>
                <w:u w:val="none" w:color="auto"/>
                <w:lang w:val="en-US" w:eastAsia="zh-CN"/>
              </w:rPr>
              <w:t>项目不涉及《环境保护综合名录（2017年版）》中“一、高污染、高环境风险产品名录”中的产品，符合《环境保护综合名录（2017年版）》的相关要求。</w:t>
            </w:r>
          </w:p>
          <w:p>
            <w:pPr>
              <w:numPr>
                <w:ilvl w:val="0"/>
                <w:numId w:val="0"/>
              </w:numPr>
              <w:bidi w:val="0"/>
              <w:spacing w:line="360" w:lineRule="auto"/>
              <w:jc w:val="both"/>
              <w:rPr>
                <w:rFonts w:hint="default" w:ascii="Times New Roman" w:hAnsi="Times New Roman" w:cs="Times New Roman" w:eastAsiaTheme="minorEastAsia"/>
                <w:b w:val="0"/>
                <w:bCs w:val="0"/>
                <w:color w:val="auto"/>
                <w:kern w:val="0"/>
                <w:sz w:val="24"/>
                <w:szCs w:val="24"/>
                <w:u w:val="none" w:color="auto"/>
                <w:lang w:val="en-US" w:eastAsia="zh-CN"/>
              </w:rPr>
            </w:pPr>
            <w:r>
              <w:rPr>
                <w:rFonts w:hint="default" w:ascii="Times New Roman" w:hAnsi="Times New Roman" w:cs="Times New Roman" w:eastAsiaTheme="minorEastAsia"/>
                <w:b w:val="0"/>
                <w:bCs w:val="0"/>
                <w:color w:val="auto"/>
                <w:kern w:val="0"/>
                <w:sz w:val="24"/>
                <w:szCs w:val="24"/>
                <w:u w:val="none" w:color="auto"/>
                <w:lang w:val="en-US" w:eastAsia="zh-CN"/>
              </w:rPr>
              <w:t>①生态保护红线</w:t>
            </w:r>
          </w:p>
          <w:p>
            <w:pPr>
              <w:numPr>
                <w:ilvl w:val="0"/>
                <w:numId w:val="0"/>
              </w:numPr>
              <w:bidi w:val="0"/>
              <w:spacing w:line="360" w:lineRule="auto"/>
              <w:ind w:firstLine="480" w:firstLineChars="200"/>
              <w:jc w:val="both"/>
              <w:rPr>
                <w:rFonts w:hint="default" w:ascii="Times New Roman" w:hAnsi="Times New Roman" w:cs="Times New Roman" w:eastAsiaTheme="minorEastAsia"/>
                <w:b w:val="0"/>
                <w:bCs w:val="0"/>
                <w:color w:val="auto"/>
                <w:kern w:val="0"/>
                <w:sz w:val="24"/>
                <w:szCs w:val="24"/>
                <w:u w:val="none" w:color="auto"/>
                <w:lang w:val="en-US" w:eastAsia="zh-CN"/>
              </w:rPr>
            </w:pPr>
            <w:r>
              <w:rPr>
                <w:rFonts w:hint="default" w:ascii="Times New Roman" w:hAnsi="Times New Roman" w:cs="Times New Roman" w:eastAsiaTheme="minorEastAsia"/>
                <w:b w:val="0"/>
                <w:bCs w:val="0"/>
                <w:color w:val="auto"/>
                <w:kern w:val="0"/>
                <w:sz w:val="24"/>
                <w:szCs w:val="24"/>
                <w:u w:val="none" w:color="auto"/>
                <w:lang w:val="en-US" w:eastAsia="zh-CN"/>
              </w:rPr>
              <w:t>2018年7月26日，湖南省环保厅印发了《湖南省生态保护红线》。全省生态保护红线空间格局为“一湖三山四水”：“一湖”为洞庭湖</w:t>
            </w:r>
            <w:r>
              <w:rPr>
                <w:rFonts w:hint="eastAsia" w:cs="Times New Roman" w:eastAsiaTheme="minorEastAsia"/>
                <w:b w:val="0"/>
                <w:bCs w:val="0"/>
                <w:color w:val="auto"/>
                <w:kern w:val="0"/>
                <w:sz w:val="24"/>
                <w:szCs w:val="24"/>
                <w:u w:val="none" w:color="auto"/>
                <w:lang w:val="en-US" w:eastAsia="zh-CN"/>
              </w:rPr>
              <w:t>（</w:t>
            </w:r>
            <w:r>
              <w:rPr>
                <w:rFonts w:hint="default" w:ascii="Times New Roman" w:hAnsi="Times New Roman" w:cs="Times New Roman" w:eastAsiaTheme="minorEastAsia"/>
                <w:b w:val="0"/>
                <w:bCs w:val="0"/>
                <w:color w:val="auto"/>
                <w:kern w:val="0"/>
                <w:sz w:val="24"/>
                <w:szCs w:val="24"/>
                <w:u w:val="none" w:color="auto"/>
                <w:lang w:val="en-US" w:eastAsia="zh-CN"/>
              </w:rPr>
              <w:t>主要包括东洞庭湖、南洞庭湖、横岭湖、西洞庭湖等自然保护区和长江岸线</w:t>
            </w:r>
            <w:r>
              <w:rPr>
                <w:rFonts w:hint="eastAsia" w:cs="Times New Roman" w:eastAsiaTheme="minorEastAsia"/>
                <w:b w:val="0"/>
                <w:bCs w:val="0"/>
                <w:color w:val="auto"/>
                <w:kern w:val="0"/>
                <w:sz w:val="24"/>
                <w:szCs w:val="24"/>
                <w:u w:val="none" w:color="auto"/>
                <w:lang w:val="en-US" w:eastAsia="zh-CN"/>
              </w:rPr>
              <w:t>）</w:t>
            </w:r>
            <w:r>
              <w:rPr>
                <w:rFonts w:hint="default" w:ascii="Times New Roman" w:hAnsi="Times New Roman" w:cs="Times New Roman" w:eastAsiaTheme="minorEastAsia"/>
                <w:b w:val="0"/>
                <w:bCs w:val="0"/>
                <w:color w:val="auto"/>
                <w:kern w:val="0"/>
                <w:sz w:val="24"/>
                <w:szCs w:val="24"/>
                <w:u w:val="none" w:color="auto"/>
                <w:lang w:val="en-US" w:eastAsia="zh-CN"/>
              </w:rPr>
              <w:t>，主要生态功能为生物多样性维护、洪水调蓄。“三山”包括武陵-雪峰山脉生态屏障，主要生态功能为生物多样性维护与水土保持；罗霄-幕阜山脉生态屏障，主要生态功能为生物多样性维护、水源涵养和水土保持；南岭山脉生态屏障，主要生态功能为水源涵养和生物多样性维护，其中南岭山脉生态屏障是南方丘陵山地带的重要组成部分。“四水”为湘资沅澧</w:t>
            </w:r>
            <w:r>
              <w:rPr>
                <w:rFonts w:hint="eastAsia" w:cs="Times New Roman" w:eastAsiaTheme="minorEastAsia"/>
                <w:b w:val="0"/>
                <w:bCs w:val="0"/>
                <w:color w:val="auto"/>
                <w:kern w:val="0"/>
                <w:sz w:val="24"/>
                <w:szCs w:val="24"/>
                <w:u w:val="none" w:color="auto"/>
                <w:lang w:val="en-US" w:eastAsia="zh-CN"/>
              </w:rPr>
              <w:t>（</w:t>
            </w:r>
            <w:r>
              <w:rPr>
                <w:rFonts w:hint="default" w:ascii="Times New Roman" w:hAnsi="Times New Roman" w:cs="Times New Roman" w:eastAsiaTheme="minorEastAsia"/>
                <w:b w:val="0"/>
                <w:bCs w:val="0"/>
                <w:color w:val="auto"/>
                <w:kern w:val="0"/>
                <w:sz w:val="24"/>
                <w:szCs w:val="24"/>
                <w:u w:val="none" w:color="auto"/>
                <w:lang w:val="en-US" w:eastAsia="zh-CN"/>
              </w:rPr>
              <w:t>湘江、资水、沅江、澧水</w:t>
            </w:r>
            <w:r>
              <w:rPr>
                <w:rFonts w:hint="eastAsia" w:cs="Times New Roman" w:eastAsiaTheme="minorEastAsia"/>
                <w:b w:val="0"/>
                <w:bCs w:val="0"/>
                <w:color w:val="auto"/>
                <w:kern w:val="0"/>
                <w:sz w:val="24"/>
                <w:szCs w:val="24"/>
                <w:u w:val="none" w:color="auto"/>
                <w:lang w:val="en-US" w:eastAsia="zh-CN"/>
              </w:rPr>
              <w:t>）</w:t>
            </w:r>
            <w:r>
              <w:rPr>
                <w:rFonts w:hint="default" w:ascii="Times New Roman" w:hAnsi="Times New Roman" w:cs="Times New Roman" w:eastAsiaTheme="minorEastAsia"/>
                <w:b w:val="0"/>
                <w:bCs w:val="0"/>
                <w:color w:val="auto"/>
                <w:kern w:val="0"/>
                <w:sz w:val="24"/>
                <w:szCs w:val="24"/>
                <w:u w:val="none" w:color="auto"/>
                <w:lang w:val="en-US" w:eastAsia="zh-CN"/>
              </w:rPr>
              <w:t>的源头区及重要水域。</w:t>
            </w:r>
          </w:p>
          <w:p>
            <w:pPr>
              <w:numPr>
                <w:ilvl w:val="0"/>
                <w:numId w:val="0"/>
              </w:numPr>
              <w:bidi w:val="0"/>
              <w:spacing w:line="360" w:lineRule="auto"/>
              <w:ind w:firstLine="480" w:firstLineChars="200"/>
              <w:jc w:val="both"/>
              <w:rPr>
                <w:rFonts w:hint="default" w:ascii="Times New Roman" w:hAnsi="Times New Roman" w:cs="Times New Roman" w:eastAsiaTheme="minorEastAsia"/>
                <w:b w:val="0"/>
                <w:bCs w:val="0"/>
                <w:color w:val="auto"/>
                <w:kern w:val="0"/>
                <w:sz w:val="24"/>
                <w:szCs w:val="24"/>
                <w:u w:val="none" w:color="auto"/>
                <w:lang w:val="en-US" w:eastAsia="zh-CN"/>
              </w:rPr>
            </w:pPr>
            <w:r>
              <w:rPr>
                <w:rFonts w:hint="default" w:ascii="Times New Roman" w:hAnsi="Times New Roman" w:cs="Times New Roman" w:eastAsiaTheme="minorEastAsia"/>
                <w:b w:val="0"/>
                <w:bCs w:val="0"/>
                <w:color w:val="auto"/>
                <w:kern w:val="0"/>
                <w:sz w:val="24"/>
                <w:szCs w:val="24"/>
                <w:u w:val="none" w:color="auto"/>
                <w:lang w:val="en-US" w:eastAsia="zh-CN"/>
              </w:rPr>
              <w:t>本项目涉及部分航线生态保护红线，但考虑到项目不属于永久占地的开发建设项目，停靠码头 均不在红线范围内，因此项目运营后通过相应防治措 施后，周边生态系统功能不降低，面积不减少，性质 不改变。尽管收集范围涵盖了部分保护区和红线，但 项目为船舶油及生活垃圾回收项目，对区域生态环境 质量具有积极效应，更是减轻了船舶航行过程中排放 的废油对红线范围内生态环境的影响。</w:t>
            </w:r>
          </w:p>
          <w:p>
            <w:pPr>
              <w:numPr>
                <w:ilvl w:val="0"/>
                <w:numId w:val="0"/>
              </w:numPr>
              <w:bidi w:val="0"/>
              <w:spacing w:line="360" w:lineRule="auto"/>
              <w:jc w:val="both"/>
              <w:rPr>
                <w:rFonts w:hint="default" w:ascii="Times New Roman" w:hAnsi="Times New Roman" w:cs="Times New Roman" w:eastAsiaTheme="minorEastAsia"/>
                <w:b w:val="0"/>
                <w:bCs w:val="0"/>
                <w:color w:val="auto"/>
                <w:kern w:val="0"/>
                <w:sz w:val="24"/>
                <w:szCs w:val="24"/>
                <w:u w:val="none" w:color="auto"/>
                <w:lang w:val="en-US" w:eastAsia="zh-CN"/>
              </w:rPr>
            </w:pPr>
            <w:r>
              <w:rPr>
                <w:rFonts w:hint="default" w:ascii="Times New Roman" w:hAnsi="Times New Roman" w:cs="Times New Roman" w:eastAsiaTheme="minorEastAsia"/>
                <w:b w:val="0"/>
                <w:bCs w:val="0"/>
                <w:color w:val="auto"/>
                <w:kern w:val="0"/>
                <w:sz w:val="24"/>
                <w:szCs w:val="24"/>
                <w:u w:val="none" w:color="auto"/>
                <w:lang w:val="en-US" w:eastAsia="zh-CN"/>
              </w:rPr>
              <w:t>②环境质量底线</w:t>
            </w:r>
          </w:p>
          <w:p>
            <w:pPr>
              <w:numPr>
                <w:ilvl w:val="0"/>
                <w:numId w:val="0"/>
              </w:numPr>
              <w:bidi w:val="0"/>
              <w:spacing w:line="360" w:lineRule="auto"/>
              <w:ind w:firstLine="480" w:firstLineChars="200"/>
              <w:jc w:val="both"/>
              <w:rPr>
                <w:rFonts w:hint="default" w:ascii="Times New Roman" w:hAnsi="Times New Roman" w:cs="Times New Roman" w:eastAsiaTheme="minorEastAsia"/>
                <w:b w:val="0"/>
                <w:bCs w:val="0"/>
                <w:color w:val="auto"/>
                <w:kern w:val="0"/>
                <w:sz w:val="24"/>
                <w:szCs w:val="24"/>
                <w:u w:val="none" w:color="auto"/>
                <w:lang w:val="en-US" w:eastAsia="zh-CN"/>
              </w:rPr>
            </w:pPr>
            <w:r>
              <w:rPr>
                <w:rFonts w:hint="default" w:ascii="Times New Roman" w:hAnsi="Times New Roman" w:cs="Times New Roman" w:eastAsiaTheme="minorEastAsia"/>
                <w:b w:val="0"/>
                <w:bCs w:val="0"/>
                <w:color w:val="auto"/>
                <w:kern w:val="0"/>
                <w:sz w:val="24"/>
                <w:szCs w:val="24"/>
                <w:u w:val="none" w:color="auto"/>
                <w:lang w:val="en-US" w:eastAsia="zh-CN"/>
              </w:rPr>
              <w:t>项目以实测和资料收集相结合的方式，评价了项目环境质量现状。根据环境质量现状调查与评价，项目评价范围内各监测点中二氧化硫、二氧化氮、O</w:t>
            </w:r>
            <w:r>
              <w:rPr>
                <w:rFonts w:hint="default" w:ascii="Times New Roman" w:hAnsi="Times New Roman" w:cs="Times New Roman" w:eastAsiaTheme="minorEastAsia"/>
                <w:b w:val="0"/>
                <w:bCs w:val="0"/>
                <w:color w:val="auto"/>
                <w:kern w:val="0"/>
                <w:sz w:val="24"/>
                <w:szCs w:val="24"/>
                <w:u w:val="none" w:color="auto"/>
                <w:vertAlign w:val="subscript"/>
                <w:lang w:val="en-US" w:eastAsia="zh-CN"/>
              </w:rPr>
              <w:t>3</w:t>
            </w:r>
            <w:r>
              <w:rPr>
                <w:rFonts w:hint="default" w:ascii="Times New Roman" w:hAnsi="Times New Roman" w:cs="Times New Roman" w:eastAsiaTheme="minorEastAsia"/>
                <w:b w:val="0"/>
                <w:bCs w:val="0"/>
                <w:color w:val="auto"/>
                <w:kern w:val="0"/>
                <w:sz w:val="24"/>
                <w:szCs w:val="24"/>
                <w:u w:val="none" w:color="auto"/>
                <w:lang w:val="en-US" w:eastAsia="zh-CN"/>
              </w:rPr>
              <w:t>、CO、PM</w:t>
            </w:r>
            <w:r>
              <w:rPr>
                <w:rFonts w:hint="default" w:ascii="Times New Roman" w:hAnsi="Times New Roman" w:cs="Times New Roman" w:eastAsiaTheme="minorEastAsia"/>
                <w:b w:val="0"/>
                <w:bCs w:val="0"/>
                <w:color w:val="auto"/>
                <w:kern w:val="0"/>
                <w:sz w:val="24"/>
                <w:szCs w:val="24"/>
                <w:u w:val="none" w:color="auto"/>
                <w:vertAlign w:val="subscript"/>
                <w:lang w:val="en-US" w:eastAsia="zh-CN"/>
              </w:rPr>
              <w:t>2.5</w:t>
            </w:r>
            <w:r>
              <w:rPr>
                <w:rFonts w:hint="default" w:ascii="Times New Roman" w:hAnsi="Times New Roman" w:cs="Times New Roman" w:eastAsiaTheme="minorEastAsia"/>
                <w:b w:val="0"/>
                <w:bCs w:val="0"/>
                <w:color w:val="auto"/>
                <w:kern w:val="0"/>
                <w:sz w:val="24"/>
                <w:szCs w:val="24"/>
                <w:u w:val="none" w:color="auto"/>
                <w:lang w:val="en-US" w:eastAsia="zh-CN"/>
              </w:rPr>
              <w:t>、PM</w:t>
            </w:r>
            <w:r>
              <w:rPr>
                <w:rFonts w:hint="default" w:ascii="Times New Roman" w:hAnsi="Times New Roman" w:cs="Times New Roman" w:eastAsiaTheme="minorEastAsia"/>
                <w:b w:val="0"/>
                <w:bCs w:val="0"/>
                <w:color w:val="auto"/>
                <w:kern w:val="0"/>
                <w:sz w:val="24"/>
                <w:szCs w:val="24"/>
                <w:u w:val="none" w:color="auto"/>
                <w:vertAlign w:val="subscript"/>
                <w:lang w:val="en-US" w:eastAsia="zh-CN"/>
              </w:rPr>
              <w:t>10</w:t>
            </w:r>
            <w:r>
              <w:rPr>
                <w:rFonts w:hint="default" w:ascii="Times New Roman" w:hAnsi="Times New Roman" w:cs="Times New Roman" w:eastAsiaTheme="minorEastAsia"/>
                <w:b w:val="0"/>
                <w:bCs w:val="0"/>
                <w:color w:val="auto"/>
                <w:kern w:val="0"/>
                <w:sz w:val="24"/>
                <w:szCs w:val="24"/>
                <w:u w:val="none" w:color="auto"/>
                <w:lang w:val="en-US" w:eastAsia="zh-CN"/>
              </w:rPr>
              <w:t>均能满足《环境空气质量标准》（GB3095-2012）的要求，属于达标区；根据湖南精科检测有限公司2021年2月20~2月26日对项目所在地实测数据进行评价，项目特征因子氨、硫化氢、TVOC能满足《环境影响评价技术导则大气环境》HJ2.2-2018附录D中表D.1规定要求，因此项目评价范围内环境空气质量较好。根据湘阴县环境监测站对区域水系常规检测断面数据可知，湘江乌龙嘴断面各监测指标均符合《地表水环境质量标准》GB3838-2002中Ⅲ类标准，水质良好。根据现场噪声监测可知，项目厂界能满足《声环境质量标准》（GB3096-2008）中2类标准要求，声环境质量较好。</w:t>
            </w:r>
          </w:p>
          <w:p>
            <w:pPr>
              <w:numPr>
                <w:ilvl w:val="0"/>
                <w:numId w:val="0"/>
              </w:numPr>
              <w:bidi w:val="0"/>
              <w:spacing w:line="360" w:lineRule="auto"/>
              <w:ind w:firstLine="480" w:firstLineChars="200"/>
              <w:jc w:val="both"/>
              <w:rPr>
                <w:rFonts w:hint="default" w:ascii="Times New Roman" w:hAnsi="Times New Roman" w:cs="Times New Roman" w:eastAsiaTheme="minorEastAsia"/>
                <w:b w:val="0"/>
                <w:bCs w:val="0"/>
                <w:color w:val="auto"/>
                <w:kern w:val="0"/>
                <w:sz w:val="24"/>
                <w:szCs w:val="24"/>
                <w:u w:val="none" w:color="auto"/>
                <w:lang w:val="en-US" w:eastAsia="zh-CN"/>
              </w:rPr>
            </w:pPr>
            <w:r>
              <w:rPr>
                <w:rFonts w:hint="default" w:ascii="Times New Roman" w:hAnsi="Times New Roman" w:cs="Times New Roman" w:eastAsiaTheme="minorEastAsia"/>
                <w:b w:val="0"/>
                <w:bCs w:val="0"/>
                <w:color w:val="auto"/>
                <w:kern w:val="0"/>
                <w:sz w:val="24"/>
                <w:szCs w:val="24"/>
                <w:u w:val="none" w:color="auto"/>
                <w:lang w:val="en-US" w:eastAsia="zh-CN"/>
              </w:rPr>
              <w:t>建设单位在做好相关废水处理措施、相关设备正常运行的前提下产生的环境影响在可接纳范围之内，可保证区域环境质量不降低，守住环境质量底线；在项目运营后将在一定程度上减少运营范围内船舶无序的向水体排放生活垃圾、含油废水、 废矿物油，对区域环境质量能起到正效应。</w:t>
            </w:r>
          </w:p>
          <w:p>
            <w:pPr>
              <w:numPr>
                <w:ilvl w:val="0"/>
                <w:numId w:val="0"/>
              </w:numPr>
              <w:bidi w:val="0"/>
              <w:spacing w:line="360" w:lineRule="auto"/>
              <w:ind w:firstLine="480" w:firstLineChars="200"/>
              <w:jc w:val="both"/>
              <w:rPr>
                <w:rFonts w:hint="default" w:ascii="Times New Roman" w:hAnsi="Times New Roman" w:cs="Times New Roman" w:eastAsiaTheme="minorEastAsia"/>
                <w:b w:val="0"/>
                <w:bCs w:val="0"/>
                <w:color w:val="auto"/>
                <w:kern w:val="0"/>
                <w:sz w:val="24"/>
                <w:szCs w:val="24"/>
                <w:u w:val="none" w:color="auto"/>
                <w:lang w:val="en-US" w:eastAsia="zh-CN"/>
              </w:rPr>
            </w:pPr>
            <w:r>
              <w:rPr>
                <w:rFonts w:hint="default" w:ascii="Times New Roman" w:hAnsi="Times New Roman" w:cs="Times New Roman" w:eastAsiaTheme="minorEastAsia"/>
                <w:b w:val="0"/>
                <w:bCs w:val="0"/>
                <w:color w:val="auto"/>
                <w:kern w:val="0"/>
                <w:sz w:val="24"/>
                <w:szCs w:val="24"/>
                <w:u w:val="none" w:color="auto"/>
                <w:lang w:val="en-US" w:eastAsia="zh-CN"/>
              </w:rPr>
              <w:t>③资源利用上线</w:t>
            </w:r>
          </w:p>
          <w:p>
            <w:pPr>
              <w:numPr>
                <w:ilvl w:val="0"/>
                <w:numId w:val="0"/>
              </w:numPr>
              <w:bidi w:val="0"/>
              <w:spacing w:line="360" w:lineRule="auto"/>
              <w:ind w:firstLine="480" w:firstLineChars="200"/>
              <w:jc w:val="both"/>
              <w:rPr>
                <w:rFonts w:hint="default" w:ascii="Times New Roman" w:hAnsi="Times New Roman" w:cs="Times New Roman" w:eastAsiaTheme="minorEastAsia"/>
                <w:b w:val="0"/>
                <w:bCs w:val="0"/>
                <w:color w:val="auto"/>
                <w:kern w:val="0"/>
                <w:sz w:val="24"/>
                <w:szCs w:val="24"/>
                <w:u w:val="none" w:color="auto"/>
                <w:lang w:val="en-US" w:eastAsia="zh-CN"/>
              </w:rPr>
            </w:pPr>
            <w:r>
              <w:rPr>
                <w:rFonts w:hint="default" w:ascii="Times New Roman" w:hAnsi="Times New Roman" w:cs="Times New Roman" w:eastAsiaTheme="minorEastAsia"/>
                <w:b w:val="0"/>
                <w:bCs w:val="0"/>
                <w:color w:val="auto"/>
                <w:kern w:val="0"/>
                <w:sz w:val="24"/>
                <w:szCs w:val="24"/>
                <w:u w:val="none" w:color="auto"/>
                <w:lang w:val="en-US" w:eastAsia="zh-CN"/>
              </w:rPr>
              <w:t>本项目消耗的能源较小，不会突破地区能源、水、土地等资源消耗上线，不触及资源利用上线，收集到的废矿物油经资质单位处理后可再利用。因此，符合资源利用上线要求。</w:t>
            </w:r>
          </w:p>
          <w:p>
            <w:pPr>
              <w:numPr>
                <w:ilvl w:val="0"/>
                <w:numId w:val="0"/>
              </w:numPr>
              <w:bidi w:val="0"/>
              <w:spacing w:line="360" w:lineRule="auto"/>
              <w:jc w:val="both"/>
              <w:rPr>
                <w:rFonts w:hint="default" w:ascii="Times New Roman" w:hAnsi="Times New Roman" w:cs="Times New Roman" w:eastAsiaTheme="minorEastAsia"/>
                <w:b w:val="0"/>
                <w:bCs w:val="0"/>
                <w:color w:val="auto"/>
                <w:kern w:val="0"/>
                <w:sz w:val="24"/>
                <w:szCs w:val="24"/>
                <w:u w:val="none" w:color="auto"/>
                <w:lang w:val="en-US" w:eastAsia="zh-CN"/>
              </w:rPr>
            </w:pPr>
            <w:r>
              <w:rPr>
                <w:rFonts w:hint="default" w:ascii="Times New Roman" w:hAnsi="Times New Roman" w:cs="Times New Roman" w:eastAsiaTheme="minorEastAsia"/>
                <w:b w:val="0"/>
                <w:bCs w:val="0"/>
                <w:color w:val="auto"/>
                <w:kern w:val="0"/>
                <w:sz w:val="24"/>
                <w:szCs w:val="24"/>
                <w:u w:val="none" w:color="auto"/>
                <w:lang w:val="en-US" w:eastAsia="zh-CN"/>
              </w:rPr>
              <w:t>④环境准入负面清单</w:t>
            </w:r>
          </w:p>
          <w:p>
            <w:pPr>
              <w:numPr>
                <w:ilvl w:val="0"/>
                <w:numId w:val="0"/>
              </w:numPr>
              <w:bidi w:val="0"/>
              <w:spacing w:line="360" w:lineRule="auto"/>
              <w:ind w:firstLine="480" w:firstLineChars="200"/>
              <w:jc w:val="both"/>
              <w:rPr>
                <w:rFonts w:hint="default" w:ascii="Times New Roman" w:hAnsi="Times New Roman" w:cs="Times New Roman" w:eastAsiaTheme="minorEastAsia"/>
                <w:b w:val="0"/>
                <w:bCs w:val="0"/>
                <w:color w:val="auto"/>
                <w:kern w:val="0"/>
                <w:sz w:val="24"/>
                <w:szCs w:val="24"/>
                <w:u w:val="none" w:color="auto"/>
                <w:lang w:val="en-US" w:eastAsia="zh-CN"/>
              </w:rPr>
            </w:pPr>
            <w:r>
              <w:rPr>
                <w:rFonts w:hint="default" w:ascii="Times New Roman" w:hAnsi="Times New Roman" w:cs="Times New Roman" w:eastAsiaTheme="minorEastAsia"/>
                <w:b w:val="0"/>
                <w:bCs w:val="0"/>
                <w:color w:val="auto"/>
                <w:kern w:val="0"/>
                <w:sz w:val="24"/>
                <w:szCs w:val="24"/>
                <w:u w:val="none" w:color="auto"/>
                <w:lang w:val="en-US" w:eastAsia="zh-CN"/>
              </w:rPr>
              <w:t>项目使用的设备均不属于《部分工业行业淘汰落后生产工艺装备和产品指导目录（2010年本）》中的淘汰类、限制类，项目所用设备可满足正常生产的需要。对照《产业结构调整指导目录</w:t>
            </w:r>
            <w:r>
              <w:rPr>
                <w:rFonts w:hint="eastAsia" w:cs="Times New Roman" w:eastAsiaTheme="minorEastAsia"/>
                <w:b w:val="0"/>
                <w:bCs w:val="0"/>
                <w:color w:val="auto"/>
                <w:kern w:val="0"/>
                <w:sz w:val="24"/>
                <w:szCs w:val="24"/>
                <w:u w:val="none" w:color="auto"/>
                <w:lang w:val="en-US" w:eastAsia="zh-CN"/>
              </w:rPr>
              <w:t>（</w:t>
            </w:r>
            <w:r>
              <w:rPr>
                <w:rFonts w:hint="default" w:ascii="Times New Roman" w:hAnsi="Times New Roman" w:cs="Times New Roman" w:eastAsiaTheme="minorEastAsia"/>
                <w:b w:val="0"/>
                <w:bCs w:val="0"/>
                <w:color w:val="auto"/>
                <w:kern w:val="0"/>
                <w:sz w:val="24"/>
                <w:szCs w:val="24"/>
                <w:u w:val="none" w:color="auto"/>
                <w:lang w:val="en-US" w:eastAsia="zh-CN"/>
              </w:rPr>
              <w:t>2019 年修订</w:t>
            </w:r>
            <w:r>
              <w:rPr>
                <w:rFonts w:hint="eastAsia" w:cs="Times New Roman" w:eastAsiaTheme="minorEastAsia"/>
                <w:b w:val="0"/>
                <w:bCs w:val="0"/>
                <w:color w:val="auto"/>
                <w:kern w:val="0"/>
                <w:sz w:val="24"/>
                <w:szCs w:val="24"/>
                <w:u w:val="none" w:color="auto"/>
                <w:lang w:val="en-US" w:eastAsia="zh-CN"/>
              </w:rPr>
              <w:t>）</w:t>
            </w:r>
            <w:r>
              <w:rPr>
                <w:rFonts w:hint="default" w:ascii="Times New Roman" w:hAnsi="Times New Roman" w:cs="Times New Roman" w:eastAsiaTheme="minorEastAsia"/>
                <w:b w:val="0"/>
                <w:bCs w:val="0"/>
                <w:color w:val="auto"/>
                <w:kern w:val="0"/>
                <w:sz w:val="24"/>
                <w:szCs w:val="24"/>
                <w:u w:val="none" w:color="auto"/>
                <w:lang w:val="en-US" w:eastAsia="zh-CN"/>
              </w:rPr>
              <w:t>》可知，项目属于鼓励类中第四十二类中第7条再生资源回收利用网络体系建设，因此，本项目符合环境准入负面清单要求。</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u w:val="none" w:color="auto"/>
                <w:lang w:val="en-US" w:eastAsia="zh-CN"/>
              </w:rPr>
            </w:pPr>
            <w:r>
              <w:rPr>
                <w:rFonts w:hint="default" w:ascii="Times New Roman" w:hAnsi="Times New Roman" w:cs="Times New Roman" w:eastAsiaTheme="minorEastAsia"/>
                <w:b w:val="0"/>
                <w:bCs w:val="0"/>
                <w:color w:val="auto"/>
                <w:kern w:val="0"/>
                <w:sz w:val="24"/>
                <w:szCs w:val="24"/>
                <w:u w:val="none" w:color="auto"/>
                <w:lang w:val="en-US" w:eastAsia="zh-CN"/>
              </w:rPr>
              <w:t>综上所述，项目建设基本符合“三线一单”的相关要求。</w:t>
            </w:r>
          </w:p>
        </w:tc>
      </w:tr>
    </w:tbl>
    <w:p>
      <w:pPr>
        <w:spacing w:line="360" w:lineRule="auto"/>
        <w:outlineLvl w:val="9"/>
        <w:rPr>
          <w:rFonts w:eastAsia="黑体"/>
          <w:color w:val="0000FF"/>
          <w:sz w:val="30"/>
          <w:u w:val="none" w:color="auto"/>
        </w:rPr>
        <w:sectPr>
          <w:footerReference r:id="rId8"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pPr>
        <w:pStyle w:val="14"/>
        <w:jc w:val="center"/>
        <w:outlineLvl w:val="0"/>
        <w:rPr>
          <w:rFonts w:ascii="黑体" w:hAnsi="黑体" w:eastAsia="黑体"/>
          <w:snapToGrid w:val="0"/>
          <w:color w:val="auto"/>
          <w:sz w:val="30"/>
          <w:szCs w:val="30"/>
        </w:rPr>
      </w:pPr>
      <w:bookmarkStart w:id="6" w:name="_Toc3858"/>
      <w:r>
        <w:rPr>
          <w:rFonts w:hint="eastAsia" w:ascii="黑体" w:hAnsi="黑体" w:eastAsia="黑体"/>
          <w:snapToGrid w:val="0"/>
          <w:color w:val="auto"/>
          <w:sz w:val="30"/>
          <w:szCs w:val="30"/>
        </w:rPr>
        <w:t>二、建设项目工程分析</w:t>
      </w:r>
      <w:bookmarkEnd w:id="6"/>
    </w:p>
    <w:tbl>
      <w:tblPr>
        <w:tblStyle w:val="1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73"/>
        <w:gridCol w:w="858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57" w:hRule="atLeast"/>
          <w:jc w:val="center"/>
        </w:trPr>
        <w:tc>
          <w:tcPr>
            <w:tcW w:w="473" w:type="dxa"/>
            <w:noWrap w:val="0"/>
            <w:vAlign w:val="center"/>
          </w:tcPr>
          <w:p>
            <w:pPr>
              <w:pStyle w:val="14"/>
              <w:adjustRightInd w:val="0"/>
              <w:snapToGrid w:val="0"/>
              <w:spacing w:before="0" w:beforeAutospacing="0" w:after="0" w:afterAutospacing="0"/>
              <w:jc w:val="center"/>
              <w:rPr>
                <w:rFonts w:cs="宋体"/>
                <w:color w:val="auto"/>
                <w:sz w:val="24"/>
                <w:szCs w:val="24"/>
                <w:u w:val="none" w:color="auto"/>
              </w:rPr>
            </w:pPr>
            <w:r>
              <w:rPr>
                <w:rFonts w:hint="eastAsia" w:cs="宋体"/>
                <w:color w:val="auto"/>
                <w:sz w:val="24"/>
                <w:szCs w:val="24"/>
                <w:u w:val="none" w:color="auto"/>
              </w:rPr>
              <w:t>建设内容</w:t>
            </w:r>
          </w:p>
        </w:tc>
        <w:tc>
          <w:tcPr>
            <w:tcW w:w="8587" w:type="dxa"/>
            <w:noWrap w:val="0"/>
            <w:vAlign w:val="top"/>
          </w:tcPr>
          <w:p>
            <w:pPr>
              <w:adjustRightInd w:val="0"/>
              <w:snapToGrid w:val="0"/>
              <w:spacing w:line="360" w:lineRule="auto"/>
              <w:jc w:val="both"/>
              <w:rPr>
                <w:rFonts w:hint="default" w:ascii="宋体" w:hAnsi="宋体" w:cs="宋体"/>
                <w:b/>
                <w:bCs w:val="0"/>
                <w:color w:val="auto"/>
                <w:sz w:val="24"/>
                <w:szCs w:val="24"/>
                <w:u w:val="none" w:color="auto"/>
                <w:lang w:val="en-US" w:eastAsia="zh-CN"/>
              </w:rPr>
            </w:pPr>
            <w:r>
              <w:rPr>
                <w:rFonts w:hint="eastAsia" w:ascii="宋体" w:hAnsi="宋体" w:cs="宋体"/>
                <w:b/>
                <w:bCs w:val="0"/>
                <w:color w:val="auto"/>
                <w:sz w:val="24"/>
                <w:szCs w:val="24"/>
                <w:u w:val="none" w:color="auto"/>
                <w:lang w:val="en-US" w:eastAsia="zh-CN"/>
              </w:rPr>
              <w:t>1.项目建设背景及项目由来</w:t>
            </w:r>
          </w:p>
          <w:p>
            <w:pPr>
              <w:adjustRightInd w:val="0"/>
              <w:snapToGrid w:val="0"/>
              <w:spacing w:line="360" w:lineRule="auto"/>
              <w:ind w:firstLine="480" w:firstLineChars="200"/>
              <w:jc w:val="both"/>
              <w:rPr>
                <w:rFonts w:hint="eastAsia" w:ascii="宋体" w:hAnsi="宋体" w:cs="宋体"/>
                <w:b w:val="0"/>
                <w:bCs/>
                <w:color w:val="FF0000"/>
                <w:sz w:val="24"/>
                <w:szCs w:val="24"/>
                <w:u w:val="single" w:color="auto"/>
                <w:lang w:eastAsia="zh-CN"/>
              </w:rPr>
            </w:pPr>
            <w:r>
              <w:rPr>
                <w:rFonts w:hint="eastAsia" w:ascii="宋体" w:hAnsi="宋体" w:cs="宋体"/>
                <w:b w:val="0"/>
                <w:bCs/>
                <w:color w:val="FF0000"/>
                <w:sz w:val="24"/>
                <w:szCs w:val="24"/>
                <w:u w:val="single" w:color="auto"/>
                <w:lang w:eastAsia="zh-CN"/>
              </w:rPr>
              <w:t>船舶在维修保养或航行时会产生一定的废机油和废柴油等废矿物油，同时船舶压舱油污水及洗舱废水经船舶自带油水分离器处理后的废油没有规范回收，再加上船户环保意识淡薄，大量的废矿物油及</w:t>
            </w:r>
            <w:r>
              <w:rPr>
                <w:rFonts w:hint="eastAsia" w:ascii="宋体" w:hAnsi="宋体" w:cs="宋体"/>
                <w:b w:val="0"/>
                <w:bCs/>
                <w:color w:val="FF0000"/>
                <w:sz w:val="24"/>
                <w:szCs w:val="24"/>
                <w:u w:val="single" w:color="auto"/>
                <w:lang w:val="en-US" w:eastAsia="zh-CN"/>
              </w:rPr>
              <w:t>生活污水</w:t>
            </w:r>
            <w:r>
              <w:rPr>
                <w:rFonts w:hint="eastAsia" w:ascii="宋体" w:hAnsi="宋体" w:cs="宋体"/>
                <w:b w:val="0"/>
                <w:bCs/>
                <w:color w:val="FF0000"/>
                <w:sz w:val="24"/>
                <w:szCs w:val="24"/>
                <w:u w:val="single" w:color="auto"/>
                <w:lang w:eastAsia="zh-CN"/>
              </w:rPr>
              <w:t>生活垃圾直接或间接地排入江河湖泊，船舶废油污染日益加重。</w:t>
            </w:r>
          </w:p>
          <w:p>
            <w:pPr>
              <w:adjustRightInd w:val="0"/>
              <w:snapToGrid w:val="0"/>
              <w:spacing w:line="360" w:lineRule="auto"/>
              <w:ind w:firstLine="480" w:firstLineChars="200"/>
              <w:jc w:val="both"/>
              <w:rPr>
                <w:rFonts w:hint="eastAsia" w:ascii="宋体" w:hAnsi="宋体" w:cs="宋体"/>
                <w:b w:val="0"/>
                <w:bCs/>
                <w:color w:val="FF0000"/>
                <w:sz w:val="24"/>
                <w:szCs w:val="24"/>
                <w:u w:val="single" w:color="auto"/>
                <w:lang w:eastAsia="zh-CN"/>
              </w:rPr>
            </w:pPr>
            <w:r>
              <w:rPr>
                <w:rFonts w:hint="eastAsia" w:ascii="宋体" w:hAnsi="宋体" w:cs="宋体"/>
                <w:b w:val="0"/>
                <w:bCs/>
                <w:color w:val="FF0000"/>
                <w:sz w:val="24"/>
                <w:szCs w:val="24"/>
                <w:u w:val="single" w:color="auto"/>
                <w:lang w:eastAsia="zh-CN"/>
              </w:rPr>
              <w:t>根据《岳阳港总体规划环境影响报告书》中统计数据，长江岳阳段共163公里，其中本项目收集区域合计</w:t>
            </w:r>
            <w:r>
              <w:rPr>
                <w:rFonts w:hint="eastAsia" w:ascii="宋体" w:hAnsi="宋体" w:cs="宋体"/>
                <w:b w:val="0"/>
                <w:bCs/>
                <w:color w:val="FF0000"/>
                <w:sz w:val="24"/>
                <w:szCs w:val="24"/>
                <w:u w:val="single" w:color="auto"/>
                <w:lang w:val="en-US" w:eastAsia="zh-CN"/>
              </w:rPr>
              <w:t>湘江</w:t>
            </w:r>
            <w:r>
              <w:rPr>
                <w:rFonts w:hint="eastAsia" w:ascii="宋体" w:hAnsi="宋体" w:cs="宋体"/>
                <w:b w:val="0"/>
                <w:bCs/>
                <w:color w:val="FF0000"/>
                <w:sz w:val="24"/>
                <w:szCs w:val="24"/>
                <w:u w:val="single" w:color="auto"/>
                <w:lang w:eastAsia="zh-CN"/>
              </w:rPr>
              <w:t>岸线约</w:t>
            </w:r>
            <w:r>
              <w:rPr>
                <w:rFonts w:hint="eastAsia" w:ascii="宋体" w:hAnsi="宋体" w:cs="宋体"/>
                <w:b w:val="0"/>
                <w:bCs/>
                <w:color w:val="FF0000"/>
                <w:sz w:val="24"/>
                <w:szCs w:val="24"/>
                <w:u w:val="single" w:color="auto"/>
                <w:lang w:val="en-US" w:eastAsia="zh-CN"/>
              </w:rPr>
              <w:t>10615m</w:t>
            </w:r>
            <w:r>
              <w:rPr>
                <w:rFonts w:hint="eastAsia" w:ascii="宋体" w:hAnsi="宋体" w:cs="宋体"/>
                <w:b w:val="0"/>
                <w:bCs/>
                <w:color w:val="FF0000"/>
                <w:sz w:val="24"/>
                <w:szCs w:val="24"/>
                <w:u w:val="single" w:color="auto"/>
                <w:lang w:eastAsia="zh-CN"/>
              </w:rPr>
              <w:t>（</w:t>
            </w:r>
            <w:r>
              <w:rPr>
                <w:rFonts w:hint="eastAsia" w:ascii="宋体" w:hAnsi="宋体" w:cs="宋体"/>
                <w:b w:val="0"/>
                <w:bCs/>
                <w:color w:val="FF0000"/>
                <w:sz w:val="24"/>
                <w:szCs w:val="24"/>
                <w:u w:val="single" w:color="auto"/>
                <w:lang w:val="en-US" w:eastAsia="zh-CN"/>
              </w:rPr>
              <w:t>湘阴</w:t>
            </w:r>
            <w:r>
              <w:rPr>
                <w:rFonts w:hint="eastAsia" w:ascii="宋体" w:hAnsi="宋体" w:cs="宋体"/>
                <w:b w:val="0"/>
                <w:bCs/>
                <w:color w:val="FF0000"/>
                <w:sz w:val="24"/>
                <w:szCs w:val="24"/>
                <w:u w:val="single" w:color="auto"/>
                <w:lang w:eastAsia="zh-CN"/>
              </w:rPr>
              <w:t>港口岸线</w:t>
            </w:r>
            <w:r>
              <w:rPr>
                <w:rFonts w:hint="eastAsia" w:ascii="宋体" w:hAnsi="宋体" w:cs="宋体"/>
                <w:b w:val="0"/>
                <w:bCs/>
                <w:color w:val="FF0000"/>
                <w:sz w:val="24"/>
                <w:szCs w:val="24"/>
                <w:u w:val="single" w:color="auto"/>
                <w:lang w:val="en-US" w:eastAsia="zh-CN"/>
              </w:rPr>
              <w:t>7645</w:t>
            </w:r>
            <w:r>
              <w:rPr>
                <w:rFonts w:hint="eastAsia" w:ascii="宋体" w:hAnsi="宋体" w:cs="宋体"/>
                <w:b w:val="0"/>
                <w:bCs/>
                <w:color w:val="FF0000"/>
                <w:sz w:val="24"/>
                <w:szCs w:val="24"/>
                <w:u w:val="single" w:color="auto"/>
                <w:lang w:eastAsia="zh-CN"/>
              </w:rPr>
              <w:t>米、</w:t>
            </w:r>
            <w:r>
              <w:rPr>
                <w:rFonts w:hint="eastAsia" w:ascii="宋体" w:hAnsi="宋体" w:cs="宋体"/>
                <w:b w:val="0"/>
                <w:bCs/>
                <w:color w:val="FF0000"/>
                <w:sz w:val="24"/>
                <w:szCs w:val="24"/>
                <w:u w:val="single" w:color="auto"/>
                <w:lang w:val="en-US" w:eastAsia="zh-CN"/>
              </w:rPr>
              <w:t>汨罗</w:t>
            </w:r>
            <w:r>
              <w:rPr>
                <w:rFonts w:hint="eastAsia" w:ascii="宋体" w:hAnsi="宋体" w:cs="宋体"/>
                <w:b w:val="0"/>
                <w:bCs/>
                <w:color w:val="FF0000"/>
                <w:sz w:val="24"/>
                <w:szCs w:val="24"/>
                <w:u w:val="single" w:color="auto"/>
                <w:lang w:eastAsia="zh-CN"/>
              </w:rPr>
              <w:t>港</w:t>
            </w:r>
            <w:r>
              <w:rPr>
                <w:rFonts w:hint="eastAsia" w:ascii="宋体" w:hAnsi="宋体" w:cs="宋体"/>
                <w:b w:val="0"/>
                <w:bCs/>
                <w:color w:val="FF0000"/>
                <w:sz w:val="24"/>
                <w:szCs w:val="24"/>
                <w:u w:val="single" w:color="auto"/>
                <w:lang w:val="en-US" w:eastAsia="zh-CN"/>
              </w:rPr>
              <w:t>湘江规划港口岸线2970</w:t>
            </w:r>
            <w:r>
              <w:rPr>
                <w:rFonts w:hint="eastAsia" w:ascii="宋体" w:hAnsi="宋体" w:cs="宋体"/>
                <w:b w:val="0"/>
                <w:bCs/>
                <w:color w:val="FF0000"/>
                <w:sz w:val="24"/>
                <w:szCs w:val="24"/>
                <w:u w:val="single" w:color="auto"/>
                <w:lang w:eastAsia="zh-CN"/>
              </w:rPr>
              <w:t>米），以三江口断面的统计数据，每天过江船流量达383余艘，随着岳阳港总体规划的实施，每天过江船舶将进一步增加。船舶在维修保养或航行时会产生一定的废机油和废柴油等废矿物油，同时船舶压舱油污水及洗舱废水经船舶自带油水分离器处理后的废油没有规范回收，再加上船户环保意识淡薄，大量的废矿物油及生活垃圾直接或间接地排入江河湖泊，船舶废油污染日益加重。</w:t>
            </w:r>
          </w:p>
          <w:p>
            <w:pPr>
              <w:adjustRightInd w:val="0"/>
              <w:snapToGrid w:val="0"/>
              <w:spacing w:line="360" w:lineRule="auto"/>
              <w:ind w:firstLine="480" w:firstLineChars="200"/>
              <w:jc w:val="both"/>
              <w:rPr>
                <w:rFonts w:hint="eastAsia" w:ascii="宋体" w:hAnsi="宋体" w:cs="宋体"/>
                <w:b w:val="0"/>
                <w:bCs/>
                <w:color w:val="FF0000"/>
                <w:sz w:val="24"/>
                <w:szCs w:val="24"/>
                <w:u w:val="single" w:color="auto"/>
                <w:lang w:eastAsia="zh-CN"/>
              </w:rPr>
            </w:pPr>
            <w:r>
              <w:rPr>
                <w:rFonts w:hint="eastAsia"/>
                <w:color w:val="FF0000"/>
                <w:sz w:val="24"/>
                <w:szCs w:val="24"/>
                <w:u w:val="single" w:color="auto"/>
              </w:rPr>
              <w:t>本次项目是根据湖南交通运输厅、湖南省发展革委、湖南省生态环境厅、湖南省住房城镇建设厅发布的《湖南船舶和港口污染突出问题整治工作实施方案》的通知中提出的对船舶和港口进行污染综合治理</w:t>
            </w:r>
            <w:r>
              <w:rPr>
                <w:rFonts w:hint="eastAsia" w:ascii="宋体" w:hAnsi="宋体" w:cs="宋体"/>
                <w:b w:val="0"/>
                <w:bCs/>
                <w:color w:val="FF0000"/>
                <w:sz w:val="24"/>
                <w:szCs w:val="24"/>
                <w:u w:val="single" w:color="auto"/>
                <w:lang w:eastAsia="zh-CN"/>
              </w:rPr>
              <w:t>及相关环境保护规划的开展实施，为减少船舶产生的矿物油对江河湖泊造成的污染，并回收废矿物油，创造良好的环境效益、经济效益和社会效益，湖南捷凯环保科技有限公司拟投资</w:t>
            </w:r>
            <w:r>
              <w:rPr>
                <w:rFonts w:hint="eastAsia" w:ascii="宋体" w:hAnsi="宋体" w:cs="宋体"/>
                <w:b w:val="0"/>
                <w:bCs/>
                <w:color w:val="FF0000"/>
                <w:sz w:val="24"/>
                <w:szCs w:val="24"/>
                <w:u w:val="single" w:color="auto"/>
                <w:lang w:val="en-US" w:eastAsia="zh-CN"/>
              </w:rPr>
              <w:t>800</w:t>
            </w:r>
            <w:r>
              <w:rPr>
                <w:rFonts w:hint="eastAsia" w:ascii="宋体" w:hAnsi="宋体" w:cs="宋体"/>
                <w:b w:val="0"/>
                <w:bCs/>
                <w:color w:val="FF0000"/>
                <w:sz w:val="24"/>
                <w:szCs w:val="24"/>
                <w:u w:val="single" w:color="auto"/>
                <w:lang w:eastAsia="zh-CN"/>
              </w:rPr>
              <w:t>万元建设年回收7500t船舶废矿物油、13000t船舶生活污水、3800t船舶生活垃圾建设项目，对船舶航行过程中产生的废矿物油和人员产生的生活垃圾进行回收。</w:t>
            </w:r>
          </w:p>
          <w:p>
            <w:pPr>
              <w:adjustRightInd w:val="0"/>
              <w:snapToGrid w:val="0"/>
              <w:spacing w:line="360" w:lineRule="auto"/>
              <w:ind w:firstLine="480" w:firstLineChars="200"/>
              <w:jc w:val="both"/>
              <w:rPr>
                <w:rFonts w:hint="eastAsia" w:ascii="宋体" w:hAnsi="宋体" w:cs="宋体"/>
                <w:b w:val="0"/>
                <w:bCs/>
                <w:color w:val="FF0000"/>
                <w:sz w:val="24"/>
                <w:szCs w:val="24"/>
                <w:u w:val="single" w:color="auto"/>
                <w:lang w:eastAsia="zh-CN"/>
              </w:rPr>
            </w:pPr>
            <w:r>
              <w:rPr>
                <w:rFonts w:hint="eastAsia" w:ascii="宋体" w:hAnsi="宋体" w:cs="宋体"/>
                <w:b w:val="0"/>
                <w:bCs/>
                <w:color w:val="FF0000"/>
                <w:sz w:val="24"/>
                <w:szCs w:val="24"/>
                <w:u w:val="single" w:color="auto"/>
                <w:lang w:eastAsia="zh-CN"/>
              </w:rPr>
              <w:t>根据《中华人民共和国环境保护法》明确规定的排污标准，中国海事、环保部门也加大了监管力度，但每年仍然有相当的油污未经任何处理便直接排入江河湖泊水体，对当地水域的生态环境造成了一定的污染，且运输船只不断增加，所以回收船舶产生的废矿物油需求日益迫切。既能减少油污水对江河湖泊造成的污染，提高其利用价值，又能创造良好的经济效益和社会效益，该项目的实施大大减少了区域内船舶含油废水的排放以及船舶废矿物油的环境风险，对改善该区域的水质起到了积极的作用。</w:t>
            </w:r>
          </w:p>
          <w:p>
            <w:pPr>
              <w:adjustRightInd w:val="0"/>
              <w:snapToGrid w:val="0"/>
              <w:spacing w:line="360" w:lineRule="auto"/>
              <w:ind w:firstLine="480" w:firstLineChars="200"/>
              <w:jc w:val="both"/>
              <w:rPr>
                <w:rFonts w:hint="eastAsia" w:ascii="宋体" w:hAnsi="宋体" w:cs="宋体"/>
                <w:color w:val="auto"/>
                <w:sz w:val="24"/>
                <w:szCs w:val="24"/>
                <w:u w:val="none" w:color="auto"/>
                <w:lang w:val="en-US" w:eastAsia="zh-CN"/>
              </w:rPr>
            </w:pPr>
            <w:r>
              <w:rPr>
                <w:rFonts w:hint="eastAsia" w:ascii="宋体" w:hAnsi="宋体" w:cs="宋体"/>
                <w:color w:val="auto"/>
                <w:sz w:val="24"/>
                <w:szCs w:val="24"/>
                <w:u w:val="none" w:color="auto"/>
                <w:lang w:val="en-US" w:eastAsia="zh-CN"/>
              </w:rPr>
              <w:t>依据《中华人民共和国环境保护法》、《中华人民共和国环境影响评价法》、国务院令第682号《建设项目环境保护管理条例》以及《建设项目环境影响评价分类管理名录》（2021）中“四十七、生态保护和环境治理业101危险废物（不含医疗废物）利用及处置——其他”，因此需编制环境影响报告表类型。</w:t>
            </w:r>
            <w:r>
              <w:rPr>
                <w:rFonts w:hint="eastAsia" w:ascii="宋体" w:hAnsi="宋体" w:cs="宋体"/>
                <w:bCs/>
                <w:color w:val="auto"/>
                <w:sz w:val="24"/>
                <w:szCs w:val="24"/>
                <w:u w:val="none" w:color="auto"/>
                <w:lang w:eastAsia="zh-CN"/>
              </w:rPr>
              <w:t>湖南捷凯环保科技有限公司</w:t>
            </w:r>
            <w:r>
              <w:rPr>
                <w:rFonts w:hint="eastAsia" w:ascii="宋体" w:hAnsi="宋体" w:cs="宋体"/>
                <w:color w:val="auto"/>
                <w:sz w:val="24"/>
                <w:szCs w:val="24"/>
                <w:u w:val="none" w:color="auto"/>
                <w:lang w:val="en-US" w:eastAsia="zh-CN"/>
              </w:rPr>
              <w:t>委托湖南汇青环保科技有限公司（以下简称“我公司”）承担本项目的环境影响评价工作。我公司在接受委托后，对建设地进行了现场踏勘、调查，收集了有关该项目的资料，结合建设项目的具体内容，根据国家环保法规、标准和环境影响评价技术导则编制了本项目环境影响报告表。</w:t>
            </w:r>
          </w:p>
          <w:p>
            <w:pPr>
              <w:numPr>
                <w:ilvl w:val="0"/>
                <w:numId w:val="0"/>
              </w:numPr>
              <w:adjustRightInd w:val="0"/>
              <w:snapToGrid w:val="0"/>
              <w:spacing w:line="360" w:lineRule="auto"/>
              <w:jc w:val="both"/>
              <w:rPr>
                <w:rFonts w:hint="eastAsia" w:ascii="宋体" w:hAnsi="宋体" w:cs="宋体"/>
                <w:b/>
                <w:bCs/>
                <w:color w:val="auto"/>
                <w:sz w:val="24"/>
                <w:szCs w:val="24"/>
                <w:u w:val="none" w:color="auto"/>
                <w:lang w:val="en-US" w:eastAsia="zh-CN"/>
              </w:rPr>
            </w:pPr>
            <w:r>
              <w:rPr>
                <w:rFonts w:hint="eastAsia" w:ascii="宋体" w:hAnsi="宋体" w:cs="宋体"/>
                <w:b/>
                <w:bCs/>
                <w:color w:val="auto"/>
                <w:sz w:val="24"/>
                <w:szCs w:val="24"/>
                <w:u w:val="none" w:color="auto"/>
                <w:lang w:val="en-US" w:eastAsia="zh-CN"/>
              </w:rPr>
              <w:t>2.项目概况</w:t>
            </w:r>
          </w:p>
          <w:p>
            <w:pPr>
              <w:numPr>
                <w:ilvl w:val="0"/>
                <w:numId w:val="0"/>
              </w:numPr>
              <w:adjustRightInd w:val="0"/>
              <w:snapToGrid w:val="0"/>
              <w:spacing w:line="360" w:lineRule="auto"/>
              <w:ind w:firstLine="480" w:firstLineChars="200"/>
              <w:jc w:val="both"/>
              <w:rPr>
                <w:rFonts w:hint="default" w:ascii="Times New Roman" w:hAnsi="Times New Roman" w:eastAsia="宋体" w:cs="Times New Roman"/>
                <w:color w:val="auto"/>
                <w:sz w:val="24"/>
                <w:szCs w:val="24"/>
                <w:u w:val="none" w:color="auto"/>
                <w:lang w:eastAsia="zh-CN"/>
              </w:rPr>
            </w:pPr>
            <w:r>
              <w:rPr>
                <w:rFonts w:hint="default" w:ascii="Times New Roman" w:hAnsi="Times New Roman" w:eastAsia="宋体" w:cs="Times New Roman"/>
                <w:color w:val="auto"/>
                <w:sz w:val="24"/>
                <w:szCs w:val="24"/>
                <w:u w:val="none" w:color="auto"/>
                <w:lang w:val="en-US" w:eastAsia="zh-CN"/>
              </w:rPr>
              <w:t>（1）项目名称：</w:t>
            </w:r>
            <w:r>
              <w:rPr>
                <w:rFonts w:hint="default" w:ascii="Times New Roman" w:hAnsi="Times New Roman" w:eastAsia="宋体" w:cs="Times New Roman"/>
                <w:color w:val="auto"/>
                <w:sz w:val="24"/>
                <w:szCs w:val="24"/>
                <w:u w:val="none" w:color="auto"/>
                <w:lang w:eastAsia="zh-CN"/>
              </w:rPr>
              <w:t>年回收7500t船舶废矿物油、13000t船舶生活污水、3800t船舶生活垃圾建设项目</w:t>
            </w:r>
          </w:p>
          <w:p>
            <w:pPr>
              <w:numPr>
                <w:ilvl w:val="0"/>
                <w:numId w:val="0"/>
              </w:numPr>
              <w:adjustRightInd w:val="0"/>
              <w:snapToGrid w:val="0"/>
              <w:spacing w:line="360" w:lineRule="auto"/>
              <w:ind w:firstLine="480" w:firstLineChars="200"/>
              <w:jc w:val="both"/>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（2）项目性质：新建</w:t>
            </w:r>
          </w:p>
          <w:p>
            <w:pPr>
              <w:numPr>
                <w:ilvl w:val="0"/>
                <w:numId w:val="0"/>
              </w:numPr>
              <w:adjustRightInd w:val="0"/>
              <w:snapToGrid w:val="0"/>
              <w:spacing w:line="360" w:lineRule="auto"/>
              <w:ind w:firstLine="480" w:firstLineChars="200"/>
              <w:jc w:val="both"/>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（3）项目总投资：800万元</w:t>
            </w:r>
          </w:p>
          <w:p>
            <w:pPr>
              <w:numPr>
                <w:ilvl w:val="0"/>
                <w:numId w:val="0"/>
              </w:numPr>
              <w:adjustRightInd w:val="0"/>
              <w:snapToGrid w:val="0"/>
              <w:spacing w:line="360" w:lineRule="auto"/>
              <w:ind w:firstLine="480" w:firstLineChars="200"/>
              <w:jc w:val="both"/>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（4）建设单位：湖南捷凯环保科技有限公司</w:t>
            </w:r>
          </w:p>
          <w:p>
            <w:pPr>
              <w:numPr>
                <w:ilvl w:val="0"/>
                <w:numId w:val="0"/>
              </w:numPr>
              <w:adjustRightInd w:val="0"/>
              <w:snapToGrid w:val="0"/>
              <w:spacing w:line="360" w:lineRule="auto"/>
              <w:ind w:firstLine="480" w:firstLineChars="200"/>
              <w:jc w:val="both"/>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（5）收集范围：湘阴县岭北镇湘江段湘江水域到湘阴县三塘镇青山水域，洞庭湖横林湖水域。湘阴县湘江段芦林潭水域至湘阴县湘滨镇资讧水域至南湖州镇资江水域到毛唃口至易婆塘水域。</w:t>
            </w:r>
          </w:p>
          <w:p>
            <w:pPr>
              <w:numPr>
                <w:ilvl w:val="0"/>
                <w:numId w:val="0"/>
              </w:numPr>
              <w:adjustRightInd w:val="0"/>
              <w:snapToGrid w:val="0"/>
              <w:spacing w:line="360" w:lineRule="auto"/>
              <w:ind w:firstLine="480" w:firstLineChars="200"/>
              <w:jc w:val="both"/>
              <w:rPr>
                <w:rFonts w:hint="default" w:ascii="Times New Roman" w:hAnsi="Times New Roman" w:eastAsia="宋体" w:cs="Times New Roman"/>
                <w:b w:val="0"/>
                <w:bCs/>
                <w:color w:val="auto"/>
                <w:sz w:val="24"/>
                <w:szCs w:val="24"/>
                <w:u w:val="none" w:color="auto"/>
                <w:lang w:eastAsia="zh-CN"/>
              </w:rPr>
            </w:pPr>
            <w:r>
              <w:rPr>
                <w:rFonts w:hint="default" w:ascii="Times New Roman" w:hAnsi="Times New Roman" w:eastAsia="宋体" w:cs="Times New Roman"/>
                <w:color w:val="auto"/>
                <w:sz w:val="24"/>
                <w:szCs w:val="24"/>
                <w:u w:val="none" w:color="auto"/>
                <w:lang w:val="en-US" w:eastAsia="zh-CN"/>
              </w:rPr>
              <w:t>（6）停靠转运码头：建设单位不涉及对船舶废矿物油、船舶生活污水、船舶生活垃圾的处置、利用、陆上运输。项目将收集的废矿物油、船舶生活污水、船舶生活垃圾在漕溪港斜坡码头进行转运；船舶废矿物油由长沙达远物流有限公司进行转运，最终交由资质单位远大（湖南）再生燃油股份有限公司进行处置；船舶生活污水由葛洲坝水务（湘阴）有限公司转运处置；船舶</w:t>
            </w:r>
            <w:r>
              <w:rPr>
                <w:rFonts w:hint="default" w:ascii="Times New Roman" w:hAnsi="Times New Roman" w:eastAsia="宋体" w:cs="Times New Roman"/>
                <w:b w:val="0"/>
                <w:bCs/>
                <w:color w:val="auto"/>
                <w:sz w:val="24"/>
                <w:szCs w:val="24"/>
                <w:u w:val="none" w:color="auto"/>
                <w:lang w:eastAsia="zh-CN"/>
              </w:rPr>
              <w:t>生活垃圾交由</w:t>
            </w:r>
            <w:r>
              <w:rPr>
                <w:rFonts w:hint="default" w:ascii="Times New Roman" w:hAnsi="Times New Roman" w:eastAsia="宋体" w:cs="Times New Roman"/>
                <w:b w:val="0"/>
                <w:bCs/>
                <w:color w:val="auto"/>
                <w:sz w:val="24"/>
                <w:szCs w:val="24"/>
                <w:u w:val="none" w:color="auto"/>
                <w:lang w:val="en-US" w:eastAsia="zh-CN"/>
              </w:rPr>
              <w:t>湘阴县环卫服务中心转运处置</w:t>
            </w:r>
            <w:r>
              <w:rPr>
                <w:rFonts w:hint="default" w:ascii="Times New Roman" w:hAnsi="Times New Roman" w:eastAsia="宋体" w:cs="Times New Roman"/>
                <w:b w:val="0"/>
                <w:bCs/>
                <w:color w:val="auto"/>
                <w:sz w:val="24"/>
                <w:szCs w:val="24"/>
                <w:u w:val="none" w:color="auto"/>
                <w:lang w:eastAsia="zh-CN"/>
              </w:rPr>
              <w:t>。</w:t>
            </w:r>
          </w:p>
          <w:p>
            <w:pPr>
              <w:numPr>
                <w:ilvl w:val="0"/>
                <w:numId w:val="0"/>
              </w:numPr>
              <w:adjustRightInd w:val="0"/>
              <w:snapToGrid w:val="0"/>
              <w:spacing w:line="360" w:lineRule="auto"/>
              <w:ind w:firstLine="480" w:firstLineChars="200"/>
              <w:jc w:val="both"/>
              <w:rPr>
                <w:rFonts w:hint="default" w:ascii="Times New Roman" w:hAnsi="Times New Roman" w:eastAsia="宋体" w:cs="Times New Roman"/>
                <w:b w:val="0"/>
                <w:bCs/>
                <w:color w:val="auto"/>
                <w:sz w:val="24"/>
                <w:szCs w:val="24"/>
                <w:u w:val="none" w:color="auto"/>
                <w:lang w:val="en-US" w:eastAsia="zh-CN"/>
              </w:rPr>
            </w:pPr>
            <w:r>
              <w:rPr>
                <w:rFonts w:hint="default" w:ascii="Times New Roman" w:hAnsi="Times New Roman" w:eastAsia="宋体" w:cs="Times New Roman"/>
                <w:b w:val="0"/>
                <w:bCs/>
                <w:color w:val="auto"/>
                <w:sz w:val="24"/>
                <w:szCs w:val="24"/>
                <w:u w:val="none" w:color="auto"/>
                <w:lang w:eastAsia="zh-CN"/>
              </w:rPr>
              <w:t>（</w:t>
            </w:r>
            <w:r>
              <w:rPr>
                <w:rFonts w:hint="default" w:ascii="Times New Roman" w:hAnsi="Times New Roman" w:eastAsia="宋体" w:cs="Times New Roman"/>
                <w:b w:val="0"/>
                <w:bCs/>
                <w:color w:val="auto"/>
                <w:sz w:val="24"/>
                <w:szCs w:val="24"/>
                <w:u w:val="none" w:color="auto"/>
                <w:lang w:val="en-US" w:eastAsia="zh-CN"/>
              </w:rPr>
              <w:t>7</w:t>
            </w:r>
            <w:r>
              <w:rPr>
                <w:rFonts w:hint="default" w:ascii="Times New Roman" w:hAnsi="Times New Roman" w:eastAsia="宋体" w:cs="Times New Roman"/>
                <w:b w:val="0"/>
                <w:bCs/>
                <w:color w:val="auto"/>
                <w:sz w:val="24"/>
                <w:szCs w:val="24"/>
                <w:u w:val="none" w:color="auto"/>
                <w:lang w:eastAsia="zh-CN"/>
              </w:rPr>
              <w:t>）</w:t>
            </w:r>
            <w:r>
              <w:rPr>
                <w:rFonts w:hint="default" w:ascii="Times New Roman" w:hAnsi="Times New Roman" w:eastAsia="宋体" w:cs="Times New Roman"/>
                <w:b w:val="0"/>
                <w:bCs/>
                <w:color w:val="auto"/>
                <w:sz w:val="24"/>
                <w:szCs w:val="24"/>
                <w:u w:val="none" w:color="auto"/>
                <w:lang w:val="en-US" w:eastAsia="zh-CN"/>
              </w:rPr>
              <w:t>航线：考虑到本项目</w:t>
            </w:r>
            <w:r>
              <w:rPr>
                <w:rFonts w:hint="eastAsia" w:cs="Times New Roman"/>
                <w:b w:val="0"/>
                <w:bCs/>
                <w:color w:val="auto"/>
                <w:sz w:val="24"/>
                <w:szCs w:val="24"/>
                <w:u w:val="none" w:color="auto"/>
                <w:lang w:val="en-US" w:eastAsia="zh-CN"/>
              </w:rPr>
              <w:t>航线范围</w:t>
            </w:r>
            <w:r>
              <w:rPr>
                <w:rFonts w:hint="default" w:ascii="Times New Roman" w:hAnsi="Times New Roman" w:eastAsia="宋体" w:cs="Times New Roman"/>
                <w:b w:val="0"/>
                <w:bCs/>
                <w:color w:val="auto"/>
                <w:sz w:val="24"/>
                <w:szCs w:val="24"/>
                <w:u w:val="none" w:color="auto"/>
                <w:lang w:val="en-US" w:eastAsia="zh-CN"/>
              </w:rPr>
              <w:t>涉及自然保护区、饮用水源保护地等，参考文件《</w:t>
            </w:r>
            <w:r>
              <w:rPr>
                <w:rFonts w:hint="eastAsia" w:cs="Times New Roman"/>
                <w:b w:val="0"/>
                <w:bCs/>
                <w:color w:val="auto"/>
                <w:sz w:val="24"/>
                <w:szCs w:val="24"/>
                <w:u w:val="none" w:color="auto"/>
                <w:lang w:val="en-US" w:eastAsia="zh-CN"/>
              </w:rPr>
              <w:t>湘阴县横岭湖省级自然保护区管理办法（试行）</w:t>
            </w:r>
            <w:r>
              <w:rPr>
                <w:rFonts w:hint="default" w:ascii="Times New Roman" w:hAnsi="Times New Roman" w:eastAsia="宋体" w:cs="Times New Roman"/>
                <w:b w:val="0"/>
                <w:bCs/>
                <w:color w:val="auto"/>
                <w:sz w:val="24"/>
                <w:szCs w:val="24"/>
                <w:u w:val="none" w:color="auto"/>
                <w:lang w:val="en-US" w:eastAsia="zh-CN"/>
              </w:rPr>
              <w:t>》（</w:t>
            </w:r>
            <w:r>
              <w:rPr>
                <w:rFonts w:hint="eastAsia" w:cs="Times New Roman"/>
                <w:b w:val="0"/>
                <w:bCs/>
                <w:color w:val="auto"/>
                <w:sz w:val="24"/>
                <w:szCs w:val="24"/>
                <w:u w:val="none" w:color="auto"/>
                <w:lang w:val="en-US" w:eastAsia="zh-CN"/>
              </w:rPr>
              <w:t>湘阴政发</w:t>
            </w:r>
            <w:r>
              <w:rPr>
                <w:rFonts w:hint="default" w:ascii="Times New Roman" w:hAnsi="Times New Roman" w:eastAsia="宋体" w:cs="Times New Roman"/>
                <w:b w:val="0"/>
                <w:bCs/>
                <w:color w:val="auto"/>
                <w:sz w:val="24"/>
                <w:szCs w:val="24"/>
                <w:u w:val="none" w:color="auto"/>
                <w:lang w:val="en-US" w:eastAsia="zh-CN"/>
              </w:rPr>
              <w:t>〔</w:t>
            </w:r>
            <w:r>
              <w:rPr>
                <w:rFonts w:hint="eastAsia" w:cs="Times New Roman"/>
                <w:b w:val="0"/>
                <w:bCs/>
                <w:color w:val="auto"/>
                <w:sz w:val="24"/>
                <w:szCs w:val="24"/>
                <w:u w:val="none" w:color="auto"/>
                <w:lang w:val="en-US" w:eastAsia="zh-CN"/>
              </w:rPr>
              <w:t>2020</w:t>
            </w:r>
            <w:r>
              <w:rPr>
                <w:rFonts w:hint="default" w:ascii="Times New Roman" w:hAnsi="Times New Roman" w:eastAsia="宋体" w:cs="Times New Roman"/>
                <w:b w:val="0"/>
                <w:bCs/>
                <w:color w:val="auto"/>
                <w:sz w:val="24"/>
                <w:szCs w:val="24"/>
                <w:u w:val="none" w:color="auto"/>
                <w:lang w:val="en-US" w:eastAsia="zh-CN"/>
              </w:rPr>
              <w:t>〕</w:t>
            </w:r>
            <w:r>
              <w:rPr>
                <w:rFonts w:hint="eastAsia" w:cs="Times New Roman"/>
                <w:b w:val="0"/>
                <w:bCs/>
                <w:color w:val="auto"/>
                <w:sz w:val="24"/>
                <w:szCs w:val="24"/>
                <w:u w:val="none" w:color="auto"/>
                <w:lang w:val="en-US" w:eastAsia="zh-CN"/>
              </w:rPr>
              <w:t>8号</w:t>
            </w:r>
            <w:r>
              <w:rPr>
                <w:rFonts w:hint="default" w:ascii="Times New Roman" w:hAnsi="Times New Roman" w:eastAsia="宋体" w:cs="Times New Roman"/>
                <w:b w:val="0"/>
                <w:bCs/>
                <w:color w:val="auto"/>
                <w:sz w:val="24"/>
                <w:szCs w:val="24"/>
                <w:u w:val="none" w:color="auto"/>
                <w:lang w:val="en-US" w:eastAsia="zh-CN"/>
              </w:rPr>
              <w:t>）第</w:t>
            </w:r>
            <w:r>
              <w:rPr>
                <w:rFonts w:hint="eastAsia" w:cs="Times New Roman"/>
                <w:b w:val="0"/>
                <w:bCs/>
                <w:color w:val="auto"/>
                <w:sz w:val="24"/>
                <w:szCs w:val="24"/>
                <w:u w:val="none" w:color="auto"/>
                <w:lang w:val="en-US" w:eastAsia="zh-CN"/>
              </w:rPr>
              <w:t>十八条</w:t>
            </w:r>
            <w:r>
              <w:rPr>
                <w:rFonts w:hint="default" w:ascii="Times New Roman" w:hAnsi="Times New Roman" w:eastAsia="宋体" w:cs="Times New Roman"/>
                <w:b w:val="0"/>
                <w:bCs/>
                <w:color w:val="auto"/>
                <w:sz w:val="24"/>
                <w:szCs w:val="24"/>
                <w:u w:val="none" w:color="auto"/>
                <w:lang w:val="en-US" w:eastAsia="zh-CN"/>
              </w:rPr>
              <w:t>中</w:t>
            </w:r>
            <w:r>
              <w:rPr>
                <w:rFonts w:hint="eastAsia" w:cs="Times New Roman"/>
                <w:b w:val="0"/>
                <w:bCs/>
                <w:color w:val="auto"/>
                <w:sz w:val="24"/>
                <w:szCs w:val="24"/>
                <w:u w:val="none" w:color="auto"/>
                <w:lang w:val="en-US" w:eastAsia="zh-CN"/>
              </w:rPr>
              <w:t>“禁止在自然保护区范围内从事下列活动”的</w:t>
            </w:r>
            <w:r>
              <w:rPr>
                <w:rFonts w:hint="default" w:ascii="Times New Roman" w:hAnsi="Times New Roman" w:eastAsia="宋体" w:cs="Times New Roman"/>
                <w:b w:val="0"/>
                <w:bCs/>
                <w:color w:val="auto"/>
                <w:sz w:val="24"/>
                <w:szCs w:val="24"/>
                <w:u w:val="none" w:color="auto"/>
                <w:lang w:val="en-US" w:eastAsia="zh-CN"/>
              </w:rPr>
              <w:t>规定，本环评要求在</w:t>
            </w:r>
            <w:r>
              <w:rPr>
                <w:rFonts w:hint="eastAsia" w:cs="Times New Roman"/>
                <w:b w:val="0"/>
                <w:bCs/>
                <w:color w:val="auto"/>
                <w:sz w:val="24"/>
                <w:szCs w:val="24"/>
                <w:u w:val="none" w:color="auto"/>
                <w:lang w:val="en-US" w:eastAsia="zh-CN"/>
              </w:rPr>
              <w:t>横岭湖自然保护区内，禁止作业</w:t>
            </w:r>
            <w:r>
              <w:rPr>
                <w:rFonts w:hint="default" w:ascii="Times New Roman" w:hAnsi="Times New Roman" w:eastAsia="宋体" w:cs="Times New Roman"/>
                <w:b w:val="0"/>
                <w:bCs/>
                <w:color w:val="auto"/>
                <w:sz w:val="24"/>
                <w:szCs w:val="24"/>
                <w:u w:val="none" w:color="auto"/>
                <w:lang w:val="en-US" w:eastAsia="zh-CN"/>
              </w:rPr>
              <w:t>。 航行线涉及饮用水源保护区时执行《饮用水水源保护区污染防治管理规定》（饮用水水源保护区污染防治管理规定），不得在保护区范围内行驶、作业和停泊，并按航线要求尽快驶离相关保护区。</w:t>
            </w:r>
          </w:p>
          <w:p>
            <w:pPr>
              <w:numPr>
                <w:ilvl w:val="0"/>
                <w:numId w:val="0"/>
              </w:numPr>
              <w:adjustRightInd w:val="0"/>
              <w:snapToGrid w:val="0"/>
              <w:spacing w:line="360" w:lineRule="auto"/>
              <w:ind w:firstLine="480" w:firstLineChars="200"/>
              <w:jc w:val="both"/>
              <w:rPr>
                <w:rFonts w:hint="default" w:ascii="Times New Roman" w:hAnsi="Times New Roman" w:eastAsia="宋体" w:cs="Times New Roman"/>
                <w:b w:val="0"/>
                <w:bCs/>
                <w:color w:val="FF0000"/>
                <w:sz w:val="24"/>
                <w:szCs w:val="24"/>
                <w:u w:val="single" w:color="auto"/>
                <w:lang w:val="en-US" w:eastAsia="zh-CN"/>
              </w:rPr>
            </w:pPr>
            <w:r>
              <w:rPr>
                <w:rFonts w:hint="default" w:ascii="Times New Roman" w:hAnsi="Times New Roman" w:eastAsia="宋体" w:cs="Times New Roman"/>
                <w:b w:val="0"/>
                <w:bCs/>
                <w:color w:val="FF0000"/>
                <w:sz w:val="24"/>
                <w:szCs w:val="24"/>
                <w:u w:val="single" w:color="auto"/>
                <w:lang w:val="en-US" w:eastAsia="zh-CN"/>
              </w:rPr>
              <w:t>（8）建设规模：年回收7500t船舶废矿物油、13000t船舶生活污水、3800t船舶生活垃圾，作业时间为09</w:t>
            </w:r>
            <w:r>
              <w:rPr>
                <w:rFonts w:hint="eastAsia" w:cs="Times New Roman"/>
                <w:b w:val="0"/>
                <w:bCs/>
                <w:color w:val="FF0000"/>
                <w:sz w:val="24"/>
                <w:szCs w:val="24"/>
                <w:u w:val="single" w:color="auto"/>
                <w:lang w:val="en-US" w:eastAsia="zh-CN"/>
              </w:rPr>
              <w:t>：</w:t>
            </w:r>
            <w:r>
              <w:rPr>
                <w:rFonts w:hint="default" w:ascii="Times New Roman" w:hAnsi="Times New Roman" w:eastAsia="宋体" w:cs="Times New Roman"/>
                <w:b w:val="0"/>
                <w:bCs/>
                <w:color w:val="FF0000"/>
                <w:sz w:val="24"/>
                <w:szCs w:val="24"/>
                <w:u w:val="single" w:color="auto"/>
                <w:lang w:val="en-US" w:eastAsia="zh-CN"/>
              </w:rPr>
              <w:t>00-17</w:t>
            </w:r>
            <w:r>
              <w:rPr>
                <w:rFonts w:hint="eastAsia" w:cs="Times New Roman"/>
                <w:b w:val="0"/>
                <w:bCs/>
                <w:color w:val="FF0000"/>
                <w:sz w:val="24"/>
                <w:szCs w:val="24"/>
                <w:u w:val="single" w:color="auto"/>
                <w:lang w:val="en-US" w:eastAsia="zh-CN"/>
              </w:rPr>
              <w:t>：</w:t>
            </w:r>
            <w:r>
              <w:rPr>
                <w:rFonts w:hint="default" w:ascii="Times New Roman" w:hAnsi="Times New Roman" w:eastAsia="宋体" w:cs="Times New Roman"/>
                <w:b w:val="0"/>
                <w:bCs/>
                <w:color w:val="FF0000"/>
                <w:sz w:val="24"/>
                <w:szCs w:val="24"/>
                <w:u w:val="single" w:color="auto"/>
                <w:lang w:val="en-US" w:eastAsia="zh-CN"/>
              </w:rPr>
              <w:t>00。</w:t>
            </w:r>
          </w:p>
          <w:p>
            <w:pPr>
              <w:numPr>
                <w:ilvl w:val="0"/>
                <w:numId w:val="0"/>
              </w:numPr>
              <w:adjustRightInd w:val="0"/>
              <w:snapToGrid w:val="0"/>
              <w:spacing w:line="360" w:lineRule="auto"/>
              <w:ind w:firstLine="480" w:firstLineChars="200"/>
              <w:jc w:val="both"/>
              <w:rPr>
                <w:rFonts w:hint="default" w:ascii="Times New Roman" w:hAnsi="Times New Roman" w:eastAsia="宋体" w:cs="Times New Roman"/>
                <w:b w:val="0"/>
                <w:bCs/>
                <w:color w:val="FF0000"/>
                <w:sz w:val="24"/>
                <w:szCs w:val="24"/>
                <w:u w:val="single" w:color="auto"/>
                <w:lang w:val="en-US" w:eastAsia="zh-CN"/>
              </w:rPr>
            </w:pPr>
            <w:r>
              <w:rPr>
                <w:rFonts w:hint="default" w:ascii="Times New Roman" w:hAnsi="Times New Roman" w:eastAsia="宋体" w:cs="Times New Roman"/>
                <w:b w:val="0"/>
                <w:bCs/>
                <w:color w:val="FF0000"/>
                <w:sz w:val="24"/>
                <w:szCs w:val="24"/>
                <w:u w:val="single" w:color="auto"/>
                <w:lang w:val="en-US" w:eastAsia="zh-CN"/>
              </w:rPr>
              <w:t>（9）建设内容：本项目是将湘阴县岭北镇湘江段湘江水域到湘阴县三塘镇青山水域，洞庭湖横林湖水域，湘阴县湘江段芦林潭水域至湘阴县湘滨镇资讧水域至南湖州镇资江水域到毛唃口至易婆塘水域内船舶产生的废矿物油、生活污水、生活垃圾等经专用船舶收集后在漕溪港斜坡码头，船舶废矿物油交由有危废处理资质的单位处置，船舶生活垃圾</w:t>
            </w:r>
            <w:r>
              <w:rPr>
                <w:rFonts w:hint="default" w:ascii="Times New Roman" w:hAnsi="Times New Roman" w:eastAsia="宋体" w:cs="Times New Roman"/>
                <w:b w:val="0"/>
                <w:bCs/>
                <w:color w:val="FF0000"/>
                <w:sz w:val="24"/>
                <w:szCs w:val="24"/>
                <w:u w:val="single" w:color="auto"/>
                <w:lang w:eastAsia="zh-CN"/>
              </w:rPr>
              <w:t>交由</w:t>
            </w:r>
            <w:r>
              <w:rPr>
                <w:rFonts w:hint="default" w:ascii="Times New Roman" w:hAnsi="Times New Roman" w:eastAsia="宋体" w:cs="Times New Roman"/>
                <w:b w:val="0"/>
                <w:bCs/>
                <w:color w:val="FF0000"/>
                <w:sz w:val="24"/>
                <w:szCs w:val="24"/>
                <w:u w:val="single" w:color="auto"/>
                <w:lang w:val="en-US" w:eastAsia="zh-CN"/>
              </w:rPr>
              <w:t>湘阴县环卫服务中心转运处置，船舶生活污水交由</w:t>
            </w:r>
            <w:r>
              <w:rPr>
                <w:rFonts w:hint="default" w:ascii="Times New Roman" w:hAnsi="Times New Roman" w:eastAsia="宋体" w:cs="Times New Roman"/>
                <w:color w:val="FF0000"/>
                <w:sz w:val="24"/>
                <w:szCs w:val="24"/>
                <w:u w:val="single" w:color="auto"/>
                <w:lang w:val="en-US" w:eastAsia="zh-CN"/>
              </w:rPr>
              <w:t>葛洲坝水务（湘阴）有限公司转运处置。</w:t>
            </w:r>
          </w:p>
          <w:p>
            <w:pPr>
              <w:numPr>
                <w:ilvl w:val="0"/>
                <w:numId w:val="0"/>
              </w:numPr>
              <w:adjustRightInd w:val="0"/>
              <w:snapToGrid w:val="0"/>
              <w:spacing w:line="360" w:lineRule="auto"/>
              <w:jc w:val="both"/>
              <w:rPr>
                <w:rFonts w:hint="default" w:ascii="宋体" w:hAnsi="宋体" w:cs="宋体"/>
                <w:b/>
                <w:bCs/>
                <w:color w:val="auto"/>
                <w:sz w:val="24"/>
                <w:szCs w:val="24"/>
                <w:u w:val="none" w:color="auto"/>
                <w:lang w:val="en-US" w:eastAsia="zh-CN"/>
              </w:rPr>
            </w:pPr>
            <w:r>
              <w:rPr>
                <w:rFonts w:hint="eastAsia" w:ascii="宋体" w:hAnsi="宋体" w:cs="宋体"/>
                <w:b/>
                <w:bCs/>
                <w:color w:val="auto"/>
                <w:sz w:val="24"/>
                <w:szCs w:val="24"/>
                <w:u w:val="none" w:color="auto"/>
                <w:lang w:val="en-US" w:eastAsia="zh-CN"/>
              </w:rPr>
              <w:t>3.工程内容和规模</w:t>
            </w:r>
          </w:p>
          <w:p>
            <w:pPr>
              <w:numPr>
                <w:ilvl w:val="0"/>
                <w:numId w:val="0"/>
              </w:numPr>
              <w:adjustRightInd w:val="0"/>
              <w:snapToGrid w:val="0"/>
              <w:spacing w:line="360" w:lineRule="auto"/>
              <w:ind w:firstLine="480" w:firstLineChars="200"/>
              <w:jc w:val="both"/>
              <w:rPr>
                <w:rFonts w:hint="eastAsia" w:ascii="宋体" w:hAnsi="宋体" w:cs="宋体"/>
                <w:color w:val="auto"/>
                <w:sz w:val="24"/>
                <w:szCs w:val="24"/>
                <w:u w:val="none" w:color="auto"/>
                <w:lang w:val="en-US" w:eastAsia="zh-CN"/>
              </w:rPr>
            </w:pPr>
            <w:r>
              <w:rPr>
                <w:rFonts w:hint="eastAsia" w:ascii="宋体" w:hAnsi="宋体" w:cs="宋体"/>
                <w:color w:val="auto"/>
                <w:sz w:val="24"/>
                <w:szCs w:val="24"/>
                <w:u w:val="none" w:color="auto"/>
                <w:lang w:val="en-US" w:eastAsia="zh-CN"/>
              </w:rPr>
              <w:t>项目主要回收废矿物油及生活污水、生活垃圾。回收专用船舶以及设备基本情况见下表2-1。</w:t>
            </w:r>
          </w:p>
          <w:p>
            <w:pPr>
              <w:numPr>
                <w:ilvl w:val="0"/>
                <w:numId w:val="0"/>
              </w:numPr>
              <w:adjustRightInd w:val="0"/>
              <w:snapToGrid w:val="0"/>
              <w:spacing w:line="360" w:lineRule="auto"/>
              <w:jc w:val="center"/>
              <w:rPr>
                <w:rFonts w:hint="default" w:ascii="宋体" w:hAnsi="宋体" w:cs="宋体"/>
                <w:b/>
                <w:bCs/>
                <w:color w:val="auto"/>
                <w:sz w:val="24"/>
                <w:szCs w:val="24"/>
                <w:u w:val="none" w:color="auto"/>
                <w:lang w:val="en-US" w:eastAsia="zh-CN"/>
              </w:rPr>
            </w:pPr>
            <w:r>
              <w:rPr>
                <w:rFonts w:hint="eastAsia" w:ascii="宋体" w:hAnsi="宋体" w:cs="宋体"/>
                <w:b/>
                <w:bCs/>
                <w:color w:val="auto"/>
                <w:sz w:val="24"/>
                <w:szCs w:val="24"/>
                <w:u w:val="none" w:color="auto"/>
                <w:lang w:val="en-US" w:eastAsia="zh-CN"/>
              </w:rPr>
              <w:t>表2-1  工程建设内容一览表</w:t>
            </w:r>
          </w:p>
          <w:tbl>
            <w:tblPr>
              <w:tblStyle w:val="17"/>
              <w:tblW w:w="4995" w:type="pct"/>
              <w:tblInd w:w="-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80"/>
              <w:gridCol w:w="1200"/>
              <w:gridCol w:w="1734"/>
              <w:gridCol w:w="3191"/>
              <w:gridCol w:w="152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8" w:type="pct"/>
                  <w:tcBorders>
                    <w:tl2br w:val="nil"/>
                    <w:tr2bl w:val="nil"/>
                  </w:tcBorders>
                  <w:noWrap w:val="0"/>
                  <w:vAlign w:val="center"/>
                </w:tcPr>
                <w:p>
                  <w:pPr>
                    <w:adjustRightInd w:val="0"/>
                    <w:snapToGrid w:val="0"/>
                    <w:jc w:val="center"/>
                    <w:rPr>
                      <w:b/>
                      <w:bCs/>
                      <w:color w:val="auto"/>
                      <w:sz w:val="21"/>
                      <w:szCs w:val="21"/>
                      <w:u w:val="none" w:color="auto"/>
                    </w:rPr>
                  </w:pPr>
                  <w:r>
                    <w:rPr>
                      <w:b/>
                      <w:bCs/>
                      <w:color w:val="auto"/>
                      <w:sz w:val="21"/>
                      <w:szCs w:val="21"/>
                      <w:u w:val="none" w:color="auto"/>
                    </w:rPr>
                    <w:t>分类</w:t>
                  </w:r>
                </w:p>
              </w:tc>
              <w:tc>
                <w:tcPr>
                  <w:tcW w:w="720" w:type="pct"/>
                  <w:tcBorders>
                    <w:tl2br w:val="nil"/>
                    <w:tr2bl w:val="nil"/>
                  </w:tcBorders>
                  <w:noWrap w:val="0"/>
                  <w:vAlign w:val="center"/>
                </w:tcPr>
                <w:p>
                  <w:pPr>
                    <w:adjustRightInd w:val="0"/>
                    <w:snapToGrid w:val="0"/>
                    <w:jc w:val="center"/>
                    <w:rPr>
                      <w:b/>
                      <w:bCs/>
                      <w:color w:val="auto"/>
                      <w:sz w:val="21"/>
                      <w:szCs w:val="21"/>
                      <w:u w:val="none" w:color="auto"/>
                    </w:rPr>
                  </w:pPr>
                  <w:r>
                    <w:rPr>
                      <w:b/>
                      <w:bCs/>
                      <w:color w:val="auto"/>
                      <w:sz w:val="21"/>
                      <w:szCs w:val="21"/>
                      <w:u w:val="none" w:color="auto"/>
                    </w:rPr>
                    <w:t>项目组成</w:t>
                  </w:r>
                </w:p>
              </w:tc>
              <w:tc>
                <w:tcPr>
                  <w:tcW w:w="2955" w:type="pct"/>
                  <w:gridSpan w:val="2"/>
                  <w:tcBorders>
                    <w:tl2br w:val="nil"/>
                    <w:tr2bl w:val="nil"/>
                  </w:tcBorders>
                  <w:noWrap w:val="0"/>
                  <w:vAlign w:val="center"/>
                </w:tcPr>
                <w:p>
                  <w:pPr>
                    <w:adjustRightInd w:val="0"/>
                    <w:snapToGrid w:val="0"/>
                    <w:jc w:val="center"/>
                    <w:rPr>
                      <w:b/>
                      <w:bCs/>
                      <w:color w:val="auto"/>
                      <w:sz w:val="21"/>
                      <w:szCs w:val="21"/>
                      <w:u w:val="none" w:color="auto"/>
                    </w:rPr>
                  </w:pPr>
                  <w:r>
                    <w:rPr>
                      <w:b/>
                      <w:bCs/>
                      <w:color w:val="auto"/>
                      <w:sz w:val="21"/>
                      <w:szCs w:val="21"/>
                      <w:u w:val="none" w:color="auto"/>
                    </w:rPr>
                    <w:t>建设内容和规模</w:t>
                  </w:r>
                </w:p>
              </w:tc>
              <w:tc>
                <w:tcPr>
                  <w:tcW w:w="916" w:type="pct"/>
                  <w:tcBorders>
                    <w:tl2br w:val="nil"/>
                    <w:tr2bl w:val="nil"/>
                  </w:tcBorders>
                  <w:noWrap w:val="0"/>
                  <w:vAlign w:val="center"/>
                </w:tcPr>
                <w:p>
                  <w:pPr>
                    <w:adjustRightInd w:val="0"/>
                    <w:snapToGrid w:val="0"/>
                    <w:jc w:val="center"/>
                    <w:rPr>
                      <w:b/>
                      <w:bCs/>
                      <w:color w:val="auto"/>
                      <w:sz w:val="21"/>
                      <w:szCs w:val="21"/>
                      <w:u w:val="none" w:color="auto"/>
                    </w:rPr>
                  </w:pPr>
                  <w:r>
                    <w:rPr>
                      <w:b/>
                      <w:bCs/>
                      <w:color w:val="auto"/>
                      <w:sz w:val="21"/>
                      <w:szCs w:val="21"/>
                      <w:u w:val="none" w:color="auto"/>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8" w:type="pct"/>
                  <w:vMerge w:val="restart"/>
                  <w:tcBorders>
                    <w:tl2br w:val="nil"/>
                    <w:tr2bl w:val="nil"/>
                  </w:tcBorders>
                  <w:noWrap w:val="0"/>
                  <w:vAlign w:val="center"/>
                </w:tcPr>
                <w:p>
                  <w:pPr>
                    <w:adjustRightInd w:val="0"/>
                    <w:snapToGrid w:val="0"/>
                    <w:jc w:val="center"/>
                    <w:rPr>
                      <w:color w:val="auto"/>
                      <w:sz w:val="21"/>
                      <w:szCs w:val="21"/>
                      <w:u w:val="none" w:color="auto"/>
                    </w:rPr>
                  </w:pPr>
                  <w:r>
                    <w:rPr>
                      <w:color w:val="auto"/>
                      <w:sz w:val="21"/>
                      <w:szCs w:val="21"/>
                      <w:u w:val="none" w:color="auto"/>
                    </w:rPr>
                    <w:t>主体工程</w:t>
                  </w:r>
                </w:p>
              </w:tc>
              <w:tc>
                <w:tcPr>
                  <w:tcW w:w="720" w:type="pct"/>
                  <w:tcBorders>
                    <w:tl2br w:val="nil"/>
                    <w:tr2bl w:val="nil"/>
                  </w:tcBorders>
                  <w:noWrap w:val="0"/>
                  <w:vAlign w:val="center"/>
                </w:tcPr>
                <w:p>
                  <w:pPr>
                    <w:bidi w:val="0"/>
                    <w:jc w:val="center"/>
                    <w:rPr>
                      <w:rFonts w:hint="default"/>
                      <w:color w:val="auto"/>
                      <w:u w:val="none" w:color="auto"/>
                      <w:lang w:val="en-US" w:eastAsia="zh-CN"/>
                    </w:rPr>
                  </w:pPr>
                  <w:r>
                    <w:rPr>
                      <w:rFonts w:hint="eastAsia"/>
                      <w:color w:val="auto"/>
                      <w:u w:val="none" w:color="auto"/>
                      <w:lang w:val="en-US" w:eastAsia="zh-CN"/>
                    </w:rPr>
                    <w:t>湘湘阴油0659</w:t>
                  </w:r>
                </w:p>
              </w:tc>
              <w:tc>
                <w:tcPr>
                  <w:tcW w:w="2955" w:type="pct"/>
                  <w:gridSpan w:val="2"/>
                  <w:tcBorders>
                    <w:tl2br w:val="nil"/>
                    <w:tr2bl w:val="nil"/>
                  </w:tcBorders>
                  <w:noWrap w:val="0"/>
                  <w:vAlign w:val="center"/>
                </w:tcPr>
                <w:p>
                  <w:pPr>
                    <w:bidi w:val="0"/>
                    <w:jc w:val="center"/>
                    <w:rPr>
                      <w:rFonts w:hint="default"/>
                      <w:color w:val="auto"/>
                      <w:u w:val="none" w:color="auto"/>
                      <w:lang w:val="en-US" w:eastAsia="zh-CN"/>
                    </w:rPr>
                  </w:pPr>
                  <w:r>
                    <w:rPr>
                      <w:rFonts w:hint="eastAsia"/>
                      <w:color w:val="auto"/>
                      <w:u w:val="none" w:color="auto"/>
                      <w:lang w:val="en-US" w:eastAsia="zh-CN"/>
                    </w:rPr>
                    <w:t>1艘，总吨位251吨，主要收集其他船舶废矿物油、生活污水、生活垃圾</w:t>
                  </w:r>
                </w:p>
              </w:tc>
              <w:tc>
                <w:tcPr>
                  <w:tcW w:w="916" w:type="pct"/>
                  <w:tcBorders>
                    <w:tl2br w:val="nil"/>
                    <w:tr2bl w:val="nil"/>
                  </w:tcBorders>
                  <w:noWrap w:val="0"/>
                  <w:vAlign w:val="center"/>
                </w:tcPr>
                <w:p>
                  <w:pPr>
                    <w:bidi w:val="0"/>
                    <w:jc w:val="center"/>
                    <w:rPr>
                      <w:rFonts w:hint="default"/>
                      <w:color w:val="auto"/>
                      <w:u w:val="none" w:color="auto"/>
                      <w:lang w:val="en-US" w:eastAsia="zh-CN"/>
                    </w:rPr>
                  </w:pPr>
                  <w:r>
                    <w:rPr>
                      <w:rFonts w:hint="eastAsia"/>
                      <w:color w:val="auto"/>
                      <w:u w:val="none" w:color="auto"/>
                      <w:lang w:val="en-US" w:eastAsia="zh-CN"/>
                    </w:rPr>
                    <w:t>租赁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8" w:type="pct"/>
                  <w:vMerge w:val="continue"/>
                  <w:tcBorders>
                    <w:tl2br w:val="nil"/>
                    <w:tr2bl w:val="nil"/>
                  </w:tcBorders>
                  <w:noWrap w:val="0"/>
                  <w:vAlign w:val="center"/>
                </w:tcPr>
                <w:p>
                  <w:pPr>
                    <w:adjustRightInd w:val="0"/>
                    <w:snapToGrid w:val="0"/>
                    <w:jc w:val="center"/>
                    <w:rPr>
                      <w:color w:val="auto"/>
                      <w:sz w:val="21"/>
                      <w:szCs w:val="21"/>
                      <w:u w:val="none" w:color="auto"/>
                    </w:rPr>
                  </w:pPr>
                </w:p>
              </w:tc>
              <w:tc>
                <w:tcPr>
                  <w:tcW w:w="720" w:type="pct"/>
                  <w:tcBorders>
                    <w:tl2br w:val="nil"/>
                    <w:tr2bl w:val="nil"/>
                  </w:tcBorders>
                  <w:noWrap w:val="0"/>
                  <w:vAlign w:val="center"/>
                </w:tcPr>
                <w:p>
                  <w:pPr>
                    <w:adjustRightInd w:val="0"/>
                    <w:snapToGrid w:val="0"/>
                    <w:jc w:val="center"/>
                    <w:rPr>
                      <w:rFonts w:hint="default"/>
                      <w:color w:val="auto"/>
                      <w:sz w:val="21"/>
                      <w:szCs w:val="21"/>
                      <w:u w:val="none" w:color="auto"/>
                      <w:lang w:val="en-US" w:eastAsia="zh-CN"/>
                    </w:rPr>
                  </w:pPr>
                  <w:r>
                    <w:rPr>
                      <w:rFonts w:hint="eastAsia"/>
                      <w:color w:val="auto"/>
                      <w:sz w:val="21"/>
                      <w:szCs w:val="21"/>
                      <w:u w:val="none" w:color="auto"/>
                      <w:lang w:val="en-US" w:eastAsia="zh-CN"/>
                    </w:rPr>
                    <w:t>湘湘阴油0530</w:t>
                  </w:r>
                </w:p>
              </w:tc>
              <w:tc>
                <w:tcPr>
                  <w:tcW w:w="2955" w:type="pct"/>
                  <w:gridSpan w:val="2"/>
                  <w:tcBorders>
                    <w:tl2br w:val="nil"/>
                    <w:tr2bl w:val="nil"/>
                  </w:tcBorders>
                  <w:noWrap w:val="0"/>
                  <w:vAlign w:val="center"/>
                </w:tcPr>
                <w:p>
                  <w:pPr>
                    <w:adjustRightInd w:val="0"/>
                    <w:snapToGrid w:val="0"/>
                    <w:jc w:val="center"/>
                    <w:rPr>
                      <w:color w:val="auto"/>
                      <w:sz w:val="21"/>
                      <w:szCs w:val="21"/>
                      <w:highlight w:val="none"/>
                      <w:u w:val="none" w:color="auto"/>
                    </w:rPr>
                  </w:pPr>
                  <w:r>
                    <w:rPr>
                      <w:rFonts w:hint="eastAsia"/>
                      <w:color w:val="auto"/>
                      <w:sz w:val="21"/>
                      <w:szCs w:val="21"/>
                      <w:highlight w:val="none"/>
                      <w:u w:val="none" w:color="auto"/>
                      <w:lang w:val="en-US" w:eastAsia="zh-CN"/>
                    </w:rPr>
                    <w:t>1艘，主要收集其他船舶废矿物油、生活污水、生活垃圾</w:t>
                  </w:r>
                </w:p>
              </w:tc>
              <w:tc>
                <w:tcPr>
                  <w:tcW w:w="916" w:type="pct"/>
                  <w:tcBorders>
                    <w:tl2br w:val="nil"/>
                    <w:tr2bl w:val="nil"/>
                  </w:tcBorders>
                  <w:noWrap w:val="0"/>
                  <w:vAlign w:val="center"/>
                </w:tcPr>
                <w:p>
                  <w:pPr>
                    <w:adjustRightInd w:val="0"/>
                    <w:snapToGrid w:val="0"/>
                    <w:jc w:val="center"/>
                    <w:rPr>
                      <w:rFonts w:hint="default"/>
                      <w:color w:val="auto"/>
                      <w:sz w:val="21"/>
                      <w:szCs w:val="21"/>
                      <w:u w:val="none" w:color="auto"/>
                      <w:lang w:val="en-US" w:eastAsia="zh-CN"/>
                    </w:rPr>
                  </w:pPr>
                  <w:r>
                    <w:rPr>
                      <w:rFonts w:hint="eastAsia"/>
                      <w:color w:val="auto"/>
                      <w:u w:val="none" w:color="auto"/>
                      <w:lang w:val="en-US" w:eastAsia="zh-CN"/>
                    </w:rPr>
                    <w:t>租赁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8" w:type="pct"/>
                  <w:vMerge w:val="restart"/>
                  <w:tcBorders>
                    <w:tl2br w:val="nil"/>
                    <w:tr2bl w:val="nil"/>
                  </w:tcBorders>
                  <w:shd w:val="clear" w:color="auto" w:fill="auto"/>
                  <w:noWrap w:val="0"/>
                  <w:vAlign w:val="center"/>
                </w:tcPr>
                <w:p>
                  <w:pPr>
                    <w:adjustRightInd w:val="0"/>
                    <w:snapToGrid w:val="0"/>
                    <w:jc w:val="center"/>
                    <w:rPr>
                      <w:color w:val="auto"/>
                      <w:sz w:val="21"/>
                      <w:szCs w:val="21"/>
                      <w:u w:val="none" w:color="auto"/>
                    </w:rPr>
                  </w:pPr>
                  <w:r>
                    <w:rPr>
                      <w:color w:val="auto"/>
                      <w:sz w:val="21"/>
                      <w:szCs w:val="21"/>
                      <w:u w:val="none" w:color="auto"/>
                    </w:rPr>
                    <w:t>环</w:t>
                  </w:r>
                </w:p>
                <w:p>
                  <w:pPr>
                    <w:adjustRightInd w:val="0"/>
                    <w:snapToGrid w:val="0"/>
                    <w:jc w:val="center"/>
                    <w:rPr>
                      <w:color w:val="auto"/>
                      <w:sz w:val="21"/>
                      <w:szCs w:val="21"/>
                      <w:u w:val="none" w:color="auto"/>
                    </w:rPr>
                  </w:pPr>
                  <w:r>
                    <w:rPr>
                      <w:color w:val="auto"/>
                      <w:sz w:val="21"/>
                      <w:szCs w:val="21"/>
                      <w:u w:val="none" w:color="auto"/>
                    </w:rPr>
                    <w:t>保</w:t>
                  </w:r>
                </w:p>
                <w:p>
                  <w:pPr>
                    <w:adjustRightInd w:val="0"/>
                    <w:snapToGrid w:val="0"/>
                    <w:jc w:val="center"/>
                    <w:rPr>
                      <w:color w:val="auto"/>
                      <w:sz w:val="21"/>
                      <w:szCs w:val="21"/>
                      <w:u w:val="none" w:color="auto"/>
                    </w:rPr>
                  </w:pPr>
                  <w:r>
                    <w:rPr>
                      <w:color w:val="auto"/>
                      <w:sz w:val="21"/>
                      <w:szCs w:val="21"/>
                      <w:u w:val="none" w:color="auto"/>
                    </w:rPr>
                    <w:t>工</w:t>
                  </w:r>
                </w:p>
                <w:p>
                  <w:pPr>
                    <w:adjustRightInd w:val="0"/>
                    <w:snapToGrid w:val="0"/>
                    <w:jc w:val="center"/>
                    <w:rPr>
                      <w:color w:val="auto"/>
                      <w:sz w:val="21"/>
                      <w:szCs w:val="21"/>
                      <w:u w:val="none" w:color="auto"/>
                    </w:rPr>
                  </w:pPr>
                  <w:r>
                    <w:rPr>
                      <w:color w:val="auto"/>
                      <w:sz w:val="21"/>
                      <w:szCs w:val="21"/>
                      <w:u w:val="none" w:color="auto"/>
                    </w:rPr>
                    <w:t>程</w:t>
                  </w:r>
                </w:p>
              </w:tc>
              <w:tc>
                <w:tcPr>
                  <w:tcW w:w="720" w:type="pct"/>
                  <w:vMerge w:val="restart"/>
                  <w:tcBorders>
                    <w:tl2br w:val="nil"/>
                    <w:tr2bl w:val="nil"/>
                  </w:tcBorders>
                  <w:shd w:val="clear" w:color="auto" w:fill="auto"/>
                  <w:noWrap w:val="0"/>
                  <w:vAlign w:val="center"/>
                </w:tcPr>
                <w:p>
                  <w:pPr>
                    <w:adjustRightInd w:val="0"/>
                    <w:snapToGrid w:val="0"/>
                    <w:jc w:val="center"/>
                    <w:rPr>
                      <w:color w:val="auto"/>
                      <w:sz w:val="21"/>
                      <w:szCs w:val="21"/>
                      <w:u w:val="none" w:color="auto"/>
                    </w:rPr>
                  </w:pPr>
                  <w:r>
                    <w:rPr>
                      <w:color w:val="auto"/>
                      <w:sz w:val="21"/>
                      <w:szCs w:val="21"/>
                      <w:u w:val="none" w:color="auto"/>
                    </w:rPr>
                    <w:t>废水</w:t>
                  </w:r>
                </w:p>
              </w:tc>
              <w:tc>
                <w:tcPr>
                  <w:tcW w:w="2955" w:type="pct"/>
                  <w:gridSpan w:val="2"/>
                  <w:tcBorders>
                    <w:tl2br w:val="nil"/>
                    <w:tr2bl w:val="nil"/>
                  </w:tcBorders>
                  <w:shd w:val="clear" w:color="auto" w:fill="auto"/>
                  <w:noWrap w:val="0"/>
                  <w:vAlign w:val="center"/>
                </w:tcPr>
                <w:p>
                  <w:pPr>
                    <w:adjustRightInd w:val="0"/>
                    <w:snapToGrid w:val="0"/>
                    <w:jc w:val="left"/>
                    <w:rPr>
                      <w:rFonts w:hint="default" w:eastAsia="宋体"/>
                      <w:color w:val="auto"/>
                      <w:sz w:val="21"/>
                      <w:szCs w:val="21"/>
                      <w:u w:val="none" w:color="auto"/>
                      <w:lang w:val="en-US" w:eastAsia="zh-CN"/>
                    </w:rPr>
                  </w:pPr>
                  <w:r>
                    <w:rPr>
                      <w:rFonts w:hint="default" w:eastAsia="宋体"/>
                      <w:color w:val="auto"/>
                      <w:sz w:val="21"/>
                      <w:szCs w:val="21"/>
                      <w:u w:val="none" w:color="auto"/>
                      <w:lang w:val="en-US" w:eastAsia="zh-CN"/>
                    </w:rPr>
                    <w:t>生活污水及生活污水收集舱洗舱废水经收集后交由</w:t>
                  </w:r>
                  <w:r>
                    <w:rPr>
                      <w:rFonts w:hint="eastAsia"/>
                      <w:color w:val="auto"/>
                      <w:sz w:val="21"/>
                      <w:szCs w:val="21"/>
                      <w:u w:val="none" w:color="auto"/>
                      <w:lang w:val="en-US" w:eastAsia="zh-CN"/>
                    </w:rPr>
                    <w:t>葛洲坝水务（湘阴）有限公司</w:t>
                  </w:r>
                  <w:r>
                    <w:rPr>
                      <w:rFonts w:hint="default" w:eastAsia="宋体"/>
                      <w:color w:val="auto"/>
                      <w:sz w:val="21"/>
                      <w:szCs w:val="21"/>
                      <w:u w:val="none" w:color="auto"/>
                      <w:lang w:val="en-US" w:eastAsia="zh-CN"/>
                    </w:rPr>
                    <w:t>进行处置</w:t>
                  </w:r>
                </w:p>
              </w:tc>
              <w:tc>
                <w:tcPr>
                  <w:tcW w:w="916" w:type="pct"/>
                  <w:tcBorders>
                    <w:tl2br w:val="nil"/>
                    <w:tr2bl w:val="nil"/>
                  </w:tcBorders>
                  <w:shd w:val="clear" w:color="auto" w:fill="auto"/>
                  <w:noWrap w:val="0"/>
                  <w:vAlign w:val="center"/>
                </w:tcPr>
                <w:p>
                  <w:pPr>
                    <w:adjustRightInd w:val="0"/>
                    <w:snapToGrid w:val="0"/>
                    <w:jc w:val="center"/>
                    <w:rPr>
                      <w:color w:val="auto"/>
                      <w:sz w:val="21"/>
                      <w:szCs w:val="21"/>
                      <w:u w:val="none" w:color="auto"/>
                    </w:rPr>
                  </w:pPr>
                  <w:r>
                    <w:rPr>
                      <w:rFonts w:hint="eastAsia"/>
                      <w:color w:val="auto"/>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8" w:type="pct"/>
                  <w:vMerge w:val="continue"/>
                  <w:tcBorders>
                    <w:tl2br w:val="nil"/>
                    <w:tr2bl w:val="nil"/>
                  </w:tcBorders>
                  <w:shd w:val="clear" w:color="auto" w:fill="auto"/>
                  <w:noWrap w:val="0"/>
                  <w:vAlign w:val="center"/>
                </w:tcPr>
                <w:p>
                  <w:pPr>
                    <w:adjustRightInd w:val="0"/>
                    <w:snapToGrid w:val="0"/>
                    <w:jc w:val="center"/>
                    <w:rPr>
                      <w:color w:val="auto"/>
                      <w:sz w:val="21"/>
                      <w:szCs w:val="21"/>
                      <w:u w:val="none" w:color="auto"/>
                    </w:rPr>
                  </w:pPr>
                </w:p>
              </w:tc>
              <w:tc>
                <w:tcPr>
                  <w:tcW w:w="720" w:type="pct"/>
                  <w:vMerge w:val="continue"/>
                  <w:tcBorders>
                    <w:tl2br w:val="nil"/>
                    <w:tr2bl w:val="nil"/>
                  </w:tcBorders>
                  <w:shd w:val="clear" w:color="auto" w:fill="auto"/>
                  <w:noWrap w:val="0"/>
                  <w:vAlign w:val="center"/>
                </w:tcPr>
                <w:p>
                  <w:pPr>
                    <w:adjustRightInd w:val="0"/>
                    <w:snapToGrid w:val="0"/>
                    <w:jc w:val="center"/>
                    <w:rPr>
                      <w:color w:val="auto"/>
                      <w:sz w:val="21"/>
                      <w:szCs w:val="21"/>
                      <w:u w:val="none" w:color="auto"/>
                    </w:rPr>
                  </w:pPr>
                </w:p>
              </w:tc>
              <w:tc>
                <w:tcPr>
                  <w:tcW w:w="2955" w:type="pct"/>
                  <w:gridSpan w:val="2"/>
                  <w:tcBorders>
                    <w:tl2br w:val="nil"/>
                    <w:tr2bl w:val="nil"/>
                  </w:tcBorders>
                  <w:shd w:val="clear" w:color="auto" w:fill="auto"/>
                  <w:noWrap w:val="0"/>
                  <w:vAlign w:val="center"/>
                </w:tcPr>
                <w:p>
                  <w:pPr>
                    <w:adjustRightInd w:val="0"/>
                    <w:snapToGrid w:val="0"/>
                    <w:jc w:val="left"/>
                    <w:rPr>
                      <w:rFonts w:hint="default" w:eastAsia="宋体"/>
                      <w:color w:val="auto"/>
                      <w:sz w:val="21"/>
                      <w:szCs w:val="21"/>
                      <w:u w:val="none" w:color="auto"/>
                      <w:lang w:val="en-US" w:eastAsia="zh-CN"/>
                    </w:rPr>
                  </w:pPr>
                  <w:r>
                    <w:rPr>
                      <w:rFonts w:hint="default" w:eastAsia="宋体"/>
                      <w:color w:val="auto"/>
                      <w:sz w:val="21"/>
                      <w:szCs w:val="21"/>
                      <w:u w:val="none" w:color="auto"/>
                      <w:lang w:val="en-US" w:eastAsia="zh-CN"/>
                    </w:rPr>
                    <w:t>舱底废水经油水分离器处置后达到《船舶水污染物控制标准》（GB3552-2018）表2中标准后外排至湘江</w:t>
                  </w:r>
                </w:p>
              </w:tc>
              <w:tc>
                <w:tcPr>
                  <w:tcW w:w="916" w:type="pct"/>
                  <w:tcBorders>
                    <w:tl2br w:val="nil"/>
                    <w:tr2bl w:val="nil"/>
                  </w:tcBorders>
                  <w:shd w:val="clear" w:color="auto" w:fill="auto"/>
                  <w:noWrap w:val="0"/>
                  <w:vAlign w:val="center"/>
                </w:tcPr>
                <w:p>
                  <w:pPr>
                    <w:adjustRightInd w:val="0"/>
                    <w:snapToGrid w:val="0"/>
                    <w:jc w:val="center"/>
                    <w:rPr>
                      <w:color w:val="FF0000"/>
                      <w:sz w:val="21"/>
                      <w:szCs w:val="21"/>
                      <w:u w:val="none" w:color="auto"/>
                    </w:rPr>
                  </w:pPr>
                  <w:r>
                    <w:rPr>
                      <w:rFonts w:hint="eastAsia"/>
                      <w:color w:val="auto"/>
                      <w:sz w:val="21"/>
                      <w:szCs w:val="21"/>
                      <w:u w:val="none" w:color="auto"/>
                    </w:rPr>
                    <w:t>油水分离器仅处置自身油污收集船产生的舱底污水，每周约工</w:t>
                  </w:r>
                  <w:r>
                    <w:rPr>
                      <w:rFonts w:hint="eastAsia"/>
                      <w:color w:val="auto"/>
                      <w:sz w:val="21"/>
                      <w:szCs w:val="21"/>
                      <w:u w:val="none" w:color="auto"/>
                      <w:lang w:val="en-US" w:eastAsia="zh-CN"/>
                    </w:rPr>
                    <w:t>作</w:t>
                  </w:r>
                  <w:r>
                    <w:rPr>
                      <w:rFonts w:hint="eastAsia"/>
                      <w:color w:val="auto"/>
                      <w:sz w:val="21"/>
                      <w:szCs w:val="21"/>
                      <w:u w:val="none" w:color="auto"/>
                    </w:rPr>
                    <w:t>2小时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8" w:type="pct"/>
                  <w:vMerge w:val="continue"/>
                  <w:tcBorders>
                    <w:tl2br w:val="nil"/>
                    <w:tr2bl w:val="nil"/>
                  </w:tcBorders>
                  <w:shd w:val="clear" w:color="auto" w:fill="auto"/>
                  <w:noWrap w:val="0"/>
                  <w:vAlign w:val="center"/>
                </w:tcPr>
                <w:p>
                  <w:pPr>
                    <w:adjustRightInd w:val="0"/>
                    <w:snapToGrid w:val="0"/>
                    <w:jc w:val="center"/>
                    <w:rPr>
                      <w:color w:val="auto"/>
                      <w:sz w:val="21"/>
                      <w:szCs w:val="21"/>
                      <w:u w:val="none" w:color="auto"/>
                    </w:rPr>
                  </w:pPr>
                </w:p>
              </w:tc>
              <w:tc>
                <w:tcPr>
                  <w:tcW w:w="720" w:type="pct"/>
                  <w:vMerge w:val="restart"/>
                  <w:tcBorders>
                    <w:tl2br w:val="nil"/>
                    <w:tr2bl w:val="nil"/>
                  </w:tcBorders>
                  <w:shd w:val="clear" w:color="auto" w:fill="auto"/>
                  <w:noWrap w:val="0"/>
                  <w:vAlign w:val="center"/>
                </w:tcPr>
                <w:p>
                  <w:pPr>
                    <w:adjustRightInd w:val="0"/>
                    <w:snapToGrid w:val="0"/>
                    <w:jc w:val="center"/>
                    <w:rPr>
                      <w:color w:val="auto"/>
                      <w:sz w:val="21"/>
                      <w:szCs w:val="21"/>
                      <w:u w:val="none" w:color="auto"/>
                    </w:rPr>
                  </w:pPr>
                  <w:r>
                    <w:rPr>
                      <w:color w:val="auto"/>
                      <w:sz w:val="21"/>
                      <w:szCs w:val="21"/>
                      <w:u w:val="none" w:color="auto"/>
                    </w:rPr>
                    <w:t>废气</w:t>
                  </w:r>
                </w:p>
              </w:tc>
              <w:tc>
                <w:tcPr>
                  <w:tcW w:w="1040" w:type="pct"/>
                  <w:tcBorders>
                    <w:tl2br w:val="nil"/>
                    <w:tr2bl w:val="nil"/>
                  </w:tcBorders>
                  <w:shd w:val="clear" w:color="auto" w:fill="auto"/>
                  <w:noWrap w:val="0"/>
                  <w:vAlign w:val="center"/>
                </w:tcPr>
                <w:p>
                  <w:pPr>
                    <w:adjustRightInd w:val="0"/>
                    <w:snapToGrid w:val="0"/>
                    <w:jc w:val="center"/>
                    <w:rPr>
                      <w:rFonts w:hint="default" w:eastAsia="宋体"/>
                      <w:color w:val="auto"/>
                      <w:sz w:val="21"/>
                      <w:szCs w:val="21"/>
                      <w:u w:val="none" w:color="auto"/>
                      <w:lang w:val="en-US" w:eastAsia="zh-CN"/>
                    </w:rPr>
                  </w:pPr>
                  <w:r>
                    <w:rPr>
                      <w:rFonts w:hint="eastAsia"/>
                      <w:color w:val="auto"/>
                      <w:sz w:val="21"/>
                      <w:szCs w:val="21"/>
                      <w:u w:val="none" w:color="auto"/>
                      <w:lang w:val="en-US" w:eastAsia="zh-CN"/>
                    </w:rPr>
                    <w:t>柴油发电机废气</w:t>
                  </w:r>
                </w:p>
              </w:tc>
              <w:tc>
                <w:tcPr>
                  <w:tcW w:w="1914" w:type="pct"/>
                  <w:tcBorders>
                    <w:tl2br w:val="nil"/>
                    <w:tr2bl w:val="nil"/>
                  </w:tcBorders>
                  <w:shd w:val="clear" w:color="auto" w:fill="auto"/>
                  <w:noWrap w:val="0"/>
                  <w:vAlign w:val="center"/>
                </w:tcPr>
                <w:p>
                  <w:pPr>
                    <w:adjustRightInd w:val="0"/>
                    <w:snapToGrid w:val="0"/>
                    <w:jc w:val="center"/>
                    <w:rPr>
                      <w:rFonts w:hint="default"/>
                      <w:color w:val="auto"/>
                      <w:sz w:val="21"/>
                      <w:szCs w:val="21"/>
                      <w:u w:val="none" w:color="auto"/>
                      <w:lang w:val="en-US" w:eastAsia="zh-CN"/>
                    </w:rPr>
                  </w:pPr>
                  <w:r>
                    <w:rPr>
                      <w:rFonts w:hint="eastAsia"/>
                      <w:color w:val="auto"/>
                      <w:sz w:val="21"/>
                      <w:szCs w:val="21"/>
                      <w:u w:val="none" w:color="auto"/>
                      <w:lang w:val="en-US" w:eastAsia="zh-CN"/>
                    </w:rPr>
                    <w:t>无组织排放</w:t>
                  </w:r>
                </w:p>
              </w:tc>
              <w:tc>
                <w:tcPr>
                  <w:tcW w:w="916" w:type="pct"/>
                  <w:tcBorders>
                    <w:tl2br w:val="nil"/>
                    <w:tr2bl w:val="nil"/>
                  </w:tcBorders>
                  <w:shd w:val="clear" w:color="auto" w:fill="auto"/>
                  <w:noWrap w:val="0"/>
                  <w:vAlign w:val="center"/>
                </w:tcPr>
                <w:p>
                  <w:pPr>
                    <w:adjustRightInd w:val="0"/>
                    <w:snapToGrid w:val="0"/>
                    <w:jc w:val="center"/>
                    <w:rPr>
                      <w:color w:val="auto"/>
                      <w:sz w:val="21"/>
                      <w:szCs w:val="21"/>
                      <w:u w:val="none" w:color="auto"/>
                    </w:rPr>
                  </w:pPr>
                  <w:r>
                    <w:rPr>
                      <w:rFonts w:hint="eastAsia"/>
                      <w:color w:val="auto"/>
                      <w:sz w:val="21"/>
                      <w:szCs w:val="21"/>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8" w:type="pct"/>
                  <w:vMerge w:val="continue"/>
                  <w:tcBorders>
                    <w:tl2br w:val="nil"/>
                    <w:tr2bl w:val="nil"/>
                  </w:tcBorders>
                  <w:noWrap w:val="0"/>
                  <w:vAlign w:val="center"/>
                </w:tcPr>
                <w:p>
                  <w:pPr>
                    <w:adjustRightInd w:val="0"/>
                    <w:snapToGrid w:val="0"/>
                    <w:jc w:val="center"/>
                    <w:rPr>
                      <w:color w:val="auto"/>
                      <w:sz w:val="21"/>
                      <w:szCs w:val="21"/>
                      <w:u w:val="none" w:color="auto"/>
                    </w:rPr>
                  </w:pPr>
                </w:p>
              </w:tc>
              <w:tc>
                <w:tcPr>
                  <w:tcW w:w="720" w:type="pct"/>
                  <w:vMerge w:val="continue"/>
                  <w:tcBorders>
                    <w:tl2br w:val="nil"/>
                    <w:tr2bl w:val="nil"/>
                  </w:tcBorders>
                  <w:noWrap w:val="0"/>
                  <w:vAlign w:val="center"/>
                </w:tcPr>
                <w:p>
                  <w:pPr>
                    <w:adjustRightInd w:val="0"/>
                    <w:snapToGrid w:val="0"/>
                    <w:jc w:val="center"/>
                    <w:rPr>
                      <w:color w:val="auto"/>
                      <w:sz w:val="21"/>
                      <w:szCs w:val="21"/>
                      <w:u w:val="none" w:color="auto"/>
                    </w:rPr>
                  </w:pPr>
                </w:p>
              </w:tc>
              <w:tc>
                <w:tcPr>
                  <w:tcW w:w="1040" w:type="pct"/>
                  <w:tcBorders>
                    <w:tl2br w:val="nil"/>
                    <w:tr2bl w:val="nil"/>
                  </w:tcBorders>
                  <w:noWrap w:val="0"/>
                  <w:vAlign w:val="center"/>
                </w:tcPr>
                <w:p>
                  <w:pPr>
                    <w:adjustRightInd w:val="0"/>
                    <w:snapToGrid w:val="0"/>
                    <w:jc w:val="center"/>
                    <w:rPr>
                      <w:rFonts w:hint="default"/>
                      <w:color w:val="auto"/>
                      <w:sz w:val="21"/>
                      <w:szCs w:val="21"/>
                      <w:u w:val="none" w:color="auto"/>
                      <w:lang w:val="en-US" w:eastAsia="zh-CN"/>
                    </w:rPr>
                  </w:pPr>
                  <w:r>
                    <w:rPr>
                      <w:rFonts w:hint="eastAsia"/>
                      <w:color w:val="auto"/>
                      <w:sz w:val="21"/>
                      <w:szCs w:val="21"/>
                      <w:u w:val="none" w:color="auto"/>
                      <w:lang w:val="en-US" w:eastAsia="zh-CN"/>
                    </w:rPr>
                    <w:t>挥发性气体</w:t>
                  </w:r>
                </w:p>
              </w:tc>
              <w:tc>
                <w:tcPr>
                  <w:tcW w:w="1914" w:type="pct"/>
                  <w:tcBorders>
                    <w:tl2br w:val="nil"/>
                    <w:tr2bl w:val="nil"/>
                  </w:tcBorders>
                  <w:noWrap w:val="0"/>
                  <w:vAlign w:val="center"/>
                </w:tcPr>
                <w:p>
                  <w:pPr>
                    <w:adjustRightInd w:val="0"/>
                    <w:snapToGrid w:val="0"/>
                    <w:jc w:val="center"/>
                    <w:rPr>
                      <w:rFonts w:hint="default" w:eastAsia="宋体"/>
                      <w:color w:val="auto"/>
                      <w:sz w:val="21"/>
                      <w:szCs w:val="21"/>
                      <w:u w:val="none" w:color="auto"/>
                      <w:lang w:val="en-US" w:eastAsia="zh-CN"/>
                    </w:rPr>
                  </w:pPr>
                  <w:r>
                    <w:rPr>
                      <w:rFonts w:hint="eastAsia"/>
                      <w:color w:val="auto"/>
                      <w:sz w:val="21"/>
                      <w:szCs w:val="21"/>
                      <w:u w:val="none" w:color="auto"/>
                      <w:lang w:val="en-US" w:eastAsia="zh-CN"/>
                    </w:rPr>
                    <w:t>无组织排放</w:t>
                  </w:r>
                </w:p>
              </w:tc>
              <w:tc>
                <w:tcPr>
                  <w:tcW w:w="916" w:type="pct"/>
                  <w:tcBorders>
                    <w:tl2br w:val="nil"/>
                    <w:tr2bl w:val="nil"/>
                  </w:tcBorders>
                  <w:noWrap w:val="0"/>
                  <w:vAlign w:val="center"/>
                </w:tcPr>
                <w:p>
                  <w:pPr>
                    <w:adjustRightInd w:val="0"/>
                    <w:snapToGrid w:val="0"/>
                    <w:jc w:val="center"/>
                    <w:rPr>
                      <w:rFonts w:hint="default"/>
                      <w:color w:val="auto"/>
                      <w:sz w:val="21"/>
                      <w:szCs w:val="21"/>
                      <w:u w:val="none" w:color="auto"/>
                      <w:lang w:val="en-US" w:eastAsia="zh-CN"/>
                    </w:rPr>
                  </w:pPr>
                  <w:r>
                    <w:rPr>
                      <w:rFonts w:hint="eastAsia"/>
                      <w:color w:val="auto"/>
                      <w:sz w:val="21"/>
                      <w:szCs w:val="21"/>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8" w:type="pct"/>
                  <w:vMerge w:val="continue"/>
                  <w:tcBorders>
                    <w:tl2br w:val="nil"/>
                    <w:tr2bl w:val="nil"/>
                  </w:tcBorders>
                  <w:noWrap w:val="0"/>
                  <w:vAlign w:val="center"/>
                </w:tcPr>
                <w:p>
                  <w:pPr>
                    <w:adjustRightInd w:val="0"/>
                    <w:snapToGrid w:val="0"/>
                    <w:jc w:val="center"/>
                    <w:rPr>
                      <w:color w:val="auto"/>
                      <w:sz w:val="21"/>
                      <w:szCs w:val="21"/>
                      <w:u w:val="none" w:color="auto"/>
                    </w:rPr>
                  </w:pPr>
                </w:p>
              </w:tc>
              <w:tc>
                <w:tcPr>
                  <w:tcW w:w="720" w:type="pct"/>
                  <w:vMerge w:val="continue"/>
                  <w:tcBorders>
                    <w:tl2br w:val="nil"/>
                    <w:tr2bl w:val="nil"/>
                  </w:tcBorders>
                  <w:noWrap w:val="0"/>
                  <w:vAlign w:val="center"/>
                </w:tcPr>
                <w:p>
                  <w:pPr>
                    <w:adjustRightInd w:val="0"/>
                    <w:snapToGrid w:val="0"/>
                    <w:jc w:val="center"/>
                    <w:rPr>
                      <w:color w:val="auto"/>
                      <w:sz w:val="21"/>
                      <w:szCs w:val="21"/>
                      <w:u w:val="none" w:color="auto"/>
                    </w:rPr>
                  </w:pPr>
                </w:p>
              </w:tc>
              <w:tc>
                <w:tcPr>
                  <w:tcW w:w="1040" w:type="pct"/>
                  <w:tcBorders>
                    <w:tl2br w:val="nil"/>
                    <w:tr2bl w:val="nil"/>
                  </w:tcBorders>
                  <w:noWrap w:val="0"/>
                  <w:vAlign w:val="center"/>
                </w:tcPr>
                <w:p>
                  <w:pPr>
                    <w:adjustRightInd w:val="0"/>
                    <w:snapToGrid w:val="0"/>
                    <w:jc w:val="center"/>
                    <w:rPr>
                      <w:rFonts w:hint="default"/>
                      <w:color w:val="auto"/>
                      <w:sz w:val="21"/>
                      <w:szCs w:val="21"/>
                      <w:u w:val="none" w:color="auto"/>
                      <w:lang w:val="en-US" w:eastAsia="zh-CN"/>
                    </w:rPr>
                  </w:pPr>
                  <w:r>
                    <w:rPr>
                      <w:rFonts w:hint="eastAsia"/>
                      <w:color w:val="auto"/>
                      <w:sz w:val="21"/>
                      <w:szCs w:val="21"/>
                      <w:u w:val="none" w:color="auto"/>
                      <w:lang w:val="en-US" w:eastAsia="zh-CN"/>
                    </w:rPr>
                    <w:t>恶臭</w:t>
                  </w:r>
                </w:p>
              </w:tc>
              <w:tc>
                <w:tcPr>
                  <w:tcW w:w="1914" w:type="pct"/>
                  <w:tcBorders>
                    <w:tl2br w:val="nil"/>
                    <w:tr2bl w:val="nil"/>
                  </w:tcBorders>
                  <w:noWrap w:val="0"/>
                  <w:vAlign w:val="center"/>
                </w:tcPr>
                <w:p>
                  <w:pPr>
                    <w:adjustRightInd w:val="0"/>
                    <w:snapToGrid w:val="0"/>
                    <w:jc w:val="center"/>
                    <w:rPr>
                      <w:rFonts w:hint="default" w:eastAsia="宋体"/>
                      <w:color w:val="auto"/>
                      <w:sz w:val="21"/>
                      <w:szCs w:val="21"/>
                      <w:u w:val="none" w:color="auto"/>
                      <w:lang w:val="en-US" w:eastAsia="zh-CN"/>
                    </w:rPr>
                  </w:pPr>
                  <w:r>
                    <w:rPr>
                      <w:rFonts w:hint="eastAsia"/>
                      <w:color w:val="auto"/>
                      <w:sz w:val="21"/>
                      <w:szCs w:val="21"/>
                      <w:u w:val="none" w:color="auto"/>
                      <w:lang w:val="en-US" w:eastAsia="zh-CN"/>
                    </w:rPr>
                    <w:t>污水收集装置封闭，无组织排放</w:t>
                  </w:r>
                </w:p>
              </w:tc>
              <w:tc>
                <w:tcPr>
                  <w:tcW w:w="916" w:type="pct"/>
                  <w:tcBorders>
                    <w:tl2br w:val="nil"/>
                    <w:tr2bl w:val="nil"/>
                  </w:tcBorders>
                  <w:noWrap w:val="0"/>
                  <w:vAlign w:val="center"/>
                </w:tcPr>
                <w:p>
                  <w:pPr>
                    <w:adjustRightInd w:val="0"/>
                    <w:snapToGrid w:val="0"/>
                    <w:jc w:val="center"/>
                    <w:rPr>
                      <w:rFonts w:hint="default"/>
                      <w:color w:val="auto"/>
                      <w:sz w:val="21"/>
                      <w:szCs w:val="21"/>
                      <w:u w:val="none" w:color="auto"/>
                      <w:lang w:val="en-US" w:eastAsia="zh-CN"/>
                    </w:rPr>
                  </w:pPr>
                  <w:r>
                    <w:rPr>
                      <w:rFonts w:hint="eastAsia"/>
                      <w:color w:val="auto"/>
                      <w:sz w:val="21"/>
                      <w:szCs w:val="21"/>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8" w:type="pct"/>
                  <w:vMerge w:val="continue"/>
                  <w:tcBorders>
                    <w:tl2br w:val="nil"/>
                    <w:tr2bl w:val="nil"/>
                  </w:tcBorders>
                  <w:noWrap w:val="0"/>
                  <w:vAlign w:val="center"/>
                </w:tcPr>
                <w:p>
                  <w:pPr>
                    <w:adjustRightInd w:val="0"/>
                    <w:snapToGrid w:val="0"/>
                    <w:jc w:val="center"/>
                    <w:rPr>
                      <w:color w:val="auto"/>
                      <w:sz w:val="21"/>
                      <w:szCs w:val="21"/>
                      <w:u w:val="none" w:color="auto"/>
                    </w:rPr>
                  </w:pPr>
                </w:p>
              </w:tc>
              <w:tc>
                <w:tcPr>
                  <w:tcW w:w="720" w:type="pct"/>
                  <w:vMerge w:val="restart"/>
                  <w:tcBorders>
                    <w:tl2br w:val="nil"/>
                    <w:tr2bl w:val="nil"/>
                  </w:tcBorders>
                  <w:noWrap w:val="0"/>
                  <w:vAlign w:val="center"/>
                </w:tcPr>
                <w:p>
                  <w:pPr>
                    <w:adjustRightInd w:val="0"/>
                    <w:snapToGrid w:val="0"/>
                    <w:jc w:val="center"/>
                    <w:rPr>
                      <w:color w:val="auto"/>
                      <w:sz w:val="21"/>
                      <w:szCs w:val="21"/>
                      <w:u w:val="none" w:color="auto"/>
                    </w:rPr>
                  </w:pPr>
                  <w:r>
                    <w:rPr>
                      <w:color w:val="auto"/>
                      <w:sz w:val="21"/>
                      <w:szCs w:val="21"/>
                      <w:u w:val="none" w:color="auto"/>
                    </w:rPr>
                    <w:t>固废</w:t>
                  </w:r>
                </w:p>
              </w:tc>
              <w:tc>
                <w:tcPr>
                  <w:tcW w:w="1040" w:type="pct"/>
                  <w:tcBorders>
                    <w:tl2br w:val="nil"/>
                    <w:tr2bl w:val="nil"/>
                  </w:tcBorders>
                  <w:noWrap w:val="0"/>
                  <w:vAlign w:val="center"/>
                </w:tcPr>
                <w:p>
                  <w:pPr>
                    <w:adjustRightInd w:val="0"/>
                    <w:snapToGrid w:val="0"/>
                    <w:jc w:val="center"/>
                    <w:rPr>
                      <w:rFonts w:hint="eastAsia" w:eastAsia="宋体"/>
                      <w:color w:val="auto"/>
                      <w:sz w:val="21"/>
                      <w:szCs w:val="21"/>
                      <w:u w:val="none" w:color="auto"/>
                      <w:lang w:val="en-US" w:eastAsia="zh-CN"/>
                    </w:rPr>
                  </w:pPr>
                  <w:r>
                    <w:rPr>
                      <w:rFonts w:hint="eastAsia"/>
                      <w:color w:val="auto"/>
                      <w:sz w:val="21"/>
                      <w:szCs w:val="21"/>
                      <w:u w:val="none" w:color="auto"/>
                      <w:lang w:val="en-US" w:eastAsia="zh-CN"/>
                    </w:rPr>
                    <w:t>生活垃圾</w:t>
                  </w:r>
                </w:p>
              </w:tc>
              <w:tc>
                <w:tcPr>
                  <w:tcW w:w="1914" w:type="pct"/>
                  <w:tcBorders>
                    <w:tl2br w:val="nil"/>
                    <w:tr2bl w:val="nil"/>
                  </w:tcBorders>
                  <w:noWrap w:val="0"/>
                  <w:vAlign w:val="center"/>
                </w:tcPr>
                <w:p>
                  <w:pPr>
                    <w:adjustRightInd w:val="0"/>
                    <w:snapToGrid w:val="0"/>
                    <w:jc w:val="center"/>
                    <w:rPr>
                      <w:color w:val="auto"/>
                      <w:sz w:val="21"/>
                      <w:szCs w:val="21"/>
                      <w:u w:val="none" w:color="auto"/>
                    </w:rPr>
                  </w:pPr>
                  <w:r>
                    <w:rPr>
                      <w:rFonts w:hint="eastAsia"/>
                      <w:color w:val="auto"/>
                      <w:sz w:val="21"/>
                      <w:szCs w:val="21"/>
                      <w:u w:val="none" w:color="auto"/>
                    </w:rPr>
                    <w:t>暂存于生活垃圾收集舱，交由环卫 部门处置</w:t>
                  </w:r>
                </w:p>
              </w:tc>
              <w:tc>
                <w:tcPr>
                  <w:tcW w:w="916" w:type="pct"/>
                  <w:tcBorders>
                    <w:tl2br w:val="nil"/>
                    <w:tr2bl w:val="nil"/>
                  </w:tcBorders>
                  <w:noWrap w:val="0"/>
                  <w:vAlign w:val="center"/>
                </w:tcPr>
                <w:p>
                  <w:pPr>
                    <w:adjustRightInd w:val="0"/>
                    <w:snapToGrid w:val="0"/>
                    <w:jc w:val="center"/>
                    <w:rPr>
                      <w:color w:val="auto"/>
                      <w:sz w:val="21"/>
                      <w:szCs w:val="21"/>
                      <w:u w:val="none" w:color="auto"/>
                    </w:rPr>
                  </w:pPr>
                  <w:r>
                    <w:rPr>
                      <w:rFonts w:hint="eastAsia"/>
                      <w:color w:val="auto"/>
                      <w:sz w:val="21"/>
                      <w:szCs w:val="21"/>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8" w:type="pct"/>
                  <w:vMerge w:val="continue"/>
                  <w:tcBorders>
                    <w:tl2br w:val="nil"/>
                    <w:tr2bl w:val="nil"/>
                  </w:tcBorders>
                  <w:noWrap w:val="0"/>
                  <w:vAlign w:val="center"/>
                </w:tcPr>
                <w:p>
                  <w:pPr>
                    <w:adjustRightInd w:val="0"/>
                    <w:snapToGrid w:val="0"/>
                    <w:jc w:val="center"/>
                    <w:rPr>
                      <w:color w:val="auto"/>
                      <w:sz w:val="21"/>
                      <w:szCs w:val="21"/>
                      <w:u w:val="none" w:color="auto"/>
                    </w:rPr>
                  </w:pPr>
                </w:p>
              </w:tc>
              <w:tc>
                <w:tcPr>
                  <w:tcW w:w="720" w:type="pct"/>
                  <w:vMerge w:val="continue"/>
                  <w:tcBorders>
                    <w:tl2br w:val="nil"/>
                    <w:tr2bl w:val="nil"/>
                  </w:tcBorders>
                  <w:noWrap w:val="0"/>
                  <w:vAlign w:val="center"/>
                </w:tcPr>
                <w:p>
                  <w:pPr>
                    <w:adjustRightInd w:val="0"/>
                    <w:snapToGrid w:val="0"/>
                    <w:jc w:val="center"/>
                    <w:rPr>
                      <w:color w:val="auto"/>
                      <w:sz w:val="21"/>
                      <w:szCs w:val="21"/>
                      <w:u w:val="none" w:color="auto"/>
                    </w:rPr>
                  </w:pPr>
                </w:p>
              </w:tc>
              <w:tc>
                <w:tcPr>
                  <w:tcW w:w="1040" w:type="pct"/>
                  <w:tcBorders>
                    <w:tl2br w:val="nil"/>
                    <w:tr2bl w:val="nil"/>
                  </w:tcBorders>
                  <w:noWrap w:val="0"/>
                  <w:vAlign w:val="center"/>
                </w:tcPr>
                <w:p>
                  <w:pPr>
                    <w:adjustRightInd w:val="0"/>
                    <w:snapToGrid w:val="0"/>
                    <w:jc w:val="center"/>
                    <w:rPr>
                      <w:rFonts w:hint="eastAsia" w:eastAsia="宋体"/>
                      <w:color w:val="auto"/>
                      <w:sz w:val="21"/>
                      <w:szCs w:val="21"/>
                      <w:u w:val="none" w:color="auto"/>
                      <w:lang w:eastAsia="zh-CN"/>
                    </w:rPr>
                  </w:pPr>
                  <w:r>
                    <w:rPr>
                      <w:rFonts w:hint="eastAsia"/>
                      <w:color w:val="auto"/>
                      <w:sz w:val="21"/>
                      <w:szCs w:val="21"/>
                      <w:u w:val="none" w:color="auto"/>
                    </w:rPr>
                    <w:t>废矿物油</w:t>
                  </w:r>
                  <w:r>
                    <w:rPr>
                      <w:rFonts w:hint="eastAsia"/>
                      <w:color w:val="auto"/>
                      <w:sz w:val="21"/>
                      <w:szCs w:val="21"/>
                      <w:u w:val="none" w:color="auto"/>
                      <w:lang w:eastAsia="zh-CN"/>
                    </w:rPr>
                    <w:t>（</w:t>
                  </w:r>
                  <w:r>
                    <w:rPr>
                      <w:rFonts w:hint="eastAsia"/>
                      <w:color w:val="auto"/>
                      <w:sz w:val="21"/>
                      <w:szCs w:val="21"/>
                      <w:u w:val="none" w:color="auto"/>
                      <w:lang w:val="en-US" w:eastAsia="zh-CN"/>
                    </w:rPr>
                    <w:t>HW08</w:t>
                  </w:r>
                  <w:r>
                    <w:rPr>
                      <w:rFonts w:hint="eastAsia"/>
                      <w:color w:val="auto"/>
                      <w:sz w:val="21"/>
                      <w:szCs w:val="21"/>
                      <w:u w:val="none" w:color="auto"/>
                      <w:lang w:eastAsia="zh-CN"/>
                    </w:rPr>
                    <w:t>）</w:t>
                  </w:r>
                </w:p>
              </w:tc>
              <w:tc>
                <w:tcPr>
                  <w:tcW w:w="1914" w:type="pct"/>
                  <w:tcBorders>
                    <w:tl2br w:val="nil"/>
                    <w:tr2bl w:val="nil"/>
                  </w:tcBorders>
                  <w:noWrap w:val="0"/>
                  <w:vAlign w:val="center"/>
                </w:tcPr>
                <w:p>
                  <w:pPr>
                    <w:adjustRightInd w:val="0"/>
                    <w:snapToGrid w:val="0"/>
                    <w:jc w:val="center"/>
                    <w:rPr>
                      <w:color w:val="auto"/>
                      <w:sz w:val="21"/>
                      <w:szCs w:val="21"/>
                      <w:u w:val="none" w:color="auto"/>
                    </w:rPr>
                  </w:pPr>
                  <w:r>
                    <w:rPr>
                      <w:rFonts w:hint="eastAsia"/>
                      <w:color w:val="auto"/>
                      <w:sz w:val="21"/>
                      <w:szCs w:val="21"/>
                      <w:u w:val="none" w:color="auto"/>
                    </w:rPr>
                    <w:t>油污收集舱和油污收集罐，交由远大（湖南）再生燃油股份有限公司处置</w:t>
                  </w:r>
                </w:p>
              </w:tc>
              <w:tc>
                <w:tcPr>
                  <w:tcW w:w="916" w:type="pct"/>
                  <w:tcBorders>
                    <w:tl2br w:val="nil"/>
                    <w:tr2bl w:val="nil"/>
                  </w:tcBorders>
                  <w:noWrap w:val="0"/>
                  <w:vAlign w:val="center"/>
                </w:tcPr>
                <w:p>
                  <w:pPr>
                    <w:adjustRightInd w:val="0"/>
                    <w:snapToGrid w:val="0"/>
                    <w:jc w:val="center"/>
                    <w:rPr>
                      <w:rFonts w:hint="eastAsia" w:eastAsia="宋体"/>
                      <w:color w:val="auto"/>
                      <w:sz w:val="21"/>
                      <w:szCs w:val="21"/>
                      <w:u w:val="none" w:color="auto"/>
                      <w:lang w:val="en-US" w:eastAsia="zh-CN"/>
                    </w:rPr>
                  </w:pPr>
                  <w:r>
                    <w:rPr>
                      <w:rFonts w:hint="eastAsia"/>
                      <w:color w:val="auto"/>
                      <w:sz w:val="21"/>
                      <w:szCs w:val="21"/>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8" w:type="pct"/>
                  <w:vMerge w:val="continue"/>
                  <w:tcBorders>
                    <w:tl2br w:val="nil"/>
                    <w:tr2bl w:val="nil"/>
                  </w:tcBorders>
                  <w:noWrap w:val="0"/>
                  <w:vAlign w:val="center"/>
                </w:tcPr>
                <w:p>
                  <w:pPr>
                    <w:adjustRightInd w:val="0"/>
                    <w:snapToGrid w:val="0"/>
                    <w:jc w:val="center"/>
                    <w:rPr>
                      <w:color w:val="auto"/>
                      <w:sz w:val="21"/>
                      <w:szCs w:val="21"/>
                      <w:u w:val="none" w:color="auto"/>
                    </w:rPr>
                  </w:pPr>
                </w:p>
              </w:tc>
              <w:tc>
                <w:tcPr>
                  <w:tcW w:w="720" w:type="pct"/>
                  <w:vMerge w:val="continue"/>
                  <w:tcBorders>
                    <w:tl2br w:val="nil"/>
                    <w:tr2bl w:val="nil"/>
                  </w:tcBorders>
                  <w:noWrap w:val="0"/>
                  <w:vAlign w:val="center"/>
                </w:tcPr>
                <w:p>
                  <w:pPr>
                    <w:adjustRightInd w:val="0"/>
                    <w:snapToGrid w:val="0"/>
                    <w:jc w:val="center"/>
                    <w:rPr>
                      <w:color w:val="auto"/>
                      <w:sz w:val="21"/>
                      <w:szCs w:val="21"/>
                      <w:u w:val="none" w:color="auto"/>
                    </w:rPr>
                  </w:pPr>
                </w:p>
              </w:tc>
              <w:tc>
                <w:tcPr>
                  <w:tcW w:w="1040" w:type="pct"/>
                  <w:tcBorders>
                    <w:tl2br w:val="nil"/>
                    <w:tr2bl w:val="nil"/>
                  </w:tcBorders>
                  <w:noWrap w:val="0"/>
                  <w:vAlign w:val="center"/>
                </w:tcPr>
                <w:p>
                  <w:pPr>
                    <w:adjustRightInd w:val="0"/>
                    <w:snapToGrid w:val="0"/>
                    <w:jc w:val="center"/>
                    <w:rPr>
                      <w:rFonts w:hint="eastAsia" w:eastAsia="宋体"/>
                      <w:color w:val="auto"/>
                      <w:sz w:val="21"/>
                      <w:szCs w:val="21"/>
                      <w:u w:val="none" w:color="auto"/>
                      <w:lang w:val="en-US" w:eastAsia="zh-CN"/>
                    </w:rPr>
                  </w:pPr>
                  <w:r>
                    <w:rPr>
                      <w:rFonts w:hint="default" w:eastAsia="宋体"/>
                      <w:color w:val="auto"/>
                      <w:sz w:val="21"/>
                      <w:szCs w:val="21"/>
                      <w:u w:val="none" w:color="auto"/>
                      <w:lang w:val="en-US" w:eastAsia="zh-CN"/>
                    </w:rPr>
                    <w:t>废机油桶（HW49）、废含油抹布（HW49）、废液压油桶（HW49）、废油水分离器（HW49）</w:t>
                  </w:r>
                </w:p>
              </w:tc>
              <w:tc>
                <w:tcPr>
                  <w:tcW w:w="1914" w:type="pct"/>
                  <w:tcBorders>
                    <w:tl2br w:val="nil"/>
                    <w:tr2bl w:val="nil"/>
                  </w:tcBorders>
                  <w:noWrap w:val="0"/>
                  <w:vAlign w:val="center"/>
                </w:tcPr>
                <w:p>
                  <w:pPr>
                    <w:adjustRightInd w:val="0"/>
                    <w:snapToGrid w:val="0"/>
                    <w:jc w:val="center"/>
                    <w:rPr>
                      <w:rFonts w:hint="default" w:eastAsia="宋体"/>
                      <w:color w:val="auto"/>
                      <w:sz w:val="21"/>
                      <w:szCs w:val="21"/>
                      <w:u w:val="none" w:color="auto"/>
                      <w:lang w:val="en-US" w:eastAsia="zh-CN"/>
                    </w:rPr>
                  </w:pPr>
                  <w:r>
                    <w:rPr>
                      <w:rFonts w:hint="eastAsia"/>
                      <w:color w:val="auto"/>
                      <w:sz w:val="21"/>
                      <w:szCs w:val="21"/>
                      <w:u w:val="none" w:color="auto"/>
                      <w:lang w:val="en-US" w:eastAsia="zh-CN"/>
                    </w:rPr>
                    <w:t>分类</w:t>
                  </w:r>
                  <w:r>
                    <w:rPr>
                      <w:rFonts w:hint="default" w:eastAsia="宋体"/>
                      <w:color w:val="auto"/>
                      <w:sz w:val="21"/>
                      <w:szCs w:val="21"/>
                      <w:u w:val="none" w:color="auto"/>
                      <w:lang w:val="en-US" w:eastAsia="zh-CN"/>
                    </w:rPr>
                    <w:t>暂存于危险废物暂存舱内，定期交由有资质单位进行处置。</w:t>
                  </w:r>
                </w:p>
              </w:tc>
              <w:tc>
                <w:tcPr>
                  <w:tcW w:w="916" w:type="pct"/>
                  <w:tcBorders>
                    <w:tl2br w:val="nil"/>
                    <w:tr2bl w:val="nil"/>
                  </w:tcBorders>
                  <w:noWrap w:val="0"/>
                  <w:vAlign w:val="center"/>
                </w:tcPr>
                <w:p>
                  <w:pPr>
                    <w:adjustRightInd w:val="0"/>
                    <w:snapToGrid w:val="0"/>
                    <w:jc w:val="center"/>
                    <w:rPr>
                      <w:rFonts w:hint="eastAsia" w:eastAsia="宋体"/>
                      <w:color w:val="auto"/>
                      <w:sz w:val="21"/>
                      <w:szCs w:val="21"/>
                      <w:u w:val="none" w:color="auto"/>
                      <w:lang w:val="en-US" w:eastAsia="zh-CN"/>
                    </w:rPr>
                  </w:pPr>
                  <w:r>
                    <w:rPr>
                      <w:rFonts w:hint="eastAsia"/>
                      <w:color w:val="auto"/>
                      <w:sz w:val="21"/>
                      <w:szCs w:val="21"/>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8" w:type="pct"/>
                  <w:vMerge w:val="continue"/>
                  <w:tcBorders>
                    <w:tl2br w:val="nil"/>
                    <w:tr2bl w:val="nil"/>
                  </w:tcBorders>
                  <w:noWrap w:val="0"/>
                  <w:vAlign w:val="center"/>
                </w:tcPr>
                <w:p>
                  <w:pPr>
                    <w:adjustRightInd w:val="0"/>
                    <w:snapToGrid w:val="0"/>
                    <w:jc w:val="center"/>
                    <w:rPr>
                      <w:color w:val="auto"/>
                      <w:sz w:val="21"/>
                      <w:szCs w:val="21"/>
                      <w:u w:val="none" w:color="auto"/>
                    </w:rPr>
                  </w:pPr>
                </w:p>
              </w:tc>
              <w:tc>
                <w:tcPr>
                  <w:tcW w:w="720" w:type="pct"/>
                  <w:tcBorders>
                    <w:tl2br w:val="nil"/>
                    <w:tr2bl w:val="nil"/>
                  </w:tcBorders>
                  <w:noWrap w:val="0"/>
                  <w:vAlign w:val="center"/>
                </w:tcPr>
                <w:p>
                  <w:pPr>
                    <w:adjustRightInd w:val="0"/>
                    <w:snapToGrid w:val="0"/>
                    <w:jc w:val="center"/>
                    <w:rPr>
                      <w:color w:val="auto"/>
                      <w:sz w:val="21"/>
                      <w:szCs w:val="21"/>
                      <w:u w:val="none" w:color="auto"/>
                    </w:rPr>
                  </w:pPr>
                  <w:r>
                    <w:rPr>
                      <w:color w:val="auto"/>
                      <w:sz w:val="21"/>
                      <w:szCs w:val="21"/>
                      <w:u w:val="none" w:color="auto"/>
                    </w:rPr>
                    <w:t>噪声</w:t>
                  </w:r>
                </w:p>
              </w:tc>
              <w:tc>
                <w:tcPr>
                  <w:tcW w:w="2955" w:type="pct"/>
                  <w:gridSpan w:val="2"/>
                  <w:tcBorders>
                    <w:tl2br w:val="nil"/>
                    <w:tr2bl w:val="nil"/>
                  </w:tcBorders>
                  <w:noWrap w:val="0"/>
                  <w:vAlign w:val="center"/>
                </w:tcPr>
                <w:p>
                  <w:pPr>
                    <w:adjustRightInd w:val="0"/>
                    <w:snapToGrid w:val="0"/>
                    <w:jc w:val="center"/>
                    <w:rPr>
                      <w:color w:val="auto"/>
                      <w:sz w:val="21"/>
                      <w:szCs w:val="21"/>
                      <w:u w:val="none" w:color="auto"/>
                    </w:rPr>
                  </w:pPr>
                  <w:r>
                    <w:rPr>
                      <w:color w:val="auto"/>
                      <w:sz w:val="21"/>
                      <w:szCs w:val="21"/>
                      <w:u w:val="none" w:color="auto"/>
                    </w:rPr>
                    <w:t>设备采取基础减振、隔声等措施</w:t>
                  </w:r>
                </w:p>
              </w:tc>
              <w:tc>
                <w:tcPr>
                  <w:tcW w:w="916" w:type="pct"/>
                  <w:tcBorders>
                    <w:tl2br w:val="nil"/>
                    <w:tr2bl w:val="nil"/>
                  </w:tcBorders>
                  <w:noWrap w:val="0"/>
                  <w:vAlign w:val="center"/>
                </w:tcPr>
                <w:p>
                  <w:pPr>
                    <w:adjustRightInd w:val="0"/>
                    <w:snapToGrid w:val="0"/>
                    <w:jc w:val="center"/>
                    <w:rPr>
                      <w:color w:val="auto"/>
                      <w:sz w:val="21"/>
                      <w:szCs w:val="21"/>
                      <w:u w:val="none" w:color="auto"/>
                    </w:rPr>
                  </w:pPr>
                  <w:r>
                    <w:rPr>
                      <w:rFonts w:hint="eastAsia"/>
                      <w:color w:val="auto"/>
                      <w:sz w:val="21"/>
                      <w:szCs w:val="21"/>
                      <w:u w:val="none" w:color="auto"/>
                      <w:lang w:val="en-US" w:eastAsia="zh-CN"/>
                    </w:rPr>
                    <w:t>/</w:t>
                  </w:r>
                </w:p>
              </w:tc>
            </w:tr>
          </w:tbl>
          <w:p>
            <w:pPr>
              <w:numPr>
                <w:ilvl w:val="0"/>
                <w:numId w:val="0"/>
              </w:numPr>
              <w:adjustRightInd w:val="0"/>
              <w:snapToGrid w:val="0"/>
              <w:spacing w:line="360" w:lineRule="auto"/>
              <w:jc w:val="both"/>
              <w:rPr>
                <w:rFonts w:hint="default" w:ascii="宋体" w:hAnsi="宋体" w:cs="宋体"/>
                <w:b/>
                <w:bCs/>
                <w:color w:val="auto"/>
                <w:sz w:val="24"/>
                <w:szCs w:val="24"/>
                <w:u w:val="none" w:color="auto"/>
                <w:lang w:val="en-US" w:eastAsia="zh-CN"/>
              </w:rPr>
            </w:pPr>
            <w:r>
              <w:rPr>
                <w:rFonts w:hint="eastAsia" w:ascii="宋体" w:hAnsi="宋体" w:cs="宋体"/>
                <w:b/>
                <w:bCs/>
                <w:color w:val="auto"/>
                <w:sz w:val="24"/>
                <w:szCs w:val="24"/>
                <w:u w:val="none" w:color="auto"/>
                <w:lang w:val="en-US" w:eastAsia="zh-CN"/>
              </w:rPr>
              <w:t>4.原辅材料种类及消耗</w:t>
            </w:r>
          </w:p>
          <w:p>
            <w:pPr>
              <w:numPr>
                <w:ilvl w:val="0"/>
                <w:numId w:val="0"/>
              </w:numPr>
              <w:adjustRightInd w:val="0"/>
              <w:snapToGrid w:val="0"/>
              <w:spacing w:line="360" w:lineRule="auto"/>
              <w:ind w:firstLine="480" w:firstLineChars="200"/>
              <w:jc w:val="both"/>
              <w:rPr>
                <w:rFonts w:hint="eastAsia" w:ascii="宋体" w:hAnsi="宋体" w:cs="宋体"/>
                <w:color w:val="auto"/>
                <w:sz w:val="24"/>
                <w:szCs w:val="24"/>
                <w:u w:val="none" w:color="auto"/>
                <w:lang w:val="en-US" w:eastAsia="zh-CN"/>
              </w:rPr>
            </w:pPr>
            <w:r>
              <w:rPr>
                <w:rFonts w:hint="eastAsia" w:ascii="宋体" w:hAnsi="宋体" w:cs="宋体"/>
                <w:color w:val="auto"/>
                <w:sz w:val="24"/>
                <w:szCs w:val="24"/>
                <w:u w:val="none" w:color="auto"/>
                <w:lang w:val="en-US" w:eastAsia="zh-CN"/>
              </w:rPr>
              <w:t>根据建设方提供的相关资料，项目主要原辅材料消耗情况见下表2-2。</w:t>
            </w:r>
          </w:p>
          <w:p>
            <w:pPr>
              <w:numPr>
                <w:ilvl w:val="0"/>
                <w:numId w:val="0"/>
              </w:numPr>
              <w:adjustRightInd w:val="0"/>
              <w:snapToGrid w:val="0"/>
              <w:spacing w:line="360" w:lineRule="auto"/>
              <w:jc w:val="center"/>
              <w:rPr>
                <w:rFonts w:hint="default" w:ascii="宋体" w:hAnsi="宋体" w:cs="宋体"/>
                <w:color w:val="auto"/>
                <w:sz w:val="24"/>
                <w:szCs w:val="24"/>
                <w:u w:val="none" w:color="auto"/>
                <w:lang w:val="en-US" w:eastAsia="zh-CN"/>
              </w:rPr>
            </w:pPr>
            <w:r>
              <w:rPr>
                <w:rFonts w:hint="eastAsia" w:ascii="宋体" w:hAnsi="宋体" w:cs="宋体"/>
                <w:b/>
                <w:bCs/>
                <w:color w:val="auto"/>
                <w:sz w:val="24"/>
                <w:szCs w:val="24"/>
                <w:u w:val="none" w:color="auto"/>
                <w:lang w:val="en-US" w:eastAsia="zh-CN"/>
              </w:rPr>
              <w:t>表2-2  项目主要原辅材料及消耗一览表</w:t>
            </w:r>
          </w:p>
          <w:tbl>
            <w:tblPr>
              <w:tblStyle w:val="1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657"/>
              <w:gridCol w:w="2426"/>
              <w:gridCol w:w="2697"/>
              <w:gridCol w:w="155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3" w:type="pct"/>
                  <w:tcBorders>
                    <w:tl2br w:val="nil"/>
                    <w:tr2bl w:val="nil"/>
                  </w:tcBorders>
                  <w:noWrap w:val="0"/>
                  <w:vAlign w:val="center"/>
                </w:tcPr>
                <w:p>
                  <w:pPr>
                    <w:bidi w:val="0"/>
                    <w:jc w:val="center"/>
                    <w:rPr>
                      <w:color w:val="auto"/>
                      <w:u w:val="none" w:color="auto"/>
                    </w:rPr>
                  </w:pPr>
                  <w:r>
                    <w:rPr>
                      <w:color w:val="auto"/>
                      <w:u w:val="none" w:color="auto"/>
                    </w:rPr>
                    <w:t>序号</w:t>
                  </w:r>
                </w:p>
              </w:tc>
              <w:tc>
                <w:tcPr>
                  <w:tcW w:w="1454" w:type="pct"/>
                  <w:tcBorders>
                    <w:tl2br w:val="nil"/>
                    <w:tr2bl w:val="nil"/>
                  </w:tcBorders>
                  <w:noWrap w:val="0"/>
                  <w:vAlign w:val="center"/>
                </w:tcPr>
                <w:p>
                  <w:pPr>
                    <w:bidi w:val="0"/>
                    <w:jc w:val="center"/>
                    <w:rPr>
                      <w:color w:val="auto"/>
                      <w:u w:val="none" w:color="auto"/>
                    </w:rPr>
                  </w:pPr>
                  <w:r>
                    <w:rPr>
                      <w:color w:val="auto"/>
                      <w:u w:val="none" w:color="auto"/>
                    </w:rPr>
                    <w:t>原料名称</w:t>
                  </w:r>
                </w:p>
              </w:tc>
              <w:tc>
                <w:tcPr>
                  <w:tcW w:w="1617" w:type="pct"/>
                  <w:tcBorders>
                    <w:tl2br w:val="nil"/>
                    <w:tr2bl w:val="nil"/>
                  </w:tcBorders>
                  <w:noWrap w:val="0"/>
                  <w:vAlign w:val="center"/>
                </w:tcPr>
                <w:p>
                  <w:pPr>
                    <w:bidi w:val="0"/>
                    <w:jc w:val="center"/>
                    <w:rPr>
                      <w:color w:val="auto"/>
                      <w:u w:val="none" w:color="auto"/>
                    </w:rPr>
                  </w:pPr>
                  <w:r>
                    <w:rPr>
                      <w:color w:val="auto"/>
                      <w:u w:val="none" w:color="auto"/>
                    </w:rPr>
                    <w:t>年消耗量</w:t>
                  </w:r>
                </w:p>
              </w:tc>
              <w:tc>
                <w:tcPr>
                  <w:tcW w:w="934" w:type="pct"/>
                  <w:tcBorders>
                    <w:tl2br w:val="nil"/>
                    <w:tr2bl w:val="nil"/>
                  </w:tcBorders>
                  <w:noWrap w:val="0"/>
                  <w:vAlign w:val="center"/>
                </w:tcPr>
                <w:p>
                  <w:pPr>
                    <w:bidi w:val="0"/>
                    <w:jc w:val="center"/>
                    <w:rPr>
                      <w:color w:val="auto"/>
                      <w:u w:val="none" w:color="auto"/>
                    </w:rPr>
                  </w:pPr>
                  <w:r>
                    <w:rPr>
                      <w:color w:val="auto"/>
                      <w:u w:val="none" w:color="auto"/>
                    </w:rPr>
                    <w:t>单位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3" w:type="pct"/>
                  <w:tcBorders>
                    <w:tl2br w:val="nil"/>
                    <w:tr2bl w:val="nil"/>
                  </w:tcBorders>
                  <w:noWrap w:val="0"/>
                  <w:vAlign w:val="center"/>
                </w:tcPr>
                <w:p>
                  <w:pPr>
                    <w:bidi w:val="0"/>
                    <w:jc w:val="center"/>
                    <w:rPr>
                      <w:color w:val="auto"/>
                      <w:u w:val="none" w:color="auto"/>
                    </w:rPr>
                  </w:pPr>
                  <w:r>
                    <w:rPr>
                      <w:color w:val="auto"/>
                      <w:u w:val="none" w:color="auto"/>
                    </w:rPr>
                    <w:t>1</w:t>
                  </w:r>
                </w:p>
              </w:tc>
              <w:tc>
                <w:tcPr>
                  <w:tcW w:w="1454" w:type="pct"/>
                  <w:tcBorders>
                    <w:tl2br w:val="nil"/>
                    <w:tr2bl w:val="nil"/>
                  </w:tcBorders>
                  <w:noWrap w:val="0"/>
                  <w:vAlign w:val="center"/>
                </w:tcPr>
                <w:p>
                  <w:pPr>
                    <w:bidi w:val="0"/>
                    <w:jc w:val="center"/>
                    <w:rPr>
                      <w:rFonts w:hint="default" w:eastAsia="宋体"/>
                      <w:color w:val="auto"/>
                      <w:u w:val="none" w:color="auto"/>
                      <w:lang w:val="en-US" w:eastAsia="zh-CN"/>
                    </w:rPr>
                  </w:pPr>
                  <w:r>
                    <w:rPr>
                      <w:rFonts w:hint="eastAsia"/>
                      <w:color w:val="auto"/>
                      <w:u w:val="none" w:color="auto"/>
                      <w:lang w:val="en-US" w:eastAsia="zh-CN"/>
                    </w:rPr>
                    <w:t>柴油</w:t>
                  </w:r>
                </w:p>
              </w:tc>
              <w:tc>
                <w:tcPr>
                  <w:tcW w:w="1617" w:type="pct"/>
                  <w:tcBorders>
                    <w:tl2br w:val="nil"/>
                    <w:tr2bl w:val="nil"/>
                  </w:tcBorders>
                  <w:noWrap w:val="0"/>
                  <w:vAlign w:val="center"/>
                </w:tcPr>
                <w:p>
                  <w:pPr>
                    <w:bidi w:val="0"/>
                    <w:jc w:val="center"/>
                    <w:rPr>
                      <w:rFonts w:hint="default"/>
                      <w:color w:val="auto"/>
                      <w:u w:val="none" w:color="auto"/>
                      <w:lang w:val="en-US" w:eastAsia="zh-CN"/>
                    </w:rPr>
                  </w:pPr>
                  <w:r>
                    <w:rPr>
                      <w:rFonts w:hint="eastAsia"/>
                      <w:color w:val="auto"/>
                      <w:u w:val="none" w:color="auto"/>
                      <w:lang w:val="en-US" w:eastAsia="zh-CN"/>
                    </w:rPr>
                    <w:t>130</w:t>
                  </w:r>
                </w:p>
              </w:tc>
              <w:tc>
                <w:tcPr>
                  <w:tcW w:w="934" w:type="pct"/>
                  <w:tcBorders>
                    <w:tl2br w:val="nil"/>
                    <w:tr2bl w:val="nil"/>
                  </w:tcBorders>
                  <w:noWrap w:val="0"/>
                  <w:vAlign w:val="center"/>
                </w:tcPr>
                <w:p>
                  <w:pPr>
                    <w:bidi w:val="0"/>
                    <w:jc w:val="center"/>
                    <w:rPr>
                      <w:rFonts w:hint="default"/>
                      <w:color w:val="auto"/>
                      <w:u w:val="none" w:color="auto"/>
                      <w:lang w:val="en-US" w:eastAsia="zh-CN"/>
                    </w:rPr>
                  </w:pPr>
                  <w:r>
                    <w:rPr>
                      <w:rFonts w:hint="eastAsia"/>
                      <w:color w:val="auto"/>
                      <w:u w:val="none" w:color="auto"/>
                      <w:lang w:val="en-US" w:eastAsia="zh-CN"/>
                    </w:rPr>
                    <w:t>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3" w:type="pct"/>
                  <w:tcBorders>
                    <w:tl2br w:val="nil"/>
                    <w:tr2bl w:val="nil"/>
                  </w:tcBorders>
                  <w:noWrap w:val="0"/>
                  <w:vAlign w:val="center"/>
                </w:tcPr>
                <w:p>
                  <w:pPr>
                    <w:bidi w:val="0"/>
                    <w:jc w:val="center"/>
                    <w:rPr>
                      <w:rFonts w:hint="eastAsia"/>
                      <w:color w:val="auto"/>
                      <w:u w:val="none" w:color="auto"/>
                      <w:lang w:val="en-US" w:eastAsia="zh-CN"/>
                    </w:rPr>
                  </w:pPr>
                  <w:r>
                    <w:rPr>
                      <w:rFonts w:hint="eastAsia"/>
                      <w:color w:val="auto"/>
                      <w:u w:val="none" w:color="auto"/>
                      <w:lang w:val="en-US" w:eastAsia="zh-CN"/>
                    </w:rPr>
                    <w:t>2</w:t>
                  </w:r>
                </w:p>
              </w:tc>
              <w:tc>
                <w:tcPr>
                  <w:tcW w:w="1454" w:type="pct"/>
                  <w:tcBorders>
                    <w:tl2br w:val="nil"/>
                    <w:tr2bl w:val="nil"/>
                  </w:tcBorders>
                  <w:noWrap w:val="0"/>
                  <w:vAlign w:val="center"/>
                </w:tcPr>
                <w:p>
                  <w:pPr>
                    <w:bidi w:val="0"/>
                    <w:jc w:val="center"/>
                    <w:rPr>
                      <w:rFonts w:hint="default"/>
                      <w:color w:val="auto"/>
                      <w:u w:val="none" w:color="auto"/>
                      <w:lang w:val="en-US" w:eastAsia="zh-CN"/>
                    </w:rPr>
                  </w:pPr>
                  <w:r>
                    <w:rPr>
                      <w:rFonts w:hint="eastAsia"/>
                      <w:color w:val="auto"/>
                      <w:u w:val="none" w:color="auto"/>
                      <w:lang w:val="en-US" w:eastAsia="zh-CN"/>
                    </w:rPr>
                    <w:t>液压油</w:t>
                  </w:r>
                </w:p>
              </w:tc>
              <w:tc>
                <w:tcPr>
                  <w:tcW w:w="1617" w:type="pct"/>
                  <w:tcBorders>
                    <w:tl2br w:val="nil"/>
                    <w:tr2bl w:val="nil"/>
                  </w:tcBorders>
                  <w:noWrap w:val="0"/>
                  <w:vAlign w:val="center"/>
                </w:tcPr>
                <w:p>
                  <w:pPr>
                    <w:bidi w:val="0"/>
                    <w:jc w:val="center"/>
                    <w:rPr>
                      <w:rFonts w:hint="default"/>
                      <w:color w:val="auto"/>
                      <w:u w:val="none" w:color="auto"/>
                      <w:lang w:val="en-US" w:eastAsia="zh-CN"/>
                    </w:rPr>
                  </w:pPr>
                  <w:r>
                    <w:rPr>
                      <w:rFonts w:hint="eastAsia"/>
                      <w:color w:val="auto"/>
                      <w:u w:val="none" w:color="auto"/>
                      <w:lang w:val="en-US" w:eastAsia="zh-CN"/>
                    </w:rPr>
                    <w:t>0.05</w:t>
                  </w:r>
                </w:p>
              </w:tc>
              <w:tc>
                <w:tcPr>
                  <w:tcW w:w="934" w:type="pct"/>
                  <w:tcBorders>
                    <w:tl2br w:val="nil"/>
                    <w:tr2bl w:val="nil"/>
                  </w:tcBorders>
                  <w:noWrap w:val="0"/>
                  <w:vAlign w:val="center"/>
                </w:tcPr>
                <w:p>
                  <w:pPr>
                    <w:bidi w:val="0"/>
                    <w:jc w:val="center"/>
                    <w:rPr>
                      <w:rFonts w:hint="default"/>
                      <w:color w:val="auto"/>
                      <w:u w:val="none" w:color="auto"/>
                      <w:lang w:val="en-US" w:eastAsia="zh-CN"/>
                    </w:rPr>
                  </w:pPr>
                  <w:r>
                    <w:rPr>
                      <w:rFonts w:hint="eastAsia"/>
                      <w:color w:val="auto"/>
                      <w:u w:val="none" w:color="auto"/>
                      <w:lang w:val="en-US" w:eastAsia="zh-CN"/>
                    </w:rPr>
                    <w:t>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3" w:type="pct"/>
                  <w:tcBorders>
                    <w:tl2br w:val="nil"/>
                    <w:tr2bl w:val="nil"/>
                  </w:tcBorders>
                  <w:noWrap w:val="0"/>
                  <w:vAlign w:val="center"/>
                </w:tcPr>
                <w:p>
                  <w:pPr>
                    <w:bidi w:val="0"/>
                    <w:jc w:val="center"/>
                    <w:rPr>
                      <w:rFonts w:hint="default"/>
                      <w:color w:val="auto"/>
                      <w:u w:val="none" w:color="auto"/>
                      <w:lang w:val="en-US" w:eastAsia="zh-CN"/>
                    </w:rPr>
                  </w:pPr>
                  <w:r>
                    <w:rPr>
                      <w:rFonts w:hint="eastAsia"/>
                      <w:color w:val="auto"/>
                      <w:u w:val="none" w:color="auto"/>
                      <w:lang w:val="en-US" w:eastAsia="zh-CN"/>
                    </w:rPr>
                    <w:t>3</w:t>
                  </w:r>
                </w:p>
              </w:tc>
              <w:tc>
                <w:tcPr>
                  <w:tcW w:w="1454" w:type="pct"/>
                  <w:tcBorders>
                    <w:tl2br w:val="nil"/>
                    <w:tr2bl w:val="nil"/>
                  </w:tcBorders>
                  <w:noWrap w:val="0"/>
                  <w:vAlign w:val="center"/>
                </w:tcPr>
                <w:p>
                  <w:pPr>
                    <w:bidi w:val="0"/>
                    <w:jc w:val="center"/>
                    <w:rPr>
                      <w:rFonts w:hint="eastAsia" w:eastAsia="宋体"/>
                      <w:color w:val="auto"/>
                      <w:u w:val="none" w:color="auto"/>
                      <w:lang w:val="en-US" w:eastAsia="zh-CN"/>
                    </w:rPr>
                  </w:pPr>
                  <w:r>
                    <w:rPr>
                      <w:rFonts w:hint="eastAsia"/>
                      <w:color w:val="auto"/>
                      <w:u w:val="none" w:color="auto"/>
                      <w:lang w:val="en-US" w:eastAsia="zh-CN"/>
                    </w:rPr>
                    <w:t>机油</w:t>
                  </w:r>
                </w:p>
              </w:tc>
              <w:tc>
                <w:tcPr>
                  <w:tcW w:w="1617" w:type="pct"/>
                  <w:tcBorders>
                    <w:tl2br w:val="nil"/>
                    <w:tr2bl w:val="nil"/>
                  </w:tcBorders>
                  <w:noWrap w:val="0"/>
                  <w:vAlign w:val="center"/>
                </w:tcPr>
                <w:p>
                  <w:pPr>
                    <w:bidi w:val="0"/>
                    <w:jc w:val="center"/>
                    <w:rPr>
                      <w:rFonts w:hint="default"/>
                      <w:color w:val="auto"/>
                      <w:u w:val="none" w:color="auto"/>
                      <w:lang w:val="en-US" w:eastAsia="zh-CN"/>
                    </w:rPr>
                  </w:pPr>
                  <w:r>
                    <w:rPr>
                      <w:rFonts w:hint="eastAsia"/>
                      <w:color w:val="auto"/>
                      <w:u w:val="none" w:color="auto"/>
                      <w:lang w:val="en-US" w:eastAsia="zh-CN"/>
                    </w:rPr>
                    <w:t>0.1</w:t>
                  </w:r>
                </w:p>
              </w:tc>
              <w:tc>
                <w:tcPr>
                  <w:tcW w:w="934" w:type="pct"/>
                  <w:tcBorders>
                    <w:tl2br w:val="nil"/>
                    <w:tr2bl w:val="nil"/>
                  </w:tcBorders>
                  <w:noWrap w:val="0"/>
                  <w:vAlign w:val="center"/>
                </w:tcPr>
                <w:p>
                  <w:pPr>
                    <w:bidi w:val="0"/>
                    <w:jc w:val="center"/>
                    <w:rPr>
                      <w:rFonts w:hint="default"/>
                      <w:color w:val="auto"/>
                      <w:u w:val="none" w:color="auto"/>
                      <w:lang w:val="en-US" w:eastAsia="zh-CN"/>
                    </w:rPr>
                  </w:pPr>
                  <w:r>
                    <w:rPr>
                      <w:rFonts w:hint="eastAsia"/>
                      <w:color w:val="auto"/>
                      <w:u w:val="none" w:color="auto"/>
                      <w:lang w:val="en-US" w:eastAsia="zh-CN"/>
                    </w:rPr>
                    <w:t>t</w:t>
                  </w:r>
                </w:p>
              </w:tc>
            </w:tr>
          </w:tbl>
          <w:p>
            <w:pPr>
              <w:numPr>
                <w:ilvl w:val="0"/>
                <w:numId w:val="0"/>
              </w:numPr>
              <w:adjustRightInd w:val="0"/>
              <w:snapToGrid w:val="0"/>
              <w:spacing w:line="360" w:lineRule="auto"/>
              <w:jc w:val="both"/>
              <w:rPr>
                <w:rFonts w:hint="default" w:ascii="宋体" w:hAnsi="宋体" w:cs="宋体"/>
                <w:b/>
                <w:bCs/>
                <w:color w:val="auto"/>
                <w:sz w:val="24"/>
                <w:szCs w:val="24"/>
                <w:u w:val="none" w:color="auto"/>
                <w:lang w:val="en-US" w:eastAsia="zh-CN"/>
              </w:rPr>
            </w:pPr>
            <w:r>
              <w:rPr>
                <w:rFonts w:hint="eastAsia" w:ascii="宋体" w:hAnsi="宋体" w:cs="宋体"/>
                <w:b/>
                <w:bCs/>
                <w:color w:val="auto"/>
                <w:sz w:val="24"/>
                <w:szCs w:val="24"/>
                <w:u w:val="none" w:color="auto"/>
                <w:lang w:val="en-US" w:eastAsia="zh-CN"/>
              </w:rPr>
              <w:t>5.生产设备</w:t>
            </w:r>
          </w:p>
          <w:p>
            <w:pPr>
              <w:numPr>
                <w:ilvl w:val="0"/>
                <w:numId w:val="0"/>
              </w:numPr>
              <w:adjustRightInd w:val="0"/>
              <w:snapToGrid w:val="0"/>
              <w:spacing w:line="360" w:lineRule="auto"/>
              <w:ind w:firstLine="480" w:firstLineChars="200"/>
              <w:jc w:val="both"/>
              <w:rPr>
                <w:rFonts w:hint="eastAsia" w:ascii="宋体" w:hAnsi="宋体" w:cs="宋体"/>
                <w:color w:val="auto"/>
                <w:sz w:val="24"/>
                <w:szCs w:val="24"/>
                <w:u w:val="none" w:color="auto"/>
                <w:lang w:val="en-US" w:eastAsia="zh-CN"/>
              </w:rPr>
            </w:pPr>
            <w:r>
              <w:rPr>
                <w:rFonts w:hint="eastAsia" w:ascii="宋体" w:hAnsi="宋体" w:cs="宋体"/>
                <w:color w:val="auto"/>
                <w:sz w:val="24"/>
                <w:szCs w:val="24"/>
                <w:u w:val="none" w:color="auto"/>
                <w:lang w:val="en-US" w:eastAsia="zh-CN"/>
              </w:rPr>
              <w:t>项目所需生产设备见下表2-3。</w:t>
            </w:r>
          </w:p>
          <w:p>
            <w:pPr>
              <w:numPr>
                <w:ilvl w:val="0"/>
                <w:numId w:val="0"/>
              </w:numPr>
              <w:adjustRightInd w:val="0"/>
              <w:snapToGrid w:val="0"/>
              <w:spacing w:line="360" w:lineRule="auto"/>
              <w:jc w:val="center"/>
              <w:rPr>
                <w:rFonts w:hint="default" w:ascii="宋体" w:hAnsi="宋体" w:cs="宋体"/>
                <w:b/>
                <w:bCs/>
                <w:color w:val="FF0000"/>
                <w:sz w:val="24"/>
                <w:szCs w:val="24"/>
                <w:highlight w:val="none"/>
                <w:u w:val="single" w:color="auto"/>
                <w:lang w:val="en-US" w:eastAsia="zh-CN"/>
              </w:rPr>
            </w:pPr>
            <w:r>
              <w:rPr>
                <w:rFonts w:hint="eastAsia" w:ascii="宋体" w:hAnsi="宋体" w:cs="宋体"/>
                <w:b/>
                <w:bCs/>
                <w:color w:val="FF0000"/>
                <w:sz w:val="24"/>
                <w:szCs w:val="24"/>
                <w:highlight w:val="none"/>
                <w:u w:val="single" w:color="auto"/>
                <w:lang w:val="en-US" w:eastAsia="zh-CN"/>
              </w:rPr>
              <w:t>表2-3  项目生产设备一览表</w:t>
            </w:r>
          </w:p>
          <w:tbl>
            <w:tblPr>
              <w:tblStyle w:val="17"/>
              <w:tblW w:w="4998" w:type="pct"/>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
            <w:tblGrid>
              <w:gridCol w:w="454"/>
              <w:gridCol w:w="767"/>
              <w:gridCol w:w="2334"/>
              <w:gridCol w:w="2756"/>
              <w:gridCol w:w="2027"/>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732" w:type="pct"/>
                  <w:gridSpan w:val="2"/>
                  <w:noWrap w:val="0"/>
                  <w:vAlign w:val="center"/>
                </w:tcPr>
                <w:p>
                  <w:pPr>
                    <w:jc w:val="center"/>
                    <w:rPr>
                      <w:rFonts w:hint="eastAsia" w:eastAsia="宋体"/>
                      <w:b/>
                      <w:bCs/>
                      <w:color w:val="FF0000"/>
                      <w:sz w:val="21"/>
                      <w:szCs w:val="21"/>
                      <w:highlight w:val="none"/>
                      <w:u w:val="single" w:color="auto"/>
                      <w:lang w:eastAsia="zh-CN"/>
                    </w:rPr>
                  </w:pPr>
                  <w:r>
                    <w:rPr>
                      <w:rFonts w:hint="eastAsia"/>
                      <w:b/>
                      <w:bCs/>
                      <w:color w:val="FF0000"/>
                      <w:sz w:val="21"/>
                      <w:szCs w:val="21"/>
                      <w:highlight w:val="none"/>
                      <w:u w:val="single" w:color="auto"/>
                      <w:lang w:val="en-US" w:eastAsia="zh-CN"/>
                    </w:rPr>
                    <w:t>组成</w:t>
                  </w:r>
                </w:p>
              </w:tc>
              <w:tc>
                <w:tcPr>
                  <w:tcW w:w="1399" w:type="pct"/>
                  <w:noWrap w:val="0"/>
                  <w:vAlign w:val="center"/>
                </w:tcPr>
                <w:p>
                  <w:pPr>
                    <w:jc w:val="center"/>
                    <w:rPr>
                      <w:b/>
                      <w:bCs/>
                      <w:color w:val="FF0000"/>
                      <w:sz w:val="21"/>
                      <w:szCs w:val="21"/>
                      <w:highlight w:val="none"/>
                      <w:u w:val="single" w:color="auto"/>
                    </w:rPr>
                  </w:pPr>
                  <w:r>
                    <w:rPr>
                      <w:rFonts w:hint="eastAsia"/>
                      <w:b/>
                      <w:bCs/>
                      <w:color w:val="FF0000"/>
                      <w:sz w:val="21"/>
                      <w:szCs w:val="21"/>
                      <w:highlight w:val="none"/>
                      <w:u w:val="single" w:color="auto"/>
                      <w:lang w:val="en-US" w:eastAsia="zh-CN"/>
                    </w:rPr>
                    <w:t>项目</w:t>
                  </w:r>
                  <w:r>
                    <w:rPr>
                      <w:b/>
                      <w:bCs/>
                      <w:color w:val="FF0000"/>
                      <w:sz w:val="21"/>
                      <w:szCs w:val="21"/>
                      <w:highlight w:val="none"/>
                      <w:u w:val="single" w:color="auto"/>
                    </w:rPr>
                    <w:t>名称</w:t>
                  </w:r>
                </w:p>
              </w:tc>
              <w:tc>
                <w:tcPr>
                  <w:tcW w:w="1652" w:type="pct"/>
                  <w:noWrap w:val="0"/>
                  <w:vAlign w:val="center"/>
                </w:tcPr>
                <w:p>
                  <w:pPr>
                    <w:jc w:val="center"/>
                    <w:rPr>
                      <w:rFonts w:hint="default" w:eastAsia="宋体"/>
                      <w:b/>
                      <w:bCs/>
                      <w:color w:val="FF0000"/>
                      <w:sz w:val="21"/>
                      <w:szCs w:val="21"/>
                      <w:highlight w:val="none"/>
                      <w:u w:val="single" w:color="auto"/>
                      <w:lang w:val="en-US" w:eastAsia="zh-CN"/>
                    </w:rPr>
                  </w:pPr>
                  <w:r>
                    <w:rPr>
                      <w:rFonts w:hint="eastAsia"/>
                      <w:b/>
                      <w:bCs/>
                      <w:color w:val="FF0000"/>
                      <w:sz w:val="21"/>
                      <w:szCs w:val="21"/>
                      <w:highlight w:val="none"/>
                      <w:u w:val="single" w:color="auto"/>
                      <w:lang w:val="en-US" w:eastAsia="zh-CN"/>
                    </w:rPr>
                    <w:t>材质/型号/参数</w:t>
                  </w:r>
                </w:p>
              </w:tc>
              <w:tc>
                <w:tcPr>
                  <w:tcW w:w="1215" w:type="pct"/>
                  <w:noWrap w:val="0"/>
                  <w:vAlign w:val="center"/>
                </w:tcPr>
                <w:p>
                  <w:pPr>
                    <w:jc w:val="center"/>
                    <w:rPr>
                      <w:rFonts w:hint="default"/>
                      <w:b/>
                      <w:bCs/>
                      <w:color w:val="FF0000"/>
                      <w:sz w:val="21"/>
                      <w:szCs w:val="21"/>
                      <w:highlight w:val="none"/>
                      <w:u w:val="single" w:color="auto"/>
                      <w:lang w:val="en-US" w:eastAsia="zh-CN"/>
                    </w:rPr>
                  </w:pPr>
                  <w:r>
                    <w:rPr>
                      <w:rFonts w:hint="eastAsia"/>
                      <w:b/>
                      <w:bCs/>
                      <w:color w:val="FF0000"/>
                      <w:sz w:val="21"/>
                      <w:szCs w:val="21"/>
                      <w:highlight w:val="none"/>
                      <w:u w:val="single" w:color="auto"/>
                      <w:lang w:val="en-US" w:eastAsia="zh-CN"/>
                    </w:rPr>
                    <w:t>备注</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restart"/>
                  <w:noWrap w:val="0"/>
                  <w:vAlign w:val="center"/>
                </w:tcPr>
                <w:p>
                  <w:pPr>
                    <w:jc w:val="center"/>
                    <w:rPr>
                      <w:rFonts w:hint="eastAsia" w:eastAsia="宋体"/>
                      <w:color w:val="FF0000"/>
                      <w:sz w:val="21"/>
                      <w:szCs w:val="21"/>
                      <w:highlight w:val="none"/>
                      <w:u w:val="single" w:color="auto"/>
                      <w:lang w:val="en-US" w:eastAsia="zh-CN"/>
                    </w:rPr>
                  </w:pPr>
                  <w:r>
                    <w:rPr>
                      <w:rFonts w:hint="eastAsia"/>
                      <w:color w:val="FF0000"/>
                      <w:sz w:val="21"/>
                      <w:szCs w:val="21"/>
                      <w:highlight w:val="none"/>
                      <w:u w:val="single" w:color="auto"/>
                      <w:lang w:val="en-US" w:eastAsia="zh-CN"/>
                    </w:rPr>
                    <w:t>船舶主要项目</w:t>
                  </w:r>
                </w:p>
              </w:tc>
              <w:tc>
                <w:tcPr>
                  <w:tcW w:w="460" w:type="pct"/>
                  <w:vMerge w:val="restart"/>
                  <w:noWrap w:val="0"/>
                  <w:vAlign w:val="center"/>
                </w:tcPr>
                <w:p>
                  <w:pPr>
                    <w:jc w:val="center"/>
                    <w:rPr>
                      <w:rFonts w:hint="default"/>
                      <w:color w:val="FF0000"/>
                      <w:sz w:val="21"/>
                      <w:szCs w:val="21"/>
                      <w:highlight w:val="none"/>
                      <w:u w:val="single" w:color="auto"/>
                      <w:lang w:val="en-US" w:eastAsia="zh-CN"/>
                    </w:rPr>
                  </w:pPr>
                  <w:r>
                    <w:rPr>
                      <w:rFonts w:hint="eastAsia"/>
                      <w:color w:val="FF0000"/>
                      <w:sz w:val="21"/>
                      <w:szCs w:val="21"/>
                      <w:highlight w:val="none"/>
                      <w:u w:val="single" w:color="auto"/>
                      <w:lang w:val="en-US" w:eastAsia="zh-CN"/>
                    </w:rPr>
                    <w:t>湘湘阴油0659</w:t>
                  </w: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船舶识别号</w:t>
                  </w:r>
                </w:p>
              </w:tc>
              <w:tc>
                <w:tcPr>
                  <w:tcW w:w="1652"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CN19989510420</w:t>
                  </w:r>
                </w:p>
              </w:tc>
              <w:tc>
                <w:tcPr>
                  <w:tcW w:w="1215" w:type="pct"/>
                  <w:noWrap w:val="0"/>
                  <w:vAlign w:val="center"/>
                </w:tcPr>
                <w:p>
                  <w:pPr>
                    <w:jc w:val="center"/>
                    <w:rPr>
                      <w:rFonts w:hint="default"/>
                      <w:color w:val="FF0000"/>
                      <w:sz w:val="21"/>
                      <w:szCs w:val="21"/>
                      <w:highlight w:val="none"/>
                      <w:u w:val="single" w:color="auto"/>
                      <w:lang w:val="en-US" w:eastAsia="zh-CN"/>
                    </w:rPr>
                  </w:pPr>
                  <w:r>
                    <w:rPr>
                      <w:rFonts w:hint="eastAsia" w:cs="Times New Roman"/>
                      <w:color w:val="FF0000"/>
                      <w:kern w:val="2"/>
                      <w:sz w:val="21"/>
                      <w:szCs w:val="21"/>
                      <w:highlight w:val="none"/>
                      <w:u w:val="single" w:color="auto"/>
                      <w:lang w:val="en-US" w:eastAsia="zh-CN" w:bidi="ar-SA"/>
                    </w:rPr>
                    <w:t>一艘</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eastAsia="宋体"/>
                      <w:color w:val="FF0000"/>
                      <w:sz w:val="21"/>
                      <w:szCs w:val="21"/>
                      <w:highlight w:val="none"/>
                      <w:u w:val="single" w:color="auto"/>
                      <w:lang w:val="en-US" w:eastAsia="zh-CN"/>
                    </w:rPr>
                  </w:pPr>
                </w:p>
              </w:tc>
              <w:tc>
                <w:tcPr>
                  <w:tcW w:w="460" w:type="pct"/>
                  <w:vMerge w:val="continue"/>
                  <w:noWrap w:val="0"/>
                  <w:vAlign w:val="center"/>
                </w:tcPr>
                <w:p>
                  <w:pPr>
                    <w:jc w:val="center"/>
                    <w:rPr>
                      <w:rFonts w:hint="eastAsia" w:eastAsia="宋体"/>
                      <w:color w:val="FF0000"/>
                      <w:sz w:val="21"/>
                      <w:szCs w:val="21"/>
                      <w:highlight w:val="none"/>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船检登记号</w:t>
                  </w:r>
                </w:p>
              </w:tc>
              <w:tc>
                <w:tcPr>
                  <w:tcW w:w="1652"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1999X3300181</w:t>
                  </w:r>
                </w:p>
              </w:tc>
              <w:tc>
                <w:tcPr>
                  <w:tcW w:w="1215" w:type="pct"/>
                  <w:noWrap w:val="0"/>
                  <w:vAlign w:val="center"/>
                </w:tcPr>
                <w:p>
                  <w:pPr>
                    <w:jc w:val="center"/>
                    <w:rPr>
                      <w:rFonts w:hint="default"/>
                      <w:color w:val="FF0000"/>
                      <w:sz w:val="21"/>
                      <w:szCs w:val="21"/>
                      <w:highlight w:val="none"/>
                      <w:u w:val="single" w:color="auto"/>
                      <w:lang w:val="en-US" w:eastAsia="zh-CN"/>
                    </w:rPr>
                  </w:pPr>
                  <w:r>
                    <w:rPr>
                      <w:rFonts w:hint="eastAsia"/>
                      <w:color w:val="FF0000"/>
                      <w:sz w:val="21"/>
                      <w:szCs w:val="21"/>
                      <w:highlight w:val="none"/>
                      <w:u w:val="singl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eastAsia="宋体"/>
                      <w:color w:val="FF0000"/>
                      <w:sz w:val="21"/>
                      <w:szCs w:val="21"/>
                      <w:highlight w:val="none"/>
                      <w:u w:val="single" w:color="auto"/>
                      <w:lang w:val="en-US" w:eastAsia="zh-CN"/>
                    </w:rPr>
                  </w:pPr>
                </w:p>
              </w:tc>
              <w:tc>
                <w:tcPr>
                  <w:tcW w:w="460" w:type="pct"/>
                  <w:vMerge w:val="continue"/>
                  <w:noWrap w:val="0"/>
                  <w:vAlign w:val="center"/>
                </w:tcPr>
                <w:p>
                  <w:pPr>
                    <w:jc w:val="center"/>
                    <w:rPr>
                      <w:rFonts w:hint="eastAsia" w:eastAsia="宋体"/>
                      <w:color w:val="FF0000"/>
                      <w:sz w:val="21"/>
                      <w:szCs w:val="21"/>
                      <w:highlight w:val="none"/>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船舶类型</w:t>
                  </w:r>
                </w:p>
              </w:tc>
              <w:tc>
                <w:tcPr>
                  <w:tcW w:w="1652"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油船（闪电＞60℃）</w:t>
                  </w:r>
                </w:p>
              </w:tc>
              <w:tc>
                <w:tcPr>
                  <w:tcW w:w="1215" w:type="pct"/>
                  <w:noWrap w:val="0"/>
                  <w:vAlign w:val="center"/>
                </w:tcPr>
                <w:p>
                  <w:pPr>
                    <w:jc w:val="center"/>
                    <w:rPr>
                      <w:rFonts w:hint="default" w:ascii="Times New Roman" w:hAnsi="Times New Roman" w:eastAsia="宋体" w:cs="Times New Roman"/>
                      <w:color w:val="FF0000"/>
                      <w:kern w:val="2"/>
                      <w:sz w:val="21"/>
                      <w:szCs w:val="21"/>
                      <w:highlight w:val="none"/>
                      <w:u w:val="single" w:color="auto"/>
                      <w:lang w:val="en-US" w:eastAsia="zh-CN" w:bidi="ar-SA"/>
                    </w:rPr>
                  </w:pPr>
                  <w:r>
                    <w:rPr>
                      <w:rFonts w:hint="eastAsia"/>
                      <w:color w:val="FF0000"/>
                      <w:sz w:val="21"/>
                      <w:szCs w:val="21"/>
                      <w:highlight w:val="none"/>
                      <w:u w:val="singl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eastAsia="宋体"/>
                      <w:color w:val="FF0000"/>
                      <w:sz w:val="21"/>
                      <w:szCs w:val="21"/>
                      <w:highlight w:val="none"/>
                      <w:u w:val="single" w:color="auto"/>
                      <w:lang w:val="en-US" w:eastAsia="zh-CN"/>
                    </w:rPr>
                  </w:pPr>
                </w:p>
              </w:tc>
              <w:tc>
                <w:tcPr>
                  <w:tcW w:w="460" w:type="pct"/>
                  <w:vMerge w:val="continue"/>
                  <w:noWrap w:val="0"/>
                  <w:vAlign w:val="center"/>
                </w:tcPr>
                <w:p>
                  <w:pPr>
                    <w:jc w:val="center"/>
                    <w:rPr>
                      <w:rFonts w:hint="eastAsia" w:eastAsia="宋体"/>
                      <w:color w:val="FF0000"/>
                      <w:sz w:val="21"/>
                      <w:szCs w:val="21"/>
                      <w:highlight w:val="none"/>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总吨位</w:t>
                  </w:r>
                </w:p>
              </w:tc>
              <w:tc>
                <w:tcPr>
                  <w:tcW w:w="1652"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251</w:t>
                  </w:r>
                </w:p>
              </w:tc>
              <w:tc>
                <w:tcPr>
                  <w:tcW w:w="1215" w:type="pct"/>
                  <w:noWrap w:val="0"/>
                  <w:vAlign w:val="center"/>
                </w:tcPr>
                <w:p>
                  <w:pPr>
                    <w:jc w:val="center"/>
                    <w:rPr>
                      <w:rFonts w:hint="default" w:ascii="Times New Roman" w:hAnsi="Times New Roman" w:eastAsia="宋体"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eastAsia="宋体"/>
                      <w:color w:val="FF0000"/>
                      <w:sz w:val="21"/>
                      <w:szCs w:val="21"/>
                      <w:highlight w:val="none"/>
                      <w:u w:val="single" w:color="auto"/>
                      <w:lang w:val="en-US" w:eastAsia="zh-CN"/>
                    </w:rPr>
                  </w:pPr>
                </w:p>
              </w:tc>
              <w:tc>
                <w:tcPr>
                  <w:tcW w:w="460" w:type="pct"/>
                  <w:vMerge w:val="continue"/>
                  <w:noWrap w:val="0"/>
                  <w:vAlign w:val="center"/>
                </w:tcPr>
                <w:p>
                  <w:pPr>
                    <w:jc w:val="center"/>
                    <w:rPr>
                      <w:rFonts w:hint="eastAsia" w:eastAsia="宋体"/>
                      <w:color w:val="FF0000"/>
                      <w:sz w:val="21"/>
                      <w:szCs w:val="21"/>
                      <w:highlight w:val="none"/>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净吨位</w:t>
                  </w:r>
                </w:p>
              </w:tc>
              <w:tc>
                <w:tcPr>
                  <w:tcW w:w="1652"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140</w:t>
                  </w:r>
                </w:p>
              </w:tc>
              <w:tc>
                <w:tcPr>
                  <w:tcW w:w="1215" w:type="pct"/>
                  <w:noWrap w:val="0"/>
                  <w:vAlign w:val="center"/>
                </w:tcPr>
                <w:p>
                  <w:pPr>
                    <w:jc w:val="center"/>
                    <w:rPr>
                      <w:rFonts w:hint="default" w:ascii="Times New Roman" w:hAnsi="Times New Roman" w:eastAsia="宋体"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eastAsia="宋体"/>
                      <w:color w:val="FF0000"/>
                      <w:sz w:val="21"/>
                      <w:szCs w:val="21"/>
                      <w:highlight w:val="none"/>
                      <w:u w:val="single" w:color="auto"/>
                      <w:lang w:val="en-US" w:eastAsia="zh-CN"/>
                    </w:rPr>
                  </w:pPr>
                </w:p>
              </w:tc>
              <w:tc>
                <w:tcPr>
                  <w:tcW w:w="460" w:type="pct"/>
                  <w:vMerge w:val="continue"/>
                  <w:noWrap w:val="0"/>
                  <w:vAlign w:val="center"/>
                </w:tcPr>
                <w:p>
                  <w:pPr>
                    <w:jc w:val="center"/>
                    <w:rPr>
                      <w:rFonts w:hint="eastAsia" w:eastAsia="宋体"/>
                      <w:color w:val="FF0000"/>
                      <w:sz w:val="21"/>
                      <w:szCs w:val="21"/>
                      <w:highlight w:val="none"/>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航区</w:t>
                  </w:r>
                </w:p>
              </w:tc>
              <w:tc>
                <w:tcPr>
                  <w:tcW w:w="1652"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内河B级</w:t>
                  </w:r>
                </w:p>
              </w:tc>
              <w:tc>
                <w:tcPr>
                  <w:tcW w:w="1215" w:type="pct"/>
                  <w:noWrap w:val="0"/>
                  <w:vAlign w:val="center"/>
                </w:tcPr>
                <w:p>
                  <w:pPr>
                    <w:jc w:val="center"/>
                    <w:rPr>
                      <w:rFonts w:hint="default" w:ascii="Times New Roman" w:hAnsi="Times New Roman" w:eastAsia="宋体"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eastAsia="宋体"/>
                      <w:color w:val="FF0000"/>
                      <w:sz w:val="21"/>
                      <w:szCs w:val="21"/>
                      <w:highlight w:val="none"/>
                      <w:u w:val="single" w:color="auto"/>
                      <w:lang w:val="en-US" w:eastAsia="zh-CN"/>
                    </w:rPr>
                  </w:pPr>
                </w:p>
              </w:tc>
              <w:tc>
                <w:tcPr>
                  <w:tcW w:w="460" w:type="pct"/>
                  <w:vMerge w:val="continue"/>
                  <w:noWrap w:val="0"/>
                  <w:vAlign w:val="center"/>
                </w:tcPr>
                <w:p>
                  <w:pPr>
                    <w:jc w:val="center"/>
                    <w:rPr>
                      <w:rFonts w:hint="eastAsia" w:eastAsia="宋体"/>
                      <w:color w:val="FF0000"/>
                      <w:sz w:val="21"/>
                      <w:szCs w:val="21"/>
                      <w:highlight w:val="none"/>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最大船员人数</w:t>
                  </w:r>
                </w:p>
              </w:tc>
              <w:tc>
                <w:tcPr>
                  <w:tcW w:w="1652"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5人</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eastAsia="宋体"/>
                      <w:color w:val="FF0000"/>
                      <w:sz w:val="21"/>
                      <w:szCs w:val="21"/>
                      <w:highlight w:val="none"/>
                      <w:u w:val="single" w:color="auto"/>
                      <w:lang w:val="en-US" w:eastAsia="zh-CN"/>
                    </w:rPr>
                  </w:pPr>
                </w:p>
              </w:tc>
              <w:tc>
                <w:tcPr>
                  <w:tcW w:w="460" w:type="pct"/>
                  <w:vMerge w:val="restart"/>
                  <w:noWrap w:val="0"/>
                  <w:vAlign w:val="center"/>
                </w:tcPr>
                <w:p>
                  <w:pPr>
                    <w:jc w:val="center"/>
                    <w:rPr>
                      <w:rFonts w:hint="default" w:eastAsia="宋体"/>
                      <w:color w:val="FF0000"/>
                      <w:sz w:val="21"/>
                      <w:szCs w:val="21"/>
                      <w:highlight w:val="none"/>
                      <w:u w:val="single" w:color="auto"/>
                      <w:lang w:val="en-US" w:eastAsia="zh-CN"/>
                    </w:rPr>
                  </w:pPr>
                  <w:r>
                    <w:rPr>
                      <w:rFonts w:hint="eastAsia"/>
                      <w:color w:val="FF0000"/>
                      <w:sz w:val="21"/>
                      <w:szCs w:val="21"/>
                      <w:highlight w:val="none"/>
                      <w:u w:val="single" w:color="auto"/>
                      <w:lang w:val="en-US" w:eastAsia="zh-CN"/>
                    </w:rPr>
                    <w:t>湘湘阴油0530</w:t>
                  </w: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船舶识别号</w:t>
                  </w:r>
                </w:p>
              </w:tc>
              <w:tc>
                <w:tcPr>
                  <w:tcW w:w="1652"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CN20112228146</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一艘</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eastAsia="宋体"/>
                      <w:color w:val="FF0000"/>
                      <w:sz w:val="21"/>
                      <w:szCs w:val="21"/>
                      <w:highlight w:val="none"/>
                      <w:u w:val="single" w:color="auto"/>
                      <w:lang w:val="en-US" w:eastAsia="zh-CN"/>
                    </w:rPr>
                  </w:pPr>
                </w:p>
              </w:tc>
              <w:tc>
                <w:tcPr>
                  <w:tcW w:w="460" w:type="pct"/>
                  <w:vMerge w:val="continue"/>
                  <w:noWrap w:val="0"/>
                  <w:vAlign w:val="center"/>
                </w:tcPr>
                <w:p>
                  <w:pPr>
                    <w:jc w:val="center"/>
                    <w:rPr>
                      <w:rFonts w:hint="eastAsia" w:eastAsia="宋体"/>
                      <w:color w:val="FF0000"/>
                      <w:sz w:val="21"/>
                      <w:szCs w:val="21"/>
                      <w:highlight w:val="none"/>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船检登记号</w:t>
                  </w:r>
                </w:p>
              </w:tc>
              <w:tc>
                <w:tcPr>
                  <w:tcW w:w="1652"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2012P4101127</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olor w:val="FF0000"/>
                      <w:sz w:val="21"/>
                      <w:szCs w:val="21"/>
                      <w:highlight w:val="none"/>
                      <w:u w:val="singl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eastAsia="宋体"/>
                      <w:color w:val="FF0000"/>
                      <w:sz w:val="21"/>
                      <w:szCs w:val="21"/>
                      <w:highlight w:val="none"/>
                      <w:u w:val="single" w:color="auto"/>
                      <w:lang w:val="en-US" w:eastAsia="zh-CN"/>
                    </w:rPr>
                  </w:pPr>
                </w:p>
              </w:tc>
              <w:tc>
                <w:tcPr>
                  <w:tcW w:w="460" w:type="pct"/>
                  <w:vMerge w:val="continue"/>
                  <w:noWrap w:val="0"/>
                  <w:vAlign w:val="center"/>
                </w:tcPr>
                <w:p>
                  <w:pPr>
                    <w:jc w:val="center"/>
                    <w:rPr>
                      <w:rFonts w:hint="eastAsia" w:eastAsia="宋体"/>
                      <w:color w:val="FF0000"/>
                      <w:sz w:val="21"/>
                      <w:szCs w:val="21"/>
                      <w:highlight w:val="none"/>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船舶类型</w:t>
                  </w:r>
                </w:p>
              </w:tc>
              <w:tc>
                <w:tcPr>
                  <w:tcW w:w="1652"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油船（闪电＞60℃）</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olor w:val="FF0000"/>
                      <w:sz w:val="21"/>
                      <w:szCs w:val="21"/>
                      <w:highlight w:val="none"/>
                      <w:u w:val="singl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eastAsia="宋体"/>
                      <w:color w:val="FF0000"/>
                      <w:sz w:val="21"/>
                      <w:szCs w:val="21"/>
                      <w:highlight w:val="none"/>
                      <w:u w:val="single" w:color="auto"/>
                      <w:lang w:val="en-US" w:eastAsia="zh-CN"/>
                    </w:rPr>
                  </w:pPr>
                </w:p>
              </w:tc>
              <w:tc>
                <w:tcPr>
                  <w:tcW w:w="460" w:type="pct"/>
                  <w:vMerge w:val="continue"/>
                  <w:noWrap w:val="0"/>
                  <w:vAlign w:val="center"/>
                </w:tcPr>
                <w:p>
                  <w:pPr>
                    <w:jc w:val="center"/>
                    <w:rPr>
                      <w:rFonts w:hint="eastAsia" w:eastAsia="宋体"/>
                      <w:color w:val="FF0000"/>
                      <w:sz w:val="21"/>
                      <w:szCs w:val="21"/>
                      <w:highlight w:val="none"/>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总吨位</w:t>
                  </w:r>
                </w:p>
              </w:tc>
              <w:tc>
                <w:tcPr>
                  <w:tcW w:w="1652"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497</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eastAsia="宋体"/>
                      <w:color w:val="FF0000"/>
                      <w:sz w:val="21"/>
                      <w:szCs w:val="21"/>
                      <w:highlight w:val="none"/>
                      <w:u w:val="single" w:color="auto"/>
                      <w:lang w:val="en-US" w:eastAsia="zh-CN"/>
                    </w:rPr>
                  </w:pPr>
                </w:p>
              </w:tc>
              <w:tc>
                <w:tcPr>
                  <w:tcW w:w="460" w:type="pct"/>
                  <w:vMerge w:val="continue"/>
                  <w:noWrap w:val="0"/>
                  <w:vAlign w:val="center"/>
                </w:tcPr>
                <w:p>
                  <w:pPr>
                    <w:jc w:val="center"/>
                    <w:rPr>
                      <w:rFonts w:hint="eastAsia" w:eastAsia="宋体"/>
                      <w:color w:val="FF0000"/>
                      <w:sz w:val="21"/>
                      <w:szCs w:val="21"/>
                      <w:highlight w:val="none"/>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净吨位</w:t>
                  </w:r>
                </w:p>
              </w:tc>
              <w:tc>
                <w:tcPr>
                  <w:tcW w:w="1652"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278</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eastAsia="宋体"/>
                      <w:color w:val="FF0000"/>
                      <w:sz w:val="21"/>
                      <w:szCs w:val="21"/>
                      <w:highlight w:val="none"/>
                      <w:u w:val="single" w:color="auto"/>
                      <w:lang w:val="en-US" w:eastAsia="zh-CN"/>
                    </w:rPr>
                  </w:pPr>
                </w:p>
              </w:tc>
              <w:tc>
                <w:tcPr>
                  <w:tcW w:w="460" w:type="pct"/>
                  <w:vMerge w:val="continue"/>
                  <w:noWrap w:val="0"/>
                  <w:vAlign w:val="center"/>
                </w:tcPr>
                <w:p>
                  <w:pPr>
                    <w:jc w:val="center"/>
                    <w:rPr>
                      <w:rFonts w:hint="eastAsia" w:eastAsia="宋体"/>
                      <w:color w:val="FF0000"/>
                      <w:sz w:val="21"/>
                      <w:szCs w:val="21"/>
                      <w:highlight w:val="none"/>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航区</w:t>
                  </w:r>
                </w:p>
              </w:tc>
              <w:tc>
                <w:tcPr>
                  <w:tcW w:w="1652"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内河B级</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eastAsia="宋体"/>
                      <w:color w:val="FF0000"/>
                      <w:sz w:val="21"/>
                      <w:szCs w:val="21"/>
                      <w:highlight w:val="none"/>
                      <w:u w:val="single" w:color="auto"/>
                      <w:lang w:val="en-US" w:eastAsia="zh-CN"/>
                    </w:rPr>
                  </w:pPr>
                </w:p>
              </w:tc>
              <w:tc>
                <w:tcPr>
                  <w:tcW w:w="460" w:type="pct"/>
                  <w:vMerge w:val="continue"/>
                  <w:noWrap w:val="0"/>
                  <w:vAlign w:val="center"/>
                </w:tcPr>
                <w:p>
                  <w:pPr>
                    <w:jc w:val="center"/>
                    <w:rPr>
                      <w:rFonts w:hint="eastAsia" w:eastAsia="宋体"/>
                      <w:color w:val="FF0000"/>
                      <w:sz w:val="21"/>
                      <w:szCs w:val="21"/>
                      <w:highlight w:val="none"/>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最大船员人数</w:t>
                  </w:r>
                </w:p>
              </w:tc>
              <w:tc>
                <w:tcPr>
                  <w:tcW w:w="1652"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6人</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restart"/>
                  <w:noWrap w:val="0"/>
                  <w:vAlign w:val="center"/>
                </w:tcPr>
                <w:p>
                  <w:pPr>
                    <w:jc w:val="center"/>
                    <w:rPr>
                      <w:rFonts w:hint="default"/>
                      <w:color w:val="FF0000"/>
                      <w:sz w:val="21"/>
                      <w:szCs w:val="21"/>
                      <w:highlight w:val="none"/>
                      <w:u w:val="single" w:color="auto"/>
                      <w:lang w:val="en-US" w:eastAsia="zh-CN"/>
                    </w:rPr>
                  </w:pPr>
                  <w:r>
                    <w:rPr>
                      <w:rFonts w:hint="eastAsia"/>
                      <w:color w:val="FF0000"/>
                      <w:sz w:val="21"/>
                      <w:szCs w:val="21"/>
                      <w:highlight w:val="none"/>
                      <w:u w:val="single" w:color="auto"/>
                      <w:lang w:val="en-US" w:eastAsia="zh-CN"/>
                    </w:rPr>
                    <w:t>船体部分</w:t>
                  </w:r>
                </w:p>
              </w:tc>
              <w:tc>
                <w:tcPr>
                  <w:tcW w:w="460" w:type="pct"/>
                  <w:vMerge w:val="restart"/>
                  <w:noWrap w:val="0"/>
                  <w:vAlign w:val="center"/>
                </w:tcPr>
                <w:p>
                  <w:pPr>
                    <w:jc w:val="center"/>
                    <w:rPr>
                      <w:rFonts w:hint="eastAsia"/>
                      <w:color w:val="FF0000"/>
                      <w:sz w:val="21"/>
                      <w:szCs w:val="21"/>
                      <w:highlight w:val="none"/>
                      <w:u w:val="single" w:color="auto"/>
                      <w:lang w:val="en-US" w:eastAsia="zh-CN"/>
                    </w:rPr>
                  </w:pPr>
                  <w:r>
                    <w:rPr>
                      <w:rFonts w:hint="eastAsia"/>
                      <w:color w:val="FF0000"/>
                      <w:sz w:val="21"/>
                      <w:szCs w:val="21"/>
                      <w:highlight w:val="none"/>
                      <w:u w:val="single" w:color="auto"/>
                      <w:lang w:val="en-US" w:eastAsia="zh-CN"/>
                    </w:rPr>
                    <w:t>湘湘阴油0659</w:t>
                  </w: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总长</w:t>
                  </w:r>
                </w:p>
              </w:tc>
              <w:tc>
                <w:tcPr>
                  <w:tcW w:w="1652"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37.30m</w:t>
                  </w:r>
                </w:p>
              </w:tc>
              <w:tc>
                <w:tcPr>
                  <w:tcW w:w="1215" w:type="pct"/>
                  <w:noWrap w:val="0"/>
                  <w:vAlign w:val="center"/>
                </w:tcPr>
                <w:p>
                  <w:pPr>
                    <w:jc w:val="center"/>
                    <w:rPr>
                      <w:rFonts w:hint="default" w:ascii="Times New Roman" w:hAnsi="Times New Roman" w:eastAsia="宋体"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default"/>
                      <w:color w:val="FF0000"/>
                      <w:sz w:val="21"/>
                      <w:szCs w:val="21"/>
                      <w:highlight w:val="none"/>
                      <w:u w:val="single" w:color="auto"/>
                      <w:lang w:val="en-US" w:eastAsia="zh-CN"/>
                    </w:rPr>
                  </w:pPr>
                </w:p>
              </w:tc>
              <w:tc>
                <w:tcPr>
                  <w:tcW w:w="460" w:type="pct"/>
                  <w:vMerge w:val="continue"/>
                  <w:noWrap w:val="0"/>
                  <w:vAlign w:val="center"/>
                </w:tcPr>
                <w:p>
                  <w:pPr>
                    <w:jc w:val="center"/>
                    <w:rPr>
                      <w:rFonts w:hint="default"/>
                      <w:color w:val="FF0000"/>
                      <w:sz w:val="21"/>
                      <w:szCs w:val="21"/>
                      <w:highlight w:val="none"/>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船长</w:t>
                  </w:r>
                </w:p>
              </w:tc>
              <w:tc>
                <w:tcPr>
                  <w:tcW w:w="1652"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36.00m</w:t>
                  </w:r>
                </w:p>
              </w:tc>
              <w:tc>
                <w:tcPr>
                  <w:tcW w:w="1215" w:type="pct"/>
                  <w:noWrap w:val="0"/>
                  <w:vAlign w:val="center"/>
                </w:tcPr>
                <w:p>
                  <w:pPr>
                    <w:jc w:val="center"/>
                    <w:rPr>
                      <w:rFonts w:hint="default" w:ascii="Times New Roman" w:hAnsi="Times New Roman" w:eastAsia="宋体"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default"/>
                      <w:color w:val="FF0000"/>
                      <w:sz w:val="21"/>
                      <w:szCs w:val="21"/>
                      <w:highlight w:val="none"/>
                      <w:u w:val="single" w:color="auto"/>
                      <w:lang w:val="en-US" w:eastAsia="zh-CN"/>
                    </w:rPr>
                  </w:pPr>
                </w:p>
              </w:tc>
              <w:tc>
                <w:tcPr>
                  <w:tcW w:w="460" w:type="pct"/>
                  <w:vMerge w:val="continue"/>
                  <w:noWrap w:val="0"/>
                  <w:vAlign w:val="center"/>
                </w:tcPr>
                <w:p>
                  <w:pPr>
                    <w:jc w:val="center"/>
                    <w:rPr>
                      <w:rFonts w:hint="default"/>
                      <w:color w:val="FF0000"/>
                      <w:sz w:val="21"/>
                      <w:szCs w:val="21"/>
                      <w:highlight w:val="none"/>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满载水线长</w:t>
                  </w:r>
                </w:p>
              </w:tc>
              <w:tc>
                <w:tcPr>
                  <w:tcW w:w="1652"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36.00m</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default"/>
                      <w:color w:val="FF0000"/>
                      <w:sz w:val="21"/>
                      <w:szCs w:val="21"/>
                      <w:highlight w:val="none"/>
                      <w:u w:val="single" w:color="auto"/>
                      <w:lang w:val="en-US" w:eastAsia="zh-CN"/>
                    </w:rPr>
                  </w:pPr>
                </w:p>
              </w:tc>
              <w:tc>
                <w:tcPr>
                  <w:tcW w:w="460" w:type="pct"/>
                  <w:vMerge w:val="continue"/>
                  <w:noWrap w:val="0"/>
                  <w:vAlign w:val="center"/>
                </w:tcPr>
                <w:p>
                  <w:pPr>
                    <w:jc w:val="center"/>
                    <w:rPr>
                      <w:rFonts w:hint="default"/>
                      <w:color w:val="FF0000"/>
                      <w:sz w:val="21"/>
                      <w:szCs w:val="21"/>
                      <w:highlight w:val="none"/>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船宽</w:t>
                  </w:r>
                </w:p>
              </w:tc>
              <w:tc>
                <w:tcPr>
                  <w:tcW w:w="1652"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9.00m</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default"/>
                      <w:color w:val="FF0000"/>
                      <w:sz w:val="21"/>
                      <w:szCs w:val="21"/>
                      <w:highlight w:val="none"/>
                      <w:u w:val="single" w:color="auto"/>
                      <w:lang w:val="en-US" w:eastAsia="zh-CN"/>
                    </w:rPr>
                  </w:pPr>
                </w:p>
              </w:tc>
              <w:tc>
                <w:tcPr>
                  <w:tcW w:w="460" w:type="pct"/>
                  <w:vMerge w:val="continue"/>
                  <w:noWrap w:val="0"/>
                  <w:vAlign w:val="center"/>
                </w:tcPr>
                <w:p>
                  <w:pPr>
                    <w:jc w:val="center"/>
                    <w:rPr>
                      <w:rFonts w:hint="default"/>
                      <w:color w:val="FF0000"/>
                      <w:sz w:val="21"/>
                      <w:szCs w:val="21"/>
                      <w:highlight w:val="none"/>
                      <w:u w:val="single" w:color="auto"/>
                      <w:lang w:val="en-US" w:eastAsia="zh-CN"/>
                    </w:rPr>
                  </w:pPr>
                </w:p>
              </w:tc>
              <w:tc>
                <w:tcPr>
                  <w:tcW w:w="1399" w:type="pct"/>
                  <w:noWrap w:val="0"/>
                  <w:vAlign w:val="center"/>
                </w:tcPr>
                <w:p>
                  <w:pPr>
                    <w:bidi w:val="0"/>
                    <w:jc w:val="center"/>
                    <w:rPr>
                      <w:rFonts w:hint="default" w:ascii="Times New Roman" w:hAnsi="Times New Roman" w:eastAsia="宋体" w:cs="Times New Roman"/>
                      <w:color w:val="FF0000"/>
                      <w:kern w:val="2"/>
                      <w:sz w:val="21"/>
                      <w:szCs w:val="21"/>
                      <w:u w:val="single" w:color="auto"/>
                      <w:lang w:val="en-US" w:eastAsia="zh-CN" w:bidi="ar-SA"/>
                    </w:rPr>
                  </w:pPr>
                  <w:r>
                    <w:rPr>
                      <w:rFonts w:hint="eastAsia" w:cs="Times New Roman"/>
                      <w:color w:val="FF0000"/>
                      <w:kern w:val="2"/>
                      <w:sz w:val="21"/>
                      <w:szCs w:val="21"/>
                      <w:u w:val="single" w:color="auto"/>
                      <w:lang w:val="en-US" w:eastAsia="zh-CN" w:bidi="ar-SA"/>
                    </w:rPr>
                    <w:t>最大船宽</w:t>
                  </w:r>
                </w:p>
              </w:tc>
              <w:tc>
                <w:tcPr>
                  <w:tcW w:w="1652"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9.20m</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default"/>
                      <w:color w:val="FF0000"/>
                      <w:sz w:val="21"/>
                      <w:szCs w:val="21"/>
                      <w:highlight w:val="none"/>
                      <w:u w:val="single" w:color="auto"/>
                      <w:lang w:val="en-US" w:eastAsia="zh-CN"/>
                    </w:rPr>
                  </w:pPr>
                </w:p>
              </w:tc>
              <w:tc>
                <w:tcPr>
                  <w:tcW w:w="460" w:type="pct"/>
                  <w:vMerge w:val="continue"/>
                  <w:noWrap w:val="0"/>
                  <w:vAlign w:val="center"/>
                </w:tcPr>
                <w:p>
                  <w:pPr>
                    <w:jc w:val="center"/>
                    <w:rPr>
                      <w:rFonts w:hint="default"/>
                      <w:color w:val="FF0000"/>
                      <w:sz w:val="21"/>
                      <w:szCs w:val="21"/>
                      <w:highlight w:val="none"/>
                      <w:u w:val="single" w:color="auto"/>
                      <w:lang w:val="en-US" w:eastAsia="zh-CN"/>
                    </w:rPr>
                  </w:pPr>
                </w:p>
              </w:tc>
              <w:tc>
                <w:tcPr>
                  <w:tcW w:w="1399" w:type="pct"/>
                  <w:noWrap w:val="0"/>
                  <w:vAlign w:val="center"/>
                </w:tcPr>
                <w:p>
                  <w:pPr>
                    <w:bidi w:val="0"/>
                    <w:jc w:val="center"/>
                    <w:rPr>
                      <w:rFonts w:hint="eastAsia" w:ascii="Times New Roman" w:hAnsi="Times New Roman" w:eastAsia="宋体" w:cs="Times New Roman"/>
                      <w:color w:val="FF0000"/>
                      <w:kern w:val="2"/>
                      <w:sz w:val="21"/>
                      <w:szCs w:val="21"/>
                      <w:u w:val="single" w:color="auto"/>
                      <w:lang w:val="en-US" w:eastAsia="zh-CN" w:bidi="ar-SA"/>
                    </w:rPr>
                  </w:pPr>
                  <w:r>
                    <w:rPr>
                      <w:rFonts w:hint="eastAsia"/>
                      <w:color w:val="FF0000"/>
                      <w:sz w:val="21"/>
                      <w:szCs w:val="21"/>
                      <w:u w:val="single" w:color="auto"/>
                      <w:lang w:val="en-US" w:eastAsia="zh-CN"/>
                    </w:rPr>
                    <w:t>型深</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2.00m</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highlight w:val="none"/>
                      <w:u w:val="single" w:color="auto"/>
                      <w:lang w:val="en-US" w:eastAsia="zh-CN"/>
                    </w:rPr>
                  </w:pPr>
                </w:p>
              </w:tc>
              <w:tc>
                <w:tcPr>
                  <w:tcW w:w="460" w:type="pct"/>
                  <w:vMerge w:val="continue"/>
                  <w:noWrap w:val="0"/>
                  <w:vAlign w:val="center"/>
                </w:tcPr>
                <w:p>
                  <w:pPr>
                    <w:jc w:val="center"/>
                    <w:rPr>
                      <w:rFonts w:hint="eastAsia"/>
                      <w:color w:val="FF0000"/>
                      <w:sz w:val="21"/>
                      <w:szCs w:val="21"/>
                      <w:highlight w:val="none"/>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最大船高</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7.80m</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highlight w:val="none"/>
                      <w:u w:val="single" w:color="auto"/>
                      <w:lang w:val="en-US" w:eastAsia="zh-CN"/>
                    </w:rPr>
                  </w:pPr>
                </w:p>
              </w:tc>
              <w:tc>
                <w:tcPr>
                  <w:tcW w:w="460" w:type="pct"/>
                  <w:vMerge w:val="continue"/>
                  <w:noWrap w:val="0"/>
                  <w:vAlign w:val="center"/>
                </w:tcPr>
                <w:p>
                  <w:pPr>
                    <w:jc w:val="center"/>
                    <w:rPr>
                      <w:rFonts w:hint="eastAsia"/>
                      <w:color w:val="FF0000"/>
                      <w:sz w:val="21"/>
                      <w:szCs w:val="21"/>
                      <w:highlight w:val="none"/>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空载吃水</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0.381m</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highlight w:val="none"/>
                      <w:u w:val="single" w:color="auto"/>
                      <w:lang w:val="en-US" w:eastAsia="zh-CN"/>
                    </w:rPr>
                  </w:pPr>
                </w:p>
              </w:tc>
              <w:tc>
                <w:tcPr>
                  <w:tcW w:w="460" w:type="pct"/>
                  <w:vMerge w:val="continue"/>
                  <w:noWrap w:val="0"/>
                  <w:vAlign w:val="center"/>
                </w:tcPr>
                <w:p>
                  <w:pPr>
                    <w:jc w:val="center"/>
                    <w:rPr>
                      <w:rFonts w:hint="eastAsia"/>
                      <w:color w:val="FF0000"/>
                      <w:sz w:val="21"/>
                      <w:szCs w:val="21"/>
                      <w:highlight w:val="none"/>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满载吃水</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1.600m</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highlight w:val="none"/>
                      <w:u w:val="single" w:color="auto"/>
                      <w:lang w:val="en-US" w:eastAsia="zh-CN"/>
                    </w:rPr>
                  </w:pPr>
                </w:p>
              </w:tc>
              <w:tc>
                <w:tcPr>
                  <w:tcW w:w="460" w:type="pct"/>
                  <w:vMerge w:val="continue"/>
                  <w:noWrap w:val="0"/>
                  <w:vAlign w:val="center"/>
                </w:tcPr>
                <w:p>
                  <w:pPr>
                    <w:jc w:val="center"/>
                    <w:rPr>
                      <w:rFonts w:hint="eastAsia"/>
                      <w:color w:val="FF0000"/>
                      <w:sz w:val="21"/>
                      <w:szCs w:val="21"/>
                      <w:highlight w:val="none"/>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满载排水量</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448.343t</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highlight w:val="none"/>
                      <w:u w:val="single" w:color="auto"/>
                      <w:lang w:val="en-US" w:eastAsia="zh-CN"/>
                    </w:rPr>
                  </w:pPr>
                </w:p>
              </w:tc>
              <w:tc>
                <w:tcPr>
                  <w:tcW w:w="460" w:type="pct"/>
                  <w:vMerge w:val="continue"/>
                  <w:noWrap w:val="0"/>
                  <w:vAlign w:val="center"/>
                </w:tcPr>
                <w:p>
                  <w:pPr>
                    <w:jc w:val="center"/>
                    <w:rPr>
                      <w:rFonts w:hint="eastAsia"/>
                      <w:color w:val="FF0000"/>
                      <w:sz w:val="21"/>
                      <w:szCs w:val="21"/>
                      <w:highlight w:val="none"/>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空船排水量</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---t</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highlight w:val="none"/>
                      <w:u w:val="single" w:color="auto"/>
                      <w:lang w:val="en-US" w:eastAsia="zh-CN"/>
                    </w:rPr>
                  </w:pPr>
                </w:p>
              </w:tc>
              <w:tc>
                <w:tcPr>
                  <w:tcW w:w="460" w:type="pct"/>
                  <w:vMerge w:val="continue"/>
                  <w:noWrap w:val="0"/>
                  <w:vAlign w:val="center"/>
                </w:tcPr>
                <w:p>
                  <w:pPr>
                    <w:jc w:val="center"/>
                    <w:rPr>
                      <w:rFonts w:hint="eastAsia"/>
                      <w:color w:val="FF0000"/>
                      <w:sz w:val="21"/>
                      <w:szCs w:val="21"/>
                      <w:highlight w:val="none"/>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船体材料</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钢质</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highlight w:val="none"/>
                      <w:u w:val="single" w:color="auto"/>
                      <w:lang w:val="en-US" w:eastAsia="zh-CN"/>
                    </w:rPr>
                  </w:pPr>
                </w:p>
              </w:tc>
              <w:tc>
                <w:tcPr>
                  <w:tcW w:w="460" w:type="pct"/>
                  <w:vMerge w:val="continue"/>
                  <w:noWrap w:val="0"/>
                  <w:vAlign w:val="center"/>
                </w:tcPr>
                <w:p>
                  <w:pPr>
                    <w:jc w:val="center"/>
                    <w:rPr>
                      <w:rFonts w:hint="eastAsia"/>
                      <w:color w:val="FF0000"/>
                      <w:sz w:val="21"/>
                      <w:szCs w:val="21"/>
                      <w:highlight w:val="none"/>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水密衡舱壁数</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6</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highlight w:val="none"/>
                      <w:u w:val="single" w:color="auto"/>
                      <w:lang w:val="en-US" w:eastAsia="zh-CN"/>
                    </w:rPr>
                  </w:pPr>
                </w:p>
              </w:tc>
              <w:tc>
                <w:tcPr>
                  <w:tcW w:w="460" w:type="pct"/>
                  <w:vMerge w:val="continue"/>
                  <w:noWrap w:val="0"/>
                  <w:vAlign w:val="center"/>
                </w:tcPr>
                <w:p>
                  <w:pPr>
                    <w:jc w:val="center"/>
                    <w:rPr>
                      <w:rFonts w:hint="eastAsia"/>
                      <w:color w:val="FF0000"/>
                      <w:sz w:val="21"/>
                      <w:szCs w:val="21"/>
                      <w:highlight w:val="none"/>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结构型式</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横骨架式</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highlight w:val="none"/>
                      <w:u w:val="single" w:color="auto"/>
                      <w:lang w:val="en-US" w:eastAsia="zh-CN"/>
                    </w:rPr>
                  </w:pPr>
                </w:p>
              </w:tc>
              <w:tc>
                <w:tcPr>
                  <w:tcW w:w="460" w:type="pct"/>
                  <w:vMerge w:val="continue"/>
                  <w:noWrap w:val="0"/>
                  <w:vAlign w:val="center"/>
                </w:tcPr>
                <w:p>
                  <w:pPr>
                    <w:jc w:val="center"/>
                    <w:rPr>
                      <w:rFonts w:hint="eastAsia"/>
                      <w:color w:val="FF0000"/>
                      <w:sz w:val="21"/>
                      <w:szCs w:val="21"/>
                      <w:highlight w:val="none"/>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货舱的数量</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4</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highlight w:val="none"/>
                      <w:u w:val="single" w:color="auto"/>
                      <w:lang w:val="en-US" w:eastAsia="zh-CN"/>
                    </w:rPr>
                  </w:pPr>
                </w:p>
              </w:tc>
              <w:tc>
                <w:tcPr>
                  <w:tcW w:w="460" w:type="pct"/>
                  <w:vMerge w:val="continue"/>
                  <w:noWrap w:val="0"/>
                  <w:vAlign w:val="center"/>
                </w:tcPr>
                <w:p>
                  <w:pPr>
                    <w:jc w:val="center"/>
                    <w:rPr>
                      <w:rFonts w:hint="eastAsia"/>
                      <w:color w:val="FF0000"/>
                      <w:sz w:val="21"/>
                      <w:szCs w:val="21"/>
                      <w:highlight w:val="none"/>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货舱盖型式</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气密</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highlight w:val="none"/>
                      <w:u w:val="single" w:color="auto"/>
                      <w:lang w:val="en-US" w:eastAsia="zh-CN"/>
                    </w:rPr>
                  </w:pPr>
                </w:p>
              </w:tc>
              <w:tc>
                <w:tcPr>
                  <w:tcW w:w="460" w:type="pct"/>
                  <w:vMerge w:val="continue"/>
                  <w:noWrap w:val="0"/>
                  <w:vAlign w:val="center"/>
                </w:tcPr>
                <w:p>
                  <w:pPr>
                    <w:jc w:val="center"/>
                    <w:rPr>
                      <w:rFonts w:hint="eastAsia"/>
                      <w:color w:val="FF0000"/>
                      <w:sz w:val="21"/>
                      <w:szCs w:val="21"/>
                      <w:highlight w:val="none"/>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双层低位置</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highlight w:val="none"/>
                      <w:u w:val="single" w:color="auto"/>
                      <w:lang w:val="en-US" w:eastAsia="zh-CN"/>
                    </w:rPr>
                  </w:pPr>
                </w:p>
              </w:tc>
              <w:tc>
                <w:tcPr>
                  <w:tcW w:w="460" w:type="pct"/>
                  <w:vMerge w:val="continue"/>
                  <w:noWrap w:val="0"/>
                  <w:vAlign w:val="center"/>
                </w:tcPr>
                <w:p>
                  <w:pPr>
                    <w:jc w:val="center"/>
                    <w:rPr>
                      <w:rFonts w:hint="eastAsia"/>
                      <w:color w:val="FF0000"/>
                      <w:sz w:val="21"/>
                      <w:szCs w:val="21"/>
                      <w:highlight w:val="none"/>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载货量</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350.00t</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highlight w:val="none"/>
                      <w:u w:val="single" w:color="auto"/>
                      <w:lang w:val="en-US" w:eastAsia="zh-CN"/>
                    </w:rPr>
                  </w:pPr>
                </w:p>
              </w:tc>
              <w:tc>
                <w:tcPr>
                  <w:tcW w:w="460" w:type="pct"/>
                  <w:vMerge w:val="continue"/>
                  <w:noWrap w:val="0"/>
                  <w:vAlign w:val="center"/>
                </w:tcPr>
                <w:p>
                  <w:pPr>
                    <w:jc w:val="center"/>
                    <w:rPr>
                      <w:rFonts w:hint="eastAsia"/>
                      <w:color w:val="FF0000"/>
                      <w:sz w:val="21"/>
                      <w:szCs w:val="21"/>
                      <w:highlight w:val="none"/>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进水角位置</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机舱门槛</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highlight w:val="none"/>
                      <w:u w:val="single" w:color="auto"/>
                      <w:lang w:val="en-US" w:eastAsia="zh-CN"/>
                    </w:rPr>
                  </w:pPr>
                </w:p>
              </w:tc>
              <w:tc>
                <w:tcPr>
                  <w:tcW w:w="460" w:type="pct"/>
                  <w:vMerge w:val="restart"/>
                  <w:noWrap w:val="0"/>
                  <w:vAlign w:val="center"/>
                </w:tcPr>
                <w:p>
                  <w:pPr>
                    <w:jc w:val="center"/>
                    <w:rPr>
                      <w:rFonts w:hint="eastAsia"/>
                      <w:color w:val="FF0000"/>
                      <w:sz w:val="21"/>
                      <w:szCs w:val="21"/>
                      <w:highlight w:val="none"/>
                      <w:u w:val="single" w:color="auto"/>
                      <w:lang w:val="en-US" w:eastAsia="zh-CN"/>
                    </w:rPr>
                  </w:pPr>
                  <w:r>
                    <w:rPr>
                      <w:rFonts w:hint="eastAsia"/>
                      <w:color w:val="FF0000"/>
                      <w:sz w:val="21"/>
                      <w:szCs w:val="21"/>
                      <w:highlight w:val="none"/>
                      <w:u w:val="single" w:color="auto"/>
                      <w:lang w:val="en-US" w:eastAsia="zh-CN"/>
                    </w:rPr>
                    <w:t>湘湘阴油0530</w:t>
                  </w: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总长</w:t>
                  </w:r>
                </w:p>
              </w:tc>
              <w:tc>
                <w:tcPr>
                  <w:tcW w:w="1652" w:type="pct"/>
                  <w:noWrap w:val="0"/>
                  <w:vAlign w:val="center"/>
                </w:tcPr>
                <w:p>
                  <w:pPr>
                    <w:bidi w:val="0"/>
                    <w:jc w:val="center"/>
                    <w:rPr>
                      <w:rFonts w:hint="eastAsia" w:cs="Times New Roman"/>
                      <w:color w:val="FF0000"/>
                      <w:kern w:val="2"/>
                      <w:sz w:val="21"/>
                      <w:szCs w:val="21"/>
                      <w:highlight w:val="none"/>
                      <w:u w:val="single" w:color="auto"/>
                      <w:lang w:val="en-US" w:eastAsia="zh-CN" w:bidi="ar-SA"/>
                    </w:rPr>
                  </w:pPr>
                  <w:r>
                    <w:rPr>
                      <w:rFonts w:hint="eastAsia"/>
                      <w:color w:val="FF0000"/>
                      <w:sz w:val="21"/>
                      <w:szCs w:val="21"/>
                      <w:u w:val="single" w:color="auto"/>
                      <w:lang w:val="en-US" w:eastAsia="zh-CN"/>
                    </w:rPr>
                    <w:t>48.10m</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highlight w:val="none"/>
                      <w:u w:val="single" w:color="auto"/>
                      <w:lang w:val="en-US" w:eastAsia="zh-CN"/>
                    </w:rPr>
                  </w:pPr>
                </w:p>
              </w:tc>
              <w:tc>
                <w:tcPr>
                  <w:tcW w:w="460" w:type="pct"/>
                  <w:vMerge w:val="continue"/>
                  <w:noWrap w:val="0"/>
                  <w:vAlign w:val="center"/>
                </w:tcPr>
                <w:p>
                  <w:pPr>
                    <w:jc w:val="center"/>
                    <w:rPr>
                      <w:rFonts w:hint="eastAsia"/>
                      <w:color w:val="FF0000"/>
                      <w:sz w:val="21"/>
                      <w:szCs w:val="21"/>
                      <w:highlight w:val="none"/>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船长</w:t>
                  </w:r>
                </w:p>
              </w:tc>
              <w:tc>
                <w:tcPr>
                  <w:tcW w:w="1652" w:type="pct"/>
                  <w:noWrap w:val="0"/>
                  <w:vAlign w:val="center"/>
                </w:tcPr>
                <w:p>
                  <w:pPr>
                    <w:bidi w:val="0"/>
                    <w:jc w:val="center"/>
                    <w:rPr>
                      <w:rFonts w:hint="eastAsia" w:cs="Times New Roman"/>
                      <w:color w:val="FF0000"/>
                      <w:kern w:val="2"/>
                      <w:sz w:val="21"/>
                      <w:szCs w:val="21"/>
                      <w:highlight w:val="none"/>
                      <w:u w:val="single" w:color="auto"/>
                      <w:lang w:val="en-US" w:eastAsia="zh-CN" w:bidi="ar-SA"/>
                    </w:rPr>
                  </w:pPr>
                  <w:r>
                    <w:rPr>
                      <w:rFonts w:hint="eastAsia"/>
                      <w:color w:val="FF0000"/>
                      <w:sz w:val="21"/>
                      <w:szCs w:val="21"/>
                      <w:u w:val="single" w:color="auto"/>
                      <w:lang w:val="en-US" w:eastAsia="zh-CN"/>
                    </w:rPr>
                    <w:t>46.40m</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highlight w:val="none"/>
                      <w:u w:val="single" w:color="auto"/>
                      <w:lang w:val="en-US" w:eastAsia="zh-CN"/>
                    </w:rPr>
                  </w:pPr>
                </w:p>
              </w:tc>
              <w:tc>
                <w:tcPr>
                  <w:tcW w:w="460" w:type="pct"/>
                  <w:vMerge w:val="continue"/>
                  <w:noWrap w:val="0"/>
                  <w:vAlign w:val="center"/>
                </w:tcPr>
                <w:p>
                  <w:pPr>
                    <w:jc w:val="center"/>
                    <w:rPr>
                      <w:rFonts w:hint="eastAsia"/>
                      <w:color w:val="FF0000"/>
                      <w:sz w:val="21"/>
                      <w:szCs w:val="21"/>
                      <w:highlight w:val="none"/>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满载水线长</w:t>
                  </w:r>
                </w:p>
              </w:tc>
              <w:tc>
                <w:tcPr>
                  <w:tcW w:w="1652" w:type="pct"/>
                  <w:noWrap w:val="0"/>
                  <w:vAlign w:val="center"/>
                </w:tcPr>
                <w:p>
                  <w:pPr>
                    <w:bidi w:val="0"/>
                    <w:jc w:val="center"/>
                    <w:rPr>
                      <w:rFonts w:hint="eastAsia" w:cs="Times New Roman"/>
                      <w:color w:val="FF0000"/>
                      <w:kern w:val="2"/>
                      <w:sz w:val="21"/>
                      <w:szCs w:val="21"/>
                      <w:highlight w:val="none"/>
                      <w:u w:val="single" w:color="auto"/>
                      <w:lang w:val="en-US" w:eastAsia="zh-CN" w:bidi="ar-SA"/>
                    </w:rPr>
                  </w:pPr>
                  <w:r>
                    <w:rPr>
                      <w:rFonts w:hint="eastAsia"/>
                      <w:color w:val="FF0000"/>
                      <w:sz w:val="21"/>
                      <w:szCs w:val="21"/>
                      <w:u w:val="single" w:color="auto"/>
                      <w:lang w:val="en-US" w:eastAsia="zh-CN"/>
                    </w:rPr>
                    <w:t>47.34m</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highlight w:val="none"/>
                      <w:u w:val="single" w:color="auto"/>
                      <w:lang w:val="en-US" w:eastAsia="zh-CN"/>
                    </w:rPr>
                  </w:pPr>
                </w:p>
              </w:tc>
              <w:tc>
                <w:tcPr>
                  <w:tcW w:w="460" w:type="pct"/>
                  <w:vMerge w:val="continue"/>
                  <w:noWrap w:val="0"/>
                  <w:vAlign w:val="center"/>
                </w:tcPr>
                <w:p>
                  <w:pPr>
                    <w:jc w:val="center"/>
                    <w:rPr>
                      <w:rFonts w:hint="eastAsia"/>
                      <w:color w:val="FF0000"/>
                      <w:sz w:val="21"/>
                      <w:szCs w:val="21"/>
                      <w:highlight w:val="none"/>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船宽</w:t>
                  </w:r>
                </w:p>
              </w:tc>
              <w:tc>
                <w:tcPr>
                  <w:tcW w:w="1652" w:type="pct"/>
                  <w:noWrap w:val="0"/>
                  <w:vAlign w:val="center"/>
                </w:tcPr>
                <w:p>
                  <w:pPr>
                    <w:bidi w:val="0"/>
                    <w:jc w:val="center"/>
                    <w:rPr>
                      <w:rFonts w:hint="eastAsia" w:cs="Times New Roman"/>
                      <w:color w:val="FF0000"/>
                      <w:kern w:val="2"/>
                      <w:sz w:val="21"/>
                      <w:szCs w:val="21"/>
                      <w:highlight w:val="none"/>
                      <w:u w:val="single" w:color="auto"/>
                      <w:lang w:val="en-US" w:eastAsia="zh-CN" w:bidi="ar-SA"/>
                    </w:rPr>
                  </w:pPr>
                  <w:r>
                    <w:rPr>
                      <w:rFonts w:hint="eastAsia"/>
                      <w:color w:val="FF0000"/>
                      <w:sz w:val="21"/>
                      <w:szCs w:val="21"/>
                      <w:u w:val="single" w:color="auto"/>
                      <w:lang w:val="en-US" w:eastAsia="zh-CN"/>
                    </w:rPr>
                    <w:t>10.60m</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highlight w:val="none"/>
                      <w:u w:val="single" w:color="auto"/>
                      <w:lang w:val="en-US" w:eastAsia="zh-CN"/>
                    </w:rPr>
                  </w:pPr>
                </w:p>
              </w:tc>
              <w:tc>
                <w:tcPr>
                  <w:tcW w:w="460" w:type="pct"/>
                  <w:vMerge w:val="continue"/>
                  <w:noWrap w:val="0"/>
                  <w:vAlign w:val="center"/>
                </w:tcPr>
                <w:p>
                  <w:pPr>
                    <w:jc w:val="center"/>
                    <w:rPr>
                      <w:rFonts w:hint="eastAsia"/>
                      <w:color w:val="FF0000"/>
                      <w:sz w:val="21"/>
                      <w:szCs w:val="21"/>
                      <w:highlight w:val="none"/>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s="Times New Roman"/>
                      <w:color w:val="FF0000"/>
                      <w:kern w:val="2"/>
                      <w:sz w:val="21"/>
                      <w:szCs w:val="21"/>
                      <w:u w:val="single" w:color="auto"/>
                      <w:lang w:val="en-US" w:eastAsia="zh-CN" w:bidi="ar-SA"/>
                    </w:rPr>
                    <w:t>最大船宽</w:t>
                  </w:r>
                </w:p>
              </w:tc>
              <w:tc>
                <w:tcPr>
                  <w:tcW w:w="1652" w:type="pct"/>
                  <w:noWrap w:val="0"/>
                  <w:vAlign w:val="center"/>
                </w:tcPr>
                <w:p>
                  <w:pPr>
                    <w:bidi w:val="0"/>
                    <w:jc w:val="center"/>
                    <w:rPr>
                      <w:rFonts w:hint="eastAsia" w:cs="Times New Roman"/>
                      <w:color w:val="FF0000"/>
                      <w:kern w:val="2"/>
                      <w:sz w:val="21"/>
                      <w:szCs w:val="21"/>
                      <w:highlight w:val="none"/>
                      <w:u w:val="single" w:color="auto"/>
                      <w:lang w:val="en-US" w:eastAsia="zh-CN" w:bidi="ar-SA"/>
                    </w:rPr>
                  </w:pPr>
                  <w:r>
                    <w:rPr>
                      <w:rFonts w:hint="eastAsia"/>
                      <w:color w:val="FF0000"/>
                      <w:sz w:val="21"/>
                      <w:szCs w:val="21"/>
                      <w:u w:val="single" w:color="auto"/>
                      <w:lang w:val="en-US" w:eastAsia="zh-CN"/>
                    </w:rPr>
                    <w:t>10.62m</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highlight w:val="none"/>
                      <w:u w:val="single" w:color="auto"/>
                      <w:lang w:val="en-US" w:eastAsia="zh-CN"/>
                    </w:rPr>
                  </w:pPr>
                </w:p>
              </w:tc>
              <w:tc>
                <w:tcPr>
                  <w:tcW w:w="460" w:type="pct"/>
                  <w:vMerge w:val="continue"/>
                  <w:noWrap w:val="0"/>
                  <w:vAlign w:val="center"/>
                </w:tcPr>
                <w:p>
                  <w:pPr>
                    <w:jc w:val="center"/>
                    <w:rPr>
                      <w:rFonts w:hint="eastAsia"/>
                      <w:color w:val="FF0000"/>
                      <w:sz w:val="21"/>
                      <w:szCs w:val="21"/>
                      <w:highlight w:val="none"/>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型深</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2.48m</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highlight w:val="none"/>
                      <w:u w:val="single" w:color="auto"/>
                      <w:lang w:val="en-US" w:eastAsia="zh-CN"/>
                    </w:rPr>
                  </w:pPr>
                </w:p>
              </w:tc>
              <w:tc>
                <w:tcPr>
                  <w:tcW w:w="460" w:type="pct"/>
                  <w:vMerge w:val="continue"/>
                  <w:noWrap w:val="0"/>
                  <w:vAlign w:val="center"/>
                </w:tcPr>
                <w:p>
                  <w:pPr>
                    <w:jc w:val="center"/>
                    <w:rPr>
                      <w:rFonts w:hint="eastAsia"/>
                      <w:color w:val="FF0000"/>
                      <w:sz w:val="21"/>
                      <w:szCs w:val="21"/>
                      <w:highlight w:val="none"/>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最大船高</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11.00m</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highlight w:val="none"/>
                      <w:u w:val="single" w:color="auto"/>
                      <w:lang w:val="en-US" w:eastAsia="zh-CN"/>
                    </w:rPr>
                  </w:pPr>
                </w:p>
              </w:tc>
              <w:tc>
                <w:tcPr>
                  <w:tcW w:w="460" w:type="pct"/>
                  <w:vMerge w:val="continue"/>
                  <w:noWrap w:val="0"/>
                  <w:vAlign w:val="center"/>
                </w:tcPr>
                <w:p>
                  <w:pPr>
                    <w:jc w:val="center"/>
                    <w:rPr>
                      <w:rFonts w:hint="eastAsia"/>
                      <w:color w:val="FF0000"/>
                      <w:sz w:val="21"/>
                      <w:szCs w:val="21"/>
                      <w:highlight w:val="none"/>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空载吃水</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0.555m</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highlight w:val="none"/>
                      <w:u w:val="single" w:color="auto"/>
                      <w:lang w:val="en-US" w:eastAsia="zh-CN"/>
                    </w:rPr>
                  </w:pPr>
                </w:p>
              </w:tc>
              <w:tc>
                <w:tcPr>
                  <w:tcW w:w="460" w:type="pct"/>
                  <w:vMerge w:val="continue"/>
                  <w:noWrap w:val="0"/>
                  <w:vAlign w:val="center"/>
                </w:tcPr>
                <w:p>
                  <w:pPr>
                    <w:jc w:val="center"/>
                    <w:rPr>
                      <w:rFonts w:hint="eastAsia"/>
                      <w:color w:val="FF0000"/>
                      <w:sz w:val="21"/>
                      <w:szCs w:val="21"/>
                      <w:highlight w:val="none"/>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满载吃水</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1.800m</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highlight w:val="none"/>
                      <w:u w:val="single" w:color="auto"/>
                      <w:lang w:val="en-US" w:eastAsia="zh-CN"/>
                    </w:rPr>
                  </w:pPr>
                </w:p>
              </w:tc>
              <w:tc>
                <w:tcPr>
                  <w:tcW w:w="460" w:type="pct"/>
                  <w:vMerge w:val="continue"/>
                  <w:noWrap w:val="0"/>
                  <w:vAlign w:val="center"/>
                </w:tcPr>
                <w:p>
                  <w:pPr>
                    <w:jc w:val="center"/>
                    <w:rPr>
                      <w:rFonts w:hint="eastAsia"/>
                      <w:color w:val="FF0000"/>
                      <w:sz w:val="21"/>
                      <w:szCs w:val="21"/>
                      <w:highlight w:val="none"/>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满载排水量</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736.050t</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highlight w:val="none"/>
                      <w:u w:val="single" w:color="auto"/>
                      <w:lang w:val="en-US" w:eastAsia="zh-CN"/>
                    </w:rPr>
                  </w:pPr>
                </w:p>
              </w:tc>
              <w:tc>
                <w:tcPr>
                  <w:tcW w:w="460" w:type="pct"/>
                  <w:vMerge w:val="continue"/>
                  <w:noWrap w:val="0"/>
                  <w:vAlign w:val="center"/>
                </w:tcPr>
                <w:p>
                  <w:pPr>
                    <w:jc w:val="center"/>
                    <w:rPr>
                      <w:rFonts w:hint="eastAsia"/>
                      <w:color w:val="FF0000"/>
                      <w:sz w:val="21"/>
                      <w:szCs w:val="21"/>
                      <w:highlight w:val="none"/>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空船排水量</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193.42t</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highlight w:val="none"/>
                      <w:u w:val="single" w:color="auto"/>
                      <w:lang w:val="en-US" w:eastAsia="zh-CN"/>
                    </w:rPr>
                  </w:pPr>
                </w:p>
              </w:tc>
              <w:tc>
                <w:tcPr>
                  <w:tcW w:w="460" w:type="pct"/>
                  <w:vMerge w:val="continue"/>
                  <w:noWrap w:val="0"/>
                  <w:vAlign w:val="center"/>
                </w:tcPr>
                <w:p>
                  <w:pPr>
                    <w:jc w:val="center"/>
                    <w:rPr>
                      <w:rFonts w:hint="eastAsia"/>
                      <w:color w:val="FF0000"/>
                      <w:sz w:val="21"/>
                      <w:szCs w:val="21"/>
                      <w:highlight w:val="none"/>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船体材料</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钢质</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highlight w:val="none"/>
                      <w:u w:val="single" w:color="auto"/>
                      <w:lang w:val="en-US" w:eastAsia="zh-CN"/>
                    </w:rPr>
                  </w:pPr>
                </w:p>
              </w:tc>
              <w:tc>
                <w:tcPr>
                  <w:tcW w:w="460" w:type="pct"/>
                  <w:vMerge w:val="continue"/>
                  <w:noWrap w:val="0"/>
                  <w:vAlign w:val="center"/>
                </w:tcPr>
                <w:p>
                  <w:pPr>
                    <w:jc w:val="center"/>
                    <w:rPr>
                      <w:rFonts w:hint="eastAsia"/>
                      <w:color w:val="FF0000"/>
                      <w:sz w:val="21"/>
                      <w:szCs w:val="21"/>
                      <w:highlight w:val="none"/>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水密衡舱壁数</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9</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highlight w:val="none"/>
                      <w:u w:val="single" w:color="auto"/>
                      <w:lang w:val="en-US" w:eastAsia="zh-CN"/>
                    </w:rPr>
                  </w:pPr>
                </w:p>
              </w:tc>
              <w:tc>
                <w:tcPr>
                  <w:tcW w:w="460" w:type="pct"/>
                  <w:vMerge w:val="continue"/>
                  <w:noWrap w:val="0"/>
                  <w:vAlign w:val="center"/>
                </w:tcPr>
                <w:p>
                  <w:pPr>
                    <w:jc w:val="center"/>
                    <w:rPr>
                      <w:rFonts w:hint="eastAsia"/>
                      <w:color w:val="FF0000"/>
                      <w:sz w:val="21"/>
                      <w:szCs w:val="21"/>
                      <w:highlight w:val="none"/>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结构型式</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横骨架式</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highlight w:val="none"/>
                      <w:u w:val="single" w:color="auto"/>
                      <w:lang w:val="en-US" w:eastAsia="zh-CN"/>
                    </w:rPr>
                  </w:pPr>
                </w:p>
              </w:tc>
              <w:tc>
                <w:tcPr>
                  <w:tcW w:w="460" w:type="pct"/>
                  <w:vMerge w:val="continue"/>
                  <w:noWrap w:val="0"/>
                  <w:vAlign w:val="center"/>
                </w:tcPr>
                <w:p>
                  <w:pPr>
                    <w:jc w:val="center"/>
                    <w:rPr>
                      <w:rFonts w:hint="eastAsia"/>
                      <w:color w:val="FF0000"/>
                      <w:sz w:val="21"/>
                      <w:szCs w:val="21"/>
                      <w:highlight w:val="none"/>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货舱的数量</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8</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highlight w:val="none"/>
                      <w:u w:val="single" w:color="auto"/>
                      <w:lang w:val="en-US" w:eastAsia="zh-CN"/>
                    </w:rPr>
                  </w:pPr>
                </w:p>
              </w:tc>
              <w:tc>
                <w:tcPr>
                  <w:tcW w:w="460" w:type="pct"/>
                  <w:vMerge w:val="continue"/>
                  <w:noWrap w:val="0"/>
                  <w:vAlign w:val="center"/>
                </w:tcPr>
                <w:p>
                  <w:pPr>
                    <w:jc w:val="center"/>
                    <w:rPr>
                      <w:rFonts w:hint="eastAsia"/>
                      <w:color w:val="FF0000"/>
                      <w:sz w:val="21"/>
                      <w:szCs w:val="21"/>
                      <w:highlight w:val="none"/>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货舱盖型式</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highlight w:val="none"/>
                      <w:u w:val="single" w:color="auto"/>
                      <w:lang w:val="en-US" w:eastAsia="zh-CN"/>
                    </w:rPr>
                  </w:pPr>
                </w:p>
              </w:tc>
              <w:tc>
                <w:tcPr>
                  <w:tcW w:w="460" w:type="pct"/>
                  <w:vMerge w:val="continue"/>
                  <w:noWrap w:val="0"/>
                  <w:vAlign w:val="center"/>
                </w:tcPr>
                <w:p>
                  <w:pPr>
                    <w:jc w:val="center"/>
                    <w:rPr>
                      <w:rFonts w:hint="eastAsia"/>
                      <w:color w:val="FF0000"/>
                      <w:sz w:val="21"/>
                      <w:szCs w:val="21"/>
                      <w:highlight w:val="none"/>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双层低位置</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#23-#86</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highlight w:val="none"/>
                      <w:u w:val="single" w:color="auto"/>
                      <w:lang w:val="en-US" w:eastAsia="zh-CN"/>
                    </w:rPr>
                  </w:pPr>
                </w:p>
              </w:tc>
              <w:tc>
                <w:tcPr>
                  <w:tcW w:w="460" w:type="pct"/>
                  <w:vMerge w:val="continue"/>
                  <w:noWrap w:val="0"/>
                  <w:vAlign w:val="center"/>
                </w:tcPr>
                <w:p>
                  <w:pPr>
                    <w:jc w:val="center"/>
                    <w:rPr>
                      <w:rFonts w:hint="eastAsia"/>
                      <w:color w:val="FF0000"/>
                      <w:sz w:val="21"/>
                      <w:szCs w:val="21"/>
                      <w:highlight w:val="none"/>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载货量</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500.00t</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highlight w:val="none"/>
                      <w:u w:val="single" w:color="auto"/>
                      <w:lang w:val="en-US" w:eastAsia="zh-CN"/>
                    </w:rPr>
                  </w:pPr>
                </w:p>
              </w:tc>
              <w:tc>
                <w:tcPr>
                  <w:tcW w:w="460" w:type="pct"/>
                  <w:vMerge w:val="continue"/>
                  <w:noWrap w:val="0"/>
                  <w:vAlign w:val="center"/>
                </w:tcPr>
                <w:p>
                  <w:pPr>
                    <w:jc w:val="center"/>
                    <w:rPr>
                      <w:rFonts w:hint="eastAsia"/>
                      <w:color w:val="FF0000"/>
                      <w:sz w:val="21"/>
                      <w:szCs w:val="21"/>
                      <w:highlight w:val="none"/>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进水角位置</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机舱门槛</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restart"/>
                  <w:noWrap w:val="0"/>
                  <w:vAlign w:val="center"/>
                </w:tcPr>
                <w:p>
                  <w:pPr>
                    <w:jc w:val="center"/>
                    <w:rPr>
                      <w:rFonts w:hint="default"/>
                      <w:color w:val="FF0000"/>
                      <w:sz w:val="21"/>
                      <w:szCs w:val="21"/>
                      <w:highlight w:val="none"/>
                      <w:u w:val="single" w:color="auto"/>
                      <w:lang w:val="en-US" w:eastAsia="zh-CN"/>
                    </w:rPr>
                  </w:pPr>
                  <w:r>
                    <w:rPr>
                      <w:rFonts w:hint="eastAsia"/>
                      <w:color w:val="FF0000"/>
                      <w:sz w:val="21"/>
                      <w:szCs w:val="21"/>
                      <w:highlight w:val="none"/>
                      <w:u w:val="single" w:color="auto"/>
                      <w:lang w:val="en-US" w:eastAsia="zh-CN"/>
                    </w:rPr>
                    <w:t>锚</w:t>
                  </w:r>
                </w:p>
              </w:tc>
              <w:tc>
                <w:tcPr>
                  <w:tcW w:w="460" w:type="pct"/>
                  <w:vMerge w:val="restart"/>
                  <w:noWrap w:val="0"/>
                  <w:vAlign w:val="center"/>
                </w:tcPr>
                <w:p>
                  <w:pPr>
                    <w:jc w:val="center"/>
                    <w:rPr>
                      <w:rFonts w:hint="eastAsia"/>
                      <w:color w:val="FF0000"/>
                      <w:sz w:val="21"/>
                      <w:szCs w:val="21"/>
                      <w:highlight w:val="none"/>
                      <w:u w:val="single" w:color="auto"/>
                      <w:lang w:val="en-US" w:eastAsia="zh-CN"/>
                    </w:rPr>
                  </w:pPr>
                  <w:r>
                    <w:rPr>
                      <w:rFonts w:hint="eastAsia"/>
                      <w:color w:val="FF0000"/>
                      <w:sz w:val="21"/>
                      <w:szCs w:val="21"/>
                      <w:highlight w:val="none"/>
                      <w:u w:val="single" w:color="auto"/>
                      <w:lang w:val="en-US" w:eastAsia="zh-CN"/>
                    </w:rPr>
                    <w:t>湘湘阴油0659</w:t>
                  </w: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名称</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olor w:val="FF0000"/>
                      <w:sz w:val="21"/>
                      <w:szCs w:val="21"/>
                      <w:u w:val="single" w:color="auto"/>
                      <w:lang w:val="en-US" w:eastAsia="zh-CN"/>
                    </w:rPr>
                    <w:t>左艏锚</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1个</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highlight w:val="none"/>
                      <w:u w:val="single" w:color="auto"/>
                      <w:lang w:val="en-US" w:eastAsia="zh-CN"/>
                    </w:rPr>
                  </w:pPr>
                </w:p>
              </w:tc>
              <w:tc>
                <w:tcPr>
                  <w:tcW w:w="460" w:type="pct"/>
                  <w:vMerge w:val="continue"/>
                  <w:noWrap w:val="0"/>
                  <w:vAlign w:val="center"/>
                </w:tcPr>
                <w:p>
                  <w:pPr>
                    <w:jc w:val="center"/>
                    <w:rPr>
                      <w:rFonts w:hint="eastAsia"/>
                      <w:color w:val="FF0000"/>
                      <w:sz w:val="21"/>
                      <w:szCs w:val="21"/>
                      <w:highlight w:val="none"/>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型式</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霍尔锚</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highlight w:val="none"/>
                      <w:u w:val="single" w:color="auto"/>
                      <w:lang w:val="en-US" w:eastAsia="zh-CN"/>
                    </w:rPr>
                  </w:pPr>
                </w:p>
              </w:tc>
              <w:tc>
                <w:tcPr>
                  <w:tcW w:w="460" w:type="pct"/>
                  <w:vMerge w:val="continue"/>
                  <w:noWrap w:val="0"/>
                  <w:vAlign w:val="center"/>
                </w:tcPr>
                <w:p>
                  <w:pPr>
                    <w:jc w:val="center"/>
                    <w:rPr>
                      <w:rFonts w:hint="eastAsia"/>
                      <w:color w:val="FF0000"/>
                      <w:sz w:val="21"/>
                      <w:szCs w:val="21"/>
                      <w:highlight w:val="none"/>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重量</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350.00kg</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highlight w:val="none"/>
                      <w:u w:val="single" w:color="auto"/>
                      <w:lang w:val="en-US" w:eastAsia="zh-CN"/>
                    </w:rPr>
                  </w:pPr>
                </w:p>
              </w:tc>
              <w:tc>
                <w:tcPr>
                  <w:tcW w:w="460" w:type="pct"/>
                  <w:vMerge w:val="restart"/>
                  <w:noWrap w:val="0"/>
                  <w:vAlign w:val="center"/>
                </w:tcPr>
                <w:p>
                  <w:pPr>
                    <w:jc w:val="center"/>
                    <w:rPr>
                      <w:rFonts w:hint="eastAsia"/>
                      <w:color w:val="FF0000"/>
                      <w:sz w:val="21"/>
                      <w:szCs w:val="21"/>
                      <w:highlight w:val="none"/>
                      <w:u w:val="single" w:color="auto"/>
                      <w:lang w:val="en-US" w:eastAsia="zh-CN"/>
                    </w:rPr>
                  </w:pPr>
                  <w:r>
                    <w:rPr>
                      <w:rFonts w:hint="eastAsia"/>
                      <w:color w:val="FF0000"/>
                      <w:sz w:val="21"/>
                      <w:szCs w:val="21"/>
                      <w:highlight w:val="none"/>
                      <w:u w:val="single" w:color="auto"/>
                      <w:lang w:val="en-US" w:eastAsia="zh-CN"/>
                    </w:rPr>
                    <w:t>湘湘阴油0530</w:t>
                  </w: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名称</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olor w:val="FF0000"/>
                      <w:sz w:val="21"/>
                      <w:szCs w:val="21"/>
                      <w:u w:val="single" w:color="auto"/>
                      <w:lang w:val="en-US" w:eastAsia="zh-CN"/>
                    </w:rPr>
                    <w:t>右艏锚</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1个</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highlight w:val="none"/>
                      <w:u w:val="single" w:color="auto"/>
                      <w:lang w:val="en-US" w:eastAsia="zh-CN"/>
                    </w:rPr>
                  </w:pPr>
                </w:p>
              </w:tc>
              <w:tc>
                <w:tcPr>
                  <w:tcW w:w="460" w:type="pct"/>
                  <w:vMerge w:val="continue"/>
                  <w:noWrap w:val="0"/>
                  <w:vAlign w:val="center"/>
                </w:tcPr>
                <w:p>
                  <w:pPr>
                    <w:jc w:val="center"/>
                    <w:rPr>
                      <w:rFonts w:hint="eastAsia"/>
                      <w:color w:val="FF0000"/>
                      <w:sz w:val="21"/>
                      <w:szCs w:val="21"/>
                      <w:highlight w:val="none"/>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型式</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霍尔锚</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highlight w:val="none"/>
                      <w:u w:val="single" w:color="auto"/>
                      <w:lang w:val="en-US" w:eastAsia="zh-CN"/>
                    </w:rPr>
                  </w:pPr>
                </w:p>
              </w:tc>
              <w:tc>
                <w:tcPr>
                  <w:tcW w:w="460" w:type="pct"/>
                  <w:vMerge w:val="continue"/>
                  <w:noWrap w:val="0"/>
                  <w:vAlign w:val="center"/>
                </w:tcPr>
                <w:p>
                  <w:pPr>
                    <w:jc w:val="center"/>
                    <w:rPr>
                      <w:rFonts w:hint="eastAsia"/>
                      <w:color w:val="FF0000"/>
                      <w:sz w:val="21"/>
                      <w:szCs w:val="21"/>
                      <w:highlight w:val="none"/>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重量</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500.00kg</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highlight w:val="none"/>
                      <w:u w:val="single" w:color="auto"/>
                      <w:lang w:val="en-US" w:eastAsia="zh-CN"/>
                    </w:rPr>
                  </w:pPr>
                </w:p>
              </w:tc>
              <w:tc>
                <w:tcPr>
                  <w:tcW w:w="460" w:type="pct"/>
                  <w:vMerge w:val="continue"/>
                  <w:noWrap w:val="0"/>
                  <w:vAlign w:val="center"/>
                </w:tcPr>
                <w:p>
                  <w:pPr>
                    <w:jc w:val="center"/>
                    <w:rPr>
                      <w:rFonts w:hint="eastAsia"/>
                      <w:color w:val="FF0000"/>
                      <w:sz w:val="21"/>
                      <w:szCs w:val="21"/>
                      <w:highlight w:val="none"/>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名称</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olor w:val="FF0000"/>
                      <w:sz w:val="21"/>
                      <w:szCs w:val="21"/>
                      <w:u w:val="single" w:color="auto"/>
                      <w:lang w:val="en-US" w:eastAsia="zh-CN"/>
                    </w:rPr>
                    <w:t>左艏锚</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1个</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highlight w:val="none"/>
                      <w:u w:val="single" w:color="auto"/>
                      <w:lang w:val="en-US" w:eastAsia="zh-CN"/>
                    </w:rPr>
                  </w:pPr>
                </w:p>
              </w:tc>
              <w:tc>
                <w:tcPr>
                  <w:tcW w:w="460" w:type="pct"/>
                  <w:vMerge w:val="continue"/>
                  <w:noWrap w:val="0"/>
                  <w:vAlign w:val="center"/>
                </w:tcPr>
                <w:p>
                  <w:pPr>
                    <w:jc w:val="center"/>
                    <w:rPr>
                      <w:rFonts w:hint="eastAsia"/>
                      <w:color w:val="FF0000"/>
                      <w:sz w:val="21"/>
                      <w:szCs w:val="21"/>
                      <w:highlight w:val="none"/>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型式</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霍尔锚</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highlight w:val="none"/>
                      <w:u w:val="single" w:color="auto"/>
                      <w:lang w:val="en-US" w:eastAsia="zh-CN"/>
                    </w:rPr>
                  </w:pPr>
                </w:p>
              </w:tc>
              <w:tc>
                <w:tcPr>
                  <w:tcW w:w="460" w:type="pct"/>
                  <w:vMerge w:val="continue"/>
                  <w:noWrap w:val="0"/>
                  <w:vAlign w:val="center"/>
                </w:tcPr>
                <w:p>
                  <w:pPr>
                    <w:jc w:val="center"/>
                    <w:rPr>
                      <w:rFonts w:hint="eastAsia"/>
                      <w:color w:val="FF0000"/>
                      <w:sz w:val="21"/>
                      <w:szCs w:val="21"/>
                      <w:highlight w:val="none"/>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重量</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450.00kg</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highlight w:val="none"/>
                      <w:u w:val="single" w:color="auto"/>
                      <w:lang w:val="en-US" w:eastAsia="zh-CN"/>
                    </w:rPr>
                  </w:pPr>
                </w:p>
              </w:tc>
              <w:tc>
                <w:tcPr>
                  <w:tcW w:w="460" w:type="pct"/>
                  <w:vMerge w:val="continue"/>
                  <w:noWrap w:val="0"/>
                  <w:vAlign w:val="center"/>
                </w:tcPr>
                <w:p>
                  <w:pPr>
                    <w:jc w:val="center"/>
                    <w:rPr>
                      <w:rFonts w:hint="eastAsia"/>
                      <w:color w:val="FF0000"/>
                      <w:sz w:val="21"/>
                      <w:szCs w:val="21"/>
                      <w:highlight w:val="none"/>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名称</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olor w:val="FF0000"/>
                      <w:sz w:val="21"/>
                      <w:szCs w:val="21"/>
                      <w:u w:val="single" w:color="auto"/>
                      <w:lang w:val="en-US" w:eastAsia="zh-CN"/>
                    </w:rPr>
                    <w:t>艉锚</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1个</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highlight w:val="none"/>
                      <w:u w:val="single" w:color="auto"/>
                      <w:lang w:val="en-US" w:eastAsia="zh-CN"/>
                    </w:rPr>
                  </w:pPr>
                </w:p>
              </w:tc>
              <w:tc>
                <w:tcPr>
                  <w:tcW w:w="460" w:type="pct"/>
                  <w:vMerge w:val="continue"/>
                  <w:noWrap w:val="0"/>
                  <w:vAlign w:val="center"/>
                </w:tcPr>
                <w:p>
                  <w:pPr>
                    <w:jc w:val="center"/>
                    <w:rPr>
                      <w:rFonts w:hint="eastAsia"/>
                      <w:color w:val="FF0000"/>
                      <w:sz w:val="21"/>
                      <w:szCs w:val="21"/>
                      <w:highlight w:val="none"/>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型式</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霍尔锚</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highlight w:val="none"/>
                      <w:u w:val="single" w:color="auto"/>
                      <w:lang w:val="en-US" w:eastAsia="zh-CN"/>
                    </w:rPr>
                  </w:pPr>
                </w:p>
              </w:tc>
              <w:tc>
                <w:tcPr>
                  <w:tcW w:w="460" w:type="pct"/>
                  <w:vMerge w:val="continue"/>
                  <w:noWrap w:val="0"/>
                  <w:vAlign w:val="center"/>
                </w:tcPr>
                <w:p>
                  <w:pPr>
                    <w:jc w:val="center"/>
                    <w:rPr>
                      <w:rFonts w:hint="eastAsia"/>
                      <w:color w:val="FF0000"/>
                      <w:sz w:val="21"/>
                      <w:szCs w:val="21"/>
                      <w:highlight w:val="none"/>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重量</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300.00kg</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restart"/>
                  <w:noWrap w:val="0"/>
                  <w:vAlign w:val="center"/>
                </w:tcPr>
                <w:p>
                  <w:pPr>
                    <w:jc w:val="center"/>
                    <w:rPr>
                      <w:rFonts w:hint="eastAsia"/>
                      <w:color w:val="FF0000"/>
                      <w:sz w:val="21"/>
                      <w:szCs w:val="21"/>
                      <w:highlight w:val="none"/>
                      <w:u w:val="single" w:color="auto"/>
                      <w:lang w:val="en-US" w:eastAsia="zh-CN"/>
                    </w:rPr>
                  </w:pPr>
                  <w:r>
                    <w:rPr>
                      <w:rFonts w:hint="eastAsia"/>
                      <w:color w:val="FF0000"/>
                      <w:sz w:val="21"/>
                      <w:szCs w:val="21"/>
                      <w:u w:val="single" w:color="auto"/>
                      <w:lang w:val="en-US" w:eastAsia="zh-CN"/>
                    </w:rPr>
                    <w:t>锚机</w:t>
                  </w:r>
                </w:p>
              </w:tc>
              <w:tc>
                <w:tcPr>
                  <w:tcW w:w="460" w:type="pct"/>
                  <w:vMerge w:val="restart"/>
                  <w:noWrap w:val="0"/>
                  <w:vAlign w:val="center"/>
                </w:tcPr>
                <w:p>
                  <w:pPr>
                    <w:jc w:val="center"/>
                    <w:rPr>
                      <w:rFonts w:hint="eastAsia"/>
                      <w:color w:val="FF0000"/>
                      <w:sz w:val="21"/>
                      <w:szCs w:val="21"/>
                      <w:u w:val="single" w:color="auto"/>
                      <w:lang w:val="en-US" w:eastAsia="zh-CN"/>
                    </w:rPr>
                  </w:pPr>
                  <w:r>
                    <w:rPr>
                      <w:rFonts w:hint="eastAsia"/>
                      <w:color w:val="FF0000"/>
                      <w:sz w:val="21"/>
                      <w:szCs w:val="21"/>
                      <w:highlight w:val="none"/>
                      <w:u w:val="single" w:color="auto"/>
                      <w:lang w:val="en-US" w:eastAsia="zh-CN"/>
                    </w:rPr>
                    <w:t>湘湘阴油0659</w:t>
                  </w: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名称</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olor w:val="FF0000"/>
                      <w:sz w:val="21"/>
                      <w:szCs w:val="21"/>
                      <w:u w:val="single" w:color="auto"/>
                      <w:lang w:val="en-US" w:eastAsia="zh-CN"/>
                    </w:rPr>
                    <w:t>艏锚机</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1个</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ascii="Times New Roman" w:hAnsi="Times New Roman" w:eastAsia="宋体" w:cs="Times New Roman"/>
                      <w:color w:val="FF0000"/>
                      <w:kern w:val="2"/>
                      <w:sz w:val="21"/>
                      <w:szCs w:val="21"/>
                      <w:u w:val="single" w:color="auto"/>
                      <w:lang w:val="en-US" w:eastAsia="zh-CN" w:bidi="ar-SA"/>
                    </w:rPr>
                  </w:pPr>
                  <w:r>
                    <w:rPr>
                      <w:rFonts w:hint="eastAsia"/>
                      <w:color w:val="FF0000"/>
                      <w:sz w:val="21"/>
                      <w:szCs w:val="21"/>
                      <w:u w:val="single" w:color="auto"/>
                      <w:lang w:val="en-US" w:eastAsia="zh-CN"/>
                    </w:rPr>
                    <w:t>型号</w:t>
                  </w:r>
                </w:p>
              </w:tc>
              <w:tc>
                <w:tcPr>
                  <w:tcW w:w="1652" w:type="pct"/>
                  <w:noWrap w:val="0"/>
                  <w:vAlign w:val="center"/>
                </w:tcPr>
                <w:p>
                  <w:pPr>
                    <w:spacing w:line="360" w:lineRule="exact"/>
                    <w:jc w:val="center"/>
                    <w:rPr>
                      <w:rFonts w:hint="eastAsia" w:ascii="Times New Roman" w:hAnsi="Times New Roman" w:eastAsia="宋体"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人力</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功率---</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restart"/>
                  <w:noWrap w:val="0"/>
                  <w:vAlign w:val="center"/>
                </w:tcPr>
                <w:p>
                  <w:pPr>
                    <w:jc w:val="center"/>
                    <w:rPr>
                      <w:rFonts w:hint="eastAsia"/>
                      <w:color w:val="FF0000"/>
                      <w:sz w:val="21"/>
                      <w:szCs w:val="21"/>
                      <w:u w:val="single" w:color="auto"/>
                      <w:lang w:val="en-US" w:eastAsia="zh-CN"/>
                    </w:rPr>
                  </w:pPr>
                  <w:r>
                    <w:rPr>
                      <w:rFonts w:hint="eastAsia"/>
                      <w:color w:val="FF0000"/>
                      <w:sz w:val="21"/>
                      <w:szCs w:val="21"/>
                      <w:highlight w:val="none"/>
                      <w:u w:val="single" w:color="auto"/>
                      <w:lang w:val="en-US" w:eastAsia="zh-CN"/>
                    </w:rPr>
                    <w:t>湘湘阴油0530</w:t>
                  </w: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名称</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olor w:val="FF0000"/>
                      <w:sz w:val="21"/>
                      <w:szCs w:val="21"/>
                      <w:u w:val="single" w:color="auto"/>
                      <w:lang w:val="en-US" w:eastAsia="zh-CN"/>
                    </w:rPr>
                    <w:t>艉锚机</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1个</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型号</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JK-1</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功率4kW</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名称</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olor w:val="FF0000"/>
                      <w:sz w:val="21"/>
                      <w:szCs w:val="21"/>
                      <w:u w:val="single" w:color="auto"/>
                      <w:lang w:val="en-US" w:eastAsia="zh-CN"/>
                    </w:rPr>
                    <w:t>艏锚机</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1个</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型号</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DMA-22</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功率8.5kW</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restart"/>
                  <w:noWrap w:val="0"/>
                  <w:vAlign w:val="center"/>
                </w:tcPr>
                <w:p>
                  <w:pPr>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锚链</w:t>
                  </w:r>
                </w:p>
              </w:tc>
              <w:tc>
                <w:tcPr>
                  <w:tcW w:w="460" w:type="pct"/>
                  <w:vMerge w:val="restart"/>
                  <w:noWrap w:val="0"/>
                  <w:vAlign w:val="center"/>
                </w:tcPr>
                <w:p>
                  <w:pPr>
                    <w:jc w:val="center"/>
                    <w:rPr>
                      <w:rFonts w:hint="eastAsia"/>
                      <w:color w:val="FF0000"/>
                      <w:sz w:val="21"/>
                      <w:szCs w:val="21"/>
                      <w:u w:val="single" w:color="auto"/>
                      <w:lang w:val="en-US" w:eastAsia="zh-CN"/>
                    </w:rPr>
                  </w:pPr>
                  <w:r>
                    <w:rPr>
                      <w:rFonts w:hint="eastAsia"/>
                      <w:color w:val="FF0000"/>
                      <w:sz w:val="21"/>
                      <w:szCs w:val="21"/>
                      <w:highlight w:val="none"/>
                      <w:u w:val="single" w:color="auto"/>
                      <w:lang w:val="en-US" w:eastAsia="zh-CN"/>
                    </w:rPr>
                    <w:t>湘湘阴油0659</w:t>
                  </w: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名称</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olor w:val="FF0000"/>
                      <w:sz w:val="21"/>
                      <w:szCs w:val="21"/>
                      <w:u w:val="single" w:color="auto"/>
                      <w:lang w:val="en-US" w:eastAsia="zh-CN"/>
                    </w:rPr>
                    <w:t>艏锚链</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直径</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19.00mm</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长度</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100.00m</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等级</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AM2级</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材料</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2级链钢</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restart"/>
                  <w:noWrap w:val="0"/>
                  <w:vAlign w:val="center"/>
                </w:tcPr>
                <w:p>
                  <w:pPr>
                    <w:jc w:val="center"/>
                    <w:rPr>
                      <w:rFonts w:hint="eastAsia"/>
                      <w:color w:val="FF0000"/>
                      <w:sz w:val="21"/>
                      <w:szCs w:val="21"/>
                      <w:u w:val="single" w:color="auto"/>
                      <w:lang w:val="en-US" w:eastAsia="zh-CN"/>
                    </w:rPr>
                  </w:pPr>
                  <w:r>
                    <w:rPr>
                      <w:rFonts w:hint="eastAsia"/>
                      <w:color w:val="FF0000"/>
                      <w:sz w:val="21"/>
                      <w:szCs w:val="21"/>
                      <w:highlight w:val="none"/>
                      <w:u w:val="single" w:color="auto"/>
                      <w:lang w:val="en-US" w:eastAsia="zh-CN"/>
                    </w:rPr>
                    <w:t>湘湘阴油0530</w:t>
                  </w: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名称</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olor w:val="FF0000"/>
                      <w:sz w:val="21"/>
                      <w:szCs w:val="21"/>
                      <w:u w:val="single" w:color="auto"/>
                      <w:lang w:val="en-US" w:eastAsia="zh-CN"/>
                    </w:rPr>
                    <w:t>右艏锚链</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直径</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22.00mm</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长度</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137.00m</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等级</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AM1级</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材料</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1级链钢</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名称</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olor w:val="FF0000"/>
                      <w:sz w:val="21"/>
                      <w:szCs w:val="21"/>
                      <w:u w:val="single" w:color="auto"/>
                      <w:lang w:val="en-US" w:eastAsia="zh-CN"/>
                    </w:rPr>
                    <w:t>左艏锚链</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直径</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22.00mm</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长度</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110.00m</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等级</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AM1级</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材料</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1级链钢</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名称</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olor w:val="FF0000"/>
                      <w:sz w:val="21"/>
                      <w:szCs w:val="21"/>
                      <w:u w:val="single" w:color="auto"/>
                      <w:lang w:val="en-US" w:eastAsia="zh-CN"/>
                    </w:rPr>
                    <w:t>艉锚链</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直径</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14.00mm</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长度</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125.00m</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等级</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材料</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钢丝绳</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restart"/>
                  <w:noWrap w:val="0"/>
                  <w:vAlign w:val="center"/>
                </w:tcPr>
                <w:p>
                  <w:pPr>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舵设备</w:t>
                  </w:r>
                </w:p>
              </w:tc>
              <w:tc>
                <w:tcPr>
                  <w:tcW w:w="460" w:type="pct"/>
                  <w:vMerge w:val="restart"/>
                  <w:noWrap w:val="0"/>
                  <w:vAlign w:val="center"/>
                </w:tcPr>
                <w:p>
                  <w:pPr>
                    <w:jc w:val="center"/>
                    <w:rPr>
                      <w:rFonts w:hint="eastAsia"/>
                      <w:color w:val="FF0000"/>
                      <w:sz w:val="21"/>
                      <w:szCs w:val="21"/>
                      <w:u w:val="single" w:color="auto"/>
                      <w:lang w:val="en-US" w:eastAsia="zh-CN"/>
                    </w:rPr>
                  </w:pPr>
                  <w:r>
                    <w:rPr>
                      <w:rFonts w:hint="eastAsia"/>
                      <w:color w:val="FF0000"/>
                      <w:sz w:val="21"/>
                      <w:szCs w:val="21"/>
                      <w:highlight w:val="none"/>
                      <w:u w:val="single" w:color="auto"/>
                      <w:lang w:val="en-US" w:eastAsia="zh-CN"/>
                    </w:rPr>
                    <w:t>湘湘阴油0659</w:t>
                  </w: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舵数量</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2</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主操舵装置型式</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其他液压</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应急能源种类</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蓄能器</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辅助操舵装置型式</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电动液压</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restart"/>
                  <w:noWrap w:val="0"/>
                  <w:vAlign w:val="center"/>
                </w:tcPr>
                <w:p>
                  <w:pPr>
                    <w:jc w:val="center"/>
                    <w:rPr>
                      <w:rFonts w:hint="eastAsia"/>
                      <w:color w:val="FF0000"/>
                      <w:sz w:val="21"/>
                      <w:szCs w:val="21"/>
                      <w:u w:val="single" w:color="auto"/>
                      <w:lang w:val="en-US" w:eastAsia="zh-CN"/>
                    </w:rPr>
                  </w:pPr>
                  <w:r>
                    <w:rPr>
                      <w:rFonts w:hint="eastAsia"/>
                      <w:color w:val="FF0000"/>
                      <w:sz w:val="21"/>
                      <w:szCs w:val="21"/>
                      <w:highlight w:val="none"/>
                      <w:u w:val="single" w:color="auto"/>
                      <w:lang w:val="en-US" w:eastAsia="zh-CN"/>
                    </w:rPr>
                    <w:t>湘湘阴油0530</w:t>
                  </w: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舵数量</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2</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主操舵装置型式</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机械液压</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应急能源种类</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辅助操舵装置型式</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电动液压</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restart"/>
                  <w:noWrap w:val="0"/>
                  <w:vAlign w:val="center"/>
                </w:tcPr>
                <w:p>
                  <w:pPr>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舵</w:t>
                  </w:r>
                </w:p>
              </w:tc>
              <w:tc>
                <w:tcPr>
                  <w:tcW w:w="460" w:type="pct"/>
                  <w:vMerge w:val="restart"/>
                  <w:noWrap w:val="0"/>
                  <w:vAlign w:val="center"/>
                </w:tcPr>
                <w:p>
                  <w:pPr>
                    <w:jc w:val="center"/>
                    <w:rPr>
                      <w:rFonts w:hint="eastAsia"/>
                      <w:color w:val="FF0000"/>
                      <w:sz w:val="21"/>
                      <w:szCs w:val="21"/>
                      <w:u w:val="single" w:color="auto"/>
                      <w:lang w:val="en-US" w:eastAsia="zh-CN"/>
                    </w:rPr>
                  </w:pPr>
                  <w:r>
                    <w:rPr>
                      <w:rFonts w:hint="eastAsia"/>
                      <w:color w:val="FF0000"/>
                      <w:sz w:val="21"/>
                      <w:szCs w:val="21"/>
                      <w:highlight w:val="none"/>
                      <w:u w:val="single" w:color="auto"/>
                      <w:lang w:val="en-US" w:eastAsia="zh-CN"/>
                    </w:rPr>
                    <w:t>湘湘阴油0659</w:t>
                  </w: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名称</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右舵</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类型</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流线型舵</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舵面积</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3.5m</w:t>
                  </w:r>
                  <w:r>
                    <w:rPr>
                      <w:rFonts w:hint="eastAsia" w:cs="Times New Roman"/>
                      <w:color w:val="FF0000"/>
                      <w:kern w:val="2"/>
                      <w:sz w:val="21"/>
                      <w:szCs w:val="21"/>
                      <w:highlight w:val="none"/>
                      <w:u w:val="single" w:color="auto"/>
                      <w:vertAlign w:val="superscript"/>
                      <w:lang w:val="en-US" w:eastAsia="zh-CN" w:bidi="ar-SA"/>
                    </w:rPr>
                    <w:t>2</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舵杆直径</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110.00mm</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舵杆材料</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35#钢</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名称</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左舵</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类型</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流线型舵</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舵面积</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3.5m</w:t>
                  </w:r>
                  <w:r>
                    <w:rPr>
                      <w:rFonts w:hint="eastAsia" w:cs="Times New Roman"/>
                      <w:color w:val="FF0000"/>
                      <w:kern w:val="2"/>
                      <w:sz w:val="21"/>
                      <w:szCs w:val="21"/>
                      <w:highlight w:val="none"/>
                      <w:u w:val="single" w:color="auto"/>
                      <w:vertAlign w:val="superscript"/>
                      <w:lang w:val="en-US" w:eastAsia="zh-CN" w:bidi="ar-SA"/>
                    </w:rPr>
                    <w:t>2</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舵杆直径</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110.00mm</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舵杆材料</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35#钢</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restart"/>
                  <w:noWrap w:val="0"/>
                  <w:vAlign w:val="center"/>
                </w:tcPr>
                <w:p>
                  <w:pPr>
                    <w:jc w:val="center"/>
                    <w:rPr>
                      <w:rFonts w:hint="eastAsia"/>
                      <w:color w:val="FF0000"/>
                      <w:sz w:val="21"/>
                      <w:szCs w:val="21"/>
                      <w:u w:val="single" w:color="auto"/>
                      <w:lang w:val="en-US" w:eastAsia="zh-CN"/>
                    </w:rPr>
                  </w:pPr>
                  <w:r>
                    <w:rPr>
                      <w:rFonts w:hint="eastAsia"/>
                      <w:color w:val="FF0000"/>
                      <w:sz w:val="21"/>
                      <w:szCs w:val="21"/>
                      <w:highlight w:val="none"/>
                      <w:u w:val="single" w:color="auto"/>
                      <w:lang w:val="en-US" w:eastAsia="zh-CN"/>
                    </w:rPr>
                    <w:t>湘湘阴油0530</w:t>
                  </w: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名称</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右舵</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类型</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单板舵</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舵面积</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2.10m</w:t>
                  </w:r>
                  <w:r>
                    <w:rPr>
                      <w:rFonts w:hint="eastAsia" w:cs="Times New Roman"/>
                      <w:color w:val="FF0000"/>
                      <w:kern w:val="2"/>
                      <w:sz w:val="21"/>
                      <w:szCs w:val="21"/>
                      <w:highlight w:val="none"/>
                      <w:u w:val="single" w:color="auto"/>
                      <w:vertAlign w:val="superscript"/>
                      <w:lang w:val="en-US" w:eastAsia="zh-CN" w:bidi="ar-SA"/>
                    </w:rPr>
                    <w:t>2</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舵杆直径</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130.00mm</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舵杆材料</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35#</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名称</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左舵</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类型</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单板舵</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舵面积</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2.10m</w:t>
                  </w:r>
                  <w:r>
                    <w:rPr>
                      <w:rFonts w:hint="eastAsia" w:cs="Times New Roman"/>
                      <w:color w:val="FF0000"/>
                      <w:kern w:val="2"/>
                      <w:sz w:val="21"/>
                      <w:szCs w:val="21"/>
                      <w:highlight w:val="none"/>
                      <w:u w:val="single" w:color="auto"/>
                      <w:vertAlign w:val="superscript"/>
                      <w:lang w:val="en-US" w:eastAsia="zh-CN" w:bidi="ar-SA"/>
                    </w:rPr>
                    <w:t>2</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舵杆直径</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130.00mm</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舵杆材料</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35#</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restart"/>
                  <w:noWrap w:val="0"/>
                  <w:vAlign w:val="center"/>
                </w:tcPr>
                <w:p>
                  <w:pPr>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主操舵装置</w:t>
                  </w:r>
                </w:p>
              </w:tc>
              <w:tc>
                <w:tcPr>
                  <w:tcW w:w="460" w:type="pct"/>
                  <w:vMerge w:val="restart"/>
                  <w:noWrap w:val="0"/>
                  <w:vAlign w:val="center"/>
                </w:tcPr>
                <w:p>
                  <w:pPr>
                    <w:jc w:val="center"/>
                    <w:rPr>
                      <w:rFonts w:hint="eastAsia"/>
                      <w:color w:val="FF0000"/>
                      <w:sz w:val="21"/>
                      <w:szCs w:val="21"/>
                      <w:u w:val="single" w:color="auto"/>
                      <w:lang w:val="en-US" w:eastAsia="zh-CN"/>
                    </w:rPr>
                  </w:pPr>
                  <w:r>
                    <w:rPr>
                      <w:rFonts w:hint="eastAsia"/>
                      <w:color w:val="FF0000"/>
                      <w:sz w:val="21"/>
                      <w:szCs w:val="21"/>
                      <w:highlight w:val="none"/>
                      <w:u w:val="single" w:color="auto"/>
                      <w:lang w:val="en-US" w:eastAsia="zh-CN"/>
                    </w:rPr>
                    <w:t>湘湘阴油0659</w:t>
                  </w: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名称</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default"/>
                      <w:color w:val="FF0000"/>
                      <w:sz w:val="21"/>
                      <w:szCs w:val="21"/>
                      <w:u w:val="single" w:color="auto"/>
                      <w:lang w:val="en-US" w:eastAsia="zh-CN"/>
                    </w:rPr>
                    <w:t>艉</w:t>
                  </w:r>
                  <w:r>
                    <w:rPr>
                      <w:rFonts w:hint="eastAsia"/>
                      <w:color w:val="FF0000"/>
                      <w:sz w:val="21"/>
                      <w:szCs w:val="21"/>
                      <w:u w:val="single" w:color="auto"/>
                      <w:lang w:val="en-US" w:eastAsia="zh-CN"/>
                    </w:rPr>
                    <w:t>舵机</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型号</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XYJ-125</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扭矩</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30.000（kN·m）</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制造厂</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兴化市远洋机械有限公司</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restart"/>
                  <w:noWrap w:val="0"/>
                  <w:vAlign w:val="center"/>
                </w:tcPr>
                <w:p>
                  <w:pPr>
                    <w:jc w:val="center"/>
                    <w:rPr>
                      <w:rFonts w:hint="eastAsia"/>
                      <w:color w:val="FF0000"/>
                      <w:sz w:val="21"/>
                      <w:szCs w:val="21"/>
                      <w:u w:val="single" w:color="auto"/>
                      <w:lang w:val="en-US" w:eastAsia="zh-CN"/>
                    </w:rPr>
                  </w:pPr>
                  <w:r>
                    <w:rPr>
                      <w:rFonts w:hint="eastAsia"/>
                      <w:color w:val="FF0000"/>
                      <w:sz w:val="21"/>
                      <w:szCs w:val="21"/>
                      <w:highlight w:val="none"/>
                      <w:u w:val="single" w:color="auto"/>
                      <w:lang w:val="en-US" w:eastAsia="zh-CN"/>
                    </w:rPr>
                    <w:t>湘湘阴油0530</w:t>
                  </w: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名称</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default"/>
                      <w:color w:val="FF0000"/>
                      <w:sz w:val="21"/>
                      <w:szCs w:val="21"/>
                      <w:u w:val="single" w:color="auto"/>
                      <w:lang w:val="en-US" w:eastAsia="zh-CN"/>
                    </w:rPr>
                    <w:t>艉</w:t>
                  </w:r>
                  <w:r>
                    <w:rPr>
                      <w:rFonts w:hint="eastAsia"/>
                      <w:color w:val="FF0000"/>
                      <w:sz w:val="21"/>
                      <w:szCs w:val="21"/>
                      <w:u w:val="single" w:color="auto"/>
                      <w:lang w:val="en-US" w:eastAsia="zh-CN"/>
                    </w:rPr>
                    <w:t>舵机</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型号</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MHYD125-30</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扭矩</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30.000（kN·m）</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制造厂</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上海茂宏船舶科技有限公司</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restart"/>
                  <w:noWrap w:val="0"/>
                  <w:vAlign w:val="center"/>
                </w:tcPr>
                <w:p>
                  <w:pPr>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水灭火系统</w:t>
                  </w:r>
                </w:p>
              </w:tc>
              <w:tc>
                <w:tcPr>
                  <w:tcW w:w="460" w:type="pct"/>
                  <w:vMerge w:val="restart"/>
                  <w:noWrap w:val="0"/>
                  <w:vAlign w:val="center"/>
                </w:tcPr>
                <w:p>
                  <w:pPr>
                    <w:jc w:val="center"/>
                    <w:rPr>
                      <w:rFonts w:hint="eastAsia"/>
                      <w:color w:val="FF0000"/>
                      <w:sz w:val="21"/>
                      <w:szCs w:val="21"/>
                      <w:u w:val="single" w:color="auto"/>
                      <w:lang w:val="en-US" w:eastAsia="zh-CN"/>
                    </w:rPr>
                  </w:pPr>
                  <w:r>
                    <w:rPr>
                      <w:rFonts w:hint="eastAsia"/>
                      <w:color w:val="FF0000"/>
                      <w:sz w:val="21"/>
                      <w:szCs w:val="21"/>
                      <w:highlight w:val="none"/>
                      <w:u w:val="single" w:color="auto"/>
                      <w:lang w:val="en-US" w:eastAsia="zh-CN"/>
                    </w:rPr>
                    <w:t>湘湘阴油0659</w:t>
                  </w: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消防泵类型</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消防泵</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2个</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型号</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50CWL-7</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排量</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21.00m</w:t>
                  </w:r>
                  <w:r>
                    <w:rPr>
                      <w:rFonts w:hint="eastAsia" w:cs="Times New Roman"/>
                      <w:color w:val="FF0000"/>
                      <w:kern w:val="2"/>
                      <w:sz w:val="21"/>
                      <w:szCs w:val="21"/>
                      <w:highlight w:val="none"/>
                      <w:u w:val="single" w:color="auto"/>
                      <w:vertAlign w:val="superscript"/>
                      <w:lang w:val="en-US" w:eastAsia="zh-CN" w:bidi="ar-SA"/>
                    </w:rPr>
                    <w:t>3</w:t>
                  </w:r>
                  <w:r>
                    <w:rPr>
                      <w:rFonts w:hint="eastAsia" w:cs="Times New Roman"/>
                      <w:color w:val="FF0000"/>
                      <w:kern w:val="2"/>
                      <w:sz w:val="21"/>
                      <w:szCs w:val="21"/>
                      <w:highlight w:val="none"/>
                      <w:u w:val="single" w:color="auto"/>
                      <w:lang w:val="en-US" w:eastAsia="zh-CN" w:bidi="ar-SA"/>
                    </w:rPr>
                    <w:t>/h</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压头</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0.20MPa</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s="Times New Roman"/>
                      <w:color w:val="FF0000"/>
                      <w:kern w:val="2"/>
                      <w:sz w:val="21"/>
                      <w:szCs w:val="21"/>
                      <w:highlight w:val="none"/>
                      <w:u w:val="single" w:color="auto"/>
                      <w:lang w:val="en-US" w:eastAsia="zh-CN" w:bidi="ar-SA"/>
                    </w:rPr>
                    <w:t>安装位置</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机舱</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restart"/>
                  <w:noWrap w:val="0"/>
                  <w:vAlign w:val="center"/>
                </w:tcPr>
                <w:p>
                  <w:pPr>
                    <w:jc w:val="center"/>
                    <w:rPr>
                      <w:rFonts w:hint="eastAsia"/>
                      <w:color w:val="FF0000"/>
                      <w:sz w:val="21"/>
                      <w:szCs w:val="21"/>
                      <w:u w:val="single" w:color="auto"/>
                      <w:lang w:val="en-US" w:eastAsia="zh-CN"/>
                    </w:rPr>
                  </w:pPr>
                  <w:r>
                    <w:rPr>
                      <w:rFonts w:hint="eastAsia"/>
                      <w:color w:val="FF0000"/>
                      <w:sz w:val="21"/>
                      <w:szCs w:val="21"/>
                      <w:highlight w:val="none"/>
                      <w:u w:val="single" w:color="auto"/>
                      <w:lang w:val="en-US" w:eastAsia="zh-CN"/>
                    </w:rPr>
                    <w:t>湘湘阴油0530</w:t>
                  </w: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消防泵类型</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主消防泵</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2个</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型号</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IPG100-125</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排量</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89.00m</w:t>
                  </w:r>
                  <w:r>
                    <w:rPr>
                      <w:rFonts w:hint="eastAsia" w:cs="Times New Roman"/>
                      <w:color w:val="FF0000"/>
                      <w:kern w:val="2"/>
                      <w:sz w:val="21"/>
                      <w:szCs w:val="21"/>
                      <w:highlight w:val="none"/>
                      <w:u w:val="single" w:color="auto"/>
                      <w:vertAlign w:val="superscript"/>
                      <w:lang w:val="en-US" w:eastAsia="zh-CN" w:bidi="ar-SA"/>
                    </w:rPr>
                    <w:t>3</w:t>
                  </w:r>
                  <w:r>
                    <w:rPr>
                      <w:rFonts w:hint="eastAsia" w:cs="Times New Roman"/>
                      <w:color w:val="FF0000"/>
                      <w:kern w:val="2"/>
                      <w:sz w:val="21"/>
                      <w:szCs w:val="21"/>
                      <w:highlight w:val="none"/>
                      <w:u w:val="single" w:color="auto"/>
                      <w:lang w:val="en-US" w:eastAsia="zh-CN" w:bidi="ar-SA"/>
                    </w:rPr>
                    <w:t>/h</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压头</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0.16MPa</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s="Times New Roman"/>
                      <w:color w:val="FF0000"/>
                      <w:kern w:val="2"/>
                      <w:sz w:val="21"/>
                      <w:szCs w:val="21"/>
                      <w:highlight w:val="none"/>
                      <w:u w:val="single" w:color="auto"/>
                      <w:lang w:val="en-US" w:eastAsia="zh-CN" w:bidi="ar-SA"/>
                    </w:rPr>
                    <w:t>安装位置</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机舱</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restart"/>
                  <w:noWrap w:val="0"/>
                  <w:vAlign w:val="center"/>
                </w:tcPr>
                <w:p>
                  <w:pPr>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消防设备</w:t>
                  </w:r>
                </w:p>
              </w:tc>
              <w:tc>
                <w:tcPr>
                  <w:tcW w:w="460" w:type="pct"/>
                  <w:vMerge w:val="restart"/>
                  <w:noWrap w:val="0"/>
                  <w:vAlign w:val="center"/>
                </w:tcPr>
                <w:p>
                  <w:pPr>
                    <w:jc w:val="center"/>
                    <w:rPr>
                      <w:rFonts w:hint="eastAsia"/>
                      <w:color w:val="FF0000"/>
                      <w:sz w:val="21"/>
                      <w:szCs w:val="21"/>
                      <w:u w:val="single" w:color="auto"/>
                      <w:lang w:val="en-US" w:eastAsia="zh-CN"/>
                    </w:rPr>
                  </w:pPr>
                  <w:r>
                    <w:rPr>
                      <w:rFonts w:hint="eastAsia"/>
                      <w:color w:val="FF0000"/>
                      <w:sz w:val="21"/>
                      <w:szCs w:val="21"/>
                      <w:highlight w:val="none"/>
                      <w:u w:val="single" w:color="auto"/>
                      <w:lang w:val="en-US" w:eastAsia="zh-CN"/>
                    </w:rPr>
                    <w:t>湘湘阴油0659</w:t>
                  </w: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消火栓</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3只</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水枪</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2只</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国际通岸接头</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1只</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太平桶</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4只</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太平斧</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2把</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黄沙箱</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2个</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restart"/>
                  <w:noWrap w:val="0"/>
                  <w:vAlign w:val="center"/>
                </w:tcPr>
                <w:p>
                  <w:pPr>
                    <w:jc w:val="center"/>
                    <w:rPr>
                      <w:rFonts w:hint="eastAsia"/>
                      <w:color w:val="FF0000"/>
                      <w:sz w:val="21"/>
                      <w:szCs w:val="21"/>
                      <w:u w:val="single" w:color="auto"/>
                      <w:lang w:val="en-US" w:eastAsia="zh-CN"/>
                    </w:rPr>
                  </w:pPr>
                  <w:r>
                    <w:rPr>
                      <w:rFonts w:hint="eastAsia"/>
                      <w:color w:val="FF0000"/>
                      <w:sz w:val="21"/>
                      <w:szCs w:val="21"/>
                      <w:highlight w:val="none"/>
                      <w:u w:val="single" w:color="auto"/>
                      <w:lang w:val="en-US" w:eastAsia="zh-CN"/>
                    </w:rPr>
                    <w:t>湘湘阴油0530</w:t>
                  </w: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消火栓</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6只</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水枪</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2只</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国际通岸接头</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1只</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太平桶</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4只</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太平斧</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2把</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黄沙箱</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2个</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restart"/>
                  <w:noWrap w:val="0"/>
                  <w:vAlign w:val="center"/>
                </w:tcPr>
                <w:p>
                  <w:pPr>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其他固定灭火系统</w:t>
                  </w:r>
                </w:p>
              </w:tc>
              <w:tc>
                <w:tcPr>
                  <w:tcW w:w="460" w:type="pct"/>
                  <w:vMerge w:val="restart"/>
                  <w:noWrap w:val="0"/>
                  <w:vAlign w:val="center"/>
                </w:tcPr>
                <w:p>
                  <w:pPr>
                    <w:jc w:val="center"/>
                    <w:rPr>
                      <w:rFonts w:hint="eastAsia"/>
                      <w:color w:val="FF0000"/>
                      <w:sz w:val="21"/>
                      <w:szCs w:val="21"/>
                      <w:u w:val="single" w:color="auto"/>
                      <w:lang w:val="en-US" w:eastAsia="zh-CN"/>
                    </w:rPr>
                  </w:pPr>
                  <w:r>
                    <w:rPr>
                      <w:rFonts w:hint="eastAsia"/>
                      <w:color w:val="FF0000"/>
                      <w:sz w:val="21"/>
                      <w:szCs w:val="21"/>
                      <w:highlight w:val="none"/>
                      <w:u w:val="single" w:color="auto"/>
                      <w:lang w:val="en-US" w:eastAsia="zh-CN"/>
                    </w:rPr>
                    <w:t>湘湘阴油0659</w:t>
                  </w: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灭火剂或灭火系统种类</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CO</w:t>
                  </w:r>
                  <w:r>
                    <w:rPr>
                      <w:rFonts w:hint="eastAsia" w:cs="Times New Roman"/>
                      <w:color w:val="FF0000"/>
                      <w:kern w:val="2"/>
                      <w:sz w:val="21"/>
                      <w:szCs w:val="21"/>
                      <w:highlight w:val="none"/>
                      <w:u w:val="single" w:color="auto"/>
                      <w:vertAlign w:val="subscript"/>
                      <w:lang w:val="en-US" w:eastAsia="zh-CN" w:bidi="ar-SA"/>
                    </w:rPr>
                    <w:t>2</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灭火剂剂量/容器容积</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40.000/0.068</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数量</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2个</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s="Times New Roman"/>
                      <w:color w:val="FF0000"/>
                      <w:kern w:val="2"/>
                      <w:sz w:val="21"/>
                      <w:szCs w:val="21"/>
                      <w:highlight w:val="none"/>
                      <w:u w:val="single" w:color="auto"/>
                      <w:lang w:val="en-US" w:eastAsia="zh-CN" w:bidi="ar-SA"/>
                    </w:rPr>
                    <w:t>保护处所</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机舱泵舱</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restart"/>
                  <w:noWrap w:val="0"/>
                  <w:vAlign w:val="center"/>
                </w:tcPr>
                <w:p>
                  <w:pPr>
                    <w:jc w:val="center"/>
                    <w:rPr>
                      <w:rFonts w:hint="eastAsia"/>
                      <w:color w:val="FF0000"/>
                      <w:sz w:val="21"/>
                      <w:szCs w:val="21"/>
                      <w:u w:val="single" w:color="auto"/>
                      <w:lang w:val="en-US" w:eastAsia="zh-CN"/>
                    </w:rPr>
                  </w:pPr>
                  <w:r>
                    <w:rPr>
                      <w:rFonts w:hint="eastAsia"/>
                      <w:color w:val="FF0000"/>
                      <w:sz w:val="21"/>
                      <w:szCs w:val="21"/>
                      <w:highlight w:val="none"/>
                      <w:u w:val="single" w:color="auto"/>
                      <w:lang w:val="en-US" w:eastAsia="zh-CN"/>
                    </w:rPr>
                    <w:t>湘湘阴油0530</w:t>
                  </w: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灭火剂或灭火系统种类</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灭火剂剂量/容器容积</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数量</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保护处所</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restart"/>
                  <w:noWrap w:val="0"/>
                  <w:vAlign w:val="center"/>
                </w:tcPr>
                <w:p>
                  <w:pPr>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灭火器</w:t>
                  </w:r>
                </w:p>
              </w:tc>
              <w:tc>
                <w:tcPr>
                  <w:tcW w:w="460" w:type="pct"/>
                  <w:vMerge w:val="restart"/>
                  <w:noWrap w:val="0"/>
                  <w:vAlign w:val="center"/>
                </w:tcPr>
                <w:p>
                  <w:pPr>
                    <w:jc w:val="center"/>
                    <w:rPr>
                      <w:rFonts w:hint="eastAsia"/>
                      <w:color w:val="FF0000"/>
                      <w:sz w:val="21"/>
                      <w:szCs w:val="21"/>
                      <w:u w:val="single" w:color="auto"/>
                      <w:lang w:val="en-US" w:eastAsia="zh-CN"/>
                    </w:rPr>
                  </w:pPr>
                  <w:r>
                    <w:rPr>
                      <w:rFonts w:hint="eastAsia"/>
                      <w:color w:val="FF0000"/>
                      <w:sz w:val="21"/>
                      <w:szCs w:val="21"/>
                      <w:highlight w:val="none"/>
                      <w:u w:val="single" w:color="auto"/>
                      <w:lang w:val="en-US" w:eastAsia="zh-CN"/>
                    </w:rPr>
                    <w:t>湘湘阴油0659</w:t>
                  </w:r>
                </w:p>
              </w:tc>
              <w:tc>
                <w:tcPr>
                  <w:tcW w:w="1399" w:type="pct"/>
                  <w:noWrap w:val="0"/>
                  <w:vAlign w:val="center"/>
                </w:tcPr>
                <w:p>
                  <w:pPr>
                    <w:spacing w:line="360" w:lineRule="exact"/>
                    <w:jc w:val="center"/>
                    <w:rPr>
                      <w:rFonts w:hint="default" w:ascii="Times New Roman" w:hAnsi="Times New Roman" w:eastAsia="宋体"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手提式灭火器</w:t>
                  </w:r>
                </w:p>
              </w:tc>
              <w:tc>
                <w:tcPr>
                  <w:tcW w:w="1652" w:type="pct"/>
                  <w:noWrap w:val="0"/>
                  <w:vAlign w:val="center"/>
                </w:tcPr>
                <w:p>
                  <w:pPr>
                    <w:jc w:val="center"/>
                    <w:rPr>
                      <w:rFonts w:hint="default" w:ascii="Times New Roman" w:hAnsi="Times New Roman" w:eastAsia="宋体"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12个</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货油区域、机舱</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spacing w:line="360" w:lineRule="exact"/>
                    <w:jc w:val="center"/>
                    <w:rPr>
                      <w:rFonts w:hint="default" w:ascii="Times New Roman" w:hAnsi="Times New Roman" w:eastAsia="宋体"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推车式泡沫</w:t>
                  </w:r>
                </w:p>
              </w:tc>
              <w:tc>
                <w:tcPr>
                  <w:tcW w:w="1652" w:type="pct"/>
                  <w:noWrap w:val="0"/>
                  <w:vAlign w:val="center"/>
                </w:tcPr>
                <w:p>
                  <w:pPr>
                    <w:jc w:val="center"/>
                    <w:rPr>
                      <w:rFonts w:hint="default" w:ascii="Times New Roman" w:hAnsi="Times New Roman" w:eastAsia="宋体"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1个</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货油区域</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restart"/>
                  <w:noWrap w:val="0"/>
                  <w:vAlign w:val="center"/>
                </w:tcPr>
                <w:p>
                  <w:pPr>
                    <w:jc w:val="center"/>
                    <w:rPr>
                      <w:rFonts w:hint="eastAsia"/>
                      <w:color w:val="FF0000"/>
                      <w:sz w:val="21"/>
                      <w:szCs w:val="21"/>
                      <w:u w:val="single" w:color="auto"/>
                      <w:lang w:val="en-US" w:eastAsia="zh-CN"/>
                    </w:rPr>
                  </w:pPr>
                  <w:r>
                    <w:rPr>
                      <w:rFonts w:hint="eastAsia"/>
                      <w:color w:val="FF0000"/>
                      <w:sz w:val="21"/>
                      <w:szCs w:val="21"/>
                      <w:highlight w:val="none"/>
                      <w:u w:val="single" w:color="auto"/>
                      <w:lang w:val="en-US" w:eastAsia="zh-CN"/>
                    </w:rPr>
                    <w:t>湘湘阴油0530</w:t>
                  </w:r>
                </w:p>
              </w:tc>
              <w:tc>
                <w:tcPr>
                  <w:tcW w:w="1399" w:type="pct"/>
                  <w:noWrap w:val="0"/>
                  <w:vAlign w:val="center"/>
                </w:tcPr>
                <w:p>
                  <w:pPr>
                    <w:spacing w:line="360" w:lineRule="exact"/>
                    <w:jc w:val="center"/>
                    <w:rPr>
                      <w:rFonts w:hint="eastAsia" w:ascii="Times New Roman" w:hAnsi="Times New Roman" w:eastAsia="宋体"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干粉灭火器</w:t>
                  </w:r>
                </w:p>
              </w:tc>
              <w:tc>
                <w:tcPr>
                  <w:tcW w:w="1652" w:type="pct"/>
                  <w:noWrap w:val="0"/>
                  <w:vAlign w:val="center"/>
                </w:tcPr>
                <w:p>
                  <w:pPr>
                    <w:jc w:val="center"/>
                    <w:rPr>
                      <w:rFonts w:hint="default" w:ascii="Times New Roman" w:hAnsi="Times New Roman" w:eastAsia="宋体"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12个</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机舱、各层甲板</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spacing w:line="360" w:lineRule="exact"/>
                    <w:jc w:val="center"/>
                    <w:rPr>
                      <w:rFonts w:hint="eastAsia" w:ascii="Times New Roman" w:hAnsi="Times New Roman" w:eastAsia="宋体"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手提式泡沫枪</w:t>
                  </w:r>
                </w:p>
              </w:tc>
              <w:tc>
                <w:tcPr>
                  <w:tcW w:w="1652" w:type="pct"/>
                  <w:noWrap w:val="0"/>
                  <w:vAlign w:val="center"/>
                </w:tcPr>
                <w:p>
                  <w:pPr>
                    <w:jc w:val="center"/>
                    <w:rPr>
                      <w:rFonts w:hint="default" w:ascii="Times New Roman" w:hAnsi="Times New Roman" w:eastAsia="宋体"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1个</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货油区甲板</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spacing w:line="360" w:lineRule="exact"/>
                    <w:jc w:val="center"/>
                    <w:rPr>
                      <w:rFonts w:hint="eastAsia" w:ascii="Times New Roman" w:hAnsi="Times New Roman" w:eastAsia="宋体"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推车式灭火器</w:t>
                  </w:r>
                </w:p>
              </w:tc>
              <w:tc>
                <w:tcPr>
                  <w:tcW w:w="1652" w:type="pct"/>
                  <w:noWrap w:val="0"/>
                  <w:vAlign w:val="center"/>
                </w:tcPr>
                <w:p>
                  <w:pPr>
                    <w:jc w:val="center"/>
                    <w:rPr>
                      <w:rFonts w:hint="default" w:ascii="Times New Roman" w:hAnsi="Times New Roman" w:eastAsia="宋体"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1个</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货油区甲板</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restart"/>
                  <w:noWrap w:val="0"/>
                  <w:vAlign w:val="center"/>
                </w:tcPr>
                <w:p>
                  <w:pPr>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救生设备</w:t>
                  </w:r>
                </w:p>
              </w:tc>
              <w:tc>
                <w:tcPr>
                  <w:tcW w:w="460" w:type="pct"/>
                  <w:noWrap w:val="0"/>
                  <w:vAlign w:val="center"/>
                </w:tcPr>
                <w:p>
                  <w:pPr>
                    <w:jc w:val="center"/>
                    <w:rPr>
                      <w:rFonts w:hint="eastAsia"/>
                      <w:color w:val="FF0000"/>
                      <w:sz w:val="21"/>
                      <w:szCs w:val="21"/>
                      <w:u w:val="single" w:color="auto"/>
                      <w:lang w:val="en-US" w:eastAsia="zh-CN"/>
                    </w:rPr>
                  </w:pPr>
                  <w:r>
                    <w:rPr>
                      <w:rFonts w:hint="eastAsia"/>
                      <w:color w:val="FF0000"/>
                      <w:sz w:val="21"/>
                      <w:szCs w:val="21"/>
                      <w:highlight w:val="none"/>
                      <w:u w:val="single" w:color="auto"/>
                      <w:lang w:val="en-US" w:eastAsia="zh-CN"/>
                    </w:rPr>
                    <w:t>湘湘阴油0659</w:t>
                  </w: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救生衣</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8件</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noWrap w:val="0"/>
                  <w:vAlign w:val="center"/>
                </w:tcPr>
                <w:p>
                  <w:pPr>
                    <w:jc w:val="center"/>
                    <w:rPr>
                      <w:rFonts w:hint="eastAsia"/>
                      <w:color w:val="FF0000"/>
                      <w:sz w:val="21"/>
                      <w:szCs w:val="21"/>
                      <w:u w:val="single" w:color="auto"/>
                      <w:lang w:val="en-US" w:eastAsia="zh-CN"/>
                    </w:rPr>
                  </w:pPr>
                  <w:r>
                    <w:rPr>
                      <w:rFonts w:hint="eastAsia"/>
                      <w:color w:val="FF0000"/>
                      <w:sz w:val="21"/>
                      <w:szCs w:val="21"/>
                      <w:highlight w:val="none"/>
                      <w:u w:val="single" w:color="auto"/>
                      <w:lang w:val="en-US" w:eastAsia="zh-CN"/>
                    </w:rPr>
                    <w:t>湘湘阴油0530</w:t>
                  </w: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救生衣</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8件</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restart"/>
                  <w:noWrap w:val="0"/>
                  <w:vAlign w:val="center"/>
                </w:tcPr>
                <w:p>
                  <w:pPr>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航行设备</w:t>
                  </w:r>
                </w:p>
              </w:tc>
              <w:tc>
                <w:tcPr>
                  <w:tcW w:w="460" w:type="pct"/>
                  <w:vMerge w:val="restart"/>
                  <w:noWrap w:val="0"/>
                  <w:vAlign w:val="center"/>
                </w:tcPr>
                <w:p>
                  <w:pPr>
                    <w:jc w:val="center"/>
                    <w:rPr>
                      <w:rFonts w:hint="eastAsia"/>
                      <w:color w:val="FF0000"/>
                      <w:sz w:val="21"/>
                      <w:szCs w:val="21"/>
                      <w:u w:val="single" w:color="auto"/>
                      <w:lang w:val="en-US" w:eastAsia="zh-CN"/>
                    </w:rPr>
                  </w:pPr>
                  <w:r>
                    <w:rPr>
                      <w:rFonts w:hint="eastAsia"/>
                      <w:color w:val="FF0000"/>
                      <w:sz w:val="21"/>
                      <w:szCs w:val="21"/>
                      <w:highlight w:val="none"/>
                      <w:u w:val="single" w:color="auto"/>
                      <w:lang w:val="en-US" w:eastAsia="zh-CN"/>
                    </w:rPr>
                    <w:t>湘湘阴油0659</w:t>
                  </w: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AIS</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FT-2200</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导航雷达</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JMA-2144</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导航仪</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ZK998</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搜索灯</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TZ1-1000</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探照灯</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TG-16；24V；100W</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restart"/>
                  <w:noWrap w:val="0"/>
                  <w:vAlign w:val="center"/>
                </w:tcPr>
                <w:p>
                  <w:pPr>
                    <w:jc w:val="center"/>
                    <w:rPr>
                      <w:rFonts w:hint="eastAsia"/>
                      <w:color w:val="FF0000"/>
                      <w:sz w:val="21"/>
                      <w:szCs w:val="21"/>
                      <w:u w:val="single" w:color="auto"/>
                      <w:lang w:val="en-US" w:eastAsia="zh-CN"/>
                    </w:rPr>
                  </w:pPr>
                  <w:r>
                    <w:rPr>
                      <w:rFonts w:hint="eastAsia"/>
                      <w:color w:val="FF0000"/>
                      <w:sz w:val="21"/>
                      <w:szCs w:val="21"/>
                      <w:highlight w:val="none"/>
                      <w:u w:val="single" w:color="auto"/>
                      <w:lang w:val="en-US" w:eastAsia="zh-CN"/>
                    </w:rPr>
                    <w:t>湘湘阴油0530</w:t>
                  </w: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24V探照灯</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E32-23</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AIS</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AIS900-10</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雷达</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KR-1338C</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探照灯</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TZ1</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restart"/>
                  <w:noWrap w:val="0"/>
                  <w:vAlign w:val="center"/>
                </w:tcPr>
                <w:p>
                  <w:pPr>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信号设备</w:t>
                  </w:r>
                </w:p>
              </w:tc>
              <w:tc>
                <w:tcPr>
                  <w:tcW w:w="460" w:type="pct"/>
                  <w:vMerge w:val="restart"/>
                  <w:noWrap w:val="0"/>
                  <w:vAlign w:val="center"/>
                </w:tcPr>
                <w:p>
                  <w:pPr>
                    <w:jc w:val="center"/>
                    <w:rPr>
                      <w:rFonts w:hint="eastAsia"/>
                      <w:color w:val="FF0000"/>
                      <w:sz w:val="21"/>
                      <w:szCs w:val="21"/>
                      <w:u w:val="single" w:color="auto"/>
                      <w:lang w:val="en-US" w:eastAsia="zh-CN"/>
                    </w:rPr>
                  </w:pPr>
                  <w:r>
                    <w:rPr>
                      <w:rFonts w:hint="eastAsia"/>
                      <w:color w:val="FF0000"/>
                      <w:sz w:val="21"/>
                      <w:szCs w:val="21"/>
                      <w:highlight w:val="none"/>
                      <w:u w:val="single" w:color="auto"/>
                      <w:lang w:val="en-US" w:eastAsia="zh-CN"/>
                    </w:rPr>
                    <w:t>湘湘阴油0659</w:t>
                  </w: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国旗</w:t>
                  </w:r>
                </w:p>
              </w:tc>
              <w:tc>
                <w:tcPr>
                  <w:tcW w:w="1652" w:type="pct"/>
                  <w:noWrap w:val="0"/>
                  <w:vAlign w:val="center"/>
                </w:tcPr>
                <w:p>
                  <w:pPr>
                    <w:jc w:val="center"/>
                    <w:rPr>
                      <w:rFonts w:hint="default" w:ascii="Times New Roman" w:hAnsi="Times New Roman" w:eastAsia="宋体"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号笛</w:t>
                  </w:r>
                </w:p>
              </w:tc>
              <w:tc>
                <w:tcPr>
                  <w:tcW w:w="1652" w:type="pct"/>
                  <w:noWrap w:val="0"/>
                  <w:vAlign w:val="center"/>
                </w:tcPr>
                <w:p>
                  <w:pPr>
                    <w:jc w:val="center"/>
                    <w:rPr>
                      <w:rFonts w:hint="default" w:ascii="Times New Roman" w:hAnsi="Times New Roman" w:eastAsia="宋体"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号钟</w:t>
                  </w:r>
                </w:p>
              </w:tc>
              <w:tc>
                <w:tcPr>
                  <w:tcW w:w="1652" w:type="pct"/>
                  <w:noWrap w:val="0"/>
                  <w:vAlign w:val="center"/>
                </w:tcPr>
                <w:p>
                  <w:pPr>
                    <w:jc w:val="center"/>
                    <w:rPr>
                      <w:rFonts w:hint="default" w:ascii="Times New Roman" w:hAnsi="Times New Roman" w:eastAsia="宋体"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红旗</w:t>
                  </w:r>
                </w:p>
              </w:tc>
              <w:tc>
                <w:tcPr>
                  <w:tcW w:w="1652" w:type="pct"/>
                  <w:noWrap w:val="0"/>
                  <w:vAlign w:val="center"/>
                </w:tcPr>
                <w:p>
                  <w:pPr>
                    <w:jc w:val="center"/>
                    <w:rPr>
                      <w:rFonts w:hint="default" w:ascii="Times New Roman" w:hAnsi="Times New Roman" w:eastAsia="宋体"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环照灯</w:t>
                  </w:r>
                </w:p>
              </w:tc>
              <w:tc>
                <w:tcPr>
                  <w:tcW w:w="1652" w:type="pct"/>
                  <w:noWrap w:val="0"/>
                  <w:vAlign w:val="center"/>
                </w:tcPr>
                <w:p>
                  <w:pPr>
                    <w:jc w:val="center"/>
                    <w:rPr>
                      <w:rFonts w:hint="default" w:ascii="Times New Roman" w:hAnsi="Times New Roman" w:eastAsia="宋体"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6</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闪光灯</w:t>
                  </w:r>
                </w:p>
              </w:tc>
              <w:tc>
                <w:tcPr>
                  <w:tcW w:w="1652" w:type="pct"/>
                  <w:noWrap w:val="0"/>
                  <w:vAlign w:val="center"/>
                </w:tcPr>
                <w:p>
                  <w:pPr>
                    <w:jc w:val="center"/>
                    <w:rPr>
                      <w:rFonts w:hint="default" w:ascii="Times New Roman" w:hAnsi="Times New Roman" w:eastAsia="宋体"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2</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桅灯</w:t>
                  </w:r>
                </w:p>
              </w:tc>
              <w:tc>
                <w:tcPr>
                  <w:tcW w:w="1652" w:type="pct"/>
                  <w:noWrap w:val="0"/>
                  <w:vAlign w:val="center"/>
                </w:tcPr>
                <w:p>
                  <w:pPr>
                    <w:jc w:val="center"/>
                    <w:rPr>
                      <w:rFonts w:hint="default" w:ascii="Times New Roman" w:hAnsi="Times New Roman" w:eastAsia="宋体"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3</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尾灯</w:t>
                  </w:r>
                </w:p>
              </w:tc>
              <w:tc>
                <w:tcPr>
                  <w:tcW w:w="1652" w:type="pct"/>
                  <w:noWrap w:val="0"/>
                  <w:vAlign w:val="center"/>
                </w:tcPr>
                <w:p>
                  <w:pPr>
                    <w:jc w:val="center"/>
                    <w:rPr>
                      <w:rFonts w:hint="default" w:ascii="Times New Roman" w:hAnsi="Times New Roman" w:eastAsia="宋体"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舷灯</w:t>
                  </w:r>
                </w:p>
              </w:tc>
              <w:tc>
                <w:tcPr>
                  <w:tcW w:w="1652" w:type="pct"/>
                  <w:noWrap w:val="0"/>
                  <w:vAlign w:val="center"/>
                </w:tcPr>
                <w:p>
                  <w:pPr>
                    <w:jc w:val="center"/>
                    <w:rPr>
                      <w:rFonts w:hint="default" w:ascii="Times New Roman" w:hAnsi="Times New Roman" w:eastAsia="宋体"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2</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信号旗</w:t>
                  </w:r>
                </w:p>
              </w:tc>
              <w:tc>
                <w:tcPr>
                  <w:tcW w:w="1652" w:type="pct"/>
                  <w:noWrap w:val="0"/>
                  <w:vAlign w:val="center"/>
                </w:tcPr>
                <w:p>
                  <w:pPr>
                    <w:jc w:val="center"/>
                    <w:rPr>
                      <w:rFonts w:hint="default" w:ascii="Times New Roman" w:hAnsi="Times New Roman" w:eastAsia="宋体"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restart"/>
                  <w:noWrap w:val="0"/>
                  <w:vAlign w:val="center"/>
                </w:tcPr>
                <w:p>
                  <w:pPr>
                    <w:jc w:val="center"/>
                    <w:rPr>
                      <w:rFonts w:hint="eastAsia"/>
                      <w:color w:val="FF0000"/>
                      <w:sz w:val="21"/>
                      <w:szCs w:val="21"/>
                      <w:u w:val="single" w:color="auto"/>
                      <w:lang w:val="en-US" w:eastAsia="zh-CN"/>
                    </w:rPr>
                  </w:pPr>
                  <w:r>
                    <w:rPr>
                      <w:rFonts w:hint="eastAsia"/>
                      <w:color w:val="FF0000"/>
                      <w:sz w:val="21"/>
                      <w:szCs w:val="21"/>
                      <w:highlight w:val="none"/>
                      <w:u w:val="single" w:color="auto"/>
                      <w:lang w:val="en-US" w:eastAsia="zh-CN"/>
                    </w:rPr>
                    <w:t>湘湘阴油0530</w:t>
                  </w: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国旗</w:t>
                  </w:r>
                </w:p>
              </w:tc>
              <w:tc>
                <w:tcPr>
                  <w:tcW w:w="1652" w:type="pct"/>
                  <w:noWrap w:val="0"/>
                  <w:vAlign w:val="center"/>
                </w:tcPr>
                <w:p>
                  <w:pPr>
                    <w:jc w:val="center"/>
                    <w:rPr>
                      <w:rFonts w:hint="default" w:ascii="Times New Roman" w:hAnsi="Times New Roman" w:eastAsia="宋体"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2</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号型</w:t>
                  </w:r>
                </w:p>
              </w:tc>
              <w:tc>
                <w:tcPr>
                  <w:tcW w:w="1652" w:type="pct"/>
                  <w:noWrap w:val="0"/>
                  <w:vAlign w:val="center"/>
                </w:tcPr>
                <w:p>
                  <w:pPr>
                    <w:jc w:val="center"/>
                    <w:rPr>
                      <w:rFonts w:hint="default" w:ascii="Times New Roman" w:hAnsi="Times New Roman" w:eastAsia="宋体"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3</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号钟</w:t>
                  </w:r>
                </w:p>
              </w:tc>
              <w:tc>
                <w:tcPr>
                  <w:tcW w:w="1652" w:type="pct"/>
                  <w:noWrap w:val="0"/>
                  <w:vAlign w:val="center"/>
                </w:tcPr>
                <w:p>
                  <w:pPr>
                    <w:jc w:val="center"/>
                    <w:rPr>
                      <w:rFonts w:hint="default" w:ascii="Times New Roman" w:hAnsi="Times New Roman" w:eastAsia="宋体"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红旗</w:t>
                  </w:r>
                </w:p>
              </w:tc>
              <w:tc>
                <w:tcPr>
                  <w:tcW w:w="1652" w:type="pct"/>
                  <w:noWrap w:val="0"/>
                  <w:vAlign w:val="center"/>
                </w:tcPr>
                <w:p>
                  <w:pPr>
                    <w:jc w:val="center"/>
                    <w:rPr>
                      <w:rFonts w:hint="default" w:ascii="Times New Roman" w:hAnsi="Times New Roman" w:eastAsia="宋体"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环照灯</w:t>
                  </w:r>
                </w:p>
              </w:tc>
              <w:tc>
                <w:tcPr>
                  <w:tcW w:w="1652" w:type="pct"/>
                  <w:noWrap w:val="0"/>
                  <w:vAlign w:val="center"/>
                </w:tcPr>
                <w:p>
                  <w:pPr>
                    <w:jc w:val="center"/>
                    <w:rPr>
                      <w:rFonts w:hint="default" w:ascii="Times New Roman" w:hAnsi="Times New Roman" w:eastAsia="宋体"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6</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闪光灯</w:t>
                  </w:r>
                </w:p>
              </w:tc>
              <w:tc>
                <w:tcPr>
                  <w:tcW w:w="1652" w:type="pct"/>
                  <w:noWrap w:val="0"/>
                  <w:vAlign w:val="center"/>
                </w:tcPr>
                <w:p>
                  <w:pPr>
                    <w:jc w:val="center"/>
                    <w:rPr>
                      <w:rFonts w:hint="default" w:ascii="Times New Roman" w:hAnsi="Times New Roman" w:eastAsia="宋体"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3</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手旗</w:t>
                  </w:r>
                </w:p>
              </w:tc>
              <w:tc>
                <w:tcPr>
                  <w:tcW w:w="1652" w:type="pct"/>
                  <w:noWrap w:val="0"/>
                  <w:vAlign w:val="center"/>
                </w:tcPr>
                <w:p>
                  <w:pPr>
                    <w:jc w:val="center"/>
                    <w:rPr>
                      <w:rFonts w:hint="default" w:ascii="Times New Roman" w:hAnsi="Times New Roman" w:eastAsia="宋体"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桅灯</w:t>
                  </w:r>
                </w:p>
              </w:tc>
              <w:tc>
                <w:tcPr>
                  <w:tcW w:w="1652" w:type="pct"/>
                  <w:noWrap w:val="0"/>
                  <w:vAlign w:val="center"/>
                </w:tcPr>
                <w:p>
                  <w:pPr>
                    <w:jc w:val="center"/>
                    <w:rPr>
                      <w:rFonts w:hint="default" w:ascii="Times New Roman" w:hAnsi="Times New Roman" w:eastAsia="宋体"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3</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尾灯</w:t>
                  </w:r>
                </w:p>
              </w:tc>
              <w:tc>
                <w:tcPr>
                  <w:tcW w:w="1652" w:type="pct"/>
                  <w:noWrap w:val="0"/>
                  <w:vAlign w:val="center"/>
                </w:tcPr>
                <w:p>
                  <w:pPr>
                    <w:jc w:val="center"/>
                    <w:rPr>
                      <w:rFonts w:hint="default" w:ascii="Times New Roman" w:hAnsi="Times New Roman" w:eastAsia="宋体"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舷灯</w:t>
                  </w:r>
                </w:p>
              </w:tc>
              <w:tc>
                <w:tcPr>
                  <w:tcW w:w="1652" w:type="pct"/>
                  <w:noWrap w:val="0"/>
                  <w:vAlign w:val="center"/>
                </w:tcPr>
                <w:p>
                  <w:pPr>
                    <w:jc w:val="center"/>
                    <w:rPr>
                      <w:rFonts w:hint="default" w:ascii="Times New Roman" w:hAnsi="Times New Roman" w:eastAsia="宋体"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2</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信号旗</w:t>
                  </w:r>
                </w:p>
              </w:tc>
              <w:tc>
                <w:tcPr>
                  <w:tcW w:w="1652" w:type="pct"/>
                  <w:noWrap w:val="0"/>
                  <w:vAlign w:val="center"/>
                </w:tcPr>
                <w:p>
                  <w:pPr>
                    <w:jc w:val="center"/>
                    <w:rPr>
                      <w:rFonts w:hint="default" w:ascii="Times New Roman" w:hAnsi="Times New Roman" w:eastAsia="宋体"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restart"/>
                  <w:noWrap w:val="0"/>
                  <w:vAlign w:val="center"/>
                </w:tcPr>
                <w:p>
                  <w:pPr>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无线电设备</w:t>
                  </w:r>
                </w:p>
              </w:tc>
              <w:tc>
                <w:tcPr>
                  <w:tcW w:w="460" w:type="pct"/>
                  <w:vMerge w:val="restart"/>
                  <w:noWrap w:val="0"/>
                  <w:vAlign w:val="center"/>
                </w:tcPr>
                <w:p>
                  <w:pPr>
                    <w:jc w:val="center"/>
                    <w:rPr>
                      <w:rFonts w:hint="eastAsia"/>
                      <w:color w:val="FF0000"/>
                      <w:sz w:val="21"/>
                      <w:szCs w:val="21"/>
                      <w:u w:val="single" w:color="auto"/>
                      <w:lang w:val="en-US" w:eastAsia="zh-CN"/>
                    </w:rPr>
                  </w:pPr>
                  <w:r>
                    <w:rPr>
                      <w:rFonts w:hint="eastAsia"/>
                      <w:color w:val="FF0000"/>
                      <w:sz w:val="21"/>
                      <w:szCs w:val="21"/>
                      <w:highlight w:val="none"/>
                      <w:u w:val="single" w:color="auto"/>
                      <w:lang w:val="en-US" w:eastAsia="zh-CN"/>
                    </w:rPr>
                    <w:t>湘湘阴油0659</w:t>
                  </w: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甚高频无线电话</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CY-VHF-B</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对外扩音装置</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XA-100</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restart"/>
                  <w:noWrap w:val="0"/>
                  <w:vAlign w:val="center"/>
                </w:tcPr>
                <w:p>
                  <w:pPr>
                    <w:jc w:val="center"/>
                    <w:rPr>
                      <w:rFonts w:hint="eastAsia"/>
                      <w:color w:val="FF0000"/>
                      <w:sz w:val="21"/>
                      <w:szCs w:val="21"/>
                      <w:u w:val="single" w:color="auto"/>
                      <w:lang w:val="en-US" w:eastAsia="zh-CN"/>
                    </w:rPr>
                  </w:pPr>
                  <w:r>
                    <w:rPr>
                      <w:rFonts w:hint="eastAsia"/>
                      <w:color w:val="FF0000"/>
                      <w:sz w:val="21"/>
                      <w:szCs w:val="21"/>
                      <w:highlight w:val="none"/>
                      <w:u w:val="single" w:color="auto"/>
                      <w:lang w:val="en-US" w:eastAsia="zh-CN"/>
                    </w:rPr>
                    <w:t>湘湘阴油0530</w:t>
                  </w: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甚高频无线电话</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CY-VHF-B</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对外扩音装置</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DZ-120W</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restart"/>
                  <w:noWrap w:val="0"/>
                  <w:vAlign w:val="center"/>
                </w:tcPr>
                <w:p>
                  <w:pPr>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推进装置主机</w:t>
                  </w:r>
                </w:p>
              </w:tc>
              <w:tc>
                <w:tcPr>
                  <w:tcW w:w="460" w:type="pct"/>
                  <w:vMerge w:val="restart"/>
                  <w:noWrap w:val="0"/>
                  <w:vAlign w:val="center"/>
                </w:tcPr>
                <w:p>
                  <w:pPr>
                    <w:jc w:val="center"/>
                    <w:rPr>
                      <w:rFonts w:hint="eastAsia"/>
                      <w:color w:val="FF0000"/>
                      <w:sz w:val="21"/>
                      <w:szCs w:val="21"/>
                      <w:u w:val="single" w:color="auto"/>
                      <w:lang w:val="en-US" w:eastAsia="zh-CN"/>
                    </w:rPr>
                  </w:pPr>
                  <w:r>
                    <w:rPr>
                      <w:rFonts w:hint="eastAsia"/>
                      <w:color w:val="FF0000"/>
                      <w:sz w:val="21"/>
                      <w:szCs w:val="21"/>
                      <w:highlight w:val="none"/>
                      <w:u w:val="single" w:color="auto"/>
                      <w:lang w:val="en-US" w:eastAsia="zh-CN"/>
                    </w:rPr>
                    <w:t>湘湘阴油0659</w:t>
                  </w: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型号</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WD615.61C-15B</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类型</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柴油机</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机号</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50608096923左</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额定功率</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110.00kW</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额定转速</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1500r/min</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制造日期</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2006年07月31日</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制造厂</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潍柴动力股份有限公司</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型号</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WD615.61C-15B</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类型</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柴油机</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机号</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50608096920右</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额定功率</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110.00kW</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额定转速</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1500r/min</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制造日期</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2006年07月31日</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制造厂</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潍柴动力股份有限公司</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restart"/>
                  <w:noWrap w:val="0"/>
                  <w:vAlign w:val="center"/>
                </w:tcPr>
                <w:p>
                  <w:pPr>
                    <w:jc w:val="center"/>
                    <w:rPr>
                      <w:rFonts w:hint="eastAsia"/>
                      <w:color w:val="FF0000"/>
                      <w:sz w:val="21"/>
                      <w:szCs w:val="21"/>
                      <w:u w:val="single" w:color="auto"/>
                      <w:lang w:val="en-US" w:eastAsia="zh-CN"/>
                    </w:rPr>
                  </w:pPr>
                  <w:r>
                    <w:rPr>
                      <w:rFonts w:hint="eastAsia"/>
                      <w:color w:val="FF0000"/>
                      <w:sz w:val="21"/>
                      <w:szCs w:val="21"/>
                      <w:highlight w:val="none"/>
                      <w:u w:val="single" w:color="auto"/>
                      <w:lang w:val="en-US" w:eastAsia="zh-CN"/>
                    </w:rPr>
                    <w:t>湘湘阴油0530</w:t>
                  </w: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型号</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WD615.61C</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类型</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柴油机</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机号</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100701024188左</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额定功率</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147.00kW</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额定转速</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1500r/min</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制造日期</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2011年12月09日</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制造厂</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杭州发动机有限公司</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型号</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WD615.61C</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类型</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柴油机</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机号</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100701024158左</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额定功率</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147.00kW</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额定转速</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1500r/min</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制造日期</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2011年12月09日</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制造厂</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杭州发动机有限公司</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restart"/>
                  <w:noWrap w:val="0"/>
                  <w:vAlign w:val="center"/>
                </w:tcPr>
                <w:p>
                  <w:pPr>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推进装置齿轮箱</w:t>
                  </w:r>
                </w:p>
              </w:tc>
              <w:tc>
                <w:tcPr>
                  <w:tcW w:w="460" w:type="pct"/>
                  <w:vMerge w:val="restart"/>
                  <w:noWrap w:val="0"/>
                  <w:vAlign w:val="center"/>
                </w:tcPr>
                <w:p>
                  <w:pPr>
                    <w:jc w:val="center"/>
                    <w:rPr>
                      <w:rFonts w:hint="eastAsia"/>
                      <w:color w:val="FF0000"/>
                      <w:sz w:val="21"/>
                      <w:szCs w:val="21"/>
                      <w:u w:val="single" w:color="auto"/>
                      <w:lang w:val="en-US" w:eastAsia="zh-CN"/>
                    </w:rPr>
                  </w:pPr>
                  <w:r>
                    <w:rPr>
                      <w:rFonts w:hint="eastAsia"/>
                      <w:color w:val="FF0000"/>
                      <w:sz w:val="21"/>
                      <w:szCs w:val="21"/>
                      <w:highlight w:val="none"/>
                      <w:u w:val="single" w:color="auto"/>
                      <w:lang w:val="en-US" w:eastAsia="zh-CN"/>
                    </w:rPr>
                    <w:t>湘湘阴油0659</w:t>
                  </w: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型号</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Z300</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型号</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Z300</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restart"/>
                  <w:noWrap w:val="0"/>
                  <w:vAlign w:val="center"/>
                </w:tcPr>
                <w:p>
                  <w:pPr>
                    <w:jc w:val="center"/>
                    <w:rPr>
                      <w:rFonts w:hint="eastAsia"/>
                      <w:color w:val="FF0000"/>
                      <w:sz w:val="21"/>
                      <w:szCs w:val="21"/>
                      <w:u w:val="single" w:color="auto"/>
                      <w:lang w:val="en-US" w:eastAsia="zh-CN"/>
                    </w:rPr>
                  </w:pPr>
                  <w:r>
                    <w:rPr>
                      <w:rFonts w:hint="eastAsia"/>
                      <w:color w:val="FF0000"/>
                      <w:sz w:val="21"/>
                      <w:szCs w:val="21"/>
                      <w:highlight w:val="none"/>
                      <w:u w:val="single" w:color="auto"/>
                      <w:lang w:val="en-US" w:eastAsia="zh-CN"/>
                    </w:rPr>
                    <w:t>湘湘阴油0530</w:t>
                  </w: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型号</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135L</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型号</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135L</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restart"/>
                  <w:noWrap w:val="0"/>
                  <w:vAlign w:val="center"/>
                </w:tcPr>
                <w:p>
                  <w:pPr>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推进装置轴系</w:t>
                  </w:r>
                </w:p>
              </w:tc>
              <w:tc>
                <w:tcPr>
                  <w:tcW w:w="460" w:type="pct"/>
                  <w:vMerge w:val="restart"/>
                  <w:noWrap w:val="0"/>
                  <w:vAlign w:val="center"/>
                </w:tcPr>
                <w:p>
                  <w:pPr>
                    <w:jc w:val="center"/>
                    <w:rPr>
                      <w:rFonts w:hint="eastAsia"/>
                      <w:color w:val="FF0000"/>
                      <w:sz w:val="21"/>
                      <w:szCs w:val="21"/>
                      <w:u w:val="single" w:color="auto"/>
                      <w:lang w:val="en-US" w:eastAsia="zh-CN"/>
                    </w:rPr>
                  </w:pPr>
                  <w:r>
                    <w:rPr>
                      <w:rFonts w:hint="eastAsia"/>
                      <w:color w:val="FF0000"/>
                      <w:sz w:val="21"/>
                      <w:szCs w:val="21"/>
                      <w:highlight w:val="none"/>
                      <w:u w:val="single" w:color="auto"/>
                      <w:lang w:val="en-US" w:eastAsia="zh-CN"/>
                    </w:rPr>
                    <w:t>湘湘阴油0659</w:t>
                  </w: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名称</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右螺旋桨轴</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直径</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100mm</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数量</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名称</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左螺旋桨轴</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直径</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100mm</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数量</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restart"/>
                  <w:noWrap w:val="0"/>
                  <w:vAlign w:val="center"/>
                </w:tcPr>
                <w:p>
                  <w:pPr>
                    <w:jc w:val="center"/>
                    <w:rPr>
                      <w:rFonts w:hint="eastAsia"/>
                      <w:color w:val="FF0000"/>
                      <w:sz w:val="21"/>
                      <w:szCs w:val="21"/>
                      <w:u w:val="single" w:color="auto"/>
                      <w:lang w:val="en-US" w:eastAsia="zh-CN"/>
                    </w:rPr>
                  </w:pPr>
                  <w:r>
                    <w:rPr>
                      <w:rFonts w:hint="eastAsia"/>
                      <w:color w:val="FF0000"/>
                      <w:sz w:val="21"/>
                      <w:szCs w:val="21"/>
                      <w:highlight w:val="none"/>
                      <w:u w:val="single" w:color="auto"/>
                      <w:lang w:val="en-US" w:eastAsia="zh-CN"/>
                    </w:rPr>
                    <w:t>湘湘阴油0530</w:t>
                  </w: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名称</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右螺旋桨轴</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直径</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100mm</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数量</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名称</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左螺旋桨轴</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直径</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100mm</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数量</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restart"/>
                  <w:noWrap w:val="0"/>
                  <w:vAlign w:val="center"/>
                </w:tcPr>
                <w:p>
                  <w:pPr>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推进装置推进器</w:t>
                  </w:r>
                </w:p>
              </w:tc>
              <w:tc>
                <w:tcPr>
                  <w:tcW w:w="460" w:type="pct"/>
                  <w:vMerge w:val="restart"/>
                  <w:noWrap w:val="0"/>
                  <w:vAlign w:val="center"/>
                </w:tcPr>
                <w:p>
                  <w:pPr>
                    <w:jc w:val="center"/>
                    <w:rPr>
                      <w:rFonts w:hint="eastAsia"/>
                      <w:color w:val="FF0000"/>
                      <w:sz w:val="21"/>
                      <w:szCs w:val="21"/>
                      <w:u w:val="single" w:color="auto"/>
                      <w:lang w:val="en-US" w:eastAsia="zh-CN"/>
                    </w:rPr>
                  </w:pPr>
                  <w:r>
                    <w:rPr>
                      <w:rFonts w:hint="eastAsia"/>
                      <w:color w:val="FF0000"/>
                      <w:sz w:val="21"/>
                      <w:szCs w:val="21"/>
                      <w:highlight w:val="none"/>
                      <w:u w:val="single" w:color="auto"/>
                      <w:lang w:val="en-US" w:eastAsia="zh-CN"/>
                    </w:rPr>
                    <w:t>湘湘阴油0659</w:t>
                  </w: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种类</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左螺旋桨</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类型</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固定式</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材料</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铸钢</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直径</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1200.00mm</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种类</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右螺旋桨</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类型</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固定式</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材料</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铸钢</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直径</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1200.00mm</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restart"/>
                  <w:noWrap w:val="0"/>
                  <w:vAlign w:val="center"/>
                </w:tcPr>
                <w:p>
                  <w:pPr>
                    <w:jc w:val="center"/>
                    <w:rPr>
                      <w:rFonts w:hint="eastAsia"/>
                      <w:color w:val="FF0000"/>
                      <w:sz w:val="21"/>
                      <w:szCs w:val="21"/>
                      <w:u w:val="single" w:color="auto"/>
                      <w:lang w:val="en-US" w:eastAsia="zh-CN"/>
                    </w:rPr>
                  </w:pPr>
                  <w:r>
                    <w:rPr>
                      <w:rFonts w:hint="eastAsia"/>
                      <w:color w:val="FF0000"/>
                      <w:sz w:val="21"/>
                      <w:szCs w:val="21"/>
                      <w:highlight w:val="none"/>
                      <w:u w:val="single" w:color="auto"/>
                      <w:lang w:val="en-US" w:eastAsia="zh-CN"/>
                    </w:rPr>
                    <w:t>湘湘阴油0530</w:t>
                  </w: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种类</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左螺旋桨</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类型</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固定式</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材料</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铸钢</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直径</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1210.00mm</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种类</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右螺旋桨</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类型</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固定式</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材料</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铸钢</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直径</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1210.00mm</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restart"/>
                  <w:noWrap w:val="0"/>
                  <w:vAlign w:val="center"/>
                </w:tcPr>
                <w:p>
                  <w:pPr>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电气设备</w:t>
                  </w:r>
                </w:p>
              </w:tc>
              <w:tc>
                <w:tcPr>
                  <w:tcW w:w="460" w:type="pct"/>
                  <w:vMerge w:val="restart"/>
                  <w:noWrap w:val="0"/>
                  <w:vAlign w:val="center"/>
                </w:tcPr>
                <w:p>
                  <w:pPr>
                    <w:jc w:val="center"/>
                    <w:rPr>
                      <w:rFonts w:hint="eastAsia"/>
                      <w:color w:val="FF0000"/>
                      <w:sz w:val="21"/>
                      <w:szCs w:val="21"/>
                      <w:u w:val="single" w:color="auto"/>
                      <w:lang w:val="en-US" w:eastAsia="zh-CN"/>
                    </w:rPr>
                  </w:pPr>
                  <w:r>
                    <w:rPr>
                      <w:rFonts w:hint="eastAsia"/>
                      <w:color w:val="FF0000"/>
                      <w:sz w:val="21"/>
                      <w:szCs w:val="21"/>
                      <w:highlight w:val="none"/>
                      <w:u w:val="single" w:color="auto"/>
                      <w:lang w:val="en-US" w:eastAsia="zh-CN"/>
                    </w:rPr>
                    <w:t>湘湘阴油0659</w:t>
                  </w: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名称</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1号发电机</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发电机型号</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SB-HT-24</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数量</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额定功率</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24.00kW</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额定转速</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1500r/min</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电流种类及大小</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AC43.40A</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额定电压</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400.00V</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原动机型号</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X4105BDF2</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数量</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额定功率</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32.40kW</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额定转速</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1500r/min</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名称</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2号发电机</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发电机型号</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SB-HW4-16</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数量</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额定功率</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16.00kW</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额定转速</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1500r/min</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电流种类及大小</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AC28.90A</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额定电压</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220.00V</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原动机型号</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左主机</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数量</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额定功率</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额定转速</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restart"/>
                  <w:noWrap w:val="0"/>
                  <w:vAlign w:val="center"/>
                </w:tcPr>
                <w:p>
                  <w:pPr>
                    <w:jc w:val="center"/>
                    <w:rPr>
                      <w:rFonts w:hint="eastAsia"/>
                      <w:color w:val="FF0000"/>
                      <w:sz w:val="21"/>
                      <w:szCs w:val="21"/>
                      <w:u w:val="single" w:color="auto"/>
                      <w:lang w:val="en-US" w:eastAsia="zh-CN"/>
                    </w:rPr>
                  </w:pPr>
                  <w:r>
                    <w:rPr>
                      <w:rFonts w:hint="eastAsia"/>
                      <w:color w:val="FF0000"/>
                      <w:sz w:val="21"/>
                      <w:szCs w:val="21"/>
                      <w:highlight w:val="none"/>
                      <w:u w:val="single" w:color="auto"/>
                      <w:lang w:val="en-US" w:eastAsia="zh-CN"/>
                    </w:rPr>
                    <w:t>湘湘阴油0530</w:t>
                  </w: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名称</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1号发电机</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发电机型号</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TZHW-225L4-TH</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数量</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额定功率</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75.00kW</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额定转速</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1500r/min</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电流种类及大小</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AC135.00A</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额定电压</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400.00V</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原动机型号</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R6105ZD</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数量</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额定功率</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90.00kW</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额定转速</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1500r/min</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名称</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2号发电机</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发电机型号</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STC-20</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数量</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额定功率</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20.00kW</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额定转速</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1500r/min</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电流种类及大小</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AC36.10A</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额定电压</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400.00V</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原动机型号</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ZS1125GM</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数量</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额定功率</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20.20kW</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额定转速</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2200r/min</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名称</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3号发电机</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发电机型号</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TFS-200S4</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数量</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额定功率</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30.00kW</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额定转速</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1500r/min</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电流种类及大小</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AC54.10A</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额定电压</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400.00V</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原动机型号</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左主机</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数量</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额定功率</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额定转速</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restart"/>
                  <w:noWrap w:val="0"/>
                  <w:vAlign w:val="center"/>
                </w:tcPr>
                <w:p>
                  <w:pPr>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蓄电池</w:t>
                  </w:r>
                </w:p>
              </w:tc>
              <w:tc>
                <w:tcPr>
                  <w:tcW w:w="460" w:type="pct"/>
                  <w:vMerge w:val="restart"/>
                  <w:noWrap w:val="0"/>
                  <w:vAlign w:val="center"/>
                </w:tcPr>
                <w:p>
                  <w:pPr>
                    <w:jc w:val="center"/>
                    <w:rPr>
                      <w:rFonts w:hint="eastAsia"/>
                      <w:color w:val="FF0000"/>
                      <w:sz w:val="21"/>
                      <w:szCs w:val="21"/>
                      <w:u w:val="single" w:color="auto"/>
                      <w:lang w:val="en-US" w:eastAsia="zh-CN"/>
                    </w:rPr>
                  </w:pPr>
                  <w:r>
                    <w:rPr>
                      <w:rFonts w:hint="eastAsia"/>
                      <w:color w:val="FF0000"/>
                      <w:sz w:val="21"/>
                      <w:szCs w:val="21"/>
                      <w:highlight w:val="none"/>
                      <w:u w:val="single" w:color="auto"/>
                      <w:lang w:val="en-US" w:eastAsia="zh-CN"/>
                    </w:rPr>
                    <w:t>湘湘阴油0659</w:t>
                  </w: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容量</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200</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用途</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临时应急电源</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restart"/>
                  <w:noWrap w:val="0"/>
                  <w:vAlign w:val="center"/>
                </w:tcPr>
                <w:p>
                  <w:pPr>
                    <w:jc w:val="center"/>
                    <w:rPr>
                      <w:rFonts w:hint="eastAsia"/>
                      <w:color w:val="FF0000"/>
                      <w:sz w:val="21"/>
                      <w:szCs w:val="21"/>
                      <w:u w:val="single" w:color="auto"/>
                      <w:lang w:val="en-US" w:eastAsia="zh-CN"/>
                    </w:rPr>
                  </w:pPr>
                  <w:r>
                    <w:rPr>
                      <w:rFonts w:hint="eastAsia"/>
                      <w:color w:val="FF0000"/>
                      <w:sz w:val="21"/>
                      <w:szCs w:val="21"/>
                      <w:highlight w:val="none"/>
                      <w:u w:val="single" w:color="auto"/>
                      <w:lang w:val="en-US" w:eastAsia="zh-CN"/>
                    </w:rPr>
                    <w:t>湘湘阴油0530</w:t>
                  </w: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容量</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200</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用途</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临时应急电源</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restart"/>
                  <w:noWrap w:val="0"/>
                  <w:vAlign w:val="center"/>
                </w:tcPr>
                <w:p>
                  <w:pPr>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防油类污染设备</w:t>
                  </w:r>
                </w:p>
              </w:tc>
              <w:tc>
                <w:tcPr>
                  <w:tcW w:w="460" w:type="pct"/>
                  <w:vMerge w:val="restart"/>
                  <w:noWrap w:val="0"/>
                  <w:vAlign w:val="center"/>
                </w:tcPr>
                <w:p>
                  <w:pPr>
                    <w:jc w:val="center"/>
                    <w:rPr>
                      <w:rFonts w:hint="eastAsia"/>
                      <w:color w:val="FF0000"/>
                      <w:sz w:val="21"/>
                      <w:szCs w:val="21"/>
                      <w:u w:val="single" w:color="auto"/>
                      <w:lang w:val="en-US" w:eastAsia="zh-CN"/>
                    </w:rPr>
                  </w:pPr>
                  <w:r>
                    <w:rPr>
                      <w:rFonts w:hint="eastAsia"/>
                      <w:color w:val="FF0000"/>
                      <w:sz w:val="21"/>
                      <w:szCs w:val="21"/>
                      <w:highlight w:val="none"/>
                      <w:u w:val="single" w:color="auto"/>
                      <w:lang w:val="en-US" w:eastAsia="zh-CN"/>
                    </w:rPr>
                    <w:t>湘湘阴油0659</w:t>
                  </w: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名称</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油水分离设备</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含油污水排出舷外管路阀门未铅封</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ascii="Times New Roman" w:hAnsi="Times New Roman" w:eastAsia="宋体" w:cs="Times New Roman"/>
                      <w:color w:val="FF0000"/>
                      <w:kern w:val="2"/>
                      <w:sz w:val="21"/>
                      <w:szCs w:val="21"/>
                      <w:u w:val="single" w:color="auto"/>
                      <w:lang w:val="en-US" w:eastAsia="zh-CN" w:bidi="ar-SA"/>
                    </w:rPr>
                  </w:pPr>
                  <w:r>
                    <w:rPr>
                      <w:rFonts w:hint="eastAsia"/>
                      <w:color w:val="FF0000"/>
                      <w:sz w:val="21"/>
                      <w:szCs w:val="21"/>
                      <w:u w:val="single" w:color="auto"/>
                      <w:lang w:val="en-US" w:eastAsia="zh-CN"/>
                    </w:rPr>
                    <w:t>型号</w:t>
                  </w:r>
                </w:p>
              </w:tc>
              <w:tc>
                <w:tcPr>
                  <w:tcW w:w="1652" w:type="pct"/>
                  <w:noWrap w:val="0"/>
                  <w:vAlign w:val="center"/>
                </w:tcPr>
                <w:p>
                  <w:pPr>
                    <w:spacing w:line="360" w:lineRule="exact"/>
                    <w:jc w:val="center"/>
                    <w:rPr>
                      <w:rFonts w:hint="default" w:ascii="Times New Roman" w:hAnsi="Times New Roman" w:eastAsia="宋体"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YSCZ-WM</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eastAsia" w:ascii="Times New Roman" w:hAnsi="Times New Roman" w:eastAsia="宋体" w:cs="Times New Roman"/>
                      <w:color w:val="FF0000"/>
                      <w:kern w:val="2"/>
                      <w:sz w:val="21"/>
                      <w:szCs w:val="21"/>
                      <w:u w:val="single" w:color="auto"/>
                      <w:lang w:val="en-US" w:eastAsia="zh-CN" w:bidi="ar-SA"/>
                    </w:rPr>
                  </w:pPr>
                  <w:r>
                    <w:rPr>
                      <w:rFonts w:hint="eastAsia"/>
                      <w:color w:val="FF0000"/>
                      <w:sz w:val="21"/>
                      <w:szCs w:val="21"/>
                      <w:u w:val="single" w:color="auto"/>
                      <w:lang w:val="en-US" w:eastAsia="zh-CN"/>
                    </w:rPr>
                    <w:t>排量</w:t>
                  </w:r>
                </w:p>
              </w:tc>
              <w:tc>
                <w:tcPr>
                  <w:tcW w:w="1652" w:type="pct"/>
                  <w:noWrap w:val="0"/>
                  <w:vAlign w:val="center"/>
                </w:tcPr>
                <w:p>
                  <w:pPr>
                    <w:spacing w:line="360" w:lineRule="exact"/>
                    <w:jc w:val="center"/>
                    <w:rPr>
                      <w:rFonts w:hint="eastAsia" w:ascii="Times New Roman" w:hAnsi="Times New Roman" w:eastAsia="宋体"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0.05m</w:t>
                  </w:r>
                  <w:r>
                    <w:rPr>
                      <w:rFonts w:hint="eastAsia" w:cs="Times New Roman"/>
                      <w:color w:val="FF0000"/>
                      <w:kern w:val="2"/>
                      <w:sz w:val="21"/>
                      <w:szCs w:val="21"/>
                      <w:highlight w:val="none"/>
                      <w:u w:val="single" w:color="auto"/>
                      <w:vertAlign w:val="superscript"/>
                      <w:lang w:val="en-US" w:eastAsia="zh-CN" w:bidi="ar-SA"/>
                    </w:rPr>
                    <w:t>3</w:t>
                  </w:r>
                  <w:r>
                    <w:rPr>
                      <w:rFonts w:hint="eastAsia" w:cs="Times New Roman"/>
                      <w:color w:val="FF0000"/>
                      <w:kern w:val="2"/>
                      <w:sz w:val="21"/>
                      <w:szCs w:val="21"/>
                      <w:highlight w:val="none"/>
                      <w:u w:val="single" w:color="auto"/>
                      <w:lang w:val="en-US" w:eastAsia="zh-CN" w:bidi="ar-SA"/>
                    </w:rPr>
                    <w:t>/h</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名称</w:t>
                  </w:r>
                </w:p>
              </w:tc>
              <w:tc>
                <w:tcPr>
                  <w:tcW w:w="1652" w:type="pct"/>
                  <w:noWrap w:val="0"/>
                  <w:vAlign w:val="center"/>
                </w:tcPr>
                <w:p>
                  <w:pPr>
                    <w:spacing w:line="360" w:lineRule="exact"/>
                    <w:jc w:val="center"/>
                    <w:rPr>
                      <w:rFonts w:hint="eastAsia" w:cs="Times New Roman"/>
                      <w:color w:val="FF0000"/>
                      <w:kern w:val="2"/>
                      <w:sz w:val="21"/>
                      <w:szCs w:val="21"/>
                      <w:highlight w:val="none"/>
                      <w:u w:val="single" w:color="auto"/>
                      <w:lang w:val="en-US" w:eastAsia="zh-CN" w:bidi="ar-SA"/>
                    </w:rPr>
                  </w:pPr>
                  <w:r>
                    <w:rPr>
                      <w:rFonts w:hint="eastAsia"/>
                      <w:color w:val="FF0000"/>
                      <w:sz w:val="21"/>
                      <w:szCs w:val="21"/>
                      <w:u w:val="single" w:color="auto"/>
                      <w:lang w:val="en-US" w:eastAsia="zh-CN"/>
                    </w:rPr>
                    <w:t>油水报警装置</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型号</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安装位置</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舱柜名称</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污油柜</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舱柜数量</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1399" w:type="pct"/>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总容积</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0.50m</w:t>
                  </w:r>
                  <w:r>
                    <w:rPr>
                      <w:rFonts w:hint="eastAsia" w:cs="Times New Roman"/>
                      <w:color w:val="FF0000"/>
                      <w:kern w:val="2"/>
                      <w:sz w:val="21"/>
                      <w:szCs w:val="21"/>
                      <w:highlight w:val="none"/>
                      <w:u w:val="single" w:color="auto"/>
                      <w:vertAlign w:val="superscript"/>
                      <w:lang w:val="en-US" w:eastAsia="zh-CN" w:bidi="ar-SA"/>
                    </w:rPr>
                    <w:t>3</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restart"/>
                  <w:noWrap w:val="0"/>
                  <w:vAlign w:val="center"/>
                </w:tcPr>
                <w:p>
                  <w:pPr>
                    <w:jc w:val="center"/>
                    <w:rPr>
                      <w:rFonts w:hint="eastAsia"/>
                      <w:color w:val="FF0000"/>
                      <w:sz w:val="21"/>
                      <w:szCs w:val="21"/>
                      <w:u w:val="single" w:color="auto"/>
                      <w:lang w:val="en-US" w:eastAsia="zh-CN"/>
                    </w:rPr>
                  </w:pPr>
                  <w:r>
                    <w:rPr>
                      <w:rFonts w:hint="eastAsia"/>
                      <w:color w:val="FF0000"/>
                      <w:sz w:val="21"/>
                      <w:szCs w:val="21"/>
                      <w:highlight w:val="none"/>
                      <w:u w:val="single" w:color="auto"/>
                      <w:lang w:val="en-US" w:eastAsia="zh-CN"/>
                    </w:rPr>
                    <w:t>湘湘阴油0530</w:t>
                  </w:r>
                </w:p>
              </w:tc>
              <w:tc>
                <w:tcPr>
                  <w:tcW w:w="2325" w:type="dxa"/>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名称</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油水分离设备</w:t>
                  </w:r>
                </w:p>
              </w:tc>
              <w:tc>
                <w:tcPr>
                  <w:tcW w:w="1215" w:type="pct"/>
                  <w:noWrap w:val="0"/>
                  <w:vAlign w:val="center"/>
                </w:tcPr>
                <w:p>
                  <w:pPr>
                    <w:jc w:val="center"/>
                    <w:rPr>
                      <w:rFonts w:hint="eastAsia"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含油污水排出舷外管路阀门未铅封</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2325" w:type="dxa"/>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型号</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SLJYYSF-0.25</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2325" w:type="dxa"/>
                  <w:noWrap w:val="0"/>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排量</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0.25m</w:t>
                  </w:r>
                  <w:r>
                    <w:rPr>
                      <w:rFonts w:hint="eastAsia" w:cs="Times New Roman"/>
                      <w:color w:val="FF0000"/>
                      <w:kern w:val="2"/>
                      <w:sz w:val="21"/>
                      <w:szCs w:val="21"/>
                      <w:highlight w:val="none"/>
                      <w:u w:val="single" w:color="auto"/>
                      <w:vertAlign w:val="superscript"/>
                      <w:lang w:val="en-US" w:eastAsia="zh-CN" w:bidi="ar-SA"/>
                    </w:rPr>
                    <w:t>3</w:t>
                  </w:r>
                  <w:r>
                    <w:rPr>
                      <w:rFonts w:hint="eastAsia" w:cs="Times New Roman"/>
                      <w:color w:val="FF0000"/>
                      <w:kern w:val="2"/>
                      <w:sz w:val="21"/>
                      <w:szCs w:val="21"/>
                      <w:highlight w:val="none"/>
                      <w:u w:val="single" w:color="auto"/>
                      <w:lang w:val="en-US" w:eastAsia="zh-CN" w:bidi="ar-SA"/>
                    </w:rPr>
                    <w:t>/h</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2325" w:type="dxa"/>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名称</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油水报警装置</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2325" w:type="dxa"/>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型号</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XOC-01</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2325" w:type="dxa"/>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安装位置</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机舱</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2325" w:type="dxa"/>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舱柜名称</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污油水柜</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2325" w:type="dxa"/>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舱柜数量</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1</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272" w:type="pct"/>
                  <w:vMerge w:val="continue"/>
                  <w:noWrap w:val="0"/>
                  <w:vAlign w:val="center"/>
                </w:tcPr>
                <w:p>
                  <w:pPr>
                    <w:jc w:val="center"/>
                    <w:rPr>
                      <w:rFonts w:hint="eastAsia"/>
                      <w:color w:val="FF0000"/>
                      <w:sz w:val="21"/>
                      <w:szCs w:val="21"/>
                      <w:u w:val="single" w:color="auto"/>
                      <w:lang w:val="en-US" w:eastAsia="zh-CN"/>
                    </w:rPr>
                  </w:pPr>
                </w:p>
              </w:tc>
              <w:tc>
                <w:tcPr>
                  <w:tcW w:w="460" w:type="pct"/>
                  <w:vMerge w:val="continue"/>
                  <w:noWrap w:val="0"/>
                  <w:vAlign w:val="center"/>
                </w:tcPr>
                <w:p>
                  <w:pPr>
                    <w:jc w:val="center"/>
                    <w:rPr>
                      <w:rFonts w:hint="eastAsia"/>
                      <w:color w:val="FF0000"/>
                      <w:sz w:val="21"/>
                      <w:szCs w:val="21"/>
                      <w:u w:val="single" w:color="auto"/>
                      <w:lang w:val="en-US" w:eastAsia="zh-CN"/>
                    </w:rPr>
                  </w:pPr>
                </w:p>
              </w:tc>
              <w:tc>
                <w:tcPr>
                  <w:tcW w:w="2325" w:type="dxa"/>
                  <w:noWrap w:val="0"/>
                  <w:vAlign w:val="center"/>
                </w:tcPr>
                <w:p>
                  <w:pPr>
                    <w:bidi w:val="0"/>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总容积</w:t>
                  </w:r>
                </w:p>
              </w:tc>
              <w:tc>
                <w:tcPr>
                  <w:tcW w:w="1652" w:type="pct"/>
                  <w:noWrap w:val="0"/>
                  <w:vAlign w:val="center"/>
                </w:tcPr>
                <w:p>
                  <w:pPr>
                    <w:spacing w:line="360" w:lineRule="exact"/>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0.30m</w:t>
                  </w:r>
                  <w:r>
                    <w:rPr>
                      <w:rFonts w:hint="eastAsia" w:cs="Times New Roman"/>
                      <w:color w:val="FF0000"/>
                      <w:kern w:val="2"/>
                      <w:sz w:val="21"/>
                      <w:szCs w:val="21"/>
                      <w:highlight w:val="none"/>
                      <w:u w:val="single" w:color="auto"/>
                      <w:vertAlign w:val="superscript"/>
                      <w:lang w:val="en-US" w:eastAsia="zh-CN" w:bidi="ar-SA"/>
                    </w:rPr>
                    <w:t>3</w:t>
                  </w:r>
                </w:p>
              </w:tc>
              <w:tc>
                <w:tcPr>
                  <w:tcW w:w="1215" w:type="pct"/>
                  <w:noWrap w:val="0"/>
                  <w:vAlign w:val="center"/>
                </w:tcPr>
                <w:p>
                  <w:pPr>
                    <w:jc w:val="center"/>
                    <w:rPr>
                      <w:rFonts w:hint="default" w:cs="Times New Roman"/>
                      <w:color w:val="FF0000"/>
                      <w:kern w:val="2"/>
                      <w:sz w:val="21"/>
                      <w:szCs w:val="21"/>
                      <w:highlight w:val="none"/>
                      <w:u w:val="single" w:color="auto"/>
                      <w:lang w:val="en-US" w:eastAsia="zh-CN" w:bidi="ar-SA"/>
                    </w:rPr>
                  </w:pPr>
                  <w:r>
                    <w:rPr>
                      <w:rFonts w:hint="eastAsia" w:cs="Times New Roman"/>
                      <w:color w:val="FF0000"/>
                      <w:kern w:val="2"/>
                      <w:sz w:val="21"/>
                      <w:szCs w:val="21"/>
                      <w:highlight w:val="none"/>
                      <w:u w:val="single" w:color="auto"/>
                      <w:lang w:val="en-US" w:eastAsia="zh-CN" w:bidi="ar-SA"/>
                    </w:rPr>
                    <w:t>/</w:t>
                  </w:r>
                </w:p>
              </w:tc>
            </w:tr>
          </w:tbl>
          <w:p>
            <w:pPr>
              <w:numPr>
                <w:ilvl w:val="0"/>
                <w:numId w:val="0"/>
              </w:numPr>
              <w:adjustRightInd w:val="0"/>
              <w:snapToGrid w:val="0"/>
              <w:spacing w:line="240" w:lineRule="auto"/>
              <w:ind w:firstLine="422" w:firstLineChars="200"/>
              <w:jc w:val="both"/>
              <w:rPr>
                <w:rFonts w:hint="eastAsia" w:ascii="宋体" w:hAnsi="宋体" w:cs="宋体"/>
                <w:b/>
                <w:bCs/>
                <w:color w:val="auto"/>
                <w:sz w:val="21"/>
                <w:szCs w:val="21"/>
                <w:u w:val="none" w:color="auto"/>
                <w:lang w:val="en-US" w:eastAsia="zh-CN"/>
              </w:rPr>
            </w:pPr>
            <w:r>
              <w:rPr>
                <w:rFonts w:hint="eastAsia" w:ascii="宋体" w:hAnsi="宋体" w:cs="宋体"/>
                <w:b/>
                <w:bCs/>
                <w:color w:val="auto"/>
                <w:sz w:val="21"/>
                <w:szCs w:val="21"/>
                <w:u w:val="none" w:color="auto"/>
                <w:lang w:val="en-US" w:eastAsia="zh-CN"/>
              </w:rPr>
              <w:t>注：本项目的设备不属于国家发展和改革委员会令（第29号）《产业结构调整指导目录（2019年本）》、《工业和信息化部高耗能落后机电设备（产品）淘汰目录》、《部分工业行业淘汰落后生产工艺装备和产品指导目录》中淘汰及明令禁止使用的设备及工艺。</w:t>
            </w:r>
          </w:p>
          <w:p>
            <w:pPr>
              <w:numPr>
                <w:ilvl w:val="0"/>
                <w:numId w:val="0"/>
              </w:numPr>
              <w:adjustRightInd w:val="0"/>
              <w:snapToGrid w:val="0"/>
              <w:spacing w:line="360" w:lineRule="auto"/>
              <w:jc w:val="both"/>
              <w:rPr>
                <w:rFonts w:hint="default" w:ascii="宋体" w:hAnsi="宋体" w:cs="宋体"/>
                <w:b/>
                <w:bCs/>
                <w:color w:val="auto"/>
                <w:sz w:val="24"/>
                <w:szCs w:val="24"/>
                <w:u w:val="none" w:color="auto"/>
                <w:lang w:val="en-US" w:eastAsia="zh-CN"/>
              </w:rPr>
            </w:pPr>
            <w:r>
              <w:rPr>
                <w:rFonts w:hint="eastAsia" w:ascii="宋体" w:hAnsi="宋体" w:cs="宋体"/>
                <w:b/>
                <w:bCs/>
                <w:color w:val="auto"/>
                <w:sz w:val="24"/>
                <w:szCs w:val="24"/>
                <w:u w:val="none" w:color="auto"/>
                <w:lang w:val="en-US" w:eastAsia="zh-CN"/>
              </w:rPr>
              <w:t>6.项目废物回收方案</w:t>
            </w:r>
          </w:p>
          <w:p>
            <w:pPr>
              <w:numPr>
                <w:ilvl w:val="0"/>
                <w:numId w:val="0"/>
              </w:numPr>
              <w:adjustRightInd w:val="0"/>
              <w:snapToGrid w:val="0"/>
              <w:spacing w:line="360" w:lineRule="auto"/>
              <w:ind w:firstLine="480" w:firstLineChars="200"/>
              <w:jc w:val="both"/>
              <w:rPr>
                <w:rFonts w:hint="eastAsia" w:ascii="宋体" w:hAnsi="宋体" w:cs="宋体"/>
                <w:color w:val="auto"/>
                <w:sz w:val="24"/>
                <w:szCs w:val="24"/>
                <w:u w:val="none" w:color="auto"/>
                <w:lang w:val="en-US" w:eastAsia="zh-CN"/>
              </w:rPr>
            </w:pPr>
            <w:r>
              <w:rPr>
                <w:rFonts w:hint="eastAsia" w:ascii="宋体" w:hAnsi="宋体" w:cs="宋体"/>
                <w:color w:val="auto"/>
                <w:sz w:val="24"/>
                <w:szCs w:val="24"/>
                <w:u w:val="none" w:color="auto"/>
                <w:lang w:val="en-US" w:eastAsia="zh-CN"/>
              </w:rPr>
              <w:t>根据建设方提供的相关资料，项目项目回收方案见下表2-4。</w:t>
            </w:r>
          </w:p>
          <w:p>
            <w:pPr>
              <w:numPr>
                <w:ilvl w:val="0"/>
                <w:numId w:val="0"/>
              </w:numPr>
              <w:adjustRightInd w:val="0"/>
              <w:snapToGrid w:val="0"/>
              <w:spacing w:line="360" w:lineRule="auto"/>
              <w:jc w:val="center"/>
              <w:rPr>
                <w:rFonts w:hint="default" w:ascii="宋体" w:hAnsi="宋体" w:cs="宋体"/>
                <w:color w:val="auto"/>
                <w:sz w:val="24"/>
                <w:szCs w:val="24"/>
                <w:u w:val="none" w:color="auto"/>
                <w:lang w:val="en-US" w:eastAsia="zh-CN"/>
              </w:rPr>
            </w:pPr>
            <w:r>
              <w:rPr>
                <w:rFonts w:hint="eastAsia" w:ascii="宋体" w:hAnsi="宋体" w:cs="宋体"/>
                <w:b/>
                <w:bCs/>
                <w:color w:val="auto"/>
                <w:sz w:val="24"/>
                <w:szCs w:val="24"/>
                <w:u w:val="none" w:color="auto"/>
                <w:lang w:val="en-US" w:eastAsia="zh-CN"/>
              </w:rPr>
              <w:t>表2-4  项目废物回收方案一览表</w:t>
            </w:r>
          </w:p>
          <w:tbl>
            <w:tblPr>
              <w:tblStyle w:val="17"/>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27"/>
              <w:gridCol w:w="999"/>
              <w:gridCol w:w="611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6" w:type="pct"/>
                  <w:tcBorders>
                    <w:tl2br w:val="nil"/>
                    <w:tr2bl w:val="nil"/>
                  </w:tcBorders>
                  <w:noWrap w:val="0"/>
                  <w:vAlign w:val="center"/>
                </w:tcPr>
                <w:p>
                  <w:pPr>
                    <w:adjustRightInd w:val="0"/>
                    <w:snapToGrid w:val="0"/>
                    <w:jc w:val="center"/>
                    <w:rPr>
                      <w:b/>
                      <w:bCs/>
                      <w:color w:val="auto"/>
                      <w:sz w:val="21"/>
                      <w:szCs w:val="21"/>
                      <w:u w:val="none" w:color="auto"/>
                    </w:rPr>
                  </w:pPr>
                  <w:r>
                    <w:rPr>
                      <w:b/>
                      <w:bCs/>
                      <w:color w:val="auto"/>
                      <w:sz w:val="21"/>
                      <w:szCs w:val="21"/>
                      <w:u w:val="none" w:color="auto"/>
                    </w:rPr>
                    <w:t>原料名称</w:t>
                  </w:r>
                </w:p>
              </w:tc>
              <w:tc>
                <w:tcPr>
                  <w:tcW w:w="599" w:type="pct"/>
                  <w:tcBorders>
                    <w:tl2br w:val="nil"/>
                    <w:tr2bl w:val="nil"/>
                  </w:tcBorders>
                  <w:noWrap w:val="0"/>
                  <w:vAlign w:val="center"/>
                </w:tcPr>
                <w:p>
                  <w:pPr>
                    <w:adjustRightInd w:val="0"/>
                    <w:snapToGrid w:val="0"/>
                    <w:jc w:val="center"/>
                    <w:rPr>
                      <w:rFonts w:hint="eastAsia" w:eastAsia="宋体"/>
                      <w:b/>
                      <w:bCs/>
                      <w:color w:val="auto"/>
                      <w:sz w:val="21"/>
                      <w:szCs w:val="21"/>
                      <w:u w:val="none" w:color="auto"/>
                      <w:lang w:eastAsia="zh-CN"/>
                    </w:rPr>
                  </w:pPr>
                  <w:r>
                    <w:rPr>
                      <w:rFonts w:hint="eastAsia"/>
                      <w:b/>
                      <w:bCs/>
                      <w:color w:val="auto"/>
                      <w:sz w:val="21"/>
                      <w:szCs w:val="21"/>
                      <w:u w:val="none" w:color="auto"/>
                      <w:lang w:val="en-US" w:eastAsia="zh-CN"/>
                    </w:rPr>
                    <w:t>数量</w:t>
                  </w:r>
                </w:p>
              </w:tc>
              <w:tc>
                <w:tcPr>
                  <w:tcW w:w="3664" w:type="pct"/>
                  <w:tcBorders>
                    <w:tl2br w:val="nil"/>
                    <w:tr2bl w:val="nil"/>
                  </w:tcBorders>
                  <w:noWrap w:val="0"/>
                  <w:vAlign w:val="center"/>
                </w:tcPr>
                <w:p>
                  <w:pPr>
                    <w:adjustRightInd w:val="0"/>
                    <w:snapToGrid w:val="0"/>
                    <w:jc w:val="center"/>
                    <w:rPr>
                      <w:b/>
                      <w:bCs/>
                      <w:color w:val="auto"/>
                      <w:sz w:val="21"/>
                      <w:szCs w:val="21"/>
                      <w:u w:val="none" w:color="auto"/>
                    </w:rPr>
                  </w:pPr>
                  <w:r>
                    <w:rPr>
                      <w:b/>
                      <w:bCs/>
                      <w:color w:val="auto"/>
                      <w:sz w:val="21"/>
                      <w:szCs w:val="21"/>
                      <w:u w:val="none" w:color="auto"/>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6" w:type="pct"/>
                  <w:tcBorders>
                    <w:tl2br w:val="nil"/>
                    <w:tr2bl w:val="nil"/>
                  </w:tcBorders>
                  <w:noWrap w:val="0"/>
                  <w:vAlign w:val="center"/>
                </w:tcPr>
                <w:p>
                  <w:pPr>
                    <w:adjustRightInd w:val="0"/>
                    <w:snapToGrid w:val="0"/>
                    <w:jc w:val="center"/>
                    <w:rPr>
                      <w:rFonts w:hint="default"/>
                      <w:color w:val="auto"/>
                      <w:sz w:val="21"/>
                      <w:szCs w:val="21"/>
                      <w:u w:val="none" w:color="auto"/>
                      <w:lang w:val="en-US" w:eastAsia="zh-CN"/>
                    </w:rPr>
                  </w:pPr>
                  <w:r>
                    <w:rPr>
                      <w:rFonts w:hint="eastAsia"/>
                      <w:color w:val="auto"/>
                      <w:sz w:val="21"/>
                      <w:szCs w:val="21"/>
                      <w:u w:val="none" w:color="auto"/>
                      <w:lang w:val="en-US" w:eastAsia="zh-CN"/>
                    </w:rPr>
                    <w:t>废矿物油</w:t>
                  </w:r>
                </w:p>
              </w:tc>
              <w:tc>
                <w:tcPr>
                  <w:tcW w:w="599" w:type="pct"/>
                  <w:tcBorders>
                    <w:tl2br w:val="nil"/>
                    <w:tr2bl w:val="nil"/>
                  </w:tcBorders>
                  <w:noWrap w:val="0"/>
                  <w:vAlign w:val="center"/>
                </w:tcPr>
                <w:p>
                  <w:pPr>
                    <w:adjustRightInd w:val="0"/>
                    <w:snapToGrid w:val="0"/>
                    <w:jc w:val="center"/>
                    <w:rPr>
                      <w:rFonts w:hint="default"/>
                      <w:b w:val="0"/>
                      <w:bCs w:val="0"/>
                      <w:color w:val="auto"/>
                      <w:sz w:val="21"/>
                      <w:szCs w:val="21"/>
                      <w:u w:val="none" w:color="auto"/>
                      <w:lang w:val="en-US" w:eastAsia="zh-CN"/>
                    </w:rPr>
                  </w:pPr>
                  <w:r>
                    <w:rPr>
                      <w:rFonts w:hint="eastAsia"/>
                      <w:b w:val="0"/>
                      <w:bCs w:val="0"/>
                      <w:color w:val="auto"/>
                      <w:sz w:val="21"/>
                      <w:szCs w:val="21"/>
                      <w:u w:val="none" w:color="auto"/>
                      <w:lang w:val="en-US" w:eastAsia="zh-CN"/>
                    </w:rPr>
                    <w:t>7500t/a</w:t>
                  </w:r>
                </w:p>
              </w:tc>
              <w:tc>
                <w:tcPr>
                  <w:tcW w:w="3664" w:type="pct"/>
                  <w:tcBorders>
                    <w:tl2br w:val="nil"/>
                    <w:tr2bl w:val="nil"/>
                  </w:tcBorders>
                  <w:noWrap w:val="0"/>
                  <w:vAlign w:val="center"/>
                </w:tcPr>
                <w:p>
                  <w:pPr>
                    <w:adjustRightInd w:val="0"/>
                    <w:snapToGrid w:val="0"/>
                    <w:jc w:val="center"/>
                    <w:rPr>
                      <w:rFonts w:hint="default"/>
                      <w:color w:val="auto"/>
                      <w:sz w:val="21"/>
                      <w:szCs w:val="21"/>
                      <w:u w:val="none" w:color="auto"/>
                      <w:lang w:val="en-US" w:eastAsia="zh-CN"/>
                    </w:rPr>
                  </w:pPr>
                  <w:r>
                    <w:rPr>
                      <w:rFonts w:hint="eastAsia"/>
                      <w:color w:val="auto"/>
                      <w:sz w:val="21"/>
                      <w:szCs w:val="21"/>
                      <w:u w:val="none" w:color="auto"/>
                      <w:lang w:val="en-US" w:eastAsia="zh-CN"/>
                    </w:rPr>
                    <w:t>其中湘湘阴油0659年回收3000t，湘湘阴油0530年回收4500t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6" w:type="pct"/>
                  <w:tcBorders>
                    <w:tl2br w:val="nil"/>
                    <w:tr2bl w:val="nil"/>
                  </w:tcBorders>
                  <w:noWrap w:val="0"/>
                  <w:vAlign w:val="center"/>
                </w:tcPr>
                <w:p>
                  <w:pPr>
                    <w:adjustRightInd w:val="0"/>
                    <w:snapToGrid w:val="0"/>
                    <w:jc w:val="center"/>
                    <w:rPr>
                      <w:rFonts w:hint="default" w:eastAsia="宋体"/>
                      <w:color w:val="auto"/>
                      <w:sz w:val="21"/>
                      <w:szCs w:val="21"/>
                      <w:u w:val="none" w:color="auto"/>
                      <w:lang w:val="en-US" w:eastAsia="zh-CN"/>
                    </w:rPr>
                  </w:pPr>
                  <w:r>
                    <w:rPr>
                      <w:rFonts w:hint="eastAsia"/>
                      <w:color w:val="auto"/>
                      <w:sz w:val="21"/>
                      <w:szCs w:val="21"/>
                      <w:u w:val="none" w:color="auto"/>
                      <w:lang w:val="en-US" w:eastAsia="zh-CN"/>
                    </w:rPr>
                    <w:t>生活污水</w:t>
                  </w:r>
                </w:p>
              </w:tc>
              <w:tc>
                <w:tcPr>
                  <w:tcW w:w="599" w:type="pct"/>
                  <w:tcBorders>
                    <w:tl2br w:val="nil"/>
                    <w:tr2bl w:val="nil"/>
                  </w:tcBorders>
                  <w:noWrap w:val="0"/>
                  <w:vAlign w:val="center"/>
                </w:tcPr>
                <w:p>
                  <w:pPr>
                    <w:adjustRightInd w:val="0"/>
                    <w:snapToGrid w:val="0"/>
                    <w:jc w:val="center"/>
                    <w:rPr>
                      <w:rFonts w:hint="default" w:eastAsia="宋体"/>
                      <w:b w:val="0"/>
                      <w:bCs w:val="0"/>
                      <w:color w:val="auto"/>
                      <w:sz w:val="21"/>
                      <w:szCs w:val="21"/>
                      <w:u w:val="none" w:color="auto"/>
                      <w:lang w:val="en-US" w:eastAsia="zh-CN"/>
                    </w:rPr>
                  </w:pPr>
                  <w:r>
                    <w:rPr>
                      <w:rFonts w:hint="eastAsia"/>
                      <w:b w:val="0"/>
                      <w:bCs w:val="0"/>
                      <w:color w:val="auto"/>
                      <w:sz w:val="21"/>
                      <w:szCs w:val="21"/>
                      <w:u w:val="none" w:color="auto"/>
                      <w:lang w:val="en-US" w:eastAsia="zh-CN"/>
                    </w:rPr>
                    <w:t>13000t/a</w:t>
                  </w:r>
                </w:p>
              </w:tc>
              <w:tc>
                <w:tcPr>
                  <w:tcW w:w="3664" w:type="pct"/>
                  <w:tcBorders>
                    <w:tl2br w:val="nil"/>
                    <w:tr2bl w:val="nil"/>
                  </w:tcBorders>
                  <w:noWrap w:val="0"/>
                  <w:vAlign w:val="center"/>
                </w:tcPr>
                <w:p>
                  <w:pPr>
                    <w:adjustRightInd w:val="0"/>
                    <w:snapToGrid w:val="0"/>
                    <w:jc w:val="center"/>
                    <w:rPr>
                      <w:rFonts w:hint="default" w:eastAsia="宋体"/>
                      <w:color w:val="auto"/>
                      <w:sz w:val="21"/>
                      <w:szCs w:val="21"/>
                      <w:u w:val="none" w:color="auto"/>
                      <w:lang w:val="en-US" w:eastAsia="zh-CN"/>
                    </w:rPr>
                  </w:pPr>
                  <w:r>
                    <w:rPr>
                      <w:rFonts w:hint="eastAsia"/>
                      <w:color w:val="auto"/>
                      <w:sz w:val="21"/>
                      <w:szCs w:val="21"/>
                      <w:u w:val="none" w:color="auto"/>
                      <w:lang w:val="en-US" w:eastAsia="zh-CN"/>
                    </w:rPr>
                    <w:t>其中湘湘阴油0659年回收5200t，湘湘阴油0530年回收7800t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6" w:type="pct"/>
                  <w:tcBorders>
                    <w:tl2br w:val="nil"/>
                    <w:tr2bl w:val="nil"/>
                  </w:tcBorders>
                  <w:noWrap w:val="0"/>
                  <w:vAlign w:val="center"/>
                </w:tcPr>
                <w:p>
                  <w:pPr>
                    <w:adjustRightInd w:val="0"/>
                    <w:snapToGrid w:val="0"/>
                    <w:jc w:val="center"/>
                    <w:rPr>
                      <w:rFonts w:hint="eastAsia" w:ascii="Times New Roman" w:hAnsi="Times New Roman" w:eastAsia="宋体" w:cs="Times New Roman"/>
                      <w:color w:val="auto"/>
                      <w:kern w:val="2"/>
                      <w:sz w:val="21"/>
                      <w:szCs w:val="21"/>
                      <w:u w:val="none" w:color="auto"/>
                      <w:lang w:val="en-US" w:eastAsia="zh-CN" w:bidi="ar-SA"/>
                    </w:rPr>
                  </w:pPr>
                  <w:r>
                    <w:rPr>
                      <w:rFonts w:hint="eastAsia"/>
                      <w:color w:val="auto"/>
                      <w:sz w:val="21"/>
                      <w:szCs w:val="21"/>
                      <w:u w:val="none" w:color="auto"/>
                      <w:lang w:val="en-US" w:eastAsia="zh-CN"/>
                    </w:rPr>
                    <w:t>生活垃圾</w:t>
                  </w:r>
                </w:p>
              </w:tc>
              <w:tc>
                <w:tcPr>
                  <w:tcW w:w="599" w:type="pct"/>
                  <w:tcBorders>
                    <w:tl2br w:val="nil"/>
                    <w:tr2bl w:val="nil"/>
                  </w:tcBorders>
                  <w:noWrap w:val="0"/>
                  <w:vAlign w:val="center"/>
                </w:tcPr>
                <w:p>
                  <w:pPr>
                    <w:adjustRightInd w:val="0"/>
                    <w:snapToGrid w:val="0"/>
                    <w:jc w:val="center"/>
                    <w:rPr>
                      <w:rFonts w:hint="eastAsia" w:ascii="Times New Roman" w:hAnsi="Times New Roman" w:eastAsia="宋体" w:cs="Times New Roman"/>
                      <w:b w:val="0"/>
                      <w:bCs w:val="0"/>
                      <w:color w:val="auto"/>
                      <w:kern w:val="2"/>
                      <w:sz w:val="21"/>
                      <w:szCs w:val="21"/>
                      <w:u w:val="none" w:color="auto"/>
                      <w:lang w:val="en-US" w:eastAsia="zh-CN" w:bidi="ar-SA"/>
                    </w:rPr>
                  </w:pPr>
                  <w:r>
                    <w:rPr>
                      <w:rFonts w:hint="eastAsia"/>
                      <w:b w:val="0"/>
                      <w:bCs w:val="0"/>
                      <w:color w:val="auto"/>
                      <w:sz w:val="21"/>
                      <w:szCs w:val="21"/>
                      <w:u w:val="none" w:color="auto"/>
                      <w:lang w:val="en-US" w:eastAsia="zh-CN"/>
                    </w:rPr>
                    <w:t>3800t/a</w:t>
                  </w:r>
                </w:p>
              </w:tc>
              <w:tc>
                <w:tcPr>
                  <w:tcW w:w="3664" w:type="pct"/>
                  <w:tcBorders>
                    <w:tl2br w:val="nil"/>
                    <w:tr2bl w:val="nil"/>
                  </w:tcBorders>
                  <w:noWrap w:val="0"/>
                  <w:vAlign w:val="center"/>
                </w:tcPr>
                <w:p>
                  <w:pPr>
                    <w:adjustRightInd w:val="0"/>
                    <w:snapToGrid w:val="0"/>
                    <w:jc w:val="center"/>
                    <w:rPr>
                      <w:rFonts w:hint="eastAsia" w:ascii="Times New Roman" w:hAnsi="Times New Roman" w:eastAsia="宋体" w:cs="Times New Roman"/>
                      <w:color w:val="auto"/>
                      <w:kern w:val="2"/>
                      <w:sz w:val="21"/>
                      <w:szCs w:val="21"/>
                      <w:u w:val="none" w:color="auto"/>
                      <w:lang w:val="en-US" w:eastAsia="zh-CN" w:bidi="ar-SA"/>
                    </w:rPr>
                  </w:pPr>
                  <w:r>
                    <w:rPr>
                      <w:rFonts w:hint="eastAsia"/>
                      <w:color w:val="auto"/>
                      <w:sz w:val="21"/>
                      <w:szCs w:val="21"/>
                      <w:u w:val="none" w:color="auto"/>
                      <w:lang w:val="en-US" w:eastAsia="zh-CN"/>
                    </w:rPr>
                    <w:t>其中湘湘阴油0659年回收1500t，湘湘阴油0530年回收2300t</w:t>
                  </w:r>
                </w:p>
              </w:tc>
            </w:tr>
          </w:tbl>
          <w:p>
            <w:pPr>
              <w:numPr>
                <w:ilvl w:val="0"/>
                <w:numId w:val="0"/>
              </w:numPr>
              <w:adjustRightInd w:val="0"/>
              <w:snapToGrid w:val="0"/>
              <w:spacing w:line="360" w:lineRule="auto"/>
              <w:ind w:firstLine="480" w:firstLineChars="200"/>
              <w:jc w:val="both"/>
              <w:rPr>
                <w:rFonts w:hint="eastAsia" w:ascii="宋体" w:hAnsi="宋体" w:cs="宋体"/>
                <w:color w:val="auto"/>
                <w:sz w:val="24"/>
                <w:szCs w:val="24"/>
                <w:u w:val="none" w:color="auto"/>
                <w:lang w:val="en-US" w:eastAsia="zh-CN"/>
              </w:rPr>
            </w:pPr>
            <w:r>
              <w:rPr>
                <w:rFonts w:hint="eastAsia" w:ascii="宋体" w:hAnsi="宋体" w:cs="宋体"/>
                <w:color w:val="auto"/>
                <w:sz w:val="24"/>
                <w:szCs w:val="24"/>
                <w:u w:val="none" w:color="auto"/>
                <w:lang w:val="en-US" w:eastAsia="zh-CN"/>
              </w:rPr>
              <w:t>本项目仅对废矿物油、生活垃圾、生活污水进行收集、暂存，各污染物均上岸交由相应单位进行处理。</w:t>
            </w:r>
          </w:p>
          <w:p>
            <w:pPr>
              <w:jc w:val="center"/>
              <w:rPr>
                <w:b/>
                <w:szCs w:val="21"/>
                <w:u w:val="none"/>
              </w:rPr>
            </w:pPr>
            <w:r>
              <w:rPr>
                <w:rFonts w:hint="eastAsia" w:cs="宋体"/>
                <w:b/>
                <w:szCs w:val="21"/>
                <w:u w:val="none"/>
              </w:rPr>
              <w:t>表</w:t>
            </w:r>
            <w:r>
              <w:rPr>
                <w:rFonts w:hint="eastAsia" w:cs="宋体"/>
                <w:b/>
                <w:szCs w:val="21"/>
                <w:u w:val="none"/>
                <w:lang w:val="en-US" w:eastAsia="zh-CN"/>
              </w:rPr>
              <w:t>2</w:t>
            </w:r>
            <w:r>
              <w:rPr>
                <w:rFonts w:hint="eastAsia" w:cs="宋体"/>
                <w:b/>
                <w:szCs w:val="21"/>
                <w:u w:val="none"/>
              </w:rPr>
              <w:t>-</w:t>
            </w:r>
            <w:r>
              <w:rPr>
                <w:rFonts w:hint="eastAsia" w:cs="宋体"/>
                <w:b/>
                <w:szCs w:val="21"/>
                <w:u w:val="none"/>
                <w:lang w:val="en-US" w:eastAsia="zh-CN"/>
              </w:rPr>
              <w:t xml:space="preserve">5  </w:t>
            </w:r>
            <w:r>
              <w:rPr>
                <w:rFonts w:hint="eastAsia" w:cs="宋体"/>
                <w:b/>
                <w:szCs w:val="21"/>
                <w:u w:val="none"/>
              </w:rPr>
              <w:t>废矿物油特性</w:t>
            </w:r>
          </w:p>
          <w:tbl>
            <w:tblPr>
              <w:tblStyle w:val="17"/>
              <w:tblW w:w="5000"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2075"/>
              <w:gridCol w:w="6266"/>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454" w:hRule="atLeast"/>
                <w:jc w:val="center"/>
              </w:trPr>
              <w:tc>
                <w:tcPr>
                  <w:tcW w:w="1244" w:type="pct"/>
                  <w:noWrap/>
                  <w:vAlign w:val="center"/>
                </w:tcPr>
                <w:p>
                  <w:pPr>
                    <w:bidi w:val="0"/>
                    <w:jc w:val="center"/>
                    <w:rPr>
                      <w:rFonts w:hint="default"/>
                    </w:rPr>
                  </w:pPr>
                  <w:r>
                    <w:rPr>
                      <w:rFonts w:hint="default"/>
                    </w:rPr>
                    <w:t>废矿物油性状</w:t>
                  </w:r>
                </w:p>
              </w:tc>
              <w:tc>
                <w:tcPr>
                  <w:tcW w:w="3755" w:type="pct"/>
                  <w:noWrap/>
                  <w:vAlign w:val="center"/>
                </w:tcPr>
                <w:p>
                  <w:pPr>
                    <w:bidi w:val="0"/>
                    <w:jc w:val="center"/>
                    <w:rPr>
                      <w:rFonts w:hint="default"/>
                    </w:rPr>
                  </w:pPr>
                  <w:r>
                    <w:rPr>
                      <w:rFonts w:hint="default"/>
                    </w:rPr>
                    <w:t>稍有粘性的棕色液体</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454" w:hRule="atLeast"/>
                <w:jc w:val="center"/>
              </w:trPr>
              <w:tc>
                <w:tcPr>
                  <w:tcW w:w="1244" w:type="pct"/>
                  <w:noWrap/>
                  <w:vAlign w:val="center"/>
                </w:tcPr>
                <w:p>
                  <w:pPr>
                    <w:bidi w:val="0"/>
                    <w:jc w:val="center"/>
                    <w:rPr>
                      <w:rFonts w:hint="default"/>
                    </w:rPr>
                  </w:pPr>
                  <w:r>
                    <w:rPr>
                      <w:rFonts w:hint="default"/>
                    </w:rPr>
                    <w:t>溶解性</w:t>
                  </w:r>
                </w:p>
              </w:tc>
              <w:tc>
                <w:tcPr>
                  <w:tcW w:w="3755" w:type="pct"/>
                  <w:noWrap/>
                  <w:vAlign w:val="center"/>
                </w:tcPr>
                <w:p>
                  <w:pPr>
                    <w:bidi w:val="0"/>
                    <w:jc w:val="center"/>
                    <w:rPr>
                      <w:rFonts w:hint="default"/>
                    </w:rPr>
                  </w:pPr>
                  <w:r>
                    <w:rPr>
                      <w:rFonts w:hint="default"/>
                    </w:rPr>
                    <w:t>可混溶于乙醇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454" w:hRule="atLeast"/>
                <w:jc w:val="center"/>
              </w:trPr>
              <w:tc>
                <w:tcPr>
                  <w:tcW w:w="1244" w:type="pct"/>
                  <w:noWrap/>
                  <w:vAlign w:val="center"/>
                </w:tcPr>
                <w:p>
                  <w:pPr>
                    <w:bidi w:val="0"/>
                    <w:jc w:val="center"/>
                    <w:rPr>
                      <w:rFonts w:hint="default"/>
                    </w:rPr>
                  </w:pPr>
                  <w:r>
                    <w:rPr>
                      <w:rFonts w:hint="default"/>
                    </w:rPr>
                    <w:t>熔点（℃）</w:t>
                  </w:r>
                </w:p>
              </w:tc>
              <w:tc>
                <w:tcPr>
                  <w:tcW w:w="3755" w:type="pct"/>
                  <w:noWrap/>
                  <w:vAlign w:val="center"/>
                </w:tcPr>
                <w:p>
                  <w:pPr>
                    <w:bidi w:val="0"/>
                    <w:jc w:val="center"/>
                    <w:rPr>
                      <w:rFonts w:hint="default"/>
                    </w:rPr>
                  </w:pPr>
                  <w:r>
                    <w:rPr>
                      <w:rFonts w:hint="default"/>
                    </w:rPr>
                    <w:t>~18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244" w:type="pct"/>
                  <w:noWrap/>
                  <w:vAlign w:val="center"/>
                </w:tcPr>
                <w:p>
                  <w:pPr>
                    <w:bidi w:val="0"/>
                    <w:jc w:val="center"/>
                    <w:rPr>
                      <w:rFonts w:hint="default"/>
                    </w:rPr>
                  </w:pPr>
                  <w:r>
                    <w:rPr>
                      <w:rFonts w:hint="default"/>
                    </w:rPr>
                    <w:t>沸点（℃）</w:t>
                  </w:r>
                </w:p>
              </w:tc>
              <w:tc>
                <w:tcPr>
                  <w:tcW w:w="3755" w:type="pct"/>
                  <w:noWrap/>
                  <w:vAlign w:val="center"/>
                </w:tcPr>
                <w:p>
                  <w:pPr>
                    <w:bidi w:val="0"/>
                    <w:jc w:val="center"/>
                    <w:rPr>
                      <w:rFonts w:hint="default"/>
                    </w:rPr>
                  </w:pPr>
                  <w:r>
                    <w:rPr>
                      <w:rFonts w:hint="default"/>
                    </w:rPr>
                    <w:t>282~338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454" w:hRule="atLeast"/>
                <w:jc w:val="center"/>
              </w:trPr>
              <w:tc>
                <w:tcPr>
                  <w:tcW w:w="1244" w:type="pct"/>
                  <w:noWrap/>
                  <w:vAlign w:val="center"/>
                </w:tcPr>
                <w:p>
                  <w:pPr>
                    <w:bidi w:val="0"/>
                    <w:jc w:val="center"/>
                    <w:rPr>
                      <w:rFonts w:hint="default"/>
                    </w:rPr>
                  </w:pPr>
                  <w:r>
                    <w:rPr>
                      <w:rFonts w:hint="default"/>
                    </w:rPr>
                    <w:t>相对密度（水＝1）</w:t>
                  </w:r>
                </w:p>
              </w:tc>
              <w:tc>
                <w:tcPr>
                  <w:tcW w:w="3755" w:type="pct"/>
                  <w:noWrap/>
                  <w:vAlign w:val="center"/>
                </w:tcPr>
                <w:p>
                  <w:pPr>
                    <w:bidi w:val="0"/>
                    <w:jc w:val="center"/>
                    <w:rPr>
                      <w:rFonts w:hint="default"/>
                    </w:rPr>
                  </w:pPr>
                  <w:r>
                    <w:rPr>
                      <w:rFonts w:hint="default"/>
                    </w:rPr>
                    <w:t>0.87~0.9</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454" w:hRule="atLeast"/>
                <w:jc w:val="center"/>
              </w:trPr>
              <w:tc>
                <w:tcPr>
                  <w:tcW w:w="1244" w:type="pct"/>
                  <w:noWrap/>
                  <w:vAlign w:val="center"/>
                </w:tcPr>
                <w:p>
                  <w:pPr>
                    <w:bidi w:val="0"/>
                    <w:jc w:val="center"/>
                    <w:rPr>
                      <w:rFonts w:hint="default"/>
                    </w:rPr>
                  </w:pPr>
                  <w:r>
                    <w:rPr>
                      <w:rFonts w:hint="default"/>
                    </w:rPr>
                    <w:t>饱和蒸汽压（kPa）</w:t>
                  </w:r>
                </w:p>
              </w:tc>
              <w:tc>
                <w:tcPr>
                  <w:tcW w:w="3755" w:type="pct"/>
                  <w:noWrap/>
                  <w:vAlign w:val="center"/>
                </w:tcPr>
                <w:p>
                  <w:pPr>
                    <w:bidi w:val="0"/>
                    <w:jc w:val="center"/>
                    <w:rPr>
                      <w:rFonts w:hint="default"/>
                    </w:rPr>
                  </w:pPr>
                  <w:r>
                    <w:rPr>
                      <w:rFonts w:hint="default"/>
                    </w:rPr>
                    <w:t>0.67（25℃，纯品）</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244" w:type="pct"/>
                  <w:noWrap/>
                  <w:vAlign w:val="center"/>
                </w:tcPr>
                <w:p>
                  <w:pPr>
                    <w:bidi w:val="0"/>
                    <w:jc w:val="center"/>
                    <w:rPr>
                      <w:rFonts w:hint="default"/>
                    </w:rPr>
                  </w:pPr>
                  <w:r>
                    <w:rPr>
                      <w:rFonts w:hint="default"/>
                    </w:rPr>
                    <w:t>燃烧性</w:t>
                  </w:r>
                </w:p>
              </w:tc>
              <w:tc>
                <w:tcPr>
                  <w:tcW w:w="3755" w:type="pct"/>
                  <w:noWrap/>
                  <w:vAlign w:val="center"/>
                </w:tcPr>
                <w:p>
                  <w:pPr>
                    <w:bidi w:val="0"/>
                    <w:jc w:val="center"/>
                    <w:rPr>
                      <w:rFonts w:hint="default"/>
                    </w:rPr>
                  </w:pPr>
                  <w:r>
                    <w:rPr>
                      <w:rFonts w:hint="default"/>
                    </w:rPr>
                    <w:t>不燃</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244" w:type="pct"/>
                  <w:noWrap/>
                  <w:vAlign w:val="center"/>
                </w:tcPr>
                <w:p>
                  <w:pPr>
                    <w:bidi w:val="0"/>
                    <w:jc w:val="center"/>
                    <w:rPr>
                      <w:rFonts w:hint="default"/>
                    </w:rPr>
                  </w:pPr>
                  <w:r>
                    <w:rPr>
                      <w:rFonts w:hint="default"/>
                    </w:rPr>
                    <w:t>燃烧分解产物</w:t>
                  </w:r>
                </w:p>
              </w:tc>
              <w:tc>
                <w:tcPr>
                  <w:tcW w:w="3755" w:type="pct"/>
                  <w:noWrap/>
                  <w:vAlign w:val="center"/>
                </w:tcPr>
                <w:p>
                  <w:pPr>
                    <w:bidi w:val="0"/>
                    <w:jc w:val="center"/>
                    <w:rPr>
                      <w:rFonts w:hint="default"/>
                    </w:rPr>
                  </w:pPr>
                  <w:r>
                    <w:rPr>
                      <w:rFonts w:hint="default"/>
                    </w:rPr>
                    <w:t>一氧化碳、二氧化碳</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244" w:type="pct"/>
                  <w:noWrap/>
                  <w:vAlign w:val="center"/>
                </w:tcPr>
                <w:p>
                  <w:pPr>
                    <w:bidi w:val="0"/>
                    <w:jc w:val="center"/>
                    <w:rPr>
                      <w:rFonts w:hint="default"/>
                    </w:rPr>
                  </w:pPr>
                  <w:r>
                    <w:rPr>
                      <w:rFonts w:hint="default"/>
                    </w:rPr>
                    <w:t>闪点（℃）</w:t>
                  </w:r>
                </w:p>
              </w:tc>
              <w:tc>
                <w:tcPr>
                  <w:tcW w:w="3755" w:type="pct"/>
                  <w:noWrap/>
                  <w:vAlign w:val="center"/>
                </w:tcPr>
                <w:p>
                  <w:pPr>
                    <w:bidi w:val="0"/>
                    <w:jc w:val="center"/>
                    <w:rPr>
                      <w:rFonts w:hint="default"/>
                    </w:rPr>
                  </w:pPr>
                  <w:r>
                    <w:rPr>
                      <w:rFonts w:hint="default"/>
                    </w:rPr>
                    <w:t>55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244" w:type="pct"/>
                  <w:noWrap/>
                  <w:vAlign w:val="center"/>
                </w:tcPr>
                <w:p>
                  <w:pPr>
                    <w:bidi w:val="0"/>
                    <w:jc w:val="center"/>
                    <w:rPr>
                      <w:rFonts w:hint="default"/>
                    </w:rPr>
                  </w:pPr>
                  <w:r>
                    <w:rPr>
                      <w:rFonts w:hint="default"/>
                    </w:rPr>
                    <w:t>聚合危害</w:t>
                  </w:r>
                </w:p>
              </w:tc>
              <w:tc>
                <w:tcPr>
                  <w:tcW w:w="3755" w:type="pct"/>
                  <w:noWrap/>
                  <w:vAlign w:val="center"/>
                </w:tcPr>
                <w:p>
                  <w:pPr>
                    <w:bidi w:val="0"/>
                    <w:jc w:val="center"/>
                    <w:rPr>
                      <w:rFonts w:hint="default"/>
                    </w:rPr>
                  </w:pPr>
                  <w:r>
                    <w:rPr>
                      <w:rFonts w:hint="default"/>
                    </w:rPr>
                    <w:t>不聚合</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244" w:type="pct"/>
                  <w:noWrap/>
                  <w:vAlign w:val="center"/>
                </w:tcPr>
                <w:p>
                  <w:pPr>
                    <w:bidi w:val="0"/>
                    <w:jc w:val="center"/>
                    <w:rPr>
                      <w:rFonts w:hint="default"/>
                    </w:rPr>
                  </w:pPr>
                  <w:r>
                    <w:rPr>
                      <w:rFonts w:hint="default"/>
                    </w:rPr>
                    <w:t>危险特性</w:t>
                  </w:r>
                </w:p>
              </w:tc>
              <w:tc>
                <w:tcPr>
                  <w:tcW w:w="3755" w:type="pct"/>
                  <w:noWrap/>
                  <w:vAlign w:val="center"/>
                </w:tcPr>
                <w:p>
                  <w:pPr>
                    <w:bidi w:val="0"/>
                    <w:jc w:val="center"/>
                    <w:rPr>
                      <w:rFonts w:hint="default"/>
                    </w:rPr>
                  </w:pPr>
                  <w:r>
                    <w:rPr>
                      <w:rFonts w:hint="default"/>
                    </w:rPr>
                    <w:t>遇明火、高热或与氧化剂接触，有引起燃烧爆炸的危险。若遇高热，容器内压增大，有开裂和爆炸的危险。</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244" w:type="pct"/>
                  <w:noWrap/>
                  <w:vAlign w:val="center"/>
                </w:tcPr>
                <w:p>
                  <w:pPr>
                    <w:bidi w:val="0"/>
                    <w:jc w:val="center"/>
                    <w:rPr>
                      <w:rFonts w:hint="default"/>
                    </w:rPr>
                  </w:pPr>
                  <w:r>
                    <w:rPr>
                      <w:rFonts w:hint="default"/>
                    </w:rPr>
                    <w:t>灭火方法</w:t>
                  </w:r>
                </w:p>
              </w:tc>
              <w:tc>
                <w:tcPr>
                  <w:tcW w:w="3755" w:type="pct"/>
                  <w:noWrap/>
                  <w:vAlign w:val="center"/>
                </w:tcPr>
                <w:p>
                  <w:pPr>
                    <w:bidi w:val="0"/>
                    <w:jc w:val="center"/>
                    <w:rPr>
                      <w:rFonts w:hint="default"/>
                    </w:rPr>
                  </w:pPr>
                  <w:r>
                    <w:rPr>
                      <w:rFonts w:hint="default"/>
                    </w:rPr>
                    <w:t>消防人员必须佩戴防毒面具、穿全身消防服，在上风向灭火。尽可能将容器从火场移至空旷处。喷水保持火场容器冷却，直至灭火结束。在火场中的容器若已变色或从安全泄压装置中产生声音，必须马上撤离。</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244" w:type="pct"/>
                  <w:noWrap/>
                  <w:vAlign w:val="center"/>
                </w:tcPr>
                <w:p>
                  <w:pPr>
                    <w:bidi w:val="0"/>
                    <w:jc w:val="center"/>
                    <w:rPr>
                      <w:rFonts w:hint="default"/>
                    </w:rPr>
                  </w:pPr>
                  <w:r>
                    <w:rPr>
                      <w:rFonts w:hint="default"/>
                    </w:rPr>
                    <w:t>贮存方法</w:t>
                  </w:r>
                </w:p>
              </w:tc>
              <w:tc>
                <w:tcPr>
                  <w:tcW w:w="3755" w:type="pct"/>
                  <w:noWrap/>
                  <w:vAlign w:val="center"/>
                </w:tcPr>
                <w:p>
                  <w:pPr>
                    <w:bidi w:val="0"/>
                    <w:jc w:val="center"/>
                    <w:rPr>
                      <w:rFonts w:hint="default"/>
                    </w:rPr>
                  </w:pPr>
                  <w:r>
                    <w:rPr>
                      <w:rFonts w:hint="default"/>
                    </w:rPr>
                    <w:t>储存于阴凉、通风的库房内，远离火种、热源，应与氧化剂、卤素分开存放，切忌混储。采用防爆型照明、通风设施；禁止使用易产生火花的机械设备和工具。储区应备有泄漏应急处理设备工具和合适的收容材料。</w:t>
                  </w:r>
                </w:p>
              </w:tc>
            </w:tr>
          </w:tbl>
          <w:p>
            <w:pPr>
              <w:jc w:val="center"/>
              <w:rPr>
                <w:b/>
                <w:szCs w:val="21"/>
                <w:u w:val="none"/>
              </w:rPr>
            </w:pPr>
            <w:r>
              <w:rPr>
                <w:rFonts w:hint="eastAsia" w:cs="宋体"/>
                <w:b/>
                <w:szCs w:val="21"/>
                <w:u w:val="none"/>
              </w:rPr>
              <w:t>表</w:t>
            </w:r>
            <w:r>
              <w:rPr>
                <w:rFonts w:hint="eastAsia" w:cs="宋体"/>
                <w:b/>
                <w:szCs w:val="21"/>
                <w:u w:val="none"/>
                <w:lang w:val="en-US" w:eastAsia="zh-CN"/>
              </w:rPr>
              <w:t>2</w:t>
            </w:r>
            <w:r>
              <w:rPr>
                <w:rFonts w:hint="eastAsia" w:cs="宋体"/>
                <w:b/>
                <w:szCs w:val="21"/>
                <w:u w:val="none"/>
              </w:rPr>
              <w:t>-</w:t>
            </w:r>
            <w:r>
              <w:rPr>
                <w:rFonts w:hint="eastAsia" w:cs="宋体"/>
                <w:b/>
                <w:szCs w:val="21"/>
                <w:u w:val="none"/>
                <w:lang w:val="en-US" w:eastAsia="zh-CN"/>
              </w:rPr>
              <w:t xml:space="preserve">6  </w:t>
            </w:r>
            <w:r>
              <w:rPr>
                <w:rFonts w:hint="eastAsia" w:cs="宋体"/>
                <w:b/>
                <w:szCs w:val="21"/>
                <w:u w:val="none"/>
              </w:rPr>
              <w:t>柴油特性</w:t>
            </w:r>
          </w:p>
          <w:tbl>
            <w:tblPr>
              <w:tblStyle w:val="17"/>
              <w:tblW w:w="5000"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2105"/>
              <w:gridCol w:w="6236"/>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262" w:type="pct"/>
                  <w:noWrap/>
                  <w:vAlign w:val="center"/>
                </w:tcPr>
                <w:p>
                  <w:pPr>
                    <w:jc w:val="center"/>
                    <w:rPr>
                      <w:szCs w:val="21"/>
                      <w:u w:val="none"/>
                    </w:rPr>
                  </w:pPr>
                  <w:r>
                    <w:rPr>
                      <w:szCs w:val="21"/>
                      <w:u w:val="none"/>
                    </w:rPr>
                    <w:t>柴油性状</w:t>
                  </w:r>
                </w:p>
              </w:tc>
              <w:tc>
                <w:tcPr>
                  <w:tcW w:w="3737" w:type="pct"/>
                  <w:noWrap/>
                  <w:vAlign w:val="center"/>
                </w:tcPr>
                <w:p>
                  <w:pPr>
                    <w:jc w:val="center"/>
                    <w:rPr>
                      <w:szCs w:val="21"/>
                      <w:u w:val="none"/>
                    </w:rPr>
                  </w:pPr>
                  <w:r>
                    <w:rPr>
                      <w:szCs w:val="21"/>
                      <w:u w:val="none"/>
                    </w:rPr>
                    <w:t>稍有粘性的棕色液体</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262" w:type="pct"/>
                  <w:noWrap/>
                  <w:vAlign w:val="center"/>
                </w:tcPr>
                <w:p>
                  <w:pPr>
                    <w:jc w:val="center"/>
                    <w:rPr>
                      <w:szCs w:val="21"/>
                      <w:u w:val="none"/>
                    </w:rPr>
                  </w:pPr>
                  <w:r>
                    <w:rPr>
                      <w:szCs w:val="21"/>
                      <w:u w:val="none"/>
                    </w:rPr>
                    <w:t>溶解性</w:t>
                  </w:r>
                </w:p>
              </w:tc>
              <w:tc>
                <w:tcPr>
                  <w:tcW w:w="3737" w:type="pct"/>
                  <w:noWrap/>
                  <w:vAlign w:val="center"/>
                </w:tcPr>
                <w:p>
                  <w:pPr>
                    <w:jc w:val="center"/>
                    <w:rPr>
                      <w:szCs w:val="21"/>
                      <w:u w:val="none"/>
                    </w:rPr>
                  </w:pPr>
                  <w:r>
                    <w:rPr>
                      <w:szCs w:val="21"/>
                      <w:u w:val="none"/>
                    </w:rPr>
                    <w:t>不溶于水，能与多种有机溶剂相混溶</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262" w:type="pct"/>
                  <w:noWrap/>
                  <w:vAlign w:val="center"/>
                </w:tcPr>
                <w:p>
                  <w:pPr>
                    <w:jc w:val="center"/>
                    <w:rPr>
                      <w:szCs w:val="21"/>
                      <w:u w:val="none"/>
                    </w:rPr>
                  </w:pPr>
                  <w:r>
                    <w:rPr>
                      <w:szCs w:val="21"/>
                      <w:u w:val="none"/>
                    </w:rPr>
                    <w:t>熔点（℃）</w:t>
                  </w:r>
                </w:p>
              </w:tc>
              <w:tc>
                <w:tcPr>
                  <w:tcW w:w="3737" w:type="pct"/>
                  <w:noWrap/>
                  <w:vAlign w:val="center"/>
                </w:tcPr>
                <w:p>
                  <w:pPr>
                    <w:jc w:val="center"/>
                    <w:rPr>
                      <w:szCs w:val="21"/>
                      <w:u w:val="none"/>
                    </w:rPr>
                  </w:pPr>
                  <w:r>
                    <w:rPr>
                      <w:szCs w:val="21"/>
                      <w:u w:val="none"/>
                    </w:rPr>
                    <w:t>~18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454" w:hRule="atLeast"/>
                <w:jc w:val="center"/>
              </w:trPr>
              <w:tc>
                <w:tcPr>
                  <w:tcW w:w="1262" w:type="pct"/>
                  <w:noWrap/>
                  <w:vAlign w:val="center"/>
                </w:tcPr>
                <w:p>
                  <w:pPr>
                    <w:jc w:val="center"/>
                    <w:rPr>
                      <w:szCs w:val="21"/>
                      <w:u w:val="none"/>
                    </w:rPr>
                  </w:pPr>
                  <w:r>
                    <w:rPr>
                      <w:szCs w:val="21"/>
                      <w:u w:val="none"/>
                    </w:rPr>
                    <w:t>沸点（℃）</w:t>
                  </w:r>
                </w:p>
              </w:tc>
              <w:tc>
                <w:tcPr>
                  <w:tcW w:w="3737" w:type="pct"/>
                  <w:noWrap/>
                  <w:vAlign w:val="center"/>
                </w:tcPr>
                <w:p>
                  <w:pPr>
                    <w:jc w:val="center"/>
                    <w:rPr>
                      <w:szCs w:val="21"/>
                      <w:u w:val="none"/>
                    </w:rPr>
                  </w:pPr>
                  <w:r>
                    <w:rPr>
                      <w:szCs w:val="21"/>
                      <w:u w:val="none"/>
                    </w:rPr>
                    <w:t>282～338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454" w:hRule="atLeast"/>
                <w:jc w:val="center"/>
              </w:trPr>
              <w:tc>
                <w:tcPr>
                  <w:tcW w:w="1262" w:type="pct"/>
                  <w:noWrap/>
                  <w:vAlign w:val="center"/>
                </w:tcPr>
                <w:p>
                  <w:pPr>
                    <w:jc w:val="center"/>
                    <w:rPr>
                      <w:szCs w:val="21"/>
                      <w:u w:val="none"/>
                    </w:rPr>
                  </w:pPr>
                  <w:r>
                    <w:rPr>
                      <w:szCs w:val="21"/>
                      <w:u w:val="none"/>
                    </w:rPr>
                    <w:t>相对密度（水＝1）</w:t>
                  </w:r>
                </w:p>
              </w:tc>
              <w:tc>
                <w:tcPr>
                  <w:tcW w:w="3737" w:type="pct"/>
                  <w:noWrap/>
                  <w:vAlign w:val="center"/>
                </w:tcPr>
                <w:p>
                  <w:pPr>
                    <w:jc w:val="center"/>
                    <w:rPr>
                      <w:szCs w:val="21"/>
                      <w:u w:val="none"/>
                    </w:rPr>
                  </w:pPr>
                  <w:r>
                    <w:rPr>
                      <w:szCs w:val="21"/>
                      <w:u w:val="none"/>
                    </w:rPr>
                    <w:t>0.87～0.90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454" w:hRule="atLeast"/>
                <w:jc w:val="center"/>
              </w:trPr>
              <w:tc>
                <w:tcPr>
                  <w:tcW w:w="1262" w:type="pct"/>
                  <w:noWrap/>
                  <w:vAlign w:val="center"/>
                </w:tcPr>
                <w:p>
                  <w:pPr>
                    <w:jc w:val="center"/>
                    <w:rPr>
                      <w:szCs w:val="21"/>
                      <w:u w:val="none"/>
                    </w:rPr>
                  </w:pPr>
                  <w:r>
                    <w:rPr>
                      <w:szCs w:val="21"/>
                      <w:u w:val="none"/>
                    </w:rPr>
                    <w:t>燃烧性</w:t>
                  </w:r>
                </w:p>
              </w:tc>
              <w:tc>
                <w:tcPr>
                  <w:tcW w:w="3737" w:type="pct"/>
                  <w:noWrap/>
                  <w:vAlign w:val="center"/>
                </w:tcPr>
                <w:p>
                  <w:pPr>
                    <w:jc w:val="center"/>
                    <w:rPr>
                      <w:szCs w:val="21"/>
                      <w:u w:val="none"/>
                    </w:rPr>
                  </w:pPr>
                  <w:r>
                    <w:rPr>
                      <w:szCs w:val="21"/>
                      <w:u w:val="none"/>
                    </w:rPr>
                    <w:t>易燃</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262" w:type="pct"/>
                  <w:noWrap/>
                  <w:vAlign w:val="center"/>
                </w:tcPr>
                <w:p>
                  <w:pPr>
                    <w:jc w:val="center"/>
                    <w:rPr>
                      <w:szCs w:val="21"/>
                      <w:u w:val="none"/>
                    </w:rPr>
                  </w:pPr>
                  <w:r>
                    <w:rPr>
                      <w:szCs w:val="21"/>
                      <w:u w:val="none"/>
                    </w:rPr>
                    <w:t>燃烧分解产物</w:t>
                  </w:r>
                </w:p>
              </w:tc>
              <w:tc>
                <w:tcPr>
                  <w:tcW w:w="3737" w:type="pct"/>
                  <w:noWrap/>
                  <w:vAlign w:val="center"/>
                </w:tcPr>
                <w:p>
                  <w:pPr>
                    <w:jc w:val="center"/>
                    <w:rPr>
                      <w:szCs w:val="21"/>
                      <w:u w:val="none"/>
                    </w:rPr>
                  </w:pPr>
                  <w:r>
                    <w:rPr>
                      <w:szCs w:val="21"/>
                      <w:u w:val="none"/>
                    </w:rPr>
                    <w:t>一氧化碳、二氧化碳</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262" w:type="pct"/>
                  <w:noWrap/>
                  <w:vAlign w:val="center"/>
                </w:tcPr>
                <w:p>
                  <w:pPr>
                    <w:jc w:val="center"/>
                    <w:rPr>
                      <w:szCs w:val="21"/>
                      <w:u w:val="none"/>
                    </w:rPr>
                  </w:pPr>
                  <w:r>
                    <w:rPr>
                      <w:szCs w:val="21"/>
                      <w:u w:val="none"/>
                    </w:rPr>
                    <w:t>闪点（℃）</w:t>
                  </w:r>
                </w:p>
              </w:tc>
              <w:tc>
                <w:tcPr>
                  <w:tcW w:w="3737" w:type="pct"/>
                  <w:noWrap/>
                  <w:vAlign w:val="center"/>
                </w:tcPr>
                <w:p>
                  <w:pPr>
                    <w:jc w:val="center"/>
                    <w:rPr>
                      <w:szCs w:val="21"/>
                      <w:u w:val="none"/>
                    </w:rPr>
                  </w:pPr>
                  <w:r>
                    <w:rPr>
                      <w:rFonts w:hint="eastAsia"/>
                      <w:szCs w:val="21"/>
                      <w:u w:val="none"/>
                    </w:rPr>
                    <w:t>38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454" w:hRule="atLeast"/>
                <w:jc w:val="center"/>
              </w:trPr>
              <w:tc>
                <w:tcPr>
                  <w:tcW w:w="1262" w:type="pct"/>
                  <w:noWrap/>
                  <w:vAlign w:val="center"/>
                </w:tcPr>
                <w:p>
                  <w:pPr>
                    <w:jc w:val="center"/>
                    <w:rPr>
                      <w:szCs w:val="21"/>
                      <w:u w:val="none"/>
                    </w:rPr>
                  </w:pPr>
                  <w:r>
                    <w:rPr>
                      <w:szCs w:val="21"/>
                      <w:u w:val="none"/>
                    </w:rPr>
                    <w:t>聚合危害</w:t>
                  </w:r>
                </w:p>
              </w:tc>
              <w:tc>
                <w:tcPr>
                  <w:tcW w:w="3737" w:type="pct"/>
                  <w:noWrap/>
                  <w:vAlign w:val="center"/>
                </w:tcPr>
                <w:p>
                  <w:pPr>
                    <w:jc w:val="center"/>
                    <w:rPr>
                      <w:szCs w:val="21"/>
                      <w:u w:val="none"/>
                    </w:rPr>
                  </w:pPr>
                  <w:r>
                    <w:rPr>
                      <w:szCs w:val="21"/>
                      <w:u w:val="none"/>
                    </w:rPr>
                    <w:t>不聚合</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454" w:hRule="atLeast"/>
                <w:jc w:val="center"/>
              </w:trPr>
              <w:tc>
                <w:tcPr>
                  <w:tcW w:w="1262" w:type="pct"/>
                  <w:noWrap/>
                  <w:vAlign w:val="center"/>
                </w:tcPr>
                <w:p>
                  <w:pPr>
                    <w:jc w:val="center"/>
                    <w:rPr>
                      <w:szCs w:val="21"/>
                      <w:u w:val="none"/>
                    </w:rPr>
                  </w:pPr>
                  <w:r>
                    <w:rPr>
                      <w:szCs w:val="21"/>
                      <w:u w:val="none"/>
                    </w:rPr>
                    <w:t>危险特性</w:t>
                  </w:r>
                </w:p>
              </w:tc>
              <w:tc>
                <w:tcPr>
                  <w:tcW w:w="3737" w:type="pct"/>
                  <w:noWrap/>
                  <w:vAlign w:val="center"/>
                </w:tcPr>
                <w:p>
                  <w:pPr>
                    <w:jc w:val="center"/>
                    <w:rPr>
                      <w:szCs w:val="21"/>
                      <w:u w:val="none"/>
                    </w:rPr>
                  </w:pPr>
                  <w:r>
                    <w:rPr>
                      <w:szCs w:val="21"/>
                      <w:u w:val="none"/>
                    </w:rPr>
                    <w:t>遇明火、高热，有引起燃烧爆炸的危险。若遇高热，容器内压增大，有开裂和爆炸的危险。</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262" w:type="pct"/>
                  <w:noWrap/>
                  <w:vAlign w:val="center"/>
                </w:tcPr>
                <w:p>
                  <w:pPr>
                    <w:jc w:val="center"/>
                    <w:rPr>
                      <w:szCs w:val="21"/>
                      <w:u w:val="none"/>
                    </w:rPr>
                  </w:pPr>
                  <w:r>
                    <w:rPr>
                      <w:szCs w:val="21"/>
                      <w:u w:val="none"/>
                    </w:rPr>
                    <w:t>灭火方法</w:t>
                  </w:r>
                </w:p>
              </w:tc>
              <w:tc>
                <w:tcPr>
                  <w:tcW w:w="3737" w:type="pct"/>
                  <w:noWrap/>
                  <w:vAlign w:val="center"/>
                </w:tcPr>
                <w:p>
                  <w:pPr>
                    <w:jc w:val="center"/>
                    <w:rPr>
                      <w:szCs w:val="21"/>
                      <w:u w:val="none"/>
                    </w:rPr>
                  </w:pPr>
                  <w:r>
                    <w:rPr>
                      <w:szCs w:val="21"/>
                      <w:u w:val="none"/>
                    </w:rPr>
                    <w:t>消防人员须戴防毒面具，穿全身消防服，在上风向灭火。尽可能将容器从火场移至空旷处。喷水保持火场容器冷却，直至灭火结束。处在火场中的容器若已变色或从安全泄压装置中产生声音，必须马上撤离。</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262" w:type="pct"/>
                  <w:noWrap/>
                  <w:vAlign w:val="center"/>
                </w:tcPr>
                <w:p>
                  <w:pPr>
                    <w:jc w:val="center"/>
                    <w:rPr>
                      <w:szCs w:val="21"/>
                      <w:u w:val="none"/>
                    </w:rPr>
                  </w:pPr>
                  <w:r>
                    <w:rPr>
                      <w:szCs w:val="21"/>
                      <w:u w:val="none"/>
                    </w:rPr>
                    <w:t>贮存方法</w:t>
                  </w:r>
                </w:p>
              </w:tc>
              <w:tc>
                <w:tcPr>
                  <w:tcW w:w="3737" w:type="pct"/>
                  <w:noWrap/>
                  <w:vAlign w:val="center"/>
                </w:tcPr>
                <w:p>
                  <w:pPr>
                    <w:jc w:val="center"/>
                    <w:rPr>
                      <w:szCs w:val="21"/>
                      <w:u w:val="none"/>
                    </w:rPr>
                  </w:pPr>
                  <w:r>
                    <w:rPr>
                      <w:szCs w:val="21"/>
                      <w:u w:val="none"/>
                    </w:rPr>
                    <w:t>储存于阴凉、通风的库房。远离火种、热源。应与氧化剂、卤素分开存放，切忌混储。采用防爆型照明、通风设施。禁止使用易产生火花的机械设备和工具。储区应备有泄漏应急处理设备和合适的收容材料。</w:t>
                  </w:r>
                </w:p>
              </w:tc>
            </w:tr>
          </w:tbl>
          <w:p>
            <w:pPr>
              <w:numPr>
                <w:ilvl w:val="0"/>
                <w:numId w:val="0"/>
              </w:numPr>
              <w:adjustRightInd w:val="0"/>
              <w:snapToGrid w:val="0"/>
              <w:spacing w:line="360" w:lineRule="auto"/>
              <w:jc w:val="both"/>
              <w:rPr>
                <w:rFonts w:hint="eastAsia" w:ascii="宋体" w:hAnsi="宋体" w:cs="宋体"/>
                <w:b/>
                <w:bCs/>
                <w:color w:val="auto"/>
                <w:sz w:val="24"/>
                <w:szCs w:val="24"/>
                <w:u w:val="none" w:color="auto"/>
                <w:lang w:val="en-US" w:eastAsia="zh-CN"/>
              </w:rPr>
            </w:pPr>
            <w:r>
              <w:rPr>
                <w:rFonts w:hint="eastAsia" w:ascii="宋体" w:hAnsi="宋体" w:cs="宋体"/>
                <w:b/>
                <w:bCs/>
                <w:color w:val="auto"/>
                <w:sz w:val="24"/>
                <w:szCs w:val="24"/>
                <w:u w:val="none" w:color="auto"/>
                <w:lang w:val="en-US" w:eastAsia="zh-CN"/>
              </w:rPr>
              <w:t>7.公用工程</w:t>
            </w:r>
          </w:p>
          <w:p>
            <w:pPr>
              <w:numPr>
                <w:ilvl w:val="0"/>
                <w:numId w:val="0"/>
              </w:numPr>
              <w:adjustRightInd w:val="0"/>
              <w:snapToGrid w:val="0"/>
              <w:spacing w:line="360" w:lineRule="auto"/>
              <w:ind w:firstLine="480" w:firstLineChars="200"/>
              <w:jc w:val="both"/>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（1）给水</w:t>
            </w:r>
          </w:p>
          <w:p>
            <w:pPr>
              <w:numPr>
                <w:ilvl w:val="0"/>
                <w:numId w:val="0"/>
              </w:numPr>
              <w:adjustRightInd w:val="0"/>
              <w:snapToGrid w:val="0"/>
              <w:spacing w:line="360" w:lineRule="auto"/>
              <w:ind w:firstLine="480" w:firstLineChars="200"/>
              <w:jc w:val="both"/>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pPr>
            <w:r>
              <w:rPr>
                <w:rFonts w:hint="default" w:ascii="Times New Roman" w:hAnsi="Times New Roman" w:eastAsia="宋体" w:cs="Times New Roman"/>
                <w:color w:val="auto"/>
                <w:sz w:val="24"/>
                <w:szCs w:val="24"/>
                <w:u w:val="none" w:color="auto"/>
                <w:lang w:val="en-US" w:eastAsia="zh-CN"/>
              </w:rPr>
              <w:t>根据建设方提供的资料，本项目用水主要为员工生活用水</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，供水采用地下水井。</w:t>
            </w:r>
          </w:p>
          <w:p>
            <w:pPr>
              <w:numPr>
                <w:ilvl w:val="0"/>
                <w:numId w:val="0"/>
              </w:numPr>
              <w:adjustRightInd w:val="0"/>
              <w:snapToGrid w:val="0"/>
              <w:spacing w:line="360" w:lineRule="auto"/>
              <w:ind w:firstLine="480" w:firstLineChars="200"/>
              <w:jc w:val="both"/>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项目劳动定员11人（其中湘湘阴油0659劳动定员5人，湘湘阴油0530劳动定员6人），员工均在船上食宿，参照《湖南省用水定额》（DB43/T388-2020）用水量为140L/人·d，年工作时间为300d，则生活用水量为</w:t>
            </w:r>
            <w:r>
              <w:rPr>
                <w:rFonts w:hint="eastAsia" w:ascii="Times New Roman" w:hAnsi="Times New Roman" w:eastAsia="宋体" w:cs="Times New Roman"/>
                <w:color w:val="auto"/>
                <w:sz w:val="24"/>
                <w:szCs w:val="24"/>
                <w:u w:val="none" w:color="auto"/>
                <w:lang w:val="en-US" w:eastAsia="zh-CN"/>
              </w:rPr>
              <w:t>1.54</w:t>
            </w:r>
            <w:r>
              <w:rPr>
                <w:rFonts w:hint="default" w:ascii="Times New Roman" w:hAnsi="Times New Roman" w:eastAsia="宋体" w:cs="Times New Roman"/>
                <w:color w:val="auto"/>
                <w:spacing w:val="4"/>
                <w:sz w:val="24"/>
                <w:szCs w:val="24"/>
                <w:u w:val="none" w:color="auto"/>
              </w:rPr>
              <w:t>m</w:t>
            </w:r>
            <w:r>
              <w:rPr>
                <w:rFonts w:hint="default" w:ascii="Times New Roman" w:hAnsi="Times New Roman" w:eastAsia="宋体" w:cs="Times New Roman"/>
                <w:color w:val="auto"/>
                <w:spacing w:val="4"/>
                <w:sz w:val="24"/>
                <w:szCs w:val="24"/>
                <w:u w:val="none" w:color="auto"/>
                <w:vertAlign w:val="superscript"/>
              </w:rPr>
              <w:t>3</w:t>
            </w:r>
            <w:r>
              <w:rPr>
                <w:rFonts w:hint="default" w:ascii="Times New Roman" w:hAnsi="Times New Roman" w:eastAsia="宋体" w:cs="Times New Roman"/>
                <w:color w:val="auto"/>
                <w:spacing w:val="4"/>
                <w:sz w:val="24"/>
                <w:szCs w:val="24"/>
                <w:u w:val="none" w:color="auto"/>
              </w:rPr>
              <w:t>/d</w:t>
            </w:r>
            <w:r>
              <w:rPr>
                <w:rFonts w:hint="eastAsia" w:ascii="Times New Roman" w:hAnsi="Times New Roman" w:eastAsia="宋体" w:cs="Times New Roman"/>
                <w:color w:val="auto"/>
                <w:sz w:val="24"/>
                <w:szCs w:val="24"/>
                <w:u w:val="none" w:color="auto"/>
                <w:lang w:val="en-US" w:eastAsia="zh-CN"/>
              </w:rPr>
              <w:t>，462</w:t>
            </w:r>
            <w:r>
              <w:rPr>
                <w:rFonts w:hint="default" w:ascii="Times New Roman" w:hAnsi="Times New Roman" w:eastAsia="宋体" w:cs="Times New Roman"/>
                <w:color w:val="auto"/>
                <w:spacing w:val="4"/>
                <w:sz w:val="24"/>
                <w:szCs w:val="24"/>
                <w:u w:val="none" w:color="auto"/>
              </w:rPr>
              <w:t>m</w:t>
            </w:r>
            <w:r>
              <w:rPr>
                <w:rFonts w:hint="default" w:ascii="Times New Roman" w:hAnsi="Times New Roman" w:eastAsia="宋体" w:cs="Times New Roman"/>
                <w:color w:val="auto"/>
                <w:spacing w:val="4"/>
                <w:sz w:val="24"/>
                <w:szCs w:val="24"/>
                <w:u w:val="none" w:color="auto"/>
                <w:vertAlign w:val="superscript"/>
              </w:rPr>
              <w:t>3</w:t>
            </w:r>
            <w:r>
              <w:rPr>
                <w:rFonts w:hint="default" w:ascii="Times New Roman" w:hAnsi="Times New Roman" w:eastAsia="宋体" w:cs="Times New Roman"/>
                <w:color w:val="auto"/>
                <w:spacing w:val="4"/>
                <w:sz w:val="24"/>
                <w:szCs w:val="24"/>
                <w:u w:val="none" w:color="auto"/>
              </w:rPr>
              <w:t>/</w:t>
            </w:r>
            <w:r>
              <w:rPr>
                <w:rFonts w:hint="default" w:ascii="Times New Roman" w:hAnsi="Times New Roman" w:eastAsia="宋体" w:cs="Times New Roman"/>
                <w:color w:val="auto"/>
                <w:spacing w:val="4"/>
                <w:sz w:val="24"/>
                <w:szCs w:val="24"/>
                <w:u w:val="none" w:color="auto"/>
                <w:lang w:val="en-US" w:eastAsia="zh-CN"/>
              </w:rPr>
              <w:t>a</w:t>
            </w:r>
            <w:r>
              <w:rPr>
                <w:rFonts w:hint="default" w:ascii="Times New Roman" w:hAnsi="Times New Roman" w:eastAsia="宋体" w:cs="Times New Roman"/>
                <w:color w:val="auto"/>
                <w:sz w:val="24"/>
                <w:szCs w:val="24"/>
                <w:u w:val="none" w:color="auto"/>
                <w:lang w:val="en-US" w:eastAsia="zh-CN"/>
              </w:rPr>
              <w:t>。</w:t>
            </w:r>
          </w:p>
          <w:p>
            <w:pPr>
              <w:numPr>
                <w:ilvl w:val="0"/>
                <w:numId w:val="0"/>
              </w:numPr>
              <w:adjustRightInd w:val="0"/>
              <w:snapToGrid w:val="0"/>
              <w:spacing w:line="360" w:lineRule="auto"/>
              <w:ind w:firstLine="480" w:firstLineChars="200"/>
              <w:jc w:val="both"/>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（2）排水</w:t>
            </w:r>
          </w:p>
          <w:p>
            <w:pPr>
              <w:numPr>
                <w:ilvl w:val="0"/>
                <w:numId w:val="0"/>
              </w:numPr>
              <w:adjustRightInd w:val="0"/>
              <w:snapToGrid w:val="0"/>
              <w:spacing w:line="360" w:lineRule="auto"/>
              <w:ind w:firstLine="480" w:firstLineChars="200"/>
              <w:jc w:val="both"/>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项目生活污水与收集到的其他船舶生活污水一同暂存于生活污水收集舱，再交由葛洲坝水务（湘阴）有限公司处置；本项目自身产生的舱底废水经油水分离器处置后达到《船舶水污染物排放控制标准》（GB3552-2018）表2船舶机器处所油污水污染物排放限值。</w:t>
            </w:r>
          </w:p>
          <w:p>
            <w:pPr>
              <w:numPr>
                <w:ilvl w:val="0"/>
                <w:numId w:val="0"/>
              </w:numPr>
              <w:adjustRightInd w:val="0"/>
              <w:snapToGrid w:val="0"/>
              <w:spacing w:line="360" w:lineRule="auto"/>
              <w:jc w:val="both"/>
              <w:rPr>
                <w:rFonts w:hint="default" w:ascii="宋体" w:hAnsi="宋体" w:cs="宋体"/>
                <w:b/>
                <w:bCs/>
                <w:color w:val="auto"/>
                <w:sz w:val="24"/>
                <w:szCs w:val="24"/>
                <w:u w:val="none" w:color="auto"/>
                <w:lang w:val="en-US" w:eastAsia="zh-CN"/>
              </w:rPr>
            </w:pPr>
            <w:r>
              <w:rPr>
                <w:rFonts w:hint="eastAsia" w:ascii="宋体" w:hAnsi="宋体" w:cs="宋体"/>
                <w:b/>
                <w:bCs/>
                <w:color w:val="auto"/>
                <w:sz w:val="24"/>
                <w:szCs w:val="24"/>
                <w:u w:val="none" w:color="auto"/>
                <w:lang w:val="en-US" w:eastAsia="zh-CN"/>
              </w:rPr>
              <w:t>8.劳动定员</w:t>
            </w:r>
          </w:p>
          <w:p>
            <w:pPr>
              <w:numPr>
                <w:ilvl w:val="0"/>
                <w:numId w:val="0"/>
              </w:numPr>
              <w:adjustRightInd w:val="0"/>
              <w:snapToGrid w:val="0"/>
              <w:spacing w:line="360" w:lineRule="auto"/>
              <w:ind w:firstLine="480" w:firstLineChars="200"/>
              <w:jc w:val="both"/>
              <w:rPr>
                <w:rFonts w:hint="default" w:ascii="宋体" w:hAnsi="宋体" w:eastAsia="宋体" w:cs="宋体"/>
                <w:bCs/>
                <w:color w:val="auto"/>
                <w:sz w:val="24"/>
                <w:szCs w:val="24"/>
                <w:u w:val="none" w:color="auto"/>
                <w:lang w:val="en-US" w:eastAsia="zh-CN"/>
              </w:rPr>
            </w:pPr>
            <w:r>
              <w:rPr>
                <w:rFonts w:hint="eastAsia" w:ascii="宋体" w:hAnsi="宋体" w:cs="宋体"/>
                <w:color w:val="auto"/>
                <w:sz w:val="24"/>
                <w:szCs w:val="24"/>
                <w:u w:val="none" w:color="auto"/>
                <w:lang w:val="en-US" w:eastAsia="zh-CN"/>
              </w:rPr>
              <w:t>项目劳动定员11人，员工均在船上食宿，项目年生产天数300天，1天1班，每班8小时（9：00AM——5：00PM），夜间不生产。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78" w:hRule="atLeast"/>
          <w:jc w:val="center"/>
        </w:trPr>
        <w:tc>
          <w:tcPr>
            <w:tcW w:w="473" w:type="dxa"/>
            <w:noWrap w:val="0"/>
            <w:vAlign w:val="center"/>
          </w:tcPr>
          <w:p>
            <w:pPr>
              <w:pStyle w:val="14"/>
              <w:adjustRightInd w:val="0"/>
              <w:snapToGrid w:val="0"/>
              <w:spacing w:before="0" w:beforeAutospacing="0" w:after="0" w:afterAutospacing="0"/>
              <w:jc w:val="center"/>
              <w:rPr>
                <w:rFonts w:cs="宋体"/>
                <w:color w:val="0000FF"/>
                <w:sz w:val="24"/>
                <w:szCs w:val="24"/>
                <w:u w:val="none" w:color="auto"/>
              </w:rPr>
            </w:pPr>
            <w:r>
              <w:rPr>
                <w:rFonts w:hint="eastAsia" w:cs="宋体"/>
                <w:color w:val="auto"/>
                <w:sz w:val="24"/>
                <w:szCs w:val="24"/>
                <w:u w:val="none" w:color="auto"/>
              </w:rPr>
              <w:t>工艺流程和产排污环节</w:t>
            </w:r>
          </w:p>
        </w:tc>
        <w:tc>
          <w:tcPr>
            <w:tcW w:w="8587" w:type="dxa"/>
            <w:noWrap w:val="0"/>
            <w:vAlign w:val="top"/>
          </w:tcPr>
          <w:p>
            <w:pPr>
              <w:adjustRightInd w:val="0"/>
              <w:snapToGrid w:val="0"/>
              <w:spacing w:line="360" w:lineRule="auto"/>
              <w:rPr>
                <w:rFonts w:hint="eastAsia" w:ascii="宋体" w:hAnsi="宋体"/>
                <w:b/>
                <w:bCs w:val="0"/>
                <w:color w:val="auto"/>
                <w:sz w:val="24"/>
                <w:szCs w:val="24"/>
                <w:u w:val="none" w:color="auto"/>
              </w:rPr>
            </w:pPr>
            <w:r>
              <w:rPr>
                <w:rFonts w:hint="eastAsia" w:ascii="宋体" w:hAnsi="宋体"/>
                <w:b/>
                <w:bCs w:val="0"/>
                <w:color w:val="auto"/>
                <w:sz w:val="24"/>
                <w:szCs w:val="24"/>
                <w:u w:val="none" w:color="auto"/>
              </w:rPr>
              <w:t>1</w:t>
            </w:r>
            <w:r>
              <w:rPr>
                <w:rFonts w:hint="eastAsia" w:ascii="宋体" w:hAnsi="宋体"/>
                <w:b/>
                <w:bCs w:val="0"/>
                <w:color w:val="auto"/>
                <w:sz w:val="24"/>
                <w:szCs w:val="24"/>
                <w:u w:val="none" w:color="auto"/>
                <w:lang w:val="en-US" w:eastAsia="zh-CN"/>
              </w:rPr>
              <w:t>.</w:t>
            </w:r>
            <w:r>
              <w:rPr>
                <w:rFonts w:hint="eastAsia" w:ascii="宋体" w:hAnsi="宋体"/>
                <w:b/>
                <w:bCs w:val="0"/>
                <w:color w:val="auto"/>
                <w:sz w:val="24"/>
                <w:szCs w:val="24"/>
                <w:u w:val="none" w:color="auto"/>
              </w:rPr>
              <w:t>施工期</w:t>
            </w:r>
          </w:p>
          <w:p>
            <w:pPr>
              <w:numPr>
                <w:ilvl w:val="0"/>
                <w:numId w:val="0"/>
              </w:numPr>
              <w:adjustRightInd w:val="0"/>
              <w:snapToGrid w:val="0"/>
              <w:spacing w:line="360" w:lineRule="auto"/>
              <w:ind w:firstLine="480" w:firstLineChars="200"/>
              <w:rPr>
                <w:rFonts w:hint="eastAsia" w:ascii="宋体" w:hAnsi="宋体"/>
                <w:bCs/>
                <w:color w:val="auto"/>
                <w:sz w:val="24"/>
                <w:szCs w:val="24"/>
                <w:u w:val="none" w:color="auto"/>
              </w:rPr>
            </w:pPr>
            <w:r>
              <w:rPr>
                <w:rFonts w:hint="eastAsia" w:ascii="宋体" w:hAnsi="宋体"/>
                <w:bCs/>
                <w:color w:val="auto"/>
                <w:sz w:val="24"/>
                <w:szCs w:val="24"/>
                <w:u w:val="none" w:color="auto"/>
              </w:rPr>
              <w:t>本项目是利用回收废矿物油专用船开展回收作业，船舶委托船厂制造，故本项目不存在施工期。</w:t>
            </w:r>
          </w:p>
          <w:p>
            <w:pPr>
              <w:numPr>
                <w:ilvl w:val="0"/>
                <w:numId w:val="0"/>
              </w:numPr>
              <w:adjustRightInd w:val="0"/>
              <w:snapToGrid w:val="0"/>
              <w:spacing w:line="360" w:lineRule="auto"/>
              <w:rPr>
                <w:rFonts w:hint="eastAsia" w:ascii="宋体" w:hAnsi="宋体"/>
                <w:b/>
                <w:bCs w:val="0"/>
                <w:color w:val="FF0000"/>
                <w:sz w:val="24"/>
                <w:szCs w:val="24"/>
                <w:u w:val="single" w:color="auto"/>
                <w:lang w:val="en-US" w:eastAsia="zh-CN"/>
              </w:rPr>
            </w:pPr>
            <w:r>
              <w:rPr>
                <w:rFonts w:hint="eastAsia" w:ascii="宋体" w:hAnsi="宋体"/>
                <w:b/>
                <w:bCs w:val="0"/>
                <w:color w:val="FF0000"/>
                <w:sz w:val="24"/>
                <w:szCs w:val="24"/>
                <w:u w:val="single" w:color="auto"/>
                <w:lang w:val="en-US" w:eastAsia="zh-CN"/>
              </w:rPr>
              <w:t>2.营运期</w:t>
            </w:r>
          </w:p>
          <w:p>
            <w:pPr>
              <w:numPr>
                <w:ilvl w:val="0"/>
                <w:numId w:val="0"/>
              </w:numPr>
              <w:adjustRightInd w:val="0"/>
              <w:snapToGrid w:val="0"/>
              <w:spacing w:line="360" w:lineRule="auto"/>
              <w:jc w:val="both"/>
              <w:rPr>
                <w:rFonts w:hint="default" w:ascii="宋体" w:hAnsi="宋体"/>
                <w:b w:val="0"/>
                <w:bCs/>
                <w:color w:val="FF0000"/>
                <w:sz w:val="24"/>
                <w:szCs w:val="24"/>
                <w:u w:val="single" w:color="auto"/>
                <w:lang w:val="en-US" w:eastAsia="zh-CN"/>
              </w:rPr>
            </w:pPr>
            <w:r>
              <w:rPr>
                <w:rFonts w:hint="eastAsia" w:ascii="宋体" w:hAnsi="宋体"/>
                <w:b w:val="0"/>
                <w:bCs/>
                <w:color w:val="FF0000"/>
                <w:sz w:val="24"/>
                <w:szCs w:val="24"/>
                <w:u w:val="single" w:color="auto"/>
                <w:lang w:val="en-US" w:eastAsia="zh-CN"/>
              </w:rPr>
              <w:t>项目主要生产工艺流程：</w:t>
            </w:r>
          </w:p>
          <w:p>
            <w:pPr>
              <w:spacing w:line="360" w:lineRule="auto"/>
              <w:ind w:firstLine="480" w:firstLineChars="200"/>
              <w:jc w:val="left"/>
              <w:rPr>
                <w:rFonts w:cs="宋体"/>
                <w:color w:val="FF0000"/>
                <w:sz w:val="24"/>
                <w:u w:val="single" w:color="auto"/>
              </w:rPr>
            </w:pPr>
            <w:r>
              <w:rPr>
                <w:rFonts w:hint="eastAsia" w:cs="宋体"/>
                <w:color w:val="FF0000"/>
                <w:sz w:val="24"/>
                <w:u w:val="single" w:color="auto"/>
              </w:rPr>
              <w:t>1、需要接收污染物的船舶确认污染物类别后，上传船E行</w:t>
            </w:r>
            <w:r>
              <w:rPr>
                <w:rFonts w:hint="eastAsia" w:cs="宋体"/>
                <w:color w:val="FF0000"/>
                <w:sz w:val="24"/>
                <w:u w:val="single" w:color="auto"/>
                <w:lang w:eastAsia="zh-CN"/>
              </w:rPr>
              <w:t>（</w:t>
            </w:r>
            <w:r>
              <w:rPr>
                <w:rFonts w:hint="eastAsia" w:cs="宋体"/>
                <w:color w:val="FF0000"/>
                <w:sz w:val="24"/>
                <w:u w:val="single" w:color="auto"/>
                <w:lang w:val="en-US" w:eastAsia="zh-CN"/>
              </w:rPr>
              <w:t>通讯系统</w:t>
            </w:r>
            <w:r>
              <w:rPr>
                <w:rFonts w:hint="eastAsia" w:cs="宋体"/>
                <w:color w:val="FF0000"/>
                <w:sz w:val="24"/>
                <w:u w:val="single" w:color="auto"/>
                <w:lang w:eastAsia="zh-CN"/>
              </w:rPr>
              <w:t>）</w:t>
            </w:r>
            <w:r>
              <w:rPr>
                <w:rFonts w:hint="eastAsia" w:cs="宋体"/>
                <w:color w:val="FF0000"/>
                <w:sz w:val="24"/>
                <w:u w:val="single" w:color="auto"/>
              </w:rPr>
              <w:t>，接收船舶通过船E行得知被接收船的污染物以及位置，船员开着回收污染物专用船到达</w:t>
            </w:r>
            <w:r>
              <w:rPr>
                <w:rFonts w:hint="eastAsia" w:cs="宋体"/>
                <w:color w:val="FF0000"/>
                <w:sz w:val="24"/>
                <w:u w:val="single" w:color="auto"/>
                <w:lang w:val="en-US" w:eastAsia="zh-CN"/>
              </w:rPr>
              <w:t>指定锚地进行作业</w:t>
            </w:r>
            <w:r>
              <w:rPr>
                <w:rFonts w:hint="eastAsia" w:cs="宋体"/>
                <w:color w:val="FF0000"/>
                <w:sz w:val="24"/>
                <w:u w:val="single" w:color="auto"/>
              </w:rPr>
              <w:t>，利用自吸油泵把船舶上的含油废水、废机油、生活污水通过胶管输送到相应的专用船舱中；</w:t>
            </w:r>
          </w:p>
          <w:p>
            <w:pPr>
              <w:spacing w:line="360" w:lineRule="auto"/>
              <w:ind w:firstLine="480" w:firstLineChars="200"/>
              <w:jc w:val="left"/>
              <w:rPr>
                <w:rFonts w:hint="eastAsia" w:eastAsia="宋体" w:cs="宋体"/>
                <w:color w:val="FF0000"/>
                <w:sz w:val="24"/>
                <w:u w:val="single" w:color="auto"/>
                <w:lang w:eastAsia="zh-CN"/>
              </w:rPr>
            </w:pPr>
            <w:r>
              <w:rPr>
                <w:rFonts w:hint="eastAsia" w:cs="宋体"/>
                <w:color w:val="FF0000"/>
                <w:sz w:val="24"/>
                <w:u w:val="single" w:color="auto"/>
              </w:rPr>
              <w:t>2、接收到的污染物分类暂存，船舶垃圾暂存在船舶垃圾箱中，生活污水暂存在废水专用舱内，废机油暂存在废机油专用舱内，含油废水通过油水分离器进行油水分离，分离好的废机油暂存废机油专用船舱，废水暂存废水船舱</w:t>
            </w:r>
            <w:r>
              <w:rPr>
                <w:rFonts w:hint="eastAsia" w:cs="宋体"/>
                <w:color w:val="FF0000"/>
                <w:sz w:val="24"/>
                <w:u w:val="single" w:color="auto"/>
                <w:lang w:eastAsia="zh-CN"/>
              </w:rPr>
              <w:t>；</w:t>
            </w:r>
          </w:p>
          <w:p>
            <w:pPr>
              <w:spacing w:line="360" w:lineRule="auto"/>
              <w:ind w:firstLine="480" w:firstLineChars="200"/>
              <w:jc w:val="left"/>
              <w:rPr>
                <w:rFonts w:cs="宋体"/>
                <w:color w:val="FF0000"/>
                <w:sz w:val="24"/>
                <w:u w:val="single" w:color="auto"/>
              </w:rPr>
            </w:pPr>
            <w:r>
              <w:rPr>
                <w:rFonts w:hint="eastAsia" w:cs="宋体"/>
                <w:color w:val="FF0000"/>
                <w:sz w:val="24"/>
                <w:u w:val="single" w:color="auto"/>
              </w:rPr>
              <w:t>3、当废机油储存量达到船只吨位80%时，通知</w:t>
            </w:r>
            <w:r>
              <w:rPr>
                <w:rFonts w:hint="default" w:ascii="Times New Roman" w:hAnsi="Times New Roman" w:eastAsia="宋体" w:cs="Times New Roman"/>
                <w:color w:val="FF0000"/>
                <w:sz w:val="24"/>
                <w:szCs w:val="24"/>
                <w:u w:val="single" w:color="auto"/>
                <w:lang w:val="en-US" w:eastAsia="zh-CN"/>
              </w:rPr>
              <w:t>长沙达远物流有限公司</w:t>
            </w:r>
            <w:r>
              <w:rPr>
                <w:rFonts w:hint="eastAsia"/>
                <w:color w:val="FF0000"/>
                <w:sz w:val="24"/>
                <w:szCs w:val="24"/>
                <w:u w:val="single" w:color="auto"/>
              </w:rPr>
              <w:t>进行转运，水域中</w:t>
            </w:r>
            <w:r>
              <w:rPr>
                <w:rFonts w:hint="eastAsia" w:cs="宋体"/>
                <w:color w:val="FF0000"/>
                <w:sz w:val="24"/>
                <w:u w:val="single" w:color="auto"/>
              </w:rPr>
              <w:t>通过转运船舶转运至码头停靠点，在通过输送管输送到废机油专用罐车，然后由</w:t>
            </w:r>
            <w:r>
              <w:rPr>
                <w:rFonts w:hint="default" w:ascii="Times New Roman" w:hAnsi="Times New Roman" w:eastAsia="宋体" w:cs="Times New Roman"/>
                <w:color w:val="FF0000"/>
                <w:sz w:val="24"/>
                <w:szCs w:val="24"/>
                <w:u w:val="single" w:color="auto"/>
                <w:lang w:val="en-US" w:eastAsia="zh-CN"/>
              </w:rPr>
              <w:t>长沙达远物流有限公司</w:t>
            </w:r>
            <w:r>
              <w:rPr>
                <w:rFonts w:hint="eastAsia"/>
                <w:color w:val="FF0000"/>
                <w:sz w:val="24"/>
                <w:szCs w:val="24"/>
                <w:u w:val="single" w:color="auto"/>
              </w:rPr>
              <w:t>转运</w:t>
            </w:r>
            <w:r>
              <w:rPr>
                <w:rFonts w:hint="eastAsia" w:cs="宋体"/>
                <w:color w:val="FF0000"/>
                <w:sz w:val="24"/>
                <w:u w:val="single" w:color="auto"/>
              </w:rPr>
              <w:t>至远大（湖南）再生燃油股份有限公司处理；</w:t>
            </w:r>
          </w:p>
          <w:p>
            <w:pPr>
              <w:spacing w:line="360" w:lineRule="auto"/>
              <w:ind w:firstLine="480" w:firstLineChars="200"/>
              <w:jc w:val="left"/>
              <w:rPr>
                <w:rFonts w:cs="宋体"/>
                <w:color w:val="FF0000"/>
                <w:sz w:val="24"/>
                <w:u w:val="single" w:color="auto"/>
              </w:rPr>
            </w:pPr>
            <w:r>
              <w:rPr>
                <w:rFonts w:hint="eastAsia" w:cs="宋体"/>
                <w:color w:val="FF0000"/>
                <w:sz w:val="24"/>
                <w:u w:val="single" w:color="auto"/>
              </w:rPr>
              <w:t>4、当分离后废水、生活污水储存量达到船只吨位80%时，通知</w:t>
            </w:r>
            <w:r>
              <w:rPr>
                <w:rFonts w:hint="default" w:ascii="Times New Roman" w:hAnsi="Times New Roman" w:eastAsia="宋体" w:cs="Times New Roman"/>
                <w:color w:val="FF0000"/>
                <w:sz w:val="24"/>
                <w:szCs w:val="24"/>
                <w:u w:val="single" w:color="auto"/>
                <w:lang w:val="en-US" w:eastAsia="zh-CN"/>
              </w:rPr>
              <w:t>葛洲坝水务（湘阴）有限公司</w:t>
            </w:r>
            <w:r>
              <w:rPr>
                <w:rFonts w:hint="eastAsia" w:cs="宋体"/>
                <w:color w:val="FF0000"/>
                <w:sz w:val="24"/>
                <w:u w:val="single" w:color="auto"/>
              </w:rPr>
              <w:t>进行转运，</w:t>
            </w:r>
            <w:r>
              <w:rPr>
                <w:rFonts w:hint="eastAsia"/>
                <w:color w:val="FF0000"/>
                <w:sz w:val="24"/>
                <w:szCs w:val="24"/>
                <w:u w:val="single" w:color="auto"/>
              </w:rPr>
              <w:t>水域中</w:t>
            </w:r>
            <w:r>
              <w:rPr>
                <w:rFonts w:hint="eastAsia" w:cs="宋体"/>
                <w:color w:val="FF0000"/>
                <w:sz w:val="24"/>
                <w:u w:val="single" w:color="auto"/>
              </w:rPr>
              <w:t>通过转运船舶转运至码头停靠点，在通过输送管输送到废水专用罐车，然后由</w:t>
            </w:r>
            <w:r>
              <w:rPr>
                <w:rFonts w:hint="default" w:ascii="Times New Roman" w:hAnsi="Times New Roman" w:eastAsia="宋体" w:cs="Times New Roman"/>
                <w:color w:val="FF0000"/>
                <w:sz w:val="24"/>
                <w:szCs w:val="24"/>
                <w:u w:val="single" w:color="auto"/>
                <w:lang w:val="en-US" w:eastAsia="zh-CN"/>
              </w:rPr>
              <w:t>葛洲坝水务（湘阴）有限公司</w:t>
            </w:r>
            <w:r>
              <w:rPr>
                <w:rFonts w:hint="eastAsia"/>
                <w:color w:val="FF0000"/>
                <w:sz w:val="24"/>
                <w:szCs w:val="24"/>
                <w:u w:val="single" w:color="auto"/>
              </w:rPr>
              <w:t>转运</w:t>
            </w:r>
            <w:r>
              <w:rPr>
                <w:rFonts w:hint="eastAsia" w:cs="宋体"/>
                <w:color w:val="FF0000"/>
                <w:sz w:val="24"/>
                <w:u w:val="single" w:color="auto"/>
              </w:rPr>
              <w:t>至</w:t>
            </w:r>
            <w:r>
              <w:rPr>
                <w:rFonts w:hint="eastAsia" w:cs="宋体"/>
                <w:color w:val="FF0000"/>
                <w:sz w:val="24"/>
                <w:u w:val="single" w:color="auto"/>
                <w:lang w:val="en-US" w:eastAsia="zh-CN"/>
              </w:rPr>
              <w:t>湘阴县第一污水处理厂</w:t>
            </w:r>
            <w:r>
              <w:rPr>
                <w:rFonts w:hint="eastAsia" w:cs="宋体"/>
                <w:color w:val="FF0000"/>
                <w:sz w:val="24"/>
                <w:u w:val="single" w:color="auto"/>
              </w:rPr>
              <w:t>；</w:t>
            </w:r>
          </w:p>
          <w:p>
            <w:pPr>
              <w:numPr>
                <w:ilvl w:val="0"/>
                <w:numId w:val="0"/>
              </w:numPr>
              <w:adjustRightInd w:val="0"/>
              <w:snapToGrid w:val="0"/>
              <w:spacing w:line="360" w:lineRule="auto"/>
              <w:ind w:firstLine="480" w:firstLineChars="200"/>
              <w:jc w:val="both"/>
              <w:rPr>
                <w:rFonts w:hint="default" w:ascii="宋体" w:hAnsi="宋体" w:eastAsia="宋体"/>
                <w:b w:val="0"/>
                <w:bCs/>
                <w:color w:val="0000FF"/>
                <w:sz w:val="24"/>
                <w:szCs w:val="24"/>
                <w:u w:val="none" w:color="auto"/>
                <w:lang w:val="en-US" w:eastAsia="zh-CN"/>
              </w:rPr>
            </w:pPr>
            <w:r>
              <w:rPr>
                <w:rFonts w:hint="eastAsia" w:cs="宋体"/>
                <w:color w:val="FF0000"/>
                <w:sz w:val="24"/>
                <w:u w:val="single" w:color="auto"/>
              </w:rPr>
              <w:t>5、船舶垃圾：通过人工转运将其他船上垃圾到垃圾收集船上暂存，然后再由人工转运到岸上的垃圾中转站交</w:t>
            </w:r>
            <w:r>
              <w:rPr>
                <w:rFonts w:hint="default" w:ascii="Times New Roman" w:hAnsi="Times New Roman" w:eastAsia="宋体" w:cs="Times New Roman"/>
                <w:b w:val="0"/>
                <w:bCs/>
                <w:color w:val="FF0000"/>
                <w:sz w:val="24"/>
                <w:szCs w:val="24"/>
                <w:u w:val="single" w:color="auto"/>
                <w:lang w:val="en-US" w:eastAsia="zh-CN"/>
              </w:rPr>
              <w:t>湘阴县环卫服务中心转运处置</w:t>
            </w:r>
            <w:r>
              <w:rPr>
                <w:rFonts w:hint="eastAsia" w:cs="宋体"/>
                <w:color w:val="FF0000"/>
                <w:sz w:val="24"/>
                <w:u w:val="single" w:color="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32" w:hRule="atLeast"/>
          <w:jc w:val="center"/>
        </w:trPr>
        <w:tc>
          <w:tcPr>
            <w:tcW w:w="473" w:type="dxa"/>
            <w:noWrap w:val="0"/>
            <w:vAlign w:val="center"/>
          </w:tcPr>
          <w:p>
            <w:pPr>
              <w:pStyle w:val="14"/>
              <w:adjustRightInd w:val="0"/>
              <w:snapToGrid w:val="0"/>
              <w:spacing w:before="0" w:beforeAutospacing="0" w:after="0" w:afterAutospacing="0"/>
              <w:jc w:val="center"/>
              <w:rPr>
                <w:rFonts w:hint="eastAsia" w:cs="宋体"/>
                <w:color w:val="0000FF"/>
                <w:sz w:val="24"/>
                <w:szCs w:val="24"/>
                <w:u w:val="none" w:color="auto"/>
              </w:rPr>
            </w:pPr>
            <w:r>
              <w:rPr>
                <w:rFonts w:hint="eastAsia" w:cs="宋体"/>
                <w:bCs/>
                <w:color w:val="auto"/>
                <w:kern w:val="2"/>
                <w:sz w:val="24"/>
                <w:szCs w:val="24"/>
                <w:u w:val="none" w:color="auto"/>
              </w:rPr>
              <w:t>与项目有关的原有环境污染问题</w:t>
            </w:r>
          </w:p>
        </w:tc>
        <w:tc>
          <w:tcPr>
            <w:tcW w:w="8587" w:type="dxa"/>
            <w:noWrap w:val="0"/>
            <w:vAlign w:val="center"/>
          </w:tcPr>
          <w:p>
            <w:pPr>
              <w:keepNext w:val="0"/>
              <w:keepLines w:val="0"/>
              <w:widowControl/>
              <w:suppressLineNumbers w:val="0"/>
              <w:spacing w:line="360" w:lineRule="auto"/>
              <w:ind w:firstLine="480" w:firstLineChars="200"/>
              <w:jc w:val="both"/>
            </w:pPr>
            <w:r>
              <w:rPr>
                <w:rFonts w:hint="eastAsia" w:ascii="宋体" w:hAnsi="宋体" w:eastAsia="宋体" w:cs="宋体"/>
                <w:color w:val="000000"/>
                <w:kern w:val="0"/>
                <w:sz w:val="24"/>
                <w:szCs w:val="24"/>
                <w:lang w:val="en-US" w:eastAsia="zh-CN" w:bidi="ar"/>
              </w:rPr>
              <w:t xml:space="preserve">本项目为新建项目，不存在与本项目相关的原有污染情况。 </w:t>
            </w:r>
          </w:p>
          <w:p>
            <w:pPr>
              <w:keepNext w:val="0"/>
              <w:keepLines w:val="0"/>
              <w:widowControl/>
              <w:suppressLineNumbers w:val="0"/>
              <w:spacing w:line="360" w:lineRule="auto"/>
              <w:ind w:firstLine="480" w:firstLineChars="200"/>
              <w:jc w:val="both"/>
            </w:pPr>
            <w:r>
              <w:rPr>
                <w:rFonts w:hint="eastAsia" w:ascii="宋体" w:hAnsi="宋体" w:eastAsia="宋体" w:cs="宋体"/>
                <w:color w:val="000000"/>
                <w:kern w:val="0"/>
                <w:sz w:val="24"/>
                <w:szCs w:val="24"/>
                <w:lang w:val="en-US" w:eastAsia="zh-CN" w:bidi="ar"/>
              </w:rPr>
              <w:t>经调查，项目经营范围内主要污染源为货船、游轮等船舶在航行过程中产生的含油废水、发动机废气等。</w:t>
            </w:r>
          </w:p>
          <w:p>
            <w:pPr>
              <w:adjustRightInd w:val="0"/>
              <w:snapToGrid w:val="0"/>
              <w:spacing w:line="360" w:lineRule="auto"/>
              <w:jc w:val="both"/>
              <w:rPr>
                <w:rFonts w:hint="default" w:ascii="宋体" w:hAnsi="宋体" w:eastAsia="宋体"/>
                <w:b w:val="0"/>
                <w:bCs/>
                <w:color w:val="0000FF"/>
                <w:sz w:val="24"/>
                <w:szCs w:val="24"/>
                <w:u w:val="none" w:color="auto"/>
                <w:lang w:val="en-US" w:eastAsia="zh-CN"/>
              </w:rPr>
            </w:pPr>
          </w:p>
        </w:tc>
      </w:tr>
    </w:tbl>
    <w:p>
      <w:pPr>
        <w:rPr>
          <w:rFonts w:hint="eastAsia"/>
          <w:color w:val="0000FF"/>
          <w:sz w:val="24"/>
          <w:szCs w:val="24"/>
          <w:u w:val="none" w:color="auto"/>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14"/>
        <w:jc w:val="center"/>
        <w:outlineLvl w:val="0"/>
        <w:rPr>
          <w:rFonts w:ascii="黑体" w:hAnsi="黑体" w:eastAsia="黑体"/>
          <w:snapToGrid w:val="0"/>
          <w:color w:val="0000FF"/>
          <w:sz w:val="30"/>
          <w:szCs w:val="30"/>
          <w:u w:val="none" w:color="auto"/>
        </w:rPr>
      </w:pPr>
      <w:bookmarkStart w:id="7" w:name="_Toc16541"/>
      <w:r>
        <w:rPr>
          <w:rFonts w:hint="eastAsia" w:ascii="黑体" w:hAnsi="黑体" w:eastAsia="黑体"/>
          <w:snapToGrid w:val="0"/>
          <w:color w:val="auto"/>
          <w:sz w:val="30"/>
          <w:szCs w:val="30"/>
          <w:u w:val="none" w:color="auto"/>
        </w:rPr>
        <w:t>三、区域环境质量现状、环境保护目标及评价标准</w:t>
      </w:r>
      <w:bookmarkEnd w:id="7"/>
    </w:p>
    <w:tbl>
      <w:tblPr>
        <w:tblStyle w:val="1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351"/>
        <w:gridCol w:w="871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04" w:hRule="atLeast"/>
          <w:jc w:val="center"/>
        </w:trPr>
        <w:tc>
          <w:tcPr>
            <w:tcW w:w="800" w:type="dxa"/>
            <w:noWrap w:val="0"/>
            <w:vAlign w:val="center"/>
          </w:tcPr>
          <w:p>
            <w:pPr>
              <w:adjustRightInd w:val="0"/>
              <w:snapToGrid w:val="0"/>
              <w:jc w:val="center"/>
              <w:rPr>
                <w:rFonts w:hint="eastAsia" w:ascii="宋体" w:hAnsi="宋体" w:cs="宋体"/>
                <w:color w:val="auto"/>
                <w:kern w:val="0"/>
                <w:sz w:val="24"/>
                <w:szCs w:val="24"/>
                <w:u w:val="none" w:color="auto"/>
              </w:rPr>
            </w:pPr>
            <w:r>
              <w:rPr>
                <w:rFonts w:hint="eastAsia" w:ascii="宋体" w:hAnsi="宋体" w:cs="宋体"/>
                <w:color w:val="auto"/>
                <w:kern w:val="0"/>
                <w:sz w:val="24"/>
                <w:szCs w:val="24"/>
                <w:u w:val="none" w:color="auto"/>
              </w:rPr>
              <w:t>区域</w:t>
            </w:r>
          </w:p>
          <w:p>
            <w:pPr>
              <w:adjustRightInd w:val="0"/>
              <w:snapToGrid w:val="0"/>
              <w:jc w:val="center"/>
              <w:rPr>
                <w:rFonts w:hint="eastAsia" w:ascii="宋体" w:hAnsi="宋体" w:cs="宋体"/>
                <w:color w:val="auto"/>
                <w:kern w:val="0"/>
                <w:sz w:val="24"/>
                <w:szCs w:val="24"/>
                <w:u w:val="none" w:color="auto"/>
              </w:rPr>
            </w:pPr>
            <w:r>
              <w:rPr>
                <w:rFonts w:hint="eastAsia" w:ascii="宋体" w:hAnsi="宋体" w:cs="宋体"/>
                <w:color w:val="auto"/>
                <w:kern w:val="0"/>
                <w:sz w:val="24"/>
                <w:szCs w:val="24"/>
                <w:u w:val="none" w:color="auto"/>
              </w:rPr>
              <w:t>环境</w:t>
            </w:r>
          </w:p>
          <w:p>
            <w:pPr>
              <w:adjustRightInd w:val="0"/>
              <w:snapToGrid w:val="0"/>
              <w:jc w:val="center"/>
              <w:rPr>
                <w:rFonts w:hint="eastAsia" w:ascii="宋体" w:hAnsi="宋体" w:cs="宋体"/>
                <w:color w:val="auto"/>
                <w:kern w:val="0"/>
                <w:sz w:val="24"/>
                <w:szCs w:val="24"/>
                <w:u w:val="none" w:color="auto"/>
              </w:rPr>
            </w:pPr>
            <w:r>
              <w:rPr>
                <w:rFonts w:hint="eastAsia" w:ascii="宋体" w:hAnsi="宋体" w:cs="宋体"/>
                <w:color w:val="auto"/>
                <w:kern w:val="0"/>
                <w:sz w:val="24"/>
                <w:szCs w:val="24"/>
                <w:u w:val="none" w:color="auto"/>
              </w:rPr>
              <w:t>质量</w:t>
            </w:r>
          </w:p>
          <w:p>
            <w:pPr>
              <w:adjustRightInd w:val="0"/>
              <w:snapToGrid w:val="0"/>
              <w:jc w:val="center"/>
              <w:rPr>
                <w:rFonts w:ascii="宋体" w:hAnsi="宋体" w:cs="宋体"/>
                <w:color w:val="0000FF"/>
                <w:kern w:val="0"/>
                <w:sz w:val="24"/>
                <w:szCs w:val="24"/>
                <w:u w:val="none" w:color="auto"/>
              </w:rPr>
            </w:pPr>
            <w:r>
              <w:rPr>
                <w:rFonts w:hint="eastAsia" w:ascii="宋体" w:hAnsi="宋体" w:cs="宋体"/>
                <w:color w:val="auto"/>
                <w:kern w:val="0"/>
                <w:sz w:val="24"/>
                <w:szCs w:val="24"/>
                <w:u w:val="none" w:color="auto"/>
              </w:rPr>
              <w:t>现状</w:t>
            </w:r>
          </w:p>
        </w:tc>
        <w:tc>
          <w:tcPr>
            <w:tcW w:w="8190" w:type="dxa"/>
            <w:noWrap w:val="0"/>
            <w:vAlign w:val="center"/>
          </w:tcPr>
          <w:p>
            <w:pPr>
              <w:numPr>
                <w:ilvl w:val="0"/>
                <w:numId w:val="0"/>
              </w:numPr>
              <w:adjustRightInd w:val="0"/>
              <w:snapToGrid w:val="0"/>
              <w:spacing w:line="360" w:lineRule="auto"/>
              <w:jc w:val="both"/>
              <w:rPr>
                <w:rFonts w:hint="eastAsia"/>
                <w:sz w:val="24"/>
                <w:szCs w:val="24"/>
                <w:lang w:val="en-US" w:eastAsia="zh-CN"/>
              </w:rPr>
            </w:pPr>
            <w:r>
              <w:rPr>
                <w:rFonts w:hint="eastAsia"/>
                <w:sz w:val="24"/>
                <w:szCs w:val="24"/>
                <w:lang w:val="en-US" w:eastAsia="zh-CN"/>
              </w:rPr>
              <w:t>1、环境空气质量现状</w:t>
            </w:r>
          </w:p>
          <w:p>
            <w:pPr>
              <w:bidi w:val="0"/>
              <w:spacing w:line="360" w:lineRule="auto"/>
              <w:ind w:firstLine="480" w:firstLineChars="200"/>
              <w:rPr>
                <w:rFonts w:hint="eastAsia"/>
                <w:sz w:val="24"/>
                <w:szCs w:val="24"/>
                <w:lang w:val="en-US" w:eastAsia="zh-CN"/>
              </w:rPr>
            </w:pPr>
            <w:r>
              <w:rPr>
                <w:rFonts w:hint="eastAsia"/>
                <w:sz w:val="24"/>
                <w:szCs w:val="24"/>
                <w:lang w:val="en-US" w:eastAsia="zh-CN"/>
              </w:rPr>
              <w:t>（1）空气质量达标区判定</w:t>
            </w:r>
          </w:p>
          <w:p>
            <w:pPr>
              <w:bidi w:val="0"/>
              <w:spacing w:line="360" w:lineRule="auto"/>
              <w:ind w:firstLine="480" w:firstLineChars="200"/>
              <w:rPr>
                <w:rFonts w:hint="eastAsia"/>
                <w:sz w:val="24"/>
                <w:szCs w:val="24"/>
                <w:lang w:val="en-US" w:eastAsia="zh-CN"/>
              </w:rPr>
            </w:pPr>
            <w:r>
              <w:rPr>
                <w:rFonts w:hint="default"/>
                <w:sz w:val="24"/>
                <w:szCs w:val="24"/>
                <w:lang w:val="en-US" w:eastAsia="zh-CN"/>
              </w:rPr>
              <w:t>①常规因子</w:t>
            </w:r>
          </w:p>
          <w:p>
            <w:pPr>
              <w:bidi w:val="0"/>
              <w:spacing w:line="360" w:lineRule="auto"/>
              <w:ind w:firstLine="480" w:firstLineChars="200"/>
              <w:jc w:val="both"/>
              <w:rPr>
                <w:rFonts w:hint="eastAsia"/>
                <w:sz w:val="24"/>
                <w:szCs w:val="24"/>
                <w:lang w:val="en-US" w:eastAsia="zh-CN"/>
              </w:rPr>
            </w:pPr>
            <w:r>
              <w:rPr>
                <w:rFonts w:hint="eastAsia"/>
                <w:sz w:val="24"/>
                <w:szCs w:val="24"/>
                <w:lang w:val="en-US" w:eastAsia="zh-CN"/>
              </w:rPr>
              <w:t>本项目评价基准年为2020年，本次环评引用岳阳市生态环境局湘阴分局发布的《湘阴县环境空气质量指数统计表（2020年）》中的环境质量现状数据进行分析，具体数据分析见表3-1、3-2。</w:t>
            </w:r>
          </w:p>
          <w:p>
            <w:pPr>
              <w:bidi w:val="0"/>
              <w:spacing w:line="360" w:lineRule="auto"/>
              <w:jc w:val="center"/>
              <w:rPr>
                <w:rFonts w:hint="default"/>
              </w:rPr>
            </w:pPr>
            <w:r>
              <w:rPr>
                <w:rFonts w:hint="default"/>
              </w:rPr>
              <w:t>表</w:t>
            </w:r>
            <w:r>
              <w:rPr>
                <w:rFonts w:hint="default"/>
                <w:lang w:val="en-US" w:eastAsia="zh-CN"/>
              </w:rPr>
              <w:t xml:space="preserve">3-1 </w:t>
            </w:r>
            <w:r>
              <w:rPr>
                <w:rFonts w:hint="default"/>
              </w:rPr>
              <w:t xml:space="preserve"> </w:t>
            </w:r>
            <w:r>
              <w:rPr>
                <w:rFonts w:hint="default"/>
                <w:lang w:val="en-US" w:eastAsia="zh-CN"/>
              </w:rPr>
              <w:t>岳阳市生态环境局湘阴分局</w:t>
            </w:r>
            <w:r>
              <w:rPr>
                <w:rFonts w:hint="default"/>
              </w:rPr>
              <w:t>监测站空气质量指数统计表（</w:t>
            </w:r>
            <w:r>
              <w:rPr>
                <w:rFonts w:hint="eastAsia"/>
                <w:lang w:val="en-US" w:eastAsia="zh-CN"/>
              </w:rPr>
              <w:t>2020</w:t>
            </w:r>
            <w:r>
              <w:rPr>
                <w:rFonts w:hint="default"/>
              </w:rPr>
              <w:t>年）</w:t>
            </w:r>
          </w:p>
          <w:tbl>
            <w:tblPr>
              <w:tblStyle w:val="17"/>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15"/>
              <w:gridCol w:w="870"/>
              <w:gridCol w:w="2180"/>
              <w:gridCol w:w="1256"/>
              <w:gridCol w:w="1231"/>
              <w:gridCol w:w="1375"/>
              <w:gridCol w:w="73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2" w:type="pct"/>
                  <w:tcBorders>
                    <w:tl2br w:val="nil"/>
                    <w:tr2bl w:val="nil"/>
                  </w:tcBorders>
                  <w:noWrap w:val="0"/>
                  <w:vAlign w:val="center"/>
                </w:tcPr>
                <w:p>
                  <w:pPr>
                    <w:pStyle w:val="24"/>
                    <w:spacing w:line="240" w:lineRule="auto"/>
                    <w:ind w:left="0" w:leftChars="0" w:firstLine="0" w:firstLineChars="0"/>
                    <w:jc w:val="center"/>
                    <w:rPr>
                      <w:rFonts w:hint="default"/>
                      <w:lang w:eastAsia="zh-CN"/>
                    </w:rPr>
                  </w:pPr>
                  <w:r>
                    <w:rPr>
                      <w:rFonts w:hint="default"/>
                      <w:lang w:eastAsia="zh-CN"/>
                    </w:rPr>
                    <w:t>所在</w:t>
                  </w:r>
                </w:p>
                <w:p>
                  <w:pPr>
                    <w:pStyle w:val="24"/>
                    <w:spacing w:line="240" w:lineRule="auto"/>
                    <w:ind w:left="0" w:leftChars="0" w:firstLine="0" w:firstLineChars="0"/>
                    <w:jc w:val="center"/>
                    <w:rPr>
                      <w:rFonts w:hint="default"/>
                      <w:lang w:eastAsia="zh-CN"/>
                    </w:rPr>
                  </w:pPr>
                  <w:r>
                    <w:rPr>
                      <w:rFonts w:hint="default"/>
                      <w:lang w:eastAsia="zh-CN"/>
                    </w:rPr>
                    <w:t>区域</w:t>
                  </w:r>
                </w:p>
              </w:tc>
              <w:tc>
                <w:tcPr>
                  <w:tcW w:w="514" w:type="pct"/>
                  <w:tcBorders>
                    <w:tl2br w:val="nil"/>
                    <w:tr2bl w:val="nil"/>
                  </w:tcBorders>
                  <w:noWrap w:val="0"/>
                  <w:vAlign w:val="center"/>
                </w:tcPr>
                <w:p>
                  <w:pPr>
                    <w:pStyle w:val="24"/>
                    <w:spacing w:line="240" w:lineRule="auto"/>
                    <w:ind w:left="0" w:leftChars="0" w:firstLine="0" w:firstLineChars="0"/>
                    <w:jc w:val="center"/>
                    <w:rPr>
                      <w:rFonts w:hint="default"/>
                    </w:rPr>
                  </w:pPr>
                  <w:r>
                    <w:rPr>
                      <w:rFonts w:hint="default"/>
                    </w:rPr>
                    <w:t>监测项目</w:t>
                  </w:r>
                </w:p>
              </w:tc>
              <w:tc>
                <w:tcPr>
                  <w:tcW w:w="1288" w:type="pct"/>
                  <w:tcBorders>
                    <w:tl2br w:val="nil"/>
                    <w:tr2bl w:val="nil"/>
                  </w:tcBorders>
                  <w:noWrap w:val="0"/>
                  <w:vAlign w:val="center"/>
                </w:tcPr>
                <w:p>
                  <w:pPr>
                    <w:pStyle w:val="24"/>
                    <w:spacing w:line="240" w:lineRule="auto"/>
                    <w:ind w:left="0" w:leftChars="0" w:firstLine="0" w:firstLineChars="0"/>
                    <w:jc w:val="center"/>
                    <w:rPr>
                      <w:rFonts w:hint="default"/>
                      <w:lang w:val="en-US" w:eastAsia="zh-CN"/>
                    </w:rPr>
                  </w:pPr>
                  <w:r>
                    <w:rPr>
                      <w:rFonts w:hint="default"/>
                      <w:lang w:val="en-US" w:eastAsia="zh-CN"/>
                    </w:rPr>
                    <w:t>年评价指标</w:t>
                  </w:r>
                </w:p>
              </w:tc>
              <w:tc>
                <w:tcPr>
                  <w:tcW w:w="742" w:type="pct"/>
                  <w:tcBorders>
                    <w:tl2br w:val="nil"/>
                    <w:tr2bl w:val="nil"/>
                  </w:tcBorders>
                  <w:noWrap w:val="0"/>
                  <w:vAlign w:val="center"/>
                </w:tcPr>
                <w:p>
                  <w:pPr>
                    <w:pStyle w:val="24"/>
                    <w:spacing w:line="240" w:lineRule="auto"/>
                    <w:ind w:left="0" w:leftChars="0" w:firstLine="0" w:firstLineChars="0"/>
                    <w:jc w:val="center"/>
                    <w:rPr>
                      <w:rFonts w:hint="default"/>
                      <w:lang w:val="en-US" w:eastAsia="zh-CN"/>
                    </w:rPr>
                  </w:pPr>
                  <w:r>
                    <w:rPr>
                      <w:rFonts w:hint="default"/>
                      <w:lang w:val="en-US" w:eastAsia="zh-CN"/>
                    </w:rPr>
                    <w:t>现状浓度（u</w:t>
                  </w:r>
                  <w:r>
                    <w:rPr>
                      <w:rFonts w:hint="default"/>
                    </w:rPr>
                    <w:t>g/m3</w:t>
                  </w:r>
                  <w:r>
                    <w:rPr>
                      <w:rFonts w:hint="default"/>
                      <w:lang w:val="en-US" w:eastAsia="zh-CN"/>
                    </w:rPr>
                    <w:t>）</w:t>
                  </w:r>
                </w:p>
              </w:tc>
              <w:tc>
                <w:tcPr>
                  <w:tcW w:w="727" w:type="pct"/>
                  <w:tcBorders>
                    <w:tl2br w:val="nil"/>
                    <w:tr2bl w:val="nil"/>
                  </w:tcBorders>
                  <w:noWrap w:val="0"/>
                  <w:vAlign w:val="center"/>
                </w:tcPr>
                <w:p>
                  <w:pPr>
                    <w:pStyle w:val="24"/>
                    <w:spacing w:line="240" w:lineRule="auto"/>
                    <w:ind w:left="0" w:leftChars="0" w:firstLine="0" w:firstLineChars="0"/>
                    <w:jc w:val="center"/>
                    <w:rPr>
                      <w:rFonts w:hint="default"/>
                    </w:rPr>
                  </w:pPr>
                  <w:r>
                    <w:rPr>
                      <w:rFonts w:hint="default"/>
                    </w:rPr>
                    <w:t>标准值</w:t>
                  </w:r>
                  <w:r>
                    <w:rPr>
                      <w:rFonts w:hint="default"/>
                      <w:lang w:val="en-US" w:eastAsia="zh-CN"/>
                    </w:rPr>
                    <w:t>（u</w:t>
                  </w:r>
                  <w:r>
                    <w:rPr>
                      <w:rFonts w:hint="default"/>
                    </w:rPr>
                    <w:t>g/m3</w:t>
                  </w:r>
                  <w:r>
                    <w:rPr>
                      <w:rFonts w:hint="default"/>
                      <w:lang w:val="en-US" w:eastAsia="zh-CN"/>
                    </w:rPr>
                    <w:t>）</w:t>
                  </w:r>
                </w:p>
              </w:tc>
              <w:tc>
                <w:tcPr>
                  <w:tcW w:w="812" w:type="pct"/>
                  <w:tcBorders>
                    <w:tl2br w:val="nil"/>
                    <w:tr2bl w:val="nil"/>
                  </w:tcBorders>
                  <w:noWrap w:val="0"/>
                  <w:vAlign w:val="center"/>
                </w:tcPr>
                <w:p>
                  <w:pPr>
                    <w:pStyle w:val="24"/>
                    <w:spacing w:line="240" w:lineRule="auto"/>
                    <w:ind w:left="0" w:leftChars="0" w:firstLine="0" w:firstLineChars="0"/>
                    <w:jc w:val="center"/>
                    <w:rPr>
                      <w:rFonts w:hint="default"/>
                      <w:lang w:val="en-US" w:eastAsia="zh-CN"/>
                    </w:rPr>
                  </w:pPr>
                  <w:r>
                    <w:rPr>
                      <w:rFonts w:hint="default"/>
                      <w:lang w:val="en-US" w:eastAsia="zh-CN"/>
                    </w:rPr>
                    <w:t>超标倍数%</w:t>
                  </w:r>
                </w:p>
              </w:tc>
              <w:tc>
                <w:tcPr>
                  <w:tcW w:w="431" w:type="pct"/>
                  <w:tcBorders>
                    <w:tl2br w:val="nil"/>
                    <w:tr2bl w:val="nil"/>
                  </w:tcBorders>
                  <w:noWrap w:val="0"/>
                  <w:vAlign w:val="center"/>
                </w:tcPr>
                <w:p>
                  <w:pPr>
                    <w:pStyle w:val="24"/>
                    <w:spacing w:line="240" w:lineRule="auto"/>
                    <w:ind w:left="0" w:leftChars="0" w:firstLine="0" w:firstLineChars="0"/>
                    <w:jc w:val="center"/>
                    <w:rPr>
                      <w:rFonts w:hint="default"/>
                    </w:rPr>
                  </w:pPr>
                  <w:r>
                    <w:rPr>
                      <w:rFonts w:hint="default"/>
                    </w:rPr>
                    <w:t>是否达标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2" w:type="pct"/>
                  <w:vMerge w:val="restart"/>
                  <w:tcBorders>
                    <w:tl2br w:val="nil"/>
                    <w:tr2bl w:val="nil"/>
                  </w:tcBorders>
                  <w:noWrap w:val="0"/>
                  <w:vAlign w:val="center"/>
                </w:tcPr>
                <w:p>
                  <w:pPr>
                    <w:pStyle w:val="24"/>
                    <w:spacing w:line="240" w:lineRule="auto"/>
                    <w:ind w:left="0" w:leftChars="0" w:firstLine="0" w:firstLineChars="0"/>
                    <w:jc w:val="center"/>
                    <w:rPr>
                      <w:rFonts w:hint="default"/>
                      <w:lang w:eastAsia="zh-CN"/>
                    </w:rPr>
                  </w:pPr>
                  <w:r>
                    <w:rPr>
                      <w:rFonts w:hint="default"/>
                      <w:lang w:eastAsia="zh-CN"/>
                    </w:rPr>
                    <w:t>湘阴县</w:t>
                  </w:r>
                </w:p>
              </w:tc>
              <w:tc>
                <w:tcPr>
                  <w:tcW w:w="514" w:type="pct"/>
                  <w:tcBorders>
                    <w:tl2br w:val="nil"/>
                    <w:tr2bl w:val="nil"/>
                  </w:tcBorders>
                  <w:noWrap w:val="0"/>
                  <w:vAlign w:val="center"/>
                </w:tcPr>
                <w:p>
                  <w:pPr>
                    <w:pStyle w:val="24"/>
                    <w:spacing w:line="240" w:lineRule="auto"/>
                    <w:ind w:left="0" w:leftChars="0" w:firstLine="0" w:firstLineChars="0"/>
                    <w:jc w:val="center"/>
                    <w:rPr>
                      <w:rFonts w:hint="default"/>
                    </w:rPr>
                  </w:pPr>
                  <w:r>
                    <w:rPr>
                      <w:rFonts w:hint="default"/>
                    </w:rPr>
                    <w:t>SO2</w:t>
                  </w:r>
                </w:p>
              </w:tc>
              <w:tc>
                <w:tcPr>
                  <w:tcW w:w="1288" w:type="pct"/>
                  <w:tcBorders>
                    <w:tl2br w:val="nil"/>
                    <w:tr2bl w:val="nil"/>
                  </w:tcBorders>
                  <w:noWrap w:val="0"/>
                  <w:vAlign w:val="center"/>
                </w:tcPr>
                <w:p>
                  <w:pPr>
                    <w:pStyle w:val="24"/>
                    <w:spacing w:line="240" w:lineRule="auto"/>
                    <w:ind w:left="0" w:leftChars="0" w:firstLine="0" w:firstLineChars="0"/>
                    <w:jc w:val="center"/>
                    <w:rPr>
                      <w:rFonts w:hint="default"/>
                      <w:lang w:val="en-US" w:eastAsia="zh-CN"/>
                    </w:rPr>
                  </w:pPr>
                  <w:r>
                    <w:rPr>
                      <w:rFonts w:hint="default"/>
                      <w:lang w:val="en-US" w:eastAsia="zh-CN"/>
                    </w:rPr>
                    <w:t>年平均质量浓度</w:t>
                  </w:r>
                </w:p>
              </w:tc>
              <w:tc>
                <w:tcPr>
                  <w:tcW w:w="742" w:type="pct"/>
                  <w:tcBorders>
                    <w:tl2br w:val="nil"/>
                    <w:tr2bl w:val="nil"/>
                  </w:tcBorders>
                  <w:noWrap w:val="0"/>
                  <w:vAlign w:val="center"/>
                </w:tcPr>
                <w:p>
                  <w:pPr>
                    <w:pStyle w:val="24"/>
                    <w:spacing w:line="240" w:lineRule="auto"/>
                    <w:ind w:left="0" w:leftChars="0" w:firstLine="0" w:firstLineChars="0"/>
                    <w:jc w:val="center"/>
                    <w:rPr>
                      <w:rFonts w:hint="default"/>
                      <w:lang w:val="en-US" w:eastAsia="zh-CN"/>
                    </w:rPr>
                  </w:pPr>
                  <w:r>
                    <w:rPr>
                      <w:rFonts w:hint="default"/>
                      <w:lang w:val="en-US" w:eastAsia="zh-CN"/>
                    </w:rPr>
                    <w:t>5.0</w:t>
                  </w:r>
                </w:p>
              </w:tc>
              <w:tc>
                <w:tcPr>
                  <w:tcW w:w="727" w:type="pct"/>
                  <w:tcBorders>
                    <w:tl2br w:val="nil"/>
                    <w:tr2bl w:val="nil"/>
                  </w:tcBorders>
                  <w:noWrap w:val="0"/>
                  <w:vAlign w:val="center"/>
                </w:tcPr>
                <w:p>
                  <w:pPr>
                    <w:pStyle w:val="24"/>
                    <w:spacing w:line="240" w:lineRule="auto"/>
                    <w:ind w:left="0" w:leftChars="0" w:firstLine="0" w:firstLineChars="0"/>
                    <w:jc w:val="center"/>
                    <w:rPr>
                      <w:rFonts w:hint="default"/>
                      <w:lang w:val="en-US" w:eastAsia="zh-CN"/>
                    </w:rPr>
                  </w:pPr>
                  <w:r>
                    <w:rPr>
                      <w:rFonts w:hint="default"/>
                      <w:lang w:val="en-US" w:eastAsia="zh-CN"/>
                    </w:rPr>
                    <w:t>60</w:t>
                  </w:r>
                </w:p>
              </w:tc>
              <w:tc>
                <w:tcPr>
                  <w:tcW w:w="812" w:type="pct"/>
                  <w:tcBorders>
                    <w:tl2br w:val="nil"/>
                    <w:tr2bl w:val="nil"/>
                  </w:tcBorders>
                  <w:noWrap w:val="0"/>
                  <w:vAlign w:val="center"/>
                </w:tcPr>
                <w:p>
                  <w:pPr>
                    <w:pStyle w:val="24"/>
                    <w:spacing w:line="240" w:lineRule="auto"/>
                    <w:ind w:left="0" w:leftChars="0" w:firstLine="0" w:firstLineChars="0"/>
                    <w:jc w:val="center"/>
                    <w:rPr>
                      <w:rFonts w:hint="default"/>
                      <w:lang w:val="en-US" w:eastAsia="zh-CN"/>
                    </w:rPr>
                  </w:pPr>
                  <w:r>
                    <w:rPr>
                      <w:rFonts w:hint="default"/>
                      <w:lang w:val="en-US" w:eastAsia="zh-CN"/>
                    </w:rPr>
                    <w:t>0</w:t>
                  </w:r>
                </w:p>
              </w:tc>
              <w:tc>
                <w:tcPr>
                  <w:tcW w:w="431" w:type="pct"/>
                  <w:tcBorders>
                    <w:tl2br w:val="nil"/>
                    <w:tr2bl w:val="nil"/>
                  </w:tcBorders>
                  <w:noWrap w:val="0"/>
                  <w:vAlign w:val="center"/>
                </w:tcPr>
                <w:p>
                  <w:pPr>
                    <w:pStyle w:val="24"/>
                    <w:spacing w:line="240" w:lineRule="auto"/>
                    <w:ind w:left="0" w:leftChars="0" w:firstLine="0" w:firstLineChars="0"/>
                    <w:jc w:val="center"/>
                    <w:rPr>
                      <w:rFonts w:hint="default"/>
                      <w:lang w:val="en-US" w:eastAsia="zh-CN"/>
                    </w:rPr>
                  </w:pPr>
                  <w:r>
                    <w:rPr>
                      <w:rFonts w:hint="default"/>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2" w:type="pct"/>
                  <w:vMerge w:val="continue"/>
                  <w:tcBorders>
                    <w:tl2br w:val="nil"/>
                    <w:tr2bl w:val="nil"/>
                  </w:tcBorders>
                  <w:noWrap w:val="0"/>
                  <w:vAlign w:val="center"/>
                </w:tcPr>
                <w:p>
                  <w:pPr>
                    <w:pStyle w:val="24"/>
                    <w:spacing w:line="240" w:lineRule="auto"/>
                    <w:jc w:val="center"/>
                    <w:rPr>
                      <w:rFonts w:hint="default"/>
                    </w:rPr>
                  </w:pPr>
                </w:p>
              </w:tc>
              <w:tc>
                <w:tcPr>
                  <w:tcW w:w="514" w:type="pct"/>
                  <w:tcBorders>
                    <w:tl2br w:val="nil"/>
                    <w:tr2bl w:val="nil"/>
                  </w:tcBorders>
                  <w:noWrap w:val="0"/>
                  <w:vAlign w:val="center"/>
                </w:tcPr>
                <w:p>
                  <w:pPr>
                    <w:pStyle w:val="24"/>
                    <w:spacing w:line="240" w:lineRule="auto"/>
                    <w:ind w:left="0" w:leftChars="0" w:firstLine="0" w:firstLineChars="0"/>
                    <w:jc w:val="center"/>
                    <w:rPr>
                      <w:rFonts w:hint="default"/>
                    </w:rPr>
                  </w:pPr>
                  <w:r>
                    <w:rPr>
                      <w:rFonts w:hint="default"/>
                    </w:rPr>
                    <w:t>NO2</w:t>
                  </w:r>
                </w:p>
              </w:tc>
              <w:tc>
                <w:tcPr>
                  <w:tcW w:w="1288" w:type="pct"/>
                  <w:tcBorders>
                    <w:tl2br w:val="nil"/>
                    <w:tr2bl w:val="nil"/>
                  </w:tcBorders>
                  <w:noWrap w:val="0"/>
                  <w:vAlign w:val="center"/>
                </w:tcPr>
                <w:p>
                  <w:pPr>
                    <w:pStyle w:val="24"/>
                    <w:spacing w:line="240" w:lineRule="auto"/>
                    <w:ind w:left="0" w:leftChars="0" w:firstLine="0" w:firstLineChars="0"/>
                    <w:jc w:val="center"/>
                    <w:rPr>
                      <w:rFonts w:hint="default"/>
                      <w:lang w:val="en-US" w:eastAsia="zh-CN"/>
                    </w:rPr>
                  </w:pPr>
                  <w:r>
                    <w:rPr>
                      <w:rFonts w:hint="default"/>
                      <w:lang w:val="en-US" w:eastAsia="zh-CN"/>
                    </w:rPr>
                    <w:t>年平均质量浓度</w:t>
                  </w:r>
                </w:p>
              </w:tc>
              <w:tc>
                <w:tcPr>
                  <w:tcW w:w="742" w:type="pct"/>
                  <w:tcBorders>
                    <w:tl2br w:val="nil"/>
                    <w:tr2bl w:val="nil"/>
                  </w:tcBorders>
                  <w:noWrap w:val="0"/>
                  <w:vAlign w:val="center"/>
                </w:tcPr>
                <w:p>
                  <w:pPr>
                    <w:pStyle w:val="24"/>
                    <w:spacing w:line="240" w:lineRule="auto"/>
                    <w:ind w:left="0" w:leftChars="0" w:firstLine="0" w:firstLineChars="0"/>
                    <w:jc w:val="center"/>
                    <w:rPr>
                      <w:rFonts w:hint="default"/>
                      <w:lang w:val="en-US" w:eastAsia="zh-CN"/>
                    </w:rPr>
                  </w:pPr>
                  <w:r>
                    <w:rPr>
                      <w:rFonts w:hint="default"/>
                      <w:lang w:val="en-US" w:eastAsia="zh-CN"/>
                    </w:rPr>
                    <w:t>20.9</w:t>
                  </w:r>
                </w:p>
              </w:tc>
              <w:tc>
                <w:tcPr>
                  <w:tcW w:w="727" w:type="pct"/>
                  <w:tcBorders>
                    <w:tl2br w:val="nil"/>
                    <w:tr2bl w:val="nil"/>
                  </w:tcBorders>
                  <w:noWrap w:val="0"/>
                  <w:vAlign w:val="center"/>
                </w:tcPr>
                <w:p>
                  <w:pPr>
                    <w:pStyle w:val="24"/>
                    <w:spacing w:line="240" w:lineRule="auto"/>
                    <w:ind w:left="0" w:leftChars="0" w:firstLine="0" w:firstLineChars="0"/>
                    <w:jc w:val="center"/>
                    <w:rPr>
                      <w:rFonts w:hint="default"/>
                      <w:lang w:val="en-US" w:eastAsia="zh-CN"/>
                    </w:rPr>
                  </w:pPr>
                  <w:r>
                    <w:rPr>
                      <w:rFonts w:hint="default"/>
                      <w:lang w:val="en-US" w:eastAsia="zh-CN"/>
                    </w:rPr>
                    <w:t>40</w:t>
                  </w:r>
                </w:p>
              </w:tc>
              <w:tc>
                <w:tcPr>
                  <w:tcW w:w="812" w:type="pct"/>
                  <w:tcBorders>
                    <w:tl2br w:val="nil"/>
                    <w:tr2bl w:val="nil"/>
                  </w:tcBorders>
                  <w:noWrap w:val="0"/>
                  <w:vAlign w:val="center"/>
                </w:tcPr>
                <w:p>
                  <w:pPr>
                    <w:pStyle w:val="24"/>
                    <w:spacing w:line="240" w:lineRule="auto"/>
                    <w:ind w:left="0" w:leftChars="0" w:firstLine="0" w:firstLineChars="0"/>
                    <w:jc w:val="center"/>
                    <w:rPr>
                      <w:rFonts w:hint="default"/>
                      <w:lang w:val="en-US" w:eastAsia="zh-CN"/>
                    </w:rPr>
                  </w:pPr>
                  <w:r>
                    <w:rPr>
                      <w:rFonts w:hint="default"/>
                      <w:lang w:val="en-US" w:eastAsia="zh-CN"/>
                    </w:rPr>
                    <w:t>0</w:t>
                  </w:r>
                </w:p>
              </w:tc>
              <w:tc>
                <w:tcPr>
                  <w:tcW w:w="431" w:type="pct"/>
                  <w:tcBorders>
                    <w:tl2br w:val="nil"/>
                    <w:tr2bl w:val="nil"/>
                  </w:tcBorders>
                  <w:noWrap w:val="0"/>
                  <w:vAlign w:val="center"/>
                </w:tcPr>
                <w:p>
                  <w:pPr>
                    <w:pStyle w:val="24"/>
                    <w:spacing w:line="240" w:lineRule="auto"/>
                    <w:ind w:left="0" w:leftChars="0" w:firstLine="0" w:firstLineChars="0"/>
                    <w:jc w:val="center"/>
                    <w:rPr>
                      <w:rFonts w:hint="default"/>
                      <w:lang w:val="en-US" w:eastAsia="zh-CN"/>
                    </w:rPr>
                  </w:pPr>
                  <w:r>
                    <w:rPr>
                      <w:rFonts w:hint="default"/>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2" w:type="pct"/>
                  <w:vMerge w:val="continue"/>
                  <w:tcBorders>
                    <w:tl2br w:val="nil"/>
                    <w:tr2bl w:val="nil"/>
                  </w:tcBorders>
                  <w:noWrap w:val="0"/>
                  <w:vAlign w:val="center"/>
                </w:tcPr>
                <w:p>
                  <w:pPr>
                    <w:pStyle w:val="24"/>
                    <w:spacing w:line="240" w:lineRule="auto"/>
                    <w:jc w:val="center"/>
                    <w:rPr>
                      <w:rFonts w:hint="default"/>
                    </w:rPr>
                  </w:pPr>
                </w:p>
              </w:tc>
              <w:tc>
                <w:tcPr>
                  <w:tcW w:w="514" w:type="pct"/>
                  <w:tcBorders>
                    <w:tl2br w:val="nil"/>
                    <w:tr2bl w:val="nil"/>
                  </w:tcBorders>
                  <w:noWrap w:val="0"/>
                  <w:vAlign w:val="center"/>
                </w:tcPr>
                <w:p>
                  <w:pPr>
                    <w:pStyle w:val="24"/>
                    <w:spacing w:line="240" w:lineRule="auto"/>
                    <w:ind w:left="0" w:leftChars="0" w:firstLine="0" w:firstLineChars="0"/>
                    <w:jc w:val="center"/>
                    <w:rPr>
                      <w:rFonts w:hint="default"/>
                    </w:rPr>
                  </w:pPr>
                  <w:r>
                    <w:rPr>
                      <w:rFonts w:hint="default"/>
                    </w:rPr>
                    <w:t>PM10</w:t>
                  </w:r>
                </w:p>
              </w:tc>
              <w:tc>
                <w:tcPr>
                  <w:tcW w:w="1288" w:type="pct"/>
                  <w:tcBorders>
                    <w:tl2br w:val="nil"/>
                    <w:tr2bl w:val="nil"/>
                  </w:tcBorders>
                  <w:noWrap w:val="0"/>
                  <w:vAlign w:val="center"/>
                </w:tcPr>
                <w:p>
                  <w:pPr>
                    <w:pStyle w:val="24"/>
                    <w:spacing w:line="240" w:lineRule="auto"/>
                    <w:ind w:left="0" w:leftChars="0" w:firstLine="0" w:firstLineChars="0"/>
                    <w:jc w:val="center"/>
                    <w:rPr>
                      <w:rFonts w:hint="default"/>
                      <w:lang w:val="en-US" w:eastAsia="zh-CN"/>
                    </w:rPr>
                  </w:pPr>
                  <w:r>
                    <w:rPr>
                      <w:rFonts w:hint="default"/>
                      <w:lang w:val="en-US" w:eastAsia="zh-CN"/>
                    </w:rPr>
                    <w:t>年平均质量浓度</w:t>
                  </w:r>
                </w:p>
              </w:tc>
              <w:tc>
                <w:tcPr>
                  <w:tcW w:w="742" w:type="pct"/>
                  <w:tcBorders>
                    <w:tl2br w:val="nil"/>
                    <w:tr2bl w:val="nil"/>
                  </w:tcBorders>
                  <w:noWrap w:val="0"/>
                  <w:vAlign w:val="center"/>
                </w:tcPr>
                <w:p>
                  <w:pPr>
                    <w:pStyle w:val="24"/>
                    <w:spacing w:line="240" w:lineRule="auto"/>
                    <w:ind w:left="0" w:leftChars="0" w:firstLine="0" w:firstLineChars="0"/>
                    <w:jc w:val="center"/>
                    <w:rPr>
                      <w:rFonts w:hint="default"/>
                      <w:lang w:val="en-US" w:eastAsia="zh-CN"/>
                    </w:rPr>
                  </w:pPr>
                  <w:r>
                    <w:rPr>
                      <w:rFonts w:hint="default"/>
                      <w:lang w:val="en-US" w:eastAsia="zh-CN"/>
                    </w:rPr>
                    <w:t>42.1</w:t>
                  </w:r>
                </w:p>
              </w:tc>
              <w:tc>
                <w:tcPr>
                  <w:tcW w:w="727" w:type="pct"/>
                  <w:tcBorders>
                    <w:tl2br w:val="nil"/>
                    <w:tr2bl w:val="nil"/>
                  </w:tcBorders>
                  <w:noWrap w:val="0"/>
                  <w:vAlign w:val="center"/>
                </w:tcPr>
                <w:p>
                  <w:pPr>
                    <w:pStyle w:val="24"/>
                    <w:spacing w:line="240" w:lineRule="auto"/>
                    <w:ind w:left="0" w:leftChars="0" w:firstLine="0" w:firstLineChars="0"/>
                    <w:jc w:val="center"/>
                    <w:rPr>
                      <w:rFonts w:hint="default"/>
                      <w:lang w:val="en-US" w:eastAsia="zh-CN"/>
                    </w:rPr>
                  </w:pPr>
                  <w:r>
                    <w:rPr>
                      <w:rFonts w:hint="default"/>
                      <w:lang w:val="en-US" w:eastAsia="zh-CN"/>
                    </w:rPr>
                    <w:t>70</w:t>
                  </w:r>
                </w:p>
              </w:tc>
              <w:tc>
                <w:tcPr>
                  <w:tcW w:w="812" w:type="pct"/>
                  <w:tcBorders>
                    <w:tl2br w:val="nil"/>
                    <w:tr2bl w:val="nil"/>
                  </w:tcBorders>
                  <w:noWrap w:val="0"/>
                  <w:vAlign w:val="center"/>
                </w:tcPr>
                <w:p>
                  <w:pPr>
                    <w:pStyle w:val="24"/>
                    <w:spacing w:line="240" w:lineRule="auto"/>
                    <w:ind w:left="0" w:leftChars="0" w:firstLine="0" w:firstLineChars="0"/>
                    <w:jc w:val="center"/>
                    <w:rPr>
                      <w:rFonts w:hint="default"/>
                      <w:lang w:val="en-US" w:eastAsia="zh-CN"/>
                    </w:rPr>
                  </w:pPr>
                  <w:r>
                    <w:rPr>
                      <w:rFonts w:hint="default"/>
                      <w:lang w:val="en-US" w:eastAsia="zh-CN"/>
                    </w:rPr>
                    <w:t>0</w:t>
                  </w:r>
                </w:p>
              </w:tc>
              <w:tc>
                <w:tcPr>
                  <w:tcW w:w="431" w:type="pct"/>
                  <w:tcBorders>
                    <w:tl2br w:val="nil"/>
                    <w:tr2bl w:val="nil"/>
                  </w:tcBorders>
                  <w:noWrap w:val="0"/>
                  <w:vAlign w:val="center"/>
                </w:tcPr>
                <w:p>
                  <w:pPr>
                    <w:pStyle w:val="24"/>
                    <w:spacing w:line="240" w:lineRule="auto"/>
                    <w:ind w:left="0" w:leftChars="0" w:firstLine="0" w:firstLineChars="0"/>
                    <w:jc w:val="center"/>
                    <w:rPr>
                      <w:rFonts w:hint="default"/>
                      <w:lang w:val="en-US" w:eastAsia="zh-CN"/>
                    </w:rPr>
                  </w:pPr>
                  <w:r>
                    <w:rPr>
                      <w:rFonts w:hint="default"/>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2" w:type="pct"/>
                  <w:vMerge w:val="continue"/>
                  <w:tcBorders>
                    <w:tl2br w:val="nil"/>
                    <w:tr2bl w:val="nil"/>
                  </w:tcBorders>
                  <w:noWrap w:val="0"/>
                  <w:vAlign w:val="center"/>
                </w:tcPr>
                <w:p>
                  <w:pPr>
                    <w:pStyle w:val="24"/>
                    <w:spacing w:line="240" w:lineRule="auto"/>
                    <w:jc w:val="center"/>
                    <w:rPr>
                      <w:rFonts w:hint="default"/>
                    </w:rPr>
                  </w:pPr>
                </w:p>
              </w:tc>
              <w:tc>
                <w:tcPr>
                  <w:tcW w:w="514" w:type="pct"/>
                  <w:tcBorders>
                    <w:tl2br w:val="nil"/>
                    <w:tr2bl w:val="nil"/>
                  </w:tcBorders>
                  <w:noWrap w:val="0"/>
                  <w:vAlign w:val="center"/>
                </w:tcPr>
                <w:p>
                  <w:pPr>
                    <w:pStyle w:val="24"/>
                    <w:spacing w:line="240" w:lineRule="auto"/>
                    <w:ind w:left="0" w:leftChars="0" w:firstLine="0" w:firstLineChars="0"/>
                    <w:jc w:val="center"/>
                    <w:rPr>
                      <w:rFonts w:hint="default"/>
                      <w:lang w:val="en-US" w:eastAsia="zh-CN"/>
                    </w:rPr>
                  </w:pPr>
                  <w:r>
                    <w:rPr>
                      <w:rFonts w:hint="default"/>
                    </w:rPr>
                    <w:t>PM</w:t>
                  </w:r>
                  <w:r>
                    <w:rPr>
                      <w:rFonts w:hint="default"/>
                      <w:lang w:val="en-US" w:eastAsia="zh-CN"/>
                    </w:rPr>
                    <w:t>2.5</w:t>
                  </w:r>
                </w:p>
              </w:tc>
              <w:tc>
                <w:tcPr>
                  <w:tcW w:w="1288" w:type="pct"/>
                  <w:tcBorders>
                    <w:tl2br w:val="nil"/>
                    <w:tr2bl w:val="nil"/>
                  </w:tcBorders>
                  <w:noWrap w:val="0"/>
                  <w:vAlign w:val="center"/>
                </w:tcPr>
                <w:p>
                  <w:pPr>
                    <w:pStyle w:val="24"/>
                    <w:spacing w:line="240" w:lineRule="auto"/>
                    <w:ind w:left="0" w:leftChars="0" w:firstLine="0" w:firstLineChars="0"/>
                    <w:jc w:val="center"/>
                    <w:rPr>
                      <w:rFonts w:hint="default"/>
                      <w:lang w:val="en-US" w:eastAsia="zh-CN"/>
                    </w:rPr>
                  </w:pPr>
                  <w:r>
                    <w:rPr>
                      <w:rFonts w:hint="default"/>
                      <w:lang w:val="en-US" w:eastAsia="zh-CN"/>
                    </w:rPr>
                    <w:t>年平均质量浓度</w:t>
                  </w:r>
                </w:p>
              </w:tc>
              <w:tc>
                <w:tcPr>
                  <w:tcW w:w="742" w:type="pct"/>
                  <w:tcBorders>
                    <w:tl2br w:val="nil"/>
                    <w:tr2bl w:val="nil"/>
                  </w:tcBorders>
                  <w:noWrap w:val="0"/>
                  <w:vAlign w:val="center"/>
                </w:tcPr>
                <w:p>
                  <w:pPr>
                    <w:pStyle w:val="24"/>
                    <w:spacing w:line="240" w:lineRule="auto"/>
                    <w:ind w:left="0" w:leftChars="0" w:firstLine="0" w:firstLineChars="0"/>
                    <w:jc w:val="center"/>
                    <w:rPr>
                      <w:rFonts w:hint="default"/>
                      <w:lang w:val="en-US" w:eastAsia="zh-CN"/>
                    </w:rPr>
                  </w:pPr>
                  <w:r>
                    <w:rPr>
                      <w:rFonts w:hint="default"/>
                      <w:lang w:val="en-US" w:eastAsia="zh-CN"/>
                    </w:rPr>
                    <w:t>30.2</w:t>
                  </w:r>
                </w:p>
              </w:tc>
              <w:tc>
                <w:tcPr>
                  <w:tcW w:w="727" w:type="pct"/>
                  <w:tcBorders>
                    <w:tl2br w:val="nil"/>
                    <w:tr2bl w:val="nil"/>
                  </w:tcBorders>
                  <w:noWrap w:val="0"/>
                  <w:vAlign w:val="center"/>
                </w:tcPr>
                <w:p>
                  <w:pPr>
                    <w:pStyle w:val="24"/>
                    <w:spacing w:line="240" w:lineRule="auto"/>
                    <w:ind w:left="0" w:leftChars="0" w:firstLine="0" w:firstLineChars="0"/>
                    <w:jc w:val="center"/>
                    <w:rPr>
                      <w:rFonts w:hint="default"/>
                      <w:lang w:val="en-US" w:eastAsia="zh-CN"/>
                    </w:rPr>
                  </w:pPr>
                  <w:r>
                    <w:rPr>
                      <w:rFonts w:hint="default"/>
                      <w:lang w:val="en-US" w:eastAsia="zh-CN"/>
                    </w:rPr>
                    <w:t>35</w:t>
                  </w:r>
                </w:p>
              </w:tc>
              <w:tc>
                <w:tcPr>
                  <w:tcW w:w="812" w:type="pct"/>
                  <w:tcBorders>
                    <w:tl2br w:val="nil"/>
                    <w:tr2bl w:val="nil"/>
                  </w:tcBorders>
                  <w:noWrap w:val="0"/>
                  <w:vAlign w:val="center"/>
                </w:tcPr>
                <w:p>
                  <w:pPr>
                    <w:pStyle w:val="24"/>
                    <w:spacing w:line="240" w:lineRule="auto"/>
                    <w:ind w:left="0" w:leftChars="0" w:firstLine="0" w:firstLineChars="0"/>
                    <w:jc w:val="center"/>
                    <w:rPr>
                      <w:rFonts w:hint="default"/>
                      <w:lang w:val="en-US" w:eastAsia="zh-CN"/>
                    </w:rPr>
                  </w:pPr>
                  <w:r>
                    <w:rPr>
                      <w:rFonts w:hint="default"/>
                      <w:lang w:val="en-US" w:eastAsia="zh-CN"/>
                    </w:rPr>
                    <w:t>0</w:t>
                  </w:r>
                </w:p>
              </w:tc>
              <w:tc>
                <w:tcPr>
                  <w:tcW w:w="431" w:type="pct"/>
                  <w:tcBorders>
                    <w:tl2br w:val="nil"/>
                    <w:tr2bl w:val="nil"/>
                  </w:tcBorders>
                  <w:noWrap w:val="0"/>
                  <w:vAlign w:val="center"/>
                </w:tcPr>
                <w:p>
                  <w:pPr>
                    <w:pStyle w:val="24"/>
                    <w:spacing w:line="240" w:lineRule="auto"/>
                    <w:ind w:left="0" w:leftChars="0" w:firstLine="0" w:firstLineChars="0"/>
                    <w:jc w:val="center"/>
                    <w:rPr>
                      <w:rFonts w:hint="default"/>
                      <w:lang w:val="en-US" w:eastAsia="zh-CN"/>
                    </w:rPr>
                  </w:pPr>
                  <w:r>
                    <w:rPr>
                      <w:rFonts w:hint="default"/>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2" w:type="pct"/>
                  <w:vMerge w:val="continue"/>
                  <w:tcBorders>
                    <w:tl2br w:val="nil"/>
                    <w:tr2bl w:val="nil"/>
                  </w:tcBorders>
                  <w:noWrap w:val="0"/>
                  <w:vAlign w:val="center"/>
                </w:tcPr>
                <w:p>
                  <w:pPr>
                    <w:pStyle w:val="24"/>
                    <w:spacing w:line="240" w:lineRule="auto"/>
                    <w:jc w:val="center"/>
                    <w:rPr>
                      <w:rFonts w:hint="default"/>
                    </w:rPr>
                  </w:pPr>
                </w:p>
              </w:tc>
              <w:tc>
                <w:tcPr>
                  <w:tcW w:w="514" w:type="pct"/>
                  <w:tcBorders>
                    <w:tl2br w:val="nil"/>
                    <w:tr2bl w:val="nil"/>
                  </w:tcBorders>
                  <w:noWrap w:val="0"/>
                  <w:vAlign w:val="center"/>
                </w:tcPr>
                <w:p>
                  <w:pPr>
                    <w:pStyle w:val="24"/>
                    <w:spacing w:line="240" w:lineRule="auto"/>
                    <w:ind w:left="0" w:leftChars="0" w:firstLine="0" w:firstLineChars="0"/>
                    <w:jc w:val="center"/>
                    <w:rPr>
                      <w:rFonts w:hint="default"/>
                    </w:rPr>
                  </w:pPr>
                  <w:r>
                    <w:rPr>
                      <w:rFonts w:hint="default"/>
                      <w:lang w:val="en-US" w:eastAsia="zh-CN"/>
                    </w:rPr>
                    <w:t>C</w:t>
                  </w:r>
                  <w:r>
                    <w:rPr>
                      <w:rFonts w:hint="default"/>
                    </w:rPr>
                    <w:t>O</w:t>
                  </w:r>
                </w:p>
              </w:tc>
              <w:tc>
                <w:tcPr>
                  <w:tcW w:w="1288" w:type="pct"/>
                  <w:tcBorders>
                    <w:tl2br w:val="nil"/>
                    <w:tr2bl w:val="nil"/>
                  </w:tcBorders>
                  <w:noWrap w:val="0"/>
                  <w:vAlign w:val="center"/>
                </w:tcPr>
                <w:p>
                  <w:pPr>
                    <w:pStyle w:val="24"/>
                    <w:spacing w:line="240" w:lineRule="auto"/>
                    <w:ind w:left="0" w:leftChars="0" w:firstLine="0" w:firstLineChars="0"/>
                    <w:jc w:val="center"/>
                    <w:rPr>
                      <w:rFonts w:hint="default"/>
                      <w:lang w:val="en-US" w:eastAsia="zh-CN"/>
                    </w:rPr>
                  </w:pPr>
                  <w:r>
                    <w:rPr>
                      <w:rFonts w:hint="default"/>
                      <w:lang w:val="en-US" w:eastAsia="zh-CN"/>
                    </w:rPr>
                    <w:t>95百分位数日平均质量浓度</w:t>
                  </w:r>
                </w:p>
              </w:tc>
              <w:tc>
                <w:tcPr>
                  <w:tcW w:w="742" w:type="pct"/>
                  <w:tcBorders>
                    <w:tl2br w:val="nil"/>
                    <w:tr2bl w:val="nil"/>
                  </w:tcBorders>
                  <w:noWrap w:val="0"/>
                  <w:vAlign w:val="center"/>
                </w:tcPr>
                <w:p>
                  <w:pPr>
                    <w:pStyle w:val="24"/>
                    <w:spacing w:line="240" w:lineRule="auto"/>
                    <w:ind w:left="0" w:leftChars="0" w:firstLine="0" w:firstLineChars="0"/>
                    <w:jc w:val="center"/>
                    <w:rPr>
                      <w:rFonts w:hint="default"/>
                      <w:lang w:val="en-US" w:eastAsia="zh-CN"/>
                    </w:rPr>
                  </w:pPr>
                  <w:r>
                    <w:rPr>
                      <w:rFonts w:hint="default"/>
                      <w:lang w:val="en-US" w:eastAsia="zh-CN"/>
                    </w:rPr>
                    <w:t>1</w:t>
                  </w:r>
                  <w:r>
                    <w:rPr>
                      <w:rFonts w:hint="eastAsia"/>
                      <w:lang w:val="en-US" w:eastAsia="zh-CN"/>
                    </w:rPr>
                    <w:t>.</w:t>
                  </w:r>
                  <w:r>
                    <w:rPr>
                      <w:rFonts w:hint="default"/>
                      <w:lang w:val="en-US" w:eastAsia="zh-CN"/>
                    </w:rPr>
                    <w:t>3</w:t>
                  </w:r>
                </w:p>
              </w:tc>
              <w:tc>
                <w:tcPr>
                  <w:tcW w:w="727" w:type="pct"/>
                  <w:tcBorders>
                    <w:tl2br w:val="nil"/>
                    <w:tr2bl w:val="nil"/>
                  </w:tcBorders>
                  <w:noWrap w:val="0"/>
                  <w:vAlign w:val="center"/>
                </w:tcPr>
                <w:p>
                  <w:pPr>
                    <w:pStyle w:val="24"/>
                    <w:spacing w:line="240" w:lineRule="auto"/>
                    <w:ind w:left="0" w:leftChars="0" w:firstLine="0" w:firstLineChars="0"/>
                    <w:jc w:val="center"/>
                    <w:rPr>
                      <w:rFonts w:hint="default"/>
                      <w:lang w:val="en-US" w:eastAsia="zh-CN"/>
                    </w:rPr>
                  </w:pPr>
                  <w:r>
                    <w:rPr>
                      <w:rFonts w:hint="default"/>
                      <w:lang w:val="en-US" w:eastAsia="zh-CN"/>
                    </w:rPr>
                    <w:t>4000</w:t>
                  </w:r>
                </w:p>
              </w:tc>
              <w:tc>
                <w:tcPr>
                  <w:tcW w:w="812" w:type="pct"/>
                  <w:tcBorders>
                    <w:tl2br w:val="nil"/>
                    <w:tr2bl w:val="nil"/>
                  </w:tcBorders>
                  <w:noWrap w:val="0"/>
                  <w:vAlign w:val="center"/>
                </w:tcPr>
                <w:p>
                  <w:pPr>
                    <w:pStyle w:val="24"/>
                    <w:spacing w:line="240" w:lineRule="auto"/>
                    <w:ind w:left="0" w:leftChars="0" w:firstLine="0" w:firstLineChars="0"/>
                    <w:jc w:val="center"/>
                    <w:rPr>
                      <w:rFonts w:hint="default"/>
                      <w:lang w:val="en-US" w:eastAsia="zh-CN"/>
                    </w:rPr>
                  </w:pPr>
                  <w:r>
                    <w:rPr>
                      <w:rFonts w:hint="default"/>
                      <w:lang w:val="en-US" w:eastAsia="zh-CN"/>
                    </w:rPr>
                    <w:t>0</w:t>
                  </w:r>
                </w:p>
              </w:tc>
              <w:tc>
                <w:tcPr>
                  <w:tcW w:w="431" w:type="pct"/>
                  <w:tcBorders>
                    <w:tl2br w:val="nil"/>
                    <w:tr2bl w:val="nil"/>
                  </w:tcBorders>
                  <w:noWrap w:val="0"/>
                  <w:vAlign w:val="center"/>
                </w:tcPr>
                <w:p>
                  <w:pPr>
                    <w:pStyle w:val="24"/>
                    <w:spacing w:line="240" w:lineRule="auto"/>
                    <w:ind w:left="0" w:leftChars="0" w:firstLine="0" w:firstLineChars="0"/>
                    <w:jc w:val="center"/>
                    <w:rPr>
                      <w:rFonts w:hint="default"/>
                      <w:lang w:val="en-US" w:eastAsia="zh-CN"/>
                    </w:rPr>
                  </w:pPr>
                  <w:r>
                    <w:rPr>
                      <w:rFonts w:hint="default"/>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2" w:type="pct"/>
                  <w:vMerge w:val="continue"/>
                  <w:tcBorders>
                    <w:tl2br w:val="nil"/>
                    <w:tr2bl w:val="nil"/>
                  </w:tcBorders>
                  <w:noWrap w:val="0"/>
                  <w:vAlign w:val="center"/>
                </w:tcPr>
                <w:p>
                  <w:pPr>
                    <w:pStyle w:val="24"/>
                    <w:spacing w:line="240" w:lineRule="auto"/>
                    <w:jc w:val="center"/>
                    <w:rPr>
                      <w:rFonts w:hint="default"/>
                    </w:rPr>
                  </w:pPr>
                </w:p>
              </w:tc>
              <w:tc>
                <w:tcPr>
                  <w:tcW w:w="514" w:type="pct"/>
                  <w:tcBorders>
                    <w:tl2br w:val="nil"/>
                    <w:tr2bl w:val="nil"/>
                  </w:tcBorders>
                  <w:noWrap w:val="0"/>
                  <w:vAlign w:val="center"/>
                </w:tcPr>
                <w:p>
                  <w:pPr>
                    <w:pStyle w:val="24"/>
                    <w:spacing w:line="240" w:lineRule="auto"/>
                    <w:ind w:left="0" w:leftChars="0" w:firstLine="0" w:firstLineChars="0"/>
                    <w:jc w:val="center"/>
                    <w:rPr>
                      <w:rFonts w:hint="default"/>
                      <w:lang w:eastAsia="zh-CN"/>
                    </w:rPr>
                  </w:pPr>
                  <w:r>
                    <w:rPr>
                      <w:rFonts w:hint="default"/>
                    </w:rPr>
                    <w:t>O</w:t>
                  </w:r>
                  <w:r>
                    <w:rPr>
                      <w:rFonts w:hint="default"/>
                      <w:lang w:val="en-US" w:eastAsia="zh-CN"/>
                    </w:rPr>
                    <w:t>3</w:t>
                  </w:r>
                </w:p>
              </w:tc>
              <w:tc>
                <w:tcPr>
                  <w:tcW w:w="1288" w:type="pct"/>
                  <w:tcBorders>
                    <w:tl2br w:val="nil"/>
                    <w:tr2bl w:val="nil"/>
                  </w:tcBorders>
                  <w:noWrap w:val="0"/>
                  <w:vAlign w:val="center"/>
                </w:tcPr>
                <w:p>
                  <w:pPr>
                    <w:pStyle w:val="24"/>
                    <w:spacing w:line="240" w:lineRule="auto"/>
                    <w:ind w:left="0" w:leftChars="0" w:firstLine="0" w:firstLineChars="0"/>
                    <w:jc w:val="center"/>
                    <w:rPr>
                      <w:rFonts w:hint="default"/>
                      <w:lang w:val="en-US" w:eastAsia="zh-CN"/>
                    </w:rPr>
                  </w:pPr>
                  <w:r>
                    <w:rPr>
                      <w:rFonts w:hint="default"/>
                      <w:lang w:val="en-US" w:eastAsia="zh-CN"/>
                    </w:rPr>
                    <w:t>90百分位数最大8小时平均质量浓度</w:t>
                  </w:r>
                </w:p>
              </w:tc>
              <w:tc>
                <w:tcPr>
                  <w:tcW w:w="742" w:type="pct"/>
                  <w:tcBorders>
                    <w:tl2br w:val="nil"/>
                    <w:tr2bl w:val="nil"/>
                  </w:tcBorders>
                  <w:noWrap w:val="0"/>
                  <w:vAlign w:val="center"/>
                </w:tcPr>
                <w:p>
                  <w:pPr>
                    <w:pStyle w:val="24"/>
                    <w:spacing w:line="240" w:lineRule="auto"/>
                    <w:ind w:left="0" w:leftChars="0" w:firstLine="0" w:firstLineChars="0"/>
                    <w:jc w:val="center"/>
                    <w:rPr>
                      <w:rFonts w:hint="default"/>
                      <w:lang w:val="en-US" w:eastAsia="zh-CN"/>
                    </w:rPr>
                  </w:pPr>
                  <w:r>
                    <w:rPr>
                      <w:rFonts w:hint="default"/>
                      <w:lang w:val="en-US" w:eastAsia="zh-CN"/>
                    </w:rPr>
                    <w:t>80.4</w:t>
                  </w:r>
                </w:p>
              </w:tc>
              <w:tc>
                <w:tcPr>
                  <w:tcW w:w="727" w:type="pct"/>
                  <w:tcBorders>
                    <w:tl2br w:val="nil"/>
                    <w:tr2bl w:val="nil"/>
                  </w:tcBorders>
                  <w:noWrap w:val="0"/>
                  <w:vAlign w:val="center"/>
                </w:tcPr>
                <w:p>
                  <w:pPr>
                    <w:pStyle w:val="24"/>
                    <w:spacing w:line="240" w:lineRule="auto"/>
                    <w:ind w:left="0" w:leftChars="0" w:firstLine="0" w:firstLineChars="0"/>
                    <w:jc w:val="center"/>
                    <w:rPr>
                      <w:rFonts w:hint="default"/>
                      <w:lang w:val="en-US" w:eastAsia="zh-CN"/>
                    </w:rPr>
                  </w:pPr>
                  <w:r>
                    <w:rPr>
                      <w:rFonts w:hint="default"/>
                      <w:lang w:val="en-US" w:eastAsia="zh-CN"/>
                    </w:rPr>
                    <w:t>160</w:t>
                  </w:r>
                </w:p>
              </w:tc>
              <w:tc>
                <w:tcPr>
                  <w:tcW w:w="812" w:type="pct"/>
                  <w:tcBorders>
                    <w:tl2br w:val="nil"/>
                    <w:tr2bl w:val="nil"/>
                  </w:tcBorders>
                  <w:noWrap w:val="0"/>
                  <w:vAlign w:val="center"/>
                </w:tcPr>
                <w:p>
                  <w:pPr>
                    <w:pStyle w:val="24"/>
                    <w:spacing w:line="240" w:lineRule="auto"/>
                    <w:ind w:left="0" w:leftChars="0" w:firstLine="0" w:firstLineChars="0"/>
                    <w:jc w:val="center"/>
                    <w:rPr>
                      <w:rFonts w:hint="default"/>
                      <w:lang w:val="en-US" w:eastAsia="zh-CN"/>
                    </w:rPr>
                  </w:pPr>
                  <w:r>
                    <w:rPr>
                      <w:rFonts w:hint="default"/>
                      <w:lang w:val="en-US" w:eastAsia="zh-CN"/>
                    </w:rPr>
                    <w:t>0</w:t>
                  </w:r>
                </w:p>
              </w:tc>
              <w:tc>
                <w:tcPr>
                  <w:tcW w:w="431" w:type="pct"/>
                  <w:tcBorders>
                    <w:tl2br w:val="nil"/>
                    <w:tr2bl w:val="nil"/>
                  </w:tcBorders>
                  <w:noWrap w:val="0"/>
                  <w:vAlign w:val="center"/>
                </w:tcPr>
                <w:p>
                  <w:pPr>
                    <w:pStyle w:val="24"/>
                    <w:spacing w:line="240" w:lineRule="auto"/>
                    <w:ind w:left="0" w:leftChars="0" w:firstLine="0" w:firstLineChars="0"/>
                    <w:jc w:val="center"/>
                    <w:rPr>
                      <w:rFonts w:hint="default"/>
                      <w:lang w:val="en-US" w:eastAsia="zh-CN"/>
                    </w:rPr>
                  </w:pPr>
                  <w:r>
                    <w:rPr>
                      <w:rFonts w:hint="default"/>
                      <w:lang w:val="en-US" w:eastAsia="zh-CN"/>
                    </w:rPr>
                    <w:t>达标</w:t>
                  </w:r>
                </w:p>
              </w:tc>
            </w:tr>
          </w:tbl>
          <w:p>
            <w:pPr>
              <w:pStyle w:val="25"/>
              <w:spacing w:line="360" w:lineRule="auto"/>
              <w:rPr>
                <w:sz w:val="24"/>
                <w:szCs w:val="24"/>
                <w:lang w:val="en-GB"/>
              </w:rPr>
            </w:pPr>
            <w:r>
              <w:rPr>
                <w:rFonts w:hint="default"/>
                <w:sz w:val="24"/>
                <w:szCs w:val="24"/>
                <w:lang w:eastAsia="zh-CN"/>
              </w:rPr>
              <w:t>由上表可知，</w:t>
            </w:r>
            <w:r>
              <w:rPr>
                <w:rFonts w:hint="default"/>
                <w:sz w:val="24"/>
                <w:szCs w:val="24"/>
                <w:lang w:val="en-US" w:eastAsia="zh-CN"/>
              </w:rPr>
              <w:t>湘阴县</w:t>
            </w:r>
            <w:r>
              <w:rPr>
                <w:rFonts w:hint="default"/>
                <w:sz w:val="24"/>
                <w:szCs w:val="24"/>
              </w:rPr>
              <w:t>PM10</w:t>
            </w:r>
            <w:r>
              <w:rPr>
                <w:rFonts w:hint="default"/>
                <w:sz w:val="24"/>
                <w:szCs w:val="24"/>
                <w:lang w:eastAsia="zh-CN"/>
              </w:rPr>
              <w:t>、</w:t>
            </w:r>
            <w:r>
              <w:rPr>
                <w:rFonts w:hint="default"/>
                <w:sz w:val="24"/>
                <w:szCs w:val="24"/>
              </w:rPr>
              <w:t>SO2</w:t>
            </w:r>
            <w:r>
              <w:rPr>
                <w:rFonts w:hint="default"/>
                <w:sz w:val="24"/>
                <w:szCs w:val="24"/>
                <w:lang w:eastAsia="zh-CN"/>
              </w:rPr>
              <w:t>、</w:t>
            </w:r>
            <w:r>
              <w:rPr>
                <w:rFonts w:hint="default"/>
                <w:sz w:val="24"/>
                <w:szCs w:val="24"/>
              </w:rPr>
              <w:t>NO2</w:t>
            </w:r>
            <w:r>
              <w:rPr>
                <w:rFonts w:hint="default"/>
                <w:sz w:val="24"/>
                <w:szCs w:val="24"/>
                <w:lang w:eastAsia="zh-CN"/>
              </w:rPr>
              <w:t>、</w:t>
            </w:r>
            <w:r>
              <w:rPr>
                <w:rFonts w:hint="default"/>
                <w:sz w:val="24"/>
                <w:szCs w:val="24"/>
              </w:rPr>
              <w:t>PM</w:t>
            </w:r>
            <w:r>
              <w:rPr>
                <w:rFonts w:hint="default"/>
                <w:sz w:val="24"/>
                <w:szCs w:val="24"/>
                <w:lang w:val="en-US" w:eastAsia="zh-CN"/>
              </w:rPr>
              <w:t>2.5</w:t>
            </w:r>
            <w:r>
              <w:rPr>
                <w:rFonts w:hint="default"/>
                <w:sz w:val="24"/>
                <w:szCs w:val="24"/>
                <w:lang w:eastAsia="zh-CN"/>
              </w:rPr>
              <w:t>年平均质量浓度和</w:t>
            </w:r>
            <w:r>
              <w:rPr>
                <w:rFonts w:hint="default"/>
                <w:sz w:val="24"/>
                <w:szCs w:val="24"/>
                <w:lang w:val="en-US" w:eastAsia="zh-CN"/>
              </w:rPr>
              <w:t>C</w:t>
            </w:r>
            <w:r>
              <w:rPr>
                <w:rFonts w:hint="default"/>
                <w:sz w:val="24"/>
                <w:szCs w:val="24"/>
              </w:rPr>
              <w:t>O</w:t>
            </w:r>
            <w:r>
              <w:rPr>
                <w:rFonts w:hint="default"/>
                <w:sz w:val="24"/>
                <w:szCs w:val="24"/>
                <w:lang w:val="en-US" w:eastAsia="zh-CN"/>
              </w:rPr>
              <w:t>95百分位数</w:t>
            </w:r>
            <w:r>
              <w:rPr>
                <w:rFonts w:hint="default"/>
                <w:sz w:val="24"/>
                <w:szCs w:val="24"/>
                <w:lang w:eastAsia="zh-CN"/>
              </w:rPr>
              <w:t>日平均质量浓度、</w:t>
            </w:r>
            <w:r>
              <w:rPr>
                <w:rFonts w:hint="default"/>
                <w:sz w:val="24"/>
                <w:szCs w:val="24"/>
              </w:rPr>
              <w:t>O</w:t>
            </w:r>
            <w:r>
              <w:rPr>
                <w:rFonts w:hint="default"/>
                <w:sz w:val="24"/>
                <w:szCs w:val="24"/>
                <w:lang w:val="en-US" w:eastAsia="zh-CN"/>
              </w:rPr>
              <w:t>390百分位数</w:t>
            </w:r>
            <w:r>
              <w:rPr>
                <w:rFonts w:hint="default"/>
                <w:sz w:val="24"/>
                <w:szCs w:val="24"/>
                <w:lang w:eastAsia="zh-CN"/>
              </w:rPr>
              <w:t>最大</w:t>
            </w:r>
            <w:r>
              <w:rPr>
                <w:rFonts w:hint="default"/>
                <w:sz w:val="24"/>
                <w:szCs w:val="24"/>
                <w:lang w:val="en-US" w:eastAsia="zh-CN"/>
              </w:rPr>
              <w:t>8小时平均质量浓度</w:t>
            </w:r>
            <w:r>
              <w:rPr>
                <w:rFonts w:hint="default"/>
                <w:sz w:val="24"/>
                <w:szCs w:val="24"/>
                <w:lang w:eastAsia="zh-CN"/>
              </w:rPr>
              <w:t>可达到</w:t>
            </w:r>
            <w:r>
              <w:rPr>
                <w:rFonts w:hint="default"/>
                <w:sz w:val="24"/>
                <w:szCs w:val="24"/>
              </w:rPr>
              <w:t>《环境空气质量标准》（GB3095-2012）中二级标准</w:t>
            </w:r>
            <w:r>
              <w:rPr>
                <w:rFonts w:hint="default"/>
                <w:sz w:val="24"/>
                <w:szCs w:val="24"/>
                <w:lang w:val="en-US" w:eastAsia="zh-CN"/>
              </w:rPr>
              <w:t>，项目所在区域为环境空气质量达标区</w:t>
            </w:r>
            <w:r>
              <w:rPr>
                <w:sz w:val="24"/>
                <w:szCs w:val="24"/>
                <w:lang w:val="en-GB"/>
              </w:rPr>
              <w:t>。</w:t>
            </w:r>
          </w:p>
          <w:p>
            <w:pPr>
              <w:numPr>
                <w:ilvl w:val="0"/>
                <w:numId w:val="0"/>
              </w:numPr>
              <w:adjustRightInd w:val="0"/>
              <w:snapToGrid w:val="0"/>
              <w:spacing w:line="360" w:lineRule="auto"/>
              <w:ind w:firstLine="480" w:firstLineChars="200"/>
              <w:jc w:val="both"/>
              <w:rPr>
                <w:rFonts w:hint="eastAsia"/>
                <w:sz w:val="24"/>
                <w:szCs w:val="24"/>
                <w:lang w:val="en-US" w:eastAsia="zh-CN"/>
              </w:rPr>
            </w:pPr>
            <w:r>
              <w:rPr>
                <w:rFonts w:hint="default"/>
                <w:sz w:val="24"/>
                <w:szCs w:val="24"/>
                <w:lang w:val="en-US" w:eastAsia="zh-CN"/>
              </w:rPr>
              <w:t>②特征因子</w:t>
            </w:r>
          </w:p>
          <w:p>
            <w:pPr>
              <w:bidi w:val="0"/>
              <w:spacing w:line="360" w:lineRule="auto"/>
              <w:ind w:firstLine="480" w:firstLineChars="200"/>
              <w:rPr>
                <w:rFonts w:hint="default"/>
                <w:sz w:val="24"/>
                <w:szCs w:val="24"/>
                <w:lang w:val="en-US" w:eastAsia="zh-CN"/>
              </w:rPr>
            </w:pPr>
            <w:r>
              <w:rPr>
                <w:rFonts w:hint="eastAsia"/>
                <w:sz w:val="24"/>
                <w:szCs w:val="24"/>
                <w:lang w:val="en-US" w:eastAsia="zh-CN"/>
              </w:rPr>
              <w:t>为了解项目所在地氨、硫化氢、TVOC质量现状，委托湖南宏润检测有 限公司于2021.9.16-2021.9.18进行了现状监测，监测结果如下：</w:t>
            </w:r>
            <w:r>
              <w:rPr>
                <w:rFonts w:hint="default"/>
                <w:sz w:val="24"/>
                <w:szCs w:val="24"/>
                <w:lang w:val="en-US" w:eastAsia="zh-CN"/>
              </w:rPr>
              <w:t>监测结果见表3-</w:t>
            </w:r>
            <w:r>
              <w:rPr>
                <w:rFonts w:hint="eastAsia"/>
                <w:sz w:val="24"/>
                <w:szCs w:val="24"/>
                <w:lang w:val="en-US" w:eastAsia="zh-CN"/>
              </w:rPr>
              <w:t>2</w:t>
            </w:r>
            <w:r>
              <w:rPr>
                <w:rFonts w:hint="default"/>
                <w:sz w:val="24"/>
                <w:szCs w:val="24"/>
                <w:lang w:val="en-US" w:eastAsia="zh-CN"/>
              </w:rPr>
              <w:t>。</w:t>
            </w:r>
          </w:p>
          <w:p>
            <w:pPr>
              <w:bidi w:val="0"/>
              <w:spacing w:line="360" w:lineRule="auto"/>
              <w:jc w:val="center"/>
              <w:rPr>
                <w:rFonts w:hint="default"/>
                <w:lang w:val="en-US" w:eastAsia="zh-CN"/>
              </w:rPr>
            </w:pPr>
            <w:r>
              <w:rPr>
                <w:rFonts w:hint="default"/>
                <w:lang w:val="en-US" w:eastAsia="zh-CN"/>
              </w:rPr>
              <w:t>表3-</w:t>
            </w:r>
            <w:r>
              <w:rPr>
                <w:rFonts w:hint="eastAsia"/>
                <w:lang w:val="en-US" w:eastAsia="zh-CN"/>
              </w:rPr>
              <w:t>2</w:t>
            </w:r>
            <w:r>
              <w:rPr>
                <w:rFonts w:hint="default"/>
                <w:lang w:val="en-US" w:eastAsia="zh-CN"/>
              </w:rPr>
              <w:t xml:space="preserve">   项目所在区域特征因子监测结果   单位：</w:t>
            </w:r>
            <w:r>
              <w:t>μg/m3</w:t>
            </w:r>
          </w:p>
          <w:tbl>
            <w:tblPr>
              <w:tblStyle w:val="18"/>
              <w:tblW w:w="7974" w:type="dxa"/>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29"/>
              <w:gridCol w:w="1329"/>
              <w:gridCol w:w="1329"/>
              <w:gridCol w:w="1329"/>
              <w:gridCol w:w="1329"/>
              <w:gridCol w:w="132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29" w:type="dxa"/>
                  <w:vMerge w:val="restart"/>
                  <w:tcBorders>
                    <w:tl2br w:val="nil"/>
                    <w:tr2bl w:val="nil"/>
                  </w:tcBorders>
                  <w:vAlign w:val="center"/>
                </w:tcPr>
                <w:p>
                  <w:pPr>
                    <w:bidi w:val="0"/>
                    <w:jc w:val="center"/>
                    <w:rPr>
                      <w:rFonts w:hint="default"/>
                      <w:lang w:val="en-US" w:eastAsia="zh-CN"/>
                    </w:rPr>
                  </w:pPr>
                  <w:r>
                    <w:rPr>
                      <w:rFonts w:hint="eastAsia"/>
                      <w:lang w:val="en-US" w:eastAsia="zh-CN"/>
                    </w:rPr>
                    <w:t>采样点位</w:t>
                  </w:r>
                </w:p>
              </w:tc>
              <w:tc>
                <w:tcPr>
                  <w:tcW w:w="1329" w:type="dxa"/>
                  <w:vMerge w:val="restart"/>
                  <w:tcBorders>
                    <w:tl2br w:val="nil"/>
                    <w:tr2bl w:val="nil"/>
                  </w:tcBorders>
                  <w:vAlign w:val="center"/>
                </w:tcPr>
                <w:p>
                  <w:pPr>
                    <w:bidi w:val="0"/>
                    <w:jc w:val="center"/>
                    <w:rPr>
                      <w:rFonts w:hint="default"/>
                      <w:lang w:val="en-US" w:eastAsia="zh-CN"/>
                    </w:rPr>
                  </w:pPr>
                  <w:r>
                    <w:rPr>
                      <w:rFonts w:hint="eastAsia"/>
                      <w:lang w:val="en-US" w:eastAsia="zh-CN"/>
                    </w:rPr>
                    <w:t>检测项目</w:t>
                  </w:r>
                </w:p>
              </w:tc>
              <w:tc>
                <w:tcPr>
                  <w:tcW w:w="3987" w:type="dxa"/>
                  <w:gridSpan w:val="3"/>
                  <w:tcBorders>
                    <w:tl2br w:val="nil"/>
                    <w:tr2bl w:val="nil"/>
                  </w:tcBorders>
                  <w:vAlign w:val="center"/>
                </w:tcPr>
                <w:p>
                  <w:pPr>
                    <w:bidi w:val="0"/>
                    <w:jc w:val="center"/>
                    <w:rPr>
                      <w:rFonts w:hint="default"/>
                      <w:lang w:val="en-US" w:eastAsia="zh-CN"/>
                    </w:rPr>
                  </w:pPr>
                  <w:r>
                    <w:rPr>
                      <w:rFonts w:hint="eastAsia"/>
                      <w:lang w:val="en-US" w:eastAsia="zh-CN"/>
                    </w:rPr>
                    <w:t>检测结果</w:t>
                  </w:r>
                </w:p>
              </w:tc>
              <w:tc>
                <w:tcPr>
                  <w:tcW w:w="1329" w:type="dxa"/>
                  <w:vMerge w:val="restart"/>
                  <w:tcBorders>
                    <w:tl2br w:val="nil"/>
                    <w:tr2bl w:val="nil"/>
                  </w:tcBorders>
                  <w:vAlign w:val="center"/>
                </w:tcPr>
                <w:p>
                  <w:pPr>
                    <w:bidi w:val="0"/>
                    <w:jc w:val="center"/>
                    <w:rPr>
                      <w:rFonts w:hint="default"/>
                      <w:lang w:val="en-US" w:eastAsia="zh-CN"/>
                    </w:rPr>
                  </w:pPr>
                  <w:r>
                    <w:rPr>
                      <w:rFonts w:hint="eastAsia"/>
                      <w:lang w:val="en-US" w:eastAsia="zh-CN"/>
                    </w:rPr>
                    <w:t>标准限值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29" w:type="dxa"/>
                  <w:vMerge w:val="continue"/>
                  <w:tcBorders>
                    <w:tl2br w:val="nil"/>
                    <w:tr2bl w:val="nil"/>
                  </w:tcBorders>
                  <w:vAlign w:val="center"/>
                </w:tcPr>
                <w:p>
                  <w:pPr>
                    <w:bidi w:val="0"/>
                    <w:jc w:val="center"/>
                    <w:rPr>
                      <w:rFonts w:hint="default"/>
                      <w:lang w:val="en-US" w:eastAsia="zh-CN"/>
                    </w:rPr>
                  </w:pPr>
                </w:p>
              </w:tc>
              <w:tc>
                <w:tcPr>
                  <w:tcW w:w="1329" w:type="dxa"/>
                  <w:vMerge w:val="continue"/>
                  <w:tcBorders>
                    <w:tl2br w:val="nil"/>
                    <w:tr2bl w:val="nil"/>
                  </w:tcBorders>
                  <w:vAlign w:val="center"/>
                </w:tcPr>
                <w:p>
                  <w:pPr>
                    <w:bidi w:val="0"/>
                    <w:jc w:val="center"/>
                    <w:rPr>
                      <w:rFonts w:hint="default"/>
                      <w:lang w:val="en-US" w:eastAsia="zh-CN"/>
                    </w:rPr>
                  </w:pPr>
                </w:p>
              </w:tc>
              <w:tc>
                <w:tcPr>
                  <w:tcW w:w="1329" w:type="dxa"/>
                  <w:tcBorders>
                    <w:tl2br w:val="nil"/>
                    <w:tr2bl w:val="nil"/>
                  </w:tcBorders>
                  <w:vAlign w:val="center"/>
                </w:tcPr>
                <w:p>
                  <w:pPr>
                    <w:bidi w:val="0"/>
                    <w:jc w:val="center"/>
                    <w:rPr>
                      <w:rFonts w:hint="default"/>
                      <w:lang w:val="en-US" w:eastAsia="zh-CN"/>
                    </w:rPr>
                  </w:pPr>
                  <w:r>
                    <w:rPr>
                      <w:rFonts w:hint="eastAsia"/>
                      <w:lang w:val="en-US" w:eastAsia="zh-CN"/>
                    </w:rPr>
                    <w:t>9.16</w:t>
                  </w:r>
                </w:p>
              </w:tc>
              <w:tc>
                <w:tcPr>
                  <w:tcW w:w="1329" w:type="dxa"/>
                  <w:tcBorders>
                    <w:tl2br w:val="nil"/>
                    <w:tr2bl w:val="nil"/>
                  </w:tcBorders>
                  <w:vAlign w:val="center"/>
                </w:tcPr>
                <w:p>
                  <w:pPr>
                    <w:bidi w:val="0"/>
                    <w:jc w:val="center"/>
                    <w:rPr>
                      <w:rFonts w:hint="default"/>
                      <w:lang w:val="en-US" w:eastAsia="zh-CN"/>
                    </w:rPr>
                  </w:pPr>
                  <w:r>
                    <w:rPr>
                      <w:rFonts w:hint="eastAsia"/>
                      <w:lang w:val="en-US" w:eastAsia="zh-CN"/>
                    </w:rPr>
                    <w:t>9.17</w:t>
                  </w:r>
                </w:p>
              </w:tc>
              <w:tc>
                <w:tcPr>
                  <w:tcW w:w="1329" w:type="dxa"/>
                  <w:tcBorders>
                    <w:tl2br w:val="nil"/>
                    <w:tr2bl w:val="nil"/>
                  </w:tcBorders>
                  <w:vAlign w:val="center"/>
                </w:tcPr>
                <w:p>
                  <w:pPr>
                    <w:bidi w:val="0"/>
                    <w:jc w:val="center"/>
                    <w:rPr>
                      <w:rFonts w:hint="default"/>
                      <w:lang w:val="en-US" w:eastAsia="zh-CN"/>
                    </w:rPr>
                  </w:pPr>
                  <w:r>
                    <w:rPr>
                      <w:rFonts w:hint="eastAsia"/>
                      <w:lang w:val="en-US" w:eastAsia="zh-CN"/>
                    </w:rPr>
                    <w:t>9.18</w:t>
                  </w:r>
                </w:p>
              </w:tc>
              <w:tc>
                <w:tcPr>
                  <w:tcW w:w="1329" w:type="dxa"/>
                  <w:vMerge w:val="continue"/>
                  <w:tcBorders>
                    <w:tl2br w:val="nil"/>
                    <w:tr2bl w:val="nil"/>
                  </w:tcBorders>
                  <w:vAlign w:val="center"/>
                </w:tcPr>
                <w:p>
                  <w:pPr>
                    <w:bidi w:val="0"/>
                    <w:jc w:val="center"/>
                    <w:rPr>
                      <w:rFonts w:hint="default"/>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1329" w:type="dxa"/>
                  <w:vMerge w:val="restart"/>
                  <w:tcBorders>
                    <w:tl2br w:val="nil"/>
                    <w:tr2bl w:val="nil"/>
                  </w:tcBorders>
                  <w:vAlign w:val="center"/>
                </w:tcPr>
                <w:p>
                  <w:pPr>
                    <w:bidi w:val="0"/>
                    <w:jc w:val="center"/>
                    <w:rPr>
                      <w:rFonts w:hint="default"/>
                      <w:lang w:val="en-US" w:eastAsia="zh-CN"/>
                    </w:rPr>
                  </w:pPr>
                  <w:r>
                    <w:rPr>
                      <w:rFonts w:hint="eastAsia"/>
                      <w:lang w:val="en-US" w:eastAsia="zh-CN"/>
                    </w:rPr>
                    <w:t>G1船舶东北侧外5m</w:t>
                  </w:r>
                </w:p>
              </w:tc>
              <w:tc>
                <w:tcPr>
                  <w:tcW w:w="1329" w:type="dxa"/>
                  <w:tcBorders>
                    <w:tl2br w:val="nil"/>
                    <w:tr2bl w:val="nil"/>
                  </w:tcBorders>
                  <w:vAlign w:val="center"/>
                </w:tcPr>
                <w:p>
                  <w:pPr>
                    <w:bidi w:val="0"/>
                    <w:jc w:val="center"/>
                    <w:rPr>
                      <w:rFonts w:hint="default"/>
                      <w:lang w:val="en-US" w:eastAsia="zh-CN"/>
                    </w:rPr>
                  </w:pPr>
                  <w:r>
                    <w:rPr>
                      <w:rFonts w:hint="eastAsia"/>
                      <w:lang w:val="en-US" w:eastAsia="zh-CN"/>
                    </w:rPr>
                    <w:t>氨</w:t>
                  </w:r>
                </w:p>
              </w:tc>
              <w:tc>
                <w:tcPr>
                  <w:tcW w:w="1329" w:type="dxa"/>
                  <w:tcBorders>
                    <w:tl2br w:val="nil"/>
                    <w:tr2bl w:val="nil"/>
                  </w:tcBorders>
                  <w:vAlign w:val="center"/>
                </w:tcPr>
                <w:p>
                  <w:pPr>
                    <w:bidi w:val="0"/>
                    <w:jc w:val="center"/>
                    <w:rPr>
                      <w:rFonts w:hint="default"/>
                      <w:lang w:val="en-US" w:eastAsia="zh-CN"/>
                    </w:rPr>
                  </w:pPr>
                  <w:r>
                    <w:rPr>
                      <w:rFonts w:hint="eastAsia"/>
                      <w:lang w:val="en-US" w:eastAsia="zh-CN"/>
                    </w:rPr>
                    <w:t>30</w:t>
                  </w:r>
                </w:p>
              </w:tc>
              <w:tc>
                <w:tcPr>
                  <w:tcW w:w="1329" w:type="dxa"/>
                  <w:tcBorders>
                    <w:tl2br w:val="nil"/>
                    <w:tr2bl w:val="nil"/>
                  </w:tcBorders>
                  <w:vAlign w:val="center"/>
                </w:tcPr>
                <w:p>
                  <w:pPr>
                    <w:bidi w:val="0"/>
                    <w:jc w:val="center"/>
                    <w:rPr>
                      <w:rFonts w:hint="default"/>
                      <w:lang w:val="en-US" w:eastAsia="zh-CN"/>
                    </w:rPr>
                  </w:pPr>
                  <w:r>
                    <w:rPr>
                      <w:rFonts w:hint="eastAsia"/>
                      <w:lang w:val="en-US" w:eastAsia="zh-CN"/>
                    </w:rPr>
                    <w:t>50</w:t>
                  </w:r>
                </w:p>
              </w:tc>
              <w:tc>
                <w:tcPr>
                  <w:tcW w:w="1329" w:type="dxa"/>
                  <w:tcBorders>
                    <w:tl2br w:val="nil"/>
                    <w:tr2bl w:val="nil"/>
                  </w:tcBorders>
                  <w:vAlign w:val="center"/>
                </w:tcPr>
                <w:p>
                  <w:pPr>
                    <w:bidi w:val="0"/>
                    <w:jc w:val="center"/>
                    <w:rPr>
                      <w:rFonts w:hint="default"/>
                      <w:lang w:val="en-US" w:eastAsia="zh-CN"/>
                    </w:rPr>
                  </w:pPr>
                  <w:r>
                    <w:rPr>
                      <w:rFonts w:hint="eastAsia"/>
                      <w:lang w:val="en-US" w:eastAsia="zh-CN"/>
                    </w:rPr>
                    <w:t>38</w:t>
                  </w:r>
                </w:p>
              </w:tc>
              <w:tc>
                <w:tcPr>
                  <w:tcW w:w="1329" w:type="dxa"/>
                  <w:tcBorders>
                    <w:tl2br w:val="nil"/>
                    <w:tr2bl w:val="nil"/>
                  </w:tcBorders>
                  <w:vAlign w:val="center"/>
                </w:tcPr>
                <w:p>
                  <w:pPr>
                    <w:bidi w:val="0"/>
                    <w:jc w:val="center"/>
                    <w:rPr>
                      <w:rFonts w:hint="default"/>
                      <w:lang w:val="en-US" w:eastAsia="zh-CN"/>
                    </w:rPr>
                  </w:pPr>
                  <w:r>
                    <w:rPr>
                      <w:rFonts w:hint="eastAsia"/>
                      <w:lang w:val="en-US" w:eastAsia="zh-CN"/>
                    </w:rPr>
                    <w:t>200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1329" w:type="dxa"/>
                  <w:vMerge w:val="continue"/>
                  <w:tcBorders>
                    <w:tl2br w:val="nil"/>
                    <w:tr2bl w:val="nil"/>
                  </w:tcBorders>
                  <w:vAlign w:val="center"/>
                </w:tcPr>
                <w:p>
                  <w:pPr>
                    <w:bidi w:val="0"/>
                    <w:jc w:val="center"/>
                    <w:rPr>
                      <w:rFonts w:hint="default"/>
                      <w:lang w:val="en-US" w:eastAsia="zh-CN"/>
                    </w:rPr>
                  </w:pPr>
                </w:p>
              </w:tc>
              <w:tc>
                <w:tcPr>
                  <w:tcW w:w="1329" w:type="dxa"/>
                  <w:tcBorders>
                    <w:tl2br w:val="nil"/>
                    <w:tr2bl w:val="nil"/>
                  </w:tcBorders>
                  <w:vAlign w:val="center"/>
                </w:tcPr>
                <w:p>
                  <w:pPr>
                    <w:bidi w:val="0"/>
                    <w:jc w:val="center"/>
                    <w:rPr>
                      <w:rFonts w:hint="default"/>
                      <w:lang w:val="en-US" w:eastAsia="zh-CN"/>
                    </w:rPr>
                  </w:pPr>
                  <w:r>
                    <w:rPr>
                      <w:rFonts w:hint="eastAsia"/>
                      <w:lang w:val="en-US" w:eastAsia="zh-CN"/>
                    </w:rPr>
                    <w:t>硫化氢</w:t>
                  </w:r>
                </w:p>
              </w:tc>
              <w:tc>
                <w:tcPr>
                  <w:tcW w:w="1329" w:type="dxa"/>
                  <w:tcBorders>
                    <w:tl2br w:val="nil"/>
                    <w:tr2bl w:val="nil"/>
                  </w:tcBorders>
                  <w:vAlign w:val="center"/>
                </w:tcPr>
                <w:p>
                  <w:pPr>
                    <w:bidi w:val="0"/>
                    <w:jc w:val="center"/>
                    <w:rPr>
                      <w:rFonts w:hint="default"/>
                      <w:lang w:val="en-US" w:eastAsia="zh-CN"/>
                    </w:rPr>
                  </w:pPr>
                  <w:r>
                    <w:rPr>
                      <w:rFonts w:hint="eastAsia"/>
                      <w:lang w:val="en-US" w:eastAsia="zh-CN"/>
                    </w:rPr>
                    <w:t>3</w:t>
                  </w:r>
                </w:p>
              </w:tc>
              <w:tc>
                <w:tcPr>
                  <w:tcW w:w="1329" w:type="dxa"/>
                  <w:tcBorders>
                    <w:tl2br w:val="nil"/>
                    <w:tr2bl w:val="nil"/>
                  </w:tcBorders>
                  <w:vAlign w:val="center"/>
                </w:tcPr>
                <w:p>
                  <w:pPr>
                    <w:bidi w:val="0"/>
                    <w:jc w:val="center"/>
                    <w:rPr>
                      <w:rFonts w:hint="default"/>
                      <w:lang w:val="en-US" w:eastAsia="zh-CN"/>
                    </w:rPr>
                  </w:pPr>
                  <w:r>
                    <w:rPr>
                      <w:rFonts w:hint="eastAsia"/>
                      <w:lang w:val="en-US" w:eastAsia="zh-CN"/>
                    </w:rPr>
                    <w:t>4</w:t>
                  </w:r>
                </w:p>
              </w:tc>
              <w:tc>
                <w:tcPr>
                  <w:tcW w:w="1329" w:type="dxa"/>
                  <w:tcBorders>
                    <w:tl2br w:val="nil"/>
                    <w:tr2bl w:val="nil"/>
                  </w:tcBorders>
                  <w:vAlign w:val="center"/>
                </w:tcPr>
                <w:p>
                  <w:pPr>
                    <w:bidi w:val="0"/>
                    <w:jc w:val="center"/>
                    <w:rPr>
                      <w:rFonts w:hint="default"/>
                      <w:lang w:val="en-US" w:eastAsia="zh-CN"/>
                    </w:rPr>
                  </w:pPr>
                  <w:r>
                    <w:rPr>
                      <w:rFonts w:hint="eastAsia"/>
                      <w:lang w:val="en-US" w:eastAsia="zh-CN"/>
                    </w:rPr>
                    <w:t>3</w:t>
                  </w:r>
                </w:p>
              </w:tc>
              <w:tc>
                <w:tcPr>
                  <w:tcW w:w="1329" w:type="dxa"/>
                  <w:tcBorders>
                    <w:tl2br w:val="nil"/>
                    <w:tr2bl w:val="nil"/>
                  </w:tcBorders>
                  <w:vAlign w:val="center"/>
                </w:tcPr>
                <w:p>
                  <w:pPr>
                    <w:bidi w:val="0"/>
                    <w:jc w:val="center"/>
                    <w:rPr>
                      <w:rFonts w:hint="default"/>
                      <w:lang w:val="en-US" w:eastAsia="zh-CN"/>
                    </w:rPr>
                  </w:pPr>
                  <w:r>
                    <w:rPr>
                      <w:rFonts w:hint="eastAsia"/>
                      <w:lang w:val="en-US" w:eastAsia="zh-CN"/>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1329" w:type="dxa"/>
                  <w:vMerge w:val="continue"/>
                  <w:tcBorders>
                    <w:tl2br w:val="nil"/>
                    <w:tr2bl w:val="nil"/>
                  </w:tcBorders>
                  <w:vAlign w:val="center"/>
                </w:tcPr>
                <w:p>
                  <w:pPr>
                    <w:bidi w:val="0"/>
                    <w:jc w:val="center"/>
                    <w:rPr>
                      <w:rFonts w:hint="default"/>
                      <w:lang w:val="en-US" w:eastAsia="zh-CN"/>
                    </w:rPr>
                  </w:pPr>
                </w:p>
              </w:tc>
              <w:tc>
                <w:tcPr>
                  <w:tcW w:w="1329" w:type="dxa"/>
                  <w:tcBorders>
                    <w:tl2br w:val="nil"/>
                    <w:tr2bl w:val="nil"/>
                  </w:tcBorders>
                  <w:vAlign w:val="center"/>
                </w:tcPr>
                <w:p>
                  <w:pPr>
                    <w:bidi w:val="0"/>
                    <w:jc w:val="center"/>
                    <w:rPr>
                      <w:rFonts w:hint="default"/>
                      <w:lang w:val="en-US" w:eastAsia="zh-CN"/>
                    </w:rPr>
                  </w:pPr>
                  <w:r>
                    <w:rPr>
                      <w:rFonts w:hint="eastAsia"/>
                      <w:lang w:val="en-US" w:eastAsia="zh-CN"/>
                    </w:rPr>
                    <w:t>TVOC</w:t>
                  </w:r>
                </w:p>
              </w:tc>
              <w:tc>
                <w:tcPr>
                  <w:tcW w:w="1329" w:type="dxa"/>
                  <w:tcBorders>
                    <w:tl2br w:val="nil"/>
                    <w:tr2bl w:val="nil"/>
                  </w:tcBorders>
                  <w:vAlign w:val="center"/>
                </w:tcPr>
                <w:p>
                  <w:pPr>
                    <w:bidi w:val="0"/>
                    <w:jc w:val="center"/>
                    <w:rPr>
                      <w:rFonts w:hint="default"/>
                      <w:lang w:val="en-US" w:eastAsia="zh-CN"/>
                    </w:rPr>
                  </w:pPr>
                  <w:r>
                    <w:rPr>
                      <w:rFonts w:hint="eastAsia"/>
                      <w:lang w:val="en-US" w:eastAsia="zh-CN"/>
                    </w:rPr>
                    <w:t>252</w:t>
                  </w:r>
                </w:p>
              </w:tc>
              <w:tc>
                <w:tcPr>
                  <w:tcW w:w="1329" w:type="dxa"/>
                  <w:tcBorders>
                    <w:tl2br w:val="nil"/>
                    <w:tr2bl w:val="nil"/>
                  </w:tcBorders>
                  <w:vAlign w:val="center"/>
                </w:tcPr>
                <w:p>
                  <w:pPr>
                    <w:bidi w:val="0"/>
                    <w:jc w:val="center"/>
                    <w:rPr>
                      <w:rFonts w:hint="default"/>
                      <w:lang w:val="en-US" w:eastAsia="zh-CN"/>
                    </w:rPr>
                  </w:pPr>
                  <w:r>
                    <w:rPr>
                      <w:rFonts w:hint="eastAsia"/>
                      <w:lang w:val="en-US" w:eastAsia="zh-CN"/>
                    </w:rPr>
                    <w:t>283</w:t>
                  </w:r>
                </w:p>
              </w:tc>
              <w:tc>
                <w:tcPr>
                  <w:tcW w:w="1329" w:type="dxa"/>
                  <w:tcBorders>
                    <w:tl2br w:val="nil"/>
                    <w:tr2bl w:val="nil"/>
                  </w:tcBorders>
                  <w:vAlign w:val="center"/>
                </w:tcPr>
                <w:p>
                  <w:pPr>
                    <w:bidi w:val="0"/>
                    <w:jc w:val="center"/>
                    <w:rPr>
                      <w:rFonts w:hint="default"/>
                      <w:lang w:val="en-US" w:eastAsia="zh-CN"/>
                    </w:rPr>
                  </w:pPr>
                  <w:r>
                    <w:rPr>
                      <w:rFonts w:hint="eastAsia"/>
                      <w:lang w:val="en-US" w:eastAsia="zh-CN"/>
                    </w:rPr>
                    <w:t>267</w:t>
                  </w:r>
                </w:p>
              </w:tc>
              <w:tc>
                <w:tcPr>
                  <w:tcW w:w="1329" w:type="dxa"/>
                  <w:tcBorders>
                    <w:tl2br w:val="nil"/>
                    <w:tr2bl w:val="nil"/>
                  </w:tcBorders>
                  <w:vAlign w:val="center"/>
                </w:tcPr>
                <w:p>
                  <w:pPr>
                    <w:bidi w:val="0"/>
                    <w:jc w:val="center"/>
                    <w:rPr>
                      <w:rFonts w:hint="default"/>
                      <w:lang w:val="en-US" w:eastAsia="zh-CN"/>
                    </w:rPr>
                  </w:pPr>
                  <w:r>
                    <w:rPr>
                      <w:rFonts w:hint="eastAsia"/>
                      <w:lang w:val="en-US" w:eastAsia="zh-CN"/>
                    </w:rPr>
                    <w:t>600</w:t>
                  </w:r>
                </w:p>
              </w:tc>
            </w:tr>
          </w:tbl>
          <w:p>
            <w:pPr>
              <w:bidi w:val="0"/>
              <w:spacing w:line="360" w:lineRule="auto"/>
              <w:ind w:firstLine="480" w:firstLineChars="200"/>
              <w:rPr>
                <w:rFonts w:hint="default"/>
                <w:sz w:val="24"/>
                <w:szCs w:val="24"/>
                <w:lang w:val="en-US" w:eastAsia="zh-CN"/>
              </w:rPr>
            </w:pPr>
            <w:r>
              <w:rPr>
                <w:rFonts w:hint="default"/>
                <w:sz w:val="24"/>
                <w:szCs w:val="24"/>
                <w:lang w:val="en-US" w:eastAsia="zh-CN"/>
              </w:rPr>
              <w:t>监测数据表明，该区域大气环境氨</w:t>
            </w:r>
            <w:r>
              <w:rPr>
                <w:rFonts w:hint="eastAsia"/>
                <w:sz w:val="24"/>
                <w:szCs w:val="24"/>
                <w:lang w:val="en-US" w:eastAsia="zh-CN"/>
              </w:rPr>
              <w:t>、</w:t>
            </w:r>
            <w:r>
              <w:rPr>
                <w:rFonts w:hint="default"/>
                <w:sz w:val="24"/>
                <w:szCs w:val="24"/>
                <w:lang w:val="en-US" w:eastAsia="zh-CN"/>
              </w:rPr>
              <w:t>硫化氢</w:t>
            </w:r>
            <w:r>
              <w:rPr>
                <w:rFonts w:hint="eastAsia"/>
                <w:sz w:val="24"/>
                <w:szCs w:val="24"/>
                <w:lang w:val="en-US" w:eastAsia="zh-CN"/>
              </w:rPr>
              <w:t>、</w:t>
            </w:r>
            <w:r>
              <w:rPr>
                <w:rFonts w:hint="default"/>
                <w:sz w:val="24"/>
                <w:szCs w:val="24"/>
                <w:lang w:val="en-US" w:eastAsia="zh-CN"/>
              </w:rPr>
              <w:t>TVOC符合《环境影响评价技术导则-大气环境》HJ2.2-2018附录D中表D.1规定的限值要求，区域大气环境良好。</w:t>
            </w:r>
          </w:p>
          <w:p>
            <w:pPr>
              <w:numPr>
                <w:ilvl w:val="0"/>
                <w:numId w:val="0"/>
              </w:numPr>
              <w:adjustRightInd w:val="0"/>
              <w:snapToGrid w:val="0"/>
              <w:spacing w:line="360" w:lineRule="auto"/>
              <w:jc w:val="both"/>
              <w:rPr>
                <w:rFonts w:hint="default"/>
                <w:color w:val="FF0000"/>
                <w:sz w:val="24"/>
                <w:szCs w:val="24"/>
                <w:u w:val="single"/>
                <w:lang w:val="en-US" w:eastAsia="zh-CN"/>
              </w:rPr>
            </w:pPr>
            <w:r>
              <w:rPr>
                <w:rFonts w:hint="eastAsia"/>
                <w:color w:val="FF0000"/>
                <w:sz w:val="24"/>
                <w:szCs w:val="24"/>
                <w:u w:val="single"/>
                <w:lang w:val="en-US" w:eastAsia="zh-CN"/>
              </w:rPr>
              <w:t>2、水环境质量现状</w:t>
            </w:r>
          </w:p>
          <w:p>
            <w:pPr>
              <w:bidi w:val="0"/>
              <w:spacing w:line="360" w:lineRule="auto"/>
              <w:ind w:firstLine="480" w:firstLineChars="200"/>
              <w:rPr>
                <w:rFonts w:hint="default"/>
                <w:color w:val="FF0000"/>
                <w:sz w:val="24"/>
                <w:szCs w:val="24"/>
                <w:u w:val="single"/>
                <w:lang w:val="en-US" w:eastAsia="zh-CN"/>
              </w:rPr>
            </w:pPr>
            <w:r>
              <w:rPr>
                <w:rFonts w:hint="default"/>
                <w:color w:val="FF0000"/>
                <w:sz w:val="24"/>
                <w:szCs w:val="24"/>
                <w:u w:val="single"/>
                <w:lang w:val="en-US" w:eastAsia="zh-CN"/>
              </w:rPr>
              <w:t>了解项目建设区域地表水环境质量现状，本次环评引用</w:t>
            </w:r>
            <w:r>
              <w:rPr>
                <w:rFonts w:hint="eastAsia"/>
                <w:color w:val="FF0000"/>
                <w:sz w:val="24"/>
                <w:szCs w:val="24"/>
                <w:u w:val="single"/>
                <w:lang w:val="en-US" w:eastAsia="zh-CN"/>
              </w:rPr>
              <w:t>2020年湘阴县环境监测中心对湘江乌龙嘴断面、2019年洋沙湖断面</w:t>
            </w:r>
            <w:r>
              <w:rPr>
                <w:rFonts w:hint="default"/>
                <w:color w:val="FF0000"/>
                <w:sz w:val="24"/>
                <w:szCs w:val="24"/>
                <w:u w:val="single"/>
                <w:lang w:val="en-US" w:eastAsia="zh-CN"/>
              </w:rPr>
              <w:t>进行监测</w:t>
            </w:r>
            <w:r>
              <w:rPr>
                <w:rFonts w:hint="eastAsia"/>
                <w:color w:val="FF0000"/>
                <w:sz w:val="24"/>
                <w:szCs w:val="24"/>
                <w:u w:val="single"/>
                <w:lang w:val="en-US" w:eastAsia="zh-CN"/>
              </w:rPr>
              <w:t>的监测数据。</w:t>
            </w:r>
            <w:r>
              <w:rPr>
                <w:rFonts w:hint="default"/>
                <w:color w:val="FF0000"/>
                <w:sz w:val="24"/>
                <w:szCs w:val="24"/>
                <w:u w:val="single"/>
                <w:lang w:val="en-US" w:eastAsia="zh-CN"/>
              </w:rPr>
              <w:t>具体监测情况详见表3-</w:t>
            </w:r>
            <w:r>
              <w:rPr>
                <w:rFonts w:hint="eastAsia"/>
                <w:color w:val="FF0000"/>
                <w:sz w:val="24"/>
                <w:szCs w:val="24"/>
                <w:u w:val="single"/>
                <w:lang w:val="en-US" w:eastAsia="zh-CN"/>
              </w:rPr>
              <w:t>3</w:t>
            </w:r>
            <w:r>
              <w:rPr>
                <w:rFonts w:hint="default"/>
                <w:color w:val="FF0000"/>
                <w:sz w:val="24"/>
                <w:szCs w:val="24"/>
                <w:u w:val="single"/>
                <w:lang w:val="en-US" w:eastAsia="zh-CN"/>
              </w:rPr>
              <w:t>。</w:t>
            </w:r>
          </w:p>
          <w:p>
            <w:pPr>
              <w:bidi w:val="0"/>
              <w:spacing w:line="360" w:lineRule="auto"/>
              <w:jc w:val="center"/>
              <w:rPr>
                <w:rFonts w:hint="default"/>
                <w:color w:val="FF0000"/>
                <w:u w:val="single"/>
                <w:lang w:val="en-US" w:eastAsia="zh-CN"/>
              </w:rPr>
            </w:pPr>
            <w:r>
              <w:rPr>
                <w:rFonts w:hint="default"/>
                <w:color w:val="FF0000"/>
                <w:u w:val="single"/>
                <w:lang w:val="en-US" w:eastAsia="zh-CN"/>
              </w:rPr>
              <w:t>表3-</w:t>
            </w:r>
            <w:r>
              <w:rPr>
                <w:rFonts w:hint="eastAsia"/>
                <w:color w:val="FF0000"/>
                <w:u w:val="single"/>
                <w:lang w:val="en-US" w:eastAsia="zh-CN"/>
              </w:rPr>
              <w:t>3</w:t>
            </w:r>
            <w:r>
              <w:rPr>
                <w:rFonts w:hint="default"/>
                <w:color w:val="FF0000"/>
                <w:u w:val="single"/>
                <w:lang w:val="en-US" w:eastAsia="zh-CN"/>
              </w:rPr>
              <w:t xml:space="preserve">  </w:t>
            </w:r>
            <w:r>
              <w:rPr>
                <w:rFonts w:hint="eastAsia"/>
                <w:color w:val="FF0000"/>
                <w:u w:val="single"/>
                <w:lang w:val="en-US" w:eastAsia="zh-CN"/>
              </w:rPr>
              <w:t>乌龙嘴断面</w:t>
            </w:r>
            <w:r>
              <w:rPr>
                <w:rFonts w:hint="default"/>
                <w:color w:val="FF0000"/>
                <w:u w:val="single"/>
                <w:lang w:val="en-US" w:eastAsia="zh-CN"/>
              </w:rPr>
              <w:t>现状监测断面与监测因子</w:t>
            </w:r>
          </w:p>
          <w:tbl>
            <w:tblPr>
              <w:tblStyle w:val="18"/>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23"/>
              <w:gridCol w:w="1650"/>
              <w:gridCol w:w="932"/>
              <w:gridCol w:w="1615"/>
              <w:gridCol w:w="915"/>
              <w:gridCol w:w="1188"/>
              <w:gridCol w:w="837"/>
              <w:gridCol w:w="70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8"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监测断面</w:t>
                  </w:r>
                </w:p>
              </w:tc>
              <w:tc>
                <w:tcPr>
                  <w:tcW w:w="974"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监测因子</w:t>
                  </w:r>
                </w:p>
              </w:tc>
              <w:tc>
                <w:tcPr>
                  <w:tcW w:w="550" w:type="pct"/>
                  <w:tcBorders>
                    <w:tl2br w:val="nil"/>
                    <w:tr2bl w:val="nil"/>
                  </w:tcBorders>
                  <w:noWrap w:val="0"/>
                  <w:vAlign w:val="center"/>
                </w:tcPr>
                <w:p>
                  <w:pPr>
                    <w:bidi w:val="0"/>
                    <w:jc w:val="center"/>
                    <w:rPr>
                      <w:rFonts w:hint="eastAsia"/>
                      <w:color w:val="FF0000"/>
                      <w:u w:val="single"/>
                      <w:lang w:val="en-US" w:eastAsia="zh-CN"/>
                    </w:rPr>
                  </w:pPr>
                  <w:r>
                    <w:rPr>
                      <w:rFonts w:hint="default"/>
                      <w:color w:val="FF0000"/>
                      <w:u w:val="single"/>
                      <w:lang w:val="en-US" w:eastAsia="zh-CN"/>
                    </w:rPr>
                    <w:t>单位</w:t>
                  </w:r>
                </w:p>
              </w:tc>
              <w:tc>
                <w:tcPr>
                  <w:tcW w:w="953"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年平均范围值</w:t>
                  </w:r>
                </w:p>
              </w:tc>
              <w:tc>
                <w:tcPr>
                  <w:tcW w:w="540"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超标率%</w:t>
                  </w:r>
                </w:p>
              </w:tc>
              <w:tc>
                <w:tcPr>
                  <w:tcW w:w="701"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最大超标倍数%</w:t>
                  </w:r>
                </w:p>
              </w:tc>
              <w:tc>
                <w:tcPr>
                  <w:tcW w:w="494" w:type="pct"/>
                  <w:tcBorders>
                    <w:tl2br w:val="nil"/>
                    <w:tr2bl w:val="nil"/>
                  </w:tcBorders>
                  <w:noWrap w:val="0"/>
                  <w:vAlign w:val="center"/>
                </w:tcPr>
                <w:p>
                  <w:pPr>
                    <w:bidi w:val="0"/>
                    <w:jc w:val="center"/>
                    <w:rPr>
                      <w:rFonts w:hint="eastAsia"/>
                      <w:color w:val="FF0000"/>
                      <w:u w:val="single"/>
                      <w:lang w:val="en-US" w:eastAsia="zh-CN"/>
                    </w:rPr>
                  </w:pPr>
                  <w:r>
                    <w:rPr>
                      <w:rFonts w:hint="eastAsia"/>
                      <w:color w:val="FF0000"/>
                      <w:u w:val="single"/>
                      <w:lang w:val="en-US" w:eastAsia="zh-CN"/>
                    </w:rPr>
                    <w:t>标准</w:t>
                  </w:r>
                </w:p>
                <w:p>
                  <w:pPr>
                    <w:bidi w:val="0"/>
                    <w:jc w:val="center"/>
                    <w:rPr>
                      <w:rFonts w:hint="default"/>
                      <w:color w:val="FF0000"/>
                      <w:u w:val="single"/>
                      <w:lang w:val="en-US" w:eastAsia="zh-CN"/>
                    </w:rPr>
                  </w:pPr>
                  <w:r>
                    <w:rPr>
                      <w:rFonts w:hint="eastAsia"/>
                      <w:color w:val="FF0000"/>
                      <w:u w:val="single"/>
                      <w:lang w:val="en-US" w:eastAsia="zh-CN"/>
                    </w:rPr>
                    <w:t>限值</w:t>
                  </w:r>
                </w:p>
              </w:tc>
              <w:tc>
                <w:tcPr>
                  <w:tcW w:w="414"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是否达标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8" w:type="pct"/>
                  <w:vMerge w:val="restar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湘江乌龙嘴断面</w:t>
                  </w:r>
                </w:p>
              </w:tc>
              <w:tc>
                <w:tcPr>
                  <w:tcW w:w="974"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pH值</w:t>
                  </w:r>
                </w:p>
              </w:tc>
              <w:tc>
                <w:tcPr>
                  <w:tcW w:w="550"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无量纲</w:t>
                  </w:r>
                </w:p>
              </w:tc>
              <w:tc>
                <w:tcPr>
                  <w:tcW w:w="953"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7.32-7.98</w:t>
                  </w:r>
                </w:p>
              </w:tc>
              <w:tc>
                <w:tcPr>
                  <w:tcW w:w="540"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0</w:t>
                  </w:r>
                </w:p>
              </w:tc>
              <w:tc>
                <w:tcPr>
                  <w:tcW w:w="701"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0</w:t>
                  </w:r>
                </w:p>
              </w:tc>
              <w:tc>
                <w:tcPr>
                  <w:tcW w:w="494"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6-9</w:t>
                  </w:r>
                </w:p>
              </w:tc>
              <w:tc>
                <w:tcPr>
                  <w:tcW w:w="414"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8" w:type="pct"/>
                  <w:vMerge w:val="continue"/>
                  <w:tcBorders>
                    <w:tl2br w:val="nil"/>
                    <w:tr2bl w:val="nil"/>
                  </w:tcBorders>
                  <w:noWrap w:val="0"/>
                  <w:vAlign w:val="center"/>
                </w:tcPr>
                <w:p>
                  <w:pPr>
                    <w:bidi w:val="0"/>
                    <w:jc w:val="center"/>
                    <w:rPr>
                      <w:rFonts w:hint="default"/>
                      <w:color w:val="FF0000"/>
                      <w:u w:val="single"/>
                      <w:lang w:val="en-US" w:eastAsia="zh-CN"/>
                    </w:rPr>
                  </w:pPr>
                </w:p>
              </w:tc>
              <w:tc>
                <w:tcPr>
                  <w:tcW w:w="974"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溶解氧</w:t>
                  </w:r>
                </w:p>
              </w:tc>
              <w:tc>
                <w:tcPr>
                  <w:tcW w:w="550"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mg/L</w:t>
                  </w:r>
                </w:p>
              </w:tc>
              <w:tc>
                <w:tcPr>
                  <w:tcW w:w="953"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5.8-7.8</w:t>
                  </w:r>
                </w:p>
              </w:tc>
              <w:tc>
                <w:tcPr>
                  <w:tcW w:w="540"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0</w:t>
                  </w:r>
                </w:p>
              </w:tc>
              <w:tc>
                <w:tcPr>
                  <w:tcW w:w="701"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0</w:t>
                  </w:r>
                </w:p>
              </w:tc>
              <w:tc>
                <w:tcPr>
                  <w:tcW w:w="494" w:type="pct"/>
                  <w:tcBorders>
                    <w:tl2br w:val="nil"/>
                    <w:tr2bl w:val="nil"/>
                  </w:tcBorders>
                  <w:noWrap w:val="0"/>
                  <w:vAlign w:val="center"/>
                </w:tcPr>
                <w:p>
                  <w:pPr>
                    <w:bidi w:val="0"/>
                    <w:jc w:val="center"/>
                    <w:rPr>
                      <w:rFonts w:hint="default"/>
                      <w:color w:val="FF0000"/>
                      <w:u w:val="single"/>
                      <w:lang w:val="en-US" w:eastAsia="zh-CN"/>
                    </w:rPr>
                  </w:pPr>
                  <w:r>
                    <w:rPr>
                      <w:rFonts w:hint="default"/>
                      <w:color w:val="FF0000"/>
                      <w:u w:val="single"/>
                      <w:lang w:val="en-US" w:eastAsia="zh-CN"/>
                    </w:rPr>
                    <w:t>≥</w:t>
                  </w:r>
                  <w:r>
                    <w:rPr>
                      <w:rFonts w:hint="eastAsia"/>
                      <w:color w:val="FF0000"/>
                      <w:u w:val="single"/>
                      <w:lang w:val="en-US" w:eastAsia="zh-CN"/>
                    </w:rPr>
                    <w:t>5</w:t>
                  </w:r>
                </w:p>
              </w:tc>
              <w:tc>
                <w:tcPr>
                  <w:tcW w:w="414"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8" w:type="pct"/>
                  <w:vMerge w:val="continue"/>
                  <w:tcBorders>
                    <w:tl2br w:val="nil"/>
                    <w:tr2bl w:val="nil"/>
                  </w:tcBorders>
                  <w:noWrap w:val="0"/>
                  <w:vAlign w:val="center"/>
                </w:tcPr>
                <w:p>
                  <w:pPr>
                    <w:bidi w:val="0"/>
                    <w:jc w:val="center"/>
                    <w:rPr>
                      <w:rFonts w:hint="default"/>
                      <w:color w:val="FF0000"/>
                      <w:u w:val="single"/>
                      <w:lang w:val="en-US" w:eastAsia="zh-CN"/>
                    </w:rPr>
                  </w:pPr>
                </w:p>
              </w:tc>
              <w:tc>
                <w:tcPr>
                  <w:tcW w:w="974"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高锰酸盐指数</w:t>
                  </w:r>
                </w:p>
              </w:tc>
              <w:tc>
                <w:tcPr>
                  <w:tcW w:w="550" w:type="pct"/>
                  <w:tcBorders>
                    <w:tl2br w:val="nil"/>
                    <w:tr2bl w:val="nil"/>
                  </w:tcBorders>
                  <w:noWrap w:val="0"/>
                  <w:vAlign w:val="center"/>
                </w:tcPr>
                <w:p>
                  <w:pPr>
                    <w:bidi w:val="0"/>
                    <w:jc w:val="center"/>
                    <w:rPr>
                      <w:rFonts w:hint="eastAsia"/>
                      <w:color w:val="FF0000"/>
                      <w:u w:val="single"/>
                      <w:lang w:val="en-US" w:eastAsia="zh-CN"/>
                    </w:rPr>
                  </w:pPr>
                  <w:r>
                    <w:rPr>
                      <w:rFonts w:hint="eastAsia"/>
                      <w:color w:val="FF0000"/>
                      <w:u w:val="single"/>
                      <w:lang w:val="en-US" w:eastAsia="zh-CN"/>
                    </w:rPr>
                    <w:t>mg/L</w:t>
                  </w:r>
                </w:p>
              </w:tc>
              <w:tc>
                <w:tcPr>
                  <w:tcW w:w="953"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1.5-2.2</w:t>
                  </w:r>
                </w:p>
              </w:tc>
              <w:tc>
                <w:tcPr>
                  <w:tcW w:w="540"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0</w:t>
                  </w:r>
                </w:p>
              </w:tc>
              <w:tc>
                <w:tcPr>
                  <w:tcW w:w="701"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0</w:t>
                  </w:r>
                </w:p>
              </w:tc>
              <w:tc>
                <w:tcPr>
                  <w:tcW w:w="494"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6</w:t>
                  </w:r>
                </w:p>
              </w:tc>
              <w:tc>
                <w:tcPr>
                  <w:tcW w:w="414"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8" w:type="pct"/>
                  <w:vMerge w:val="continue"/>
                  <w:tcBorders>
                    <w:tl2br w:val="nil"/>
                    <w:tr2bl w:val="nil"/>
                  </w:tcBorders>
                  <w:noWrap w:val="0"/>
                  <w:vAlign w:val="center"/>
                </w:tcPr>
                <w:p>
                  <w:pPr>
                    <w:bidi w:val="0"/>
                    <w:jc w:val="center"/>
                    <w:rPr>
                      <w:rFonts w:hint="default"/>
                      <w:color w:val="FF0000"/>
                      <w:u w:val="single"/>
                      <w:lang w:val="en-US" w:eastAsia="zh-CN"/>
                    </w:rPr>
                  </w:pPr>
                </w:p>
              </w:tc>
              <w:tc>
                <w:tcPr>
                  <w:tcW w:w="974"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化学需氧量</w:t>
                  </w:r>
                </w:p>
              </w:tc>
              <w:tc>
                <w:tcPr>
                  <w:tcW w:w="550" w:type="pct"/>
                  <w:tcBorders>
                    <w:tl2br w:val="nil"/>
                    <w:tr2bl w:val="nil"/>
                  </w:tcBorders>
                  <w:noWrap w:val="0"/>
                  <w:vAlign w:val="center"/>
                </w:tcPr>
                <w:p>
                  <w:pPr>
                    <w:bidi w:val="0"/>
                    <w:jc w:val="center"/>
                    <w:rPr>
                      <w:rFonts w:hint="eastAsia"/>
                      <w:color w:val="FF0000"/>
                      <w:u w:val="single"/>
                      <w:lang w:val="en-US" w:eastAsia="zh-CN"/>
                    </w:rPr>
                  </w:pPr>
                  <w:r>
                    <w:rPr>
                      <w:rFonts w:hint="eastAsia"/>
                      <w:color w:val="FF0000"/>
                      <w:u w:val="single"/>
                      <w:lang w:val="en-US" w:eastAsia="zh-CN"/>
                    </w:rPr>
                    <w:t>mg/L</w:t>
                  </w:r>
                </w:p>
              </w:tc>
              <w:tc>
                <w:tcPr>
                  <w:tcW w:w="953"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8-16</w:t>
                  </w:r>
                </w:p>
              </w:tc>
              <w:tc>
                <w:tcPr>
                  <w:tcW w:w="540"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0</w:t>
                  </w:r>
                </w:p>
              </w:tc>
              <w:tc>
                <w:tcPr>
                  <w:tcW w:w="701"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0</w:t>
                  </w:r>
                </w:p>
              </w:tc>
              <w:tc>
                <w:tcPr>
                  <w:tcW w:w="494"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20</w:t>
                  </w:r>
                </w:p>
              </w:tc>
              <w:tc>
                <w:tcPr>
                  <w:tcW w:w="414"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8" w:type="pct"/>
                  <w:vMerge w:val="continue"/>
                  <w:tcBorders>
                    <w:tl2br w:val="nil"/>
                    <w:tr2bl w:val="nil"/>
                  </w:tcBorders>
                  <w:noWrap w:val="0"/>
                  <w:vAlign w:val="center"/>
                </w:tcPr>
                <w:p>
                  <w:pPr>
                    <w:bidi w:val="0"/>
                    <w:jc w:val="center"/>
                    <w:rPr>
                      <w:rFonts w:hint="default"/>
                      <w:color w:val="FF0000"/>
                      <w:u w:val="single"/>
                      <w:lang w:val="en-US" w:eastAsia="zh-CN"/>
                    </w:rPr>
                  </w:pPr>
                </w:p>
              </w:tc>
              <w:tc>
                <w:tcPr>
                  <w:tcW w:w="974"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生化需氧量</w:t>
                  </w:r>
                </w:p>
              </w:tc>
              <w:tc>
                <w:tcPr>
                  <w:tcW w:w="550" w:type="pct"/>
                  <w:tcBorders>
                    <w:tl2br w:val="nil"/>
                    <w:tr2bl w:val="nil"/>
                  </w:tcBorders>
                  <w:noWrap w:val="0"/>
                  <w:vAlign w:val="center"/>
                </w:tcPr>
                <w:p>
                  <w:pPr>
                    <w:bidi w:val="0"/>
                    <w:jc w:val="center"/>
                    <w:rPr>
                      <w:rFonts w:hint="eastAsia"/>
                      <w:color w:val="FF0000"/>
                      <w:u w:val="single"/>
                      <w:lang w:val="en-US" w:eastAsia="zh-CN"/>
                    </w:rPr>
                  </w:pPr>
                  <w:r>
                    <w:rPr>
                      <w:rFonts w:hint="eastAsia"/>
                      <w:color w:val="FF0000"/>
                      <w:u w:val="single"/>
                      <w:lang w:val="en-US" w:eastAsia="zh-CN"/>
                    </w:rPr>
                    <w:t>mg/L</w:t>
                  </w:r>
                </w:p>
              </w:tc>
              <w:tc>
                <w:tcPr>
                  <w:tcW w:w="953"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0.9-2.7</w:t>
                  </w:r>
                </w:p>
              </w:tc>
              <w:tc>
                <w:tcPr>
                  <w:tcW w:w="540"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0</w:t>
                  </w:r>
                </w:p>
              </w:tc>
              <w:tc>
                <w:tcPr>
                  <w:tcW w:w="701"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0</w:t>
                  </w:r>
                </w:p>
              </w:tc>
              <w:tc>
                <w:tcPr>
                  <w:tcW w:w="494"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4</w:t>
                  </w:r>
                </w:p>
              </w:tc>
              <w:tc>
                <w:tcPr>
                  <w:tcW w:w="414"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8" w:type="pct"/>
                  <w:vMerge w:val="continue"/>
                  <w:tcBorders>
                    <w:tl2br w:val="nil"/>
                    <w:tr2bl w:val="nil"/>
                  </w:tcBorders>
                  <w:noWrap w:val="0"/>
                  <w:vAlign w:val="center"/>
                </w:tcPr>
                <w:p>
                  <w:pPr>
                    <w:bidi w:val="0"/>
                    <w:jc w:val="center"/>
                    <w:rPr>
                      <w:rFonts w:hint="default"/>
                      <w:color w:val="FF0000"/>
                      <w:u w:val="single"/>
                      <w:lang w:val="en-US" w:eastAsia="zh-CN"/>
                    </w:rPr>
                  </w:pPr>
                </w:p>
              </w:tc>
              <w:tc>
                <w:tcPr>
                  <w:tcW w:w="974" w:type="pct"/>
                  <w:tcBorders>
                    <w:tl2br w:val="nil"/>
                    <w:tr2bl w:val="nil"/>
                  </w:tcBorders>
                  <w:noWrap w:val="0"/>
                  <w:vAlign w:val="center"/>
                </w:tcPr>
                <w:p>
                  <w:pPr>
                    <w:bidi w:val="0"/>
                    <w:jc w:val="center"/>
                    <w:rPr>
                      <w:rFonts w:hint="eastAsia"/>
                      <w:color w:val="FF0000"/>
                      <w:u w:val="single"/>
                      <w:lang w:val="en-US" w:eastAsia="zh-CN"/>
                    </w:rPr>
                  </w:pPr>
                  <w:r>
                    <w:rPr>
                      <w:rFonts w:hint="eastAsia"/>
                      <w:color w:val="FF0000"/>
                      <w:u w:val="single"/>
                      <w:lang w:val="en-US" w:eastAsia="zh-CN"/>
                    </w:rPr>
                    <w:t>氨氮</w:t>
                  </w:r>
                </w:p>
              </w:tc>
              <w:tc>
                <w:tcPr>
                  <w:tcW w:w="550" w:type="pct"/>
                  <w:tcBorders>
                    <w:tl2br w:val="nil"/>
                    <w:tr2bl w:val="nil"/>
                  </w:tcBorders>
                  <w:noWrap w:val="0"/>
                  <w:vAlign w:val="center"/>
                </w:tcPr>
                <w:p>
                  <w:pPr>
                    <w:bidi w:val="0"/>
                    <w:jc w:val="center"/>
                    <w:rPr>
                      <w:rFonts w:hint="eastAsia"/>
                      <w:color w:val="FF0000"/>
                      <w:u w:val="single"/>
                      <w:lang w:val="en-US" w:eastAsia="zh-CN"/>
                    </w:rPr>
                  </w:pPr>
                  <w:r>
                    <w:rPr>
                      <w:rFonts w:hint="eastAsia"/>
                      <w:color w:val="FF0000"/>
                      <w:u w:val="single"/>
                      <w:lang w:val="en-US" w:eastAsia="zh-CN"/>
                    </w:rPr>
                    <w:t>mg/L</w:t>
                  </w:r>
                </w:p>
              </w:tc>
              <w:tc>
                <w:tcPr>
                  <w:tcW w:w="953"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ND-0.44</w:t>
                  </w:r>
                </w:p>
              </w:tc>
              <w:tc>
                <w:tcPr>
                  <w:tcW w:w="540"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0</w:t>
                  </w:r>
                </w:p>
              </w:tc>
              <w:tc>
                <w:tcPr>
                  <w:tcW w:w="701"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0</w:t>
                  </w:r>
                </w:p>
              </w:tc>
              <w:tc>
                <w:tcPr>
                  <w:tcW w:w="494"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1.0</w:t>
                  </w:r>
                </w:p>
              </w:tc>
              <w:tc>
                <w:tcPr>
                  <w:tcW w:w="414"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8" w:type="pct"/>
                  <w:vMerge w:val="continue"/>
                  <w:tcBorders>
                    <w:tl2br w:val="nil"/>
                    <w:tr2bl w:val="nil"/>
                  </w:tcBorders>
                  <w:noWrap w:val="0"/>
                  <w:vAlign w:val="center"/>
                </w:tcPr>
                <w:p>
                  <w:pPr>
                    <w:bidi w:val="0"/>
                    <w:jc w:val="center"/>
                    <w:rPr>
                      <w:rFonts w:hint="default"/>
                      <w:color w:val="FF0000"/>
                      <w:u w:val="single"/>
                      <w:lang w:val="en-US" w:eastAsia="zh-CN"/>
                    </w:rPr>
                  </w:pPr>
                </w:p>
              </w:tc>
              <w:tc>
                <w:tcPr>
                  <w:tcW w:w="974" w:type="pct"/>
                  <w:tcBorders>
                    <w:tl2br w:val="nil"/>
                    <w:tr2bl w:val="nil"/>
                  </w:tcBorders>
                  <w:noWrap w:val="0"/>
                  <w:vAlign w:val="center"/>
                </w:tcPr>
                <w:p>
                  <w:pPr>
                    <w:bidi w:val="0"/>
                    <w:jc w:val="center"/>
                    <w:rPr>
                      <w:rFonts w:hint="eastAsia"/>
                      <w:color w:val="FF0000"/>
                      <w:u w:val="single"/>
                      <w:lang w:val="en-US" w:eastAsia="zh-CN"/>
                    </w:rPr>
                  </w:pPr>
                  <w:r>
                    <w:rPr>
                      <w:rFonts w:hint="eastAsia"/>
                      <w:color w:val="FF0000"/>
                      <w:u w:val="single"/>
                      <w:lang w:val="en-US" w:eastAsia="zh-CN"/>
                    </w:rPr>
                    <w:t>总磷</w:t>
                  </w:r>
                </w:p>
              </w:tc>
              <w:tc>
                <w:tcPr>
                  <w:tcW w:w="550" w:type="pct"/>
                  <w:tcBorders>
                    <w:tl2br w:val="nil"/>
                    <w:tr2bl w:val="nil"/>
                  </w:tcBorders>
                  <w:noWrap w:val="0"/>
                  <w:vAlign w:val="center"/>
                </w:tcPr>
                <w:p>
                  <w:pPr>
                    <w:bidi w:val="0"/>
                    <w:jc w:val="center"/>
                    <w:rPr>
                      <w:rFonts w:hint="eastAsia"/>
                      <w:color w:val="FF0000"/>
                      <w:u w:val="single"/>
                      <w:lang w:val="en-US" w:eastAsia="zh-CN"/>
                    </w:rPr>
                  </w:pPr>
                  <w:r>
                    <w:rPr>
                      <w:rFonts w:hint="eastAsia"/>
                      <w:color w:val="FF0000"/>
                      <w:u w:val="single"/>
                      <w:lang w:val="en-US" w:eastAsia="zh-CN"/>
                    </w:rPr>
                    <w:t>mg/L</w:t>
                  </w:r>
                </w:p>
              </w:tc>
              <w:tc>
                <w:tcPr>
                  <w:tcW w:w="953"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0.01-0.03</w:t>
                  </w:r>
                </w:p>
              </w:tc>
              <w:tc>
                <w:tcPr>
                  <w:tcW w:w="540"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0</w:t>
                  </w:r>
                </w:p>
              </w:tc>
              <w:tc>
                <w:tcPr>
                  <w:tcW w:w="701"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0</w:t>
                  </w:r>
                </w:p>
              </w:tc>
              <w:tc>
                <w:tcPr>
                  <w:tcW w:w="494"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0.2</w:t>
                  </w:r>
                </w:p>
              </w:tc>
              <w:tc>
                <w:tcPr>
                  <w:tcW w:w="414"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8" w:type="pct"/>
                  <w:vMerge w:val="continue"/>
                  <w:tcBorders>
                    <w:tl2br w:val="nil"/>
                    <w:tr2bl w:val="nil"/>
                  </w:tcBorders>
                  <w:noWrap w:val="0"/>
                  <w:vAlign w:val="center"/>
                </w:tcPr>
                <w:p>
                  <w:pPr>
                    <w:bidi w:val="0"/>
                    <w:jc w:val="center"/>
                    <w:rPr>
                      <w:rFonts w:hint="default"/>
                      <w:color w:val="FF0000"/>
                      <w:u w:val="single"/>
                      <w:lang w:val="en-US" w:eastAsia="zh-CN"/>
                    </w:rPr>
                  </w:pPr>
                </w:p>
              </w:tc>
              <w:tc>
                <w:tcPr>
                  <w:tcW w:w="974" w:type="pct"/>
                  <w:tcBorders>
                    <w:tl2br w:val="nil"/>
                    <w:tr2bl w:val="nil"/>
                  </w:tcBorders>
                  <w:noWrap w:val="0"/>
                  <w:vAlign w:val="center"/>
                </w:tcPr>
                <w:p>
                  <w:pPr>
                    <w:bidi w:val="0"/>
                    <w:jc w:val="center"/>
                    <w:rPr>
                      <w:rFonts w:hint="eastAsia"/>
                      <w:color w:val="FF0000"/>
                      <w:u w:val="single"/>
                      <w:lang w:val="en-US" w:eastAsia="zh-CN"/>
                    </w:rPr>
                  </w:pPr>
                  <w:r>
                    <w:rPr>
                      <w:rFonts w:hint="eastAsia"/>
                      <w:color w:val="FF0000"/>
                      <w:u w:val="single"/>
                      <w:lang w:val="en-US" w:eastAsia="zh-CN"/>
                    </w:rPr>
                    <w:t>挥发酚</w:t>
                  </w:r>
                </w:p>
              </w:tc>
              <w:tc>
                <w:tcPr>
                  <w:tcW w:w="550" w:type="pct"/>
                  <w:tcBorders>
                    <w:tl2br w:val="nil"/>
                    <w:tr2bl w:val="nil"/>
                  </w:tcBorders>
                  <w:noWrap w:val="0"/>
                  <w:vAlign w:val="center"/>
                </w:tcPr>
                <w:p>
                  <w:pPr>
                    <w:bidi w:val="0"/>
                    <w:jc w:val="center"/>
                    <w:rPr>
                      <w:rFonts w:hint="eastAsia"/>
                      <w:color w:val="FF0000"/>
                      <w:u w:val="single"/>
                      <w:lang w:val="en-US" w:eastAsia="zh-CN"/>
                    </w:rPr>
                  </w:pPr>
                  <w:r>
                    <w:rPr>
                      <w:rFonts w:hint="eastAsia"/>
                      <w:color w:val="FF0000"/>
                      <w:u w:val="single"/>
                      <w:lang w:val="en-US" w:eastAsia="zh-CN"/>
                    </w:rPr>
                    <w:t>mg/L</w:t>
                  </w:r>
                </w:p>
              </w:tc>
              <w:tc>
                <w:tcPr>
                  <w:tcW w:w="953"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0.0003ND</w:t>
                  </w:r>
                </w:p>
              </w:tc>
              <w:tc>
                <w:tcPr>
                  <w:tcW w:w="540"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0</w:t>
                  </w:r>
                </w:p>
              </w:tc>
              <w:tc>
                <w:tcPr>
                  <w:tcW w:w="701"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0</w:t>
                  </w:r>
                </w:p>
              </w:tc>
              <w:tc>
                <w:tcPr>
                  <w:tcW w:w="494"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0.005</w:t>
                  </w:r>
                </w:p>
              </w:tc>
              <w:tc>
                <w:tcPr>
                  <w:tcW w:w="414"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8" w:type="pct"/>
                  <w:vMerge w:val="continue"/>
                  <w:tcBorders>
                    <w:tl2br w:val="nil"/>
                    <w:tr2bl w:val="nil"/>
                  </w:tcBorders>
                  <w:noWrap w:val="0"/>
                  <w:vAlign w:val="center"/>
                </w:tcPr>
                <w:p>
                  <w:pPr>
                    <w:bidi w:val="0"/>
                    <w:jc w:val="center"/>
                    <w:rPr>
                      <w:rFonts w:hint="default"/>
                      <w:color w:val="FF0000"/>
                      <w:u w:val="single"/>
                      <w:lang w:val="en-US" w:eastAsia="zh-CN"/>
                    </w:rPr>
                  </w:pPr>
                </w:p>
              </w:tc>
              <w:tc>
                <w:tcPr>
                  <w:tcW w:w="974" w:type="pct"/>
                  <w:tcBorders>
                    <w:tl2br w:val="nil"/>
                    <w:tr2bl w:val="nil"/>
                  </w:tcBorders>
                  <w:noWrap w:val="0"/>
                  <w:vAlign w:val="center"/>
                </w:tcPr>
                <w:p>
                  <w:pPr>
                    <w:bidi w:val="0"/>
                    <w:jc w:val="center"/>
                    <w:rPr>
                      <w:rFonts w:hint="eastAsia"/>
                      <w:color w:val="FF0000"/>
                      <w:u w:val="single"/>
                      <w:lang w:val="en-US" w:eastAsia="zh-CN"/>
                    </w:rPr>
                  </w:pPr>
                  <w:r>
                    <w:rPr>
                      <w:rFonts w:hint="eastAsia"/>
                      <w:color w:val="FF0000"/>
                      <w:u w:val="single"/>
                      <w:lang w:val="en-US" w:eastAsia="zh-CN"/>
                    </w:rPr>
                    <w:t>石油类</w:t>
                  </w:r>
                </w:p>
              </w:tc>
              <w:tc>
                <w:tcPr>
                  <w:tcW w:w="550" w:type="pct"/>
                  <w:tcBorders>
                    <w:tl2br w:val="nil"/>
                    <w:tr2bl w:val="nil"/>
                  </w:tcBorders>
                  <w:noWrap w:val="0"/>
                  <w:vAlign w:val="center"/>
                </w:tcPr>
                <w:p>
                  <w:pPr>
                    <w:bidi w:val="0"/>
                    <w:jc w:val="center"/>
                    <w:rPr>
                      <w:rFonts w:hint="eastAsia"/>
                      <w:color w:val="FF0000"/>
                      <w:u w:val="single"/>
                      <w:lang w:val="en-US" w:eastAsia="zh-CN"/>
                    </w:rPr>
                  </w:pPr>
                  <w:r>
                    <w:rPr>
                      <w:rFonts w:hint="eastAsia"/>
                      <w:color w:val="FF0000"/>
                      <w:u w:val="single"/>
                      <w:lang w:val="en-US" w:eastAsia="zh-CN"/>
                    </w:rPr>
                    <w:t>mg/L</w:t>
                  </w:r>
                </w:p>
              </w:tc>
              <w:tc>
                <w:tcPr>
                  <w:tcW w:w="953"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0.01-0.02</w:t>
                  </w:r>
                </w:p>
              </w:tc>
              <w:tc>
                <w:tcPr>
                  <w:tcW w:w="540"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0</w:t>
                  </w:r>
                </w:p>
              </w:tc>
              <w:tc>
                <w:tcPr>
                  <w:tcW w:w="701"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0</w:t>
                  </w:r>
                </w:p>
              </w:tc>
              <w:tc>
                <w:tcPr>
                  <w:tcW w:w="494"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0.05</w:t>
                  </w:r>
                </w:p>
              </w:tc>
              <w:tc>
                <w:tcPr>
                  <w:tcW w:w="414"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8" w:type="pct"/>
                  <w:vMerge w:val="continue"/>
                  <w:tcBorders>
                    <w:tl2br w:val="nil"/>
                    <w:tr2bl w:val="nil"/>
                  </w:tcBorders>
                  <w:noWrap w:val="0"/>
                  <w:vAlign w:val="center"/>
                </w:tcPr>
                <w:p>
                  <w:pPr>
                    <w:bidi w:val="0"/>
                    <w:jc w:val="center"/>
                    <w:rPr>
                      <w:rFonts w:hint="default"/>
                      <w:color w:val="FF0000"/>
                      <w:u w:val="single"/>
                      <w:lang w:val="en-US" w:eastAsia="zh-CN"/>
                    </w:rPr>
                  </w:pPr>
                </w:p>
              </w:tc>
              <w:tc>
                <w:tcPr>
                  <w:tcW w:w="974"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LAS</w:t>
                  </w:r>
                </w:p>
              </w:tc>
              <w:tc>
                <w:tcPr>
                  <w:tcW w:w="550" w:type="pct"/>
                  <w:tcBorders>
                    <w:tl2br w:val="nil"/>
                    <w:tr2bl w:val="nil"/>
                  </w:tcBorders>
                  <w:noWrap w:val="0"/>
                  <w:vAlign w:val="center"/>
                </w:tcPr>
                <w:p>
                  <w:pPr>
                    <w:bidi w:val="0"/>
                    <w:jc w:val="center"/>
                    <w:rPr>
                      <w:rFonts w:hint="eastAsia"/>
                      <w:color w:val="FF0000"/>
                      <w:u w:val="single"/>
                      <w:lang w:val="en-US" w:eastAsia="zh-CN"/>
                    </w:rPr>
                  </w:pPr>
                  <w:r>
                    <w:rPr>
                      <w:rFonts w:hint="eastAsia"/>
                      <w:color w:val="FF0000"/>
                      <w:u w:val="single"/>
                      <w:lang w:val="en-US" w:eastAsia="zh-CN"/>
                    </w:rPr>
                    <w:t>mg/L</w:t>
                  </w:r>
                </w:p>
              </w:tc>
              <w:tc>
                <w:tcPr>
                  <w:tcW w:w="953"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0.05ND</w:t>
                  </w:r>
                </w:p>
              </w:tc>
              <w:tc>
                <w:tcPr>
                  <w:tcW w:w="540"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0</w:t>
                  </w:r>
                </w:p>
              </w:tc>
              <w:tc>
                <w:tcPr>
                  <w:tcW w:w="701"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0</w:t>
                  </w:r>
                </w:p>
              </w:tc>
              <w:tc>
                <w:tcPr>
                  <w:tcW w:w="494"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0.2</w:t>
                  </w:r>
                </w:p>
              </w:tc>
              <w:tc>
                <w:tcPr>
                  <w:tcW w:w="414"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8" w:type="pct"/>
                  <w:vMerge w:val="continue"/>
                  <w:tcBorders>
                    <w:tl2br w:val="nil"/>
                    <w:tr2bl w:val="nil"/>
                  </w:tcBorders>
                  <w:noWrap w:val="0"/>
                  <w:vAlign w:val="center"/>
                </w:tcPr>
                <w:p>
                  <w:pPr>
                    <w:bidi w:val="0"/>
                    <w:jc w:val="center"/>
                    <w:rPr>
                      <w:rFonts w:hint="default"/>
                      <w:color w:val="FF0000"/>
                      <w:u w:val="single"/>
                      <w:lang w:val="en-US" w:eastAsia="zh-CN"/>
                    </w:rPr>
                  </w:pPr>
                </w:p>
              </w:tc>
              <w:tc>
                <w:tcPr>
                  <w:tcW w:w="974" w:type="pct"/>
                  <w:tcBorders>
                    <w:tl2br w:val="nil"/>
                    <w:tr2bl w:val="nil"/>
                  </w:tcBorders>
                  <w:noWrap w:val="0"/>
                  <w:vAlign w:val="center"/>
                </w:tcPr>
                <w:p>
                  <w:pPr>
                    <w:bidi w:val="0"/>
                    <w:jc w:val="center"/>
                    <w:rPr>
                      <w:rFonts w:hint="eastAsia"/>
                      <w:color w:val="FF0000"/>
                      <w:u w:val="single"/>
                      <w:lang w:val="en-US" w:eastAsia="zh-CN"/>
                    </w:rPr>
                  </w:pPr>
                  <w:r>
                    <w:rPr>
                      <w:rFonts w:hint="eastAsia"/>
                      <w:color w:val="FF0000"/>
                      <w:u w:val="single"/>
                      <w:lang w:val="en-US" w:eastAsia="zh-CN"/>
                    </w:rPr>
                    <w:t>粪大肠菌群</w:t>
                  </w:r>
                </w:p>
              </w:tc>
              <w:tc>
                <w:tcPr>
                  <w:tcW w:w="550" w:type="pct"/>
                  <w:tcBorders>
                    <w:tl2br w:val="nil"/>
                    <w:tr2bl w:val="nil"/>
                  </w:tcBorders>
                  <w:noWrap w:val="0"/>
                  <w:vAlign w:val="center"/>
                </w:tcPr>
                <w:p>
                  <w:pPr>
                    <w:bidi w:val="0"/>
                    <w:jc w:val="center"/>
                    <w:rPr>
                      <w:rFonts w:hint="eastAsia"/>
                      <w:color w:val="FF0000"/>
                      <w:u w:val="single"/>
                      <w:lang w:val="en-US" w:eastAsia="zh-CN"/>
                    </w:rPr>
                  </w:pPr>
                  <w:r>
                    <w:rPr>
                      <w:rFonts w:hint="eastAsia"/>
                      <w:color w:val="FF0000"/>
                      <w:u w:val="single"/>
                      <w:lang w:val="en-US" w:eastAsia="zh-CN"/>
                    </w:rPr>
                    <w:t>个/L</w:t>
                  </w:r>
                </w:p>
              </w:tc>
              <w:tc>
                <w:tcPr>
                  <w:tcW w:w="953" w:type="pct"/>
                  <w:tcBorders>
                    <w:tl2br w:val="nil"/>
                    <w:tr2bl w:val="nil"/>
                  </w:tcBorders>
                  <w:noWrap w:val="0"/>
                  <w:vAlign w:val="center"/>
                </w:tcPr>
                <w:p>
                  <w:pPr>
                    <w:bidi w:val="0"/>
                    <w:jc w:val="center"/>
                    <w:rPr>
                      <w:rFonts w:hint="default"/>
                      <w:color w:val="FF0000"/>
                      <w:u w:val="single"/>
                      <w:lang w:val="en-US" w:eastAsia="zh-CN"/>
                    </w:rPr>
                  </w:pPr>
                  <w:r>
                    <w:rPr>
                      <w:rFonts w:hint="eastAsia"/>
                      <w:color w:val="FF0000"/>
                      <w:u w:val="single"/>
                      <w:lang w:val="en-US" w:eastAsia="zh-CN"/>
                    </w:rPr>
                    <w:t>2833-9200</w:t>
                  </w:r>
                </w:p>
              </w:tc>
              <w:tc>
                <w:tcPr>
                  <w:tcW w:w="540" w:type="pct"/>
                  <w:tcBorders>
                    <w:tl2br w:val="nil"/>
                    <w:tr2bl w:val="nil"/>
                  </w:tcBorders>
                  <w:noWrap w:val="0"/>
                  <w:vAlign w:val="center"/>
                </w:tcPr>
                <w:p>
                  <w:pPr>
                    <w:bidi w:val="0"/>
                    <w:jc w:val="center"/>
                    <w:rPr>
                      <w:rFonts w:hint="eastAsia"/>
                      <w:color w:val="FF0000"/>
                      <w:u w:val="single"/>
                      <w:lang w:val="en-US" w:eastAsia="zh-CN"/>
                    </w:rPr>
                  </w:pPr>
                  <w:r>
                    <w:rPr>
                      <w:rFonts w:hint="eastAsia"/>
                      <w:color w:val="FF0000"/>
                      <w:u w:val="single"/>
                      <w:lang w:val="en-US" w:eastAsia="zh-CN"/>
                    </w:rPr>
                    <w:t>0</w:t>
                  </w:r>
                </w:p>
              </w:tc>
              <w:tc>
                <w:tcPr>
                  <w:tcW w:w="701" w:type="pct"/>
                  <w:tcBorders>
                    <w:tl2br w:val="nil"/>
                    <w:tr2bl w:val="nil"/>
                  </w:tcBorders>
                  <w:noWrap w:val="0"/>
                  <w:vAlign w:val="center"/>
                </w:tcPr>
                <w:p>
                  <w:pPr>
                    <w:bidi w:val="0"/>
                    <w:jc w:val="center"/>
                    <w:rPr>
                      <w:rFonts w:hint="eastAsia"/>
                      <w:color w:val="FF0000"/>
                      <w:u w:val="single"/>
                      <w:lang w:val="en-US" w:eastAsia="zh-CN"/>
                    </w:rPr>
                  </w:pPr>
                  <w:r>
                    <w:rPr>
                      <w:rFonts w:hint="eastAsia"/>
                      <w:color w:val="FF0000"/>
                      <w:u w:val="single"/>
                      <w:lang w:val="en-US" w:eastAsia="zh-CN"/>
                    </w:rPr>
                    <w:t>0</w:t>
                  </w:r>
                </w:p>
              </w:tc>
              <w:tc>
                <w:tcPr>
                  <w:tcW w:w="494" w:type="pct"/>
                  <w:tcBorders>
                    <w:tl2br w:val="nil"/>
                    <w:tr2bl w:val="nil"/>
                  </w:tcBorders>
                  <w:noWrap w:val="0"/>
                  <w:vAlign w:val="center"/>
                </w:tcPr>
                <w:p>
                  <w:pPr>
                    <w:bidi w:val="0"/>
                    <w:jc w:val="center"/>
                    <w:rPr>
                      <w:rFonts w:hint="eastAsia"/>
                      <w:color w:val="FF0000"/>
                      <w:u w:val="single"/>
                      <w:lang w:val="en-US" w:eastAsia="zh-CN"/>
                    </w:rPr>
                  </w:pPr>
                  <w:r>
                    <w:rPr>
                      <w:rFonts w:hint="eastAsia"/>
                      <w:color w:val="FF0000"/>
                      <w:u w:val="single"/>
                      <w:lang w:val="en-US" w:eastAsia="zh-CN"/>
                    </w:rPr>
                    <w:t>10000</w:t>
                  </w:r>
                </w:p>
              </w:tc>
              <w:tc>
                <w:tcPr>
                  <w:tcW w:w="414" w:type="pct"/>
                  <w:tcBorders>
                    <w:tl2br w:val="nil"/>
                    <w:tr2bl w:val="nil"/>
                  </w:tcBorders>
                  <w:noWrap w:val="0"/>
                  <w:vAlign w:val="center"/>
                </w:tcPr>
                <w:p>
                  <w:pPr>
                    <w:bidi w:val="0"/>
                    <w:jc w:val="center"/>
                    <w:rPr>
                      <w:rFonts w:hint="eastAsia"/>
                      <w:color w:val="FF0000"/>
                      <w:u w:val="single"/>
                      <w:lang w:val="en-US" w:eastAsia="zh-CN"/>
                    </w:rPr>
                  </w:pPr>
                  <w:r>
                    <w:rPr>
                      <w:rFonts w:hint="eastAsia"/>
                      <w:color w:val="FF0000"/>
                      <w:u w:val="single"/>
                      <w:lang w:val="en-US" w:eastAsia="zh-CN"/>
                    </w:rPr>
                    <w:t>达标</w:t>
                  </w:r>
                </w:p>
              </w:tc>
            </w:tr>
          </w:tbl>
          <w:p>
            <w:pPr>
              <w:spacing w:line="360" w:lineRule="auto"/>
              <w:jc w:val="center"/>
              <w:rPr>
                <w:b/>
                <w:color w:val="FF0000"/>
                <w:sz w:val="21"/>
                <w:szCs w:val="21"/>
                <w:u w:val="single"/>
              </w:rPr>
            </w:pPr>
            <w:r>
              <w:rPr>
                <w:b/>
                <w:color w:val="FF0000"/>
                <w:sz w:val="21"/>
                <w:szCs w:val="21"/>
                <w:u w:val="single"/>
              </w:rPr>
              <w:t xml:space="preserve">表 </w:t>
            </w:r>
            <w:r>
              <w:rPr>
                <w:rFonts w:hint="eastAsia"/>
                <w:b/>
                <w:color w:val="FF0000"/>
                <w:sz w:val="21"/>
                <w:szCs w:val="21"/>
                <w:u w:val="single"/>
                <w:lang w:val="en-US" w:eastAsia="zh-CN"/>
              </w:rPr>
              <w:t>3</w:t>
            </w:r>
            <w:r>
              <w:rPr>
                <w:b/>
                <w:color w:val="FF0000"/>
                <w:sz w:val="21"/>
                <w:szCs w:val="21"/>
                <w:u w:val="single"/>
              </w:rPr>
              <w:t>-</w:t>
            </w:r>
            <w:r>
              <w:rPr>
                <w:rFonts w:hint="eastAsia"/>
                <w:b/>
                <w:color w:val="FF0000"/>
                <w:sz w:val="21"/>
                <w:szCs w:val="21"/>
                <w:u w:val="single"/>
                <w:lang w:val="en-US" w:eastAsia="zh-CN"/>
              </w:rPr>
              <w:t>4</w:t>
            </w:r>
            <w:r>
              <w:rPr>
                <w:b/>
                <w:color w:val="FF0000"/>
                <w:sz w:val="21"/>
                <w:szCs w:val="21"/>
                <w:u w:val="single"/>
              </w:rPr>
              <w:t>洋沙湖断面监测数据统计表 单位：mg/L（pH无量纲）</w:t>
            </w:r>
          </w:p>
          <w:tbl>
            <w:tblPr>
              <w:tblStyle w:val="17"/>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63"/>
              <w:gridCol w:w="1389"/>
              <w:gridCol w:w="1032"/>
              <w:gridCol w:w="788"/>
              <w:gridCol w:w="788"/>
              <w:gridCol w:w="794"/>
              <w:gridCol w:w="858"/>
              <w:gridCol w:w="194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06" w:hRule="atLeast"/>
                <w:jc w:val="center"/>
              </w:trPr>
              <w:tc>
                <w:tcPr>
                  <w:tcW w:w="510" w:type="pct"/>
                  <w:vMerge w:val="restart"/>
                  <w:tcBorders>
                    <w:tl2br w:val="nil"/>
                    <w:tr2bl w:val="nil"/>
                  </w:tcBorders>
                  <w:noWrap w:val="0"/>
                  <w:vAlign w:val="center"/>
                </w:tcPr>
                <w:p>
                  <w:pPr>
                    <w:adjustRightInd w:val="0"/>
                    <w:snapToGrid w:val="0"/>
                    <w:jc w:val="center"/>
                    <w:rPr>
                      <w:b w:val="0"/>
                      <w:bCs w:val="0"/>
                      <w:color w:val="FF0000"/>
                      <w:sz w:val="21"/>
                      <w:szCs w:val="21"/>
                      <w:u w:val="single"/>
                    </w:rPr>
                  </w:pPr>
                  <w:r>
                    <w:rPr>
                      <w:b w:val="0"/>
                      <w:bCs w:val="0"/>
                      <w:color w:val="FF0000"/>
                      <w:sz w:val="21"/>
                      <w:szCs w:val="21"/>
                      <w:u w:val="single"/>
                    </w:rPr>
                    <w:t>监测</w:t>
                  </w:r>
                </w:p>
                <w:p>
                  <w:pPr>
                    <w:adjustRightInd w:val="0"/>
                    <w:snapToGrid w:val="0"/>
                    <w:jc w:val="center"/>
                    <w:rPr>
                      <w:b w:val="0"/>
                      <w:bCs w:val="0"/>
                      <w:color w:val="FF0000"/>
                      <w:sz w:val="21"/>
                      <w:szCs w:val="21"/>
                      <w:u w:val="single"/>
                    </w:rPr>
                  </w:pPr>
                  <w:r>
                    <w:rPr>
                      <w:b w:val="0"/>
                      <w:bCs w:val="0"/>
                      <w:color w:val="FF0000"/>
                      <w:sz w:val="21"/>
                      <w:szCs w:val="21"/>
                      <w:u w:val="single"/>
                    </w:rPr>
                    <w:t>时间</w:t>
                  </w:r>
                </w:p>
              </w:tc>
              <w:tc>
                <w:tcPr>
                  <w:tcW w:w="821" w:type="pct"/>
                  <w:vMerge w:val="restart"/>
                  <w:tcBorders>
                    <w:tl2br w:val="nil"/>
                    <w:tr2bl w:val="nil"/>
                  </w:tcBorders>
                  <w:noWrap w:val="0"/>
                  <w:vAlign w:val="center"/>
                </w:tcPr>
                <w:p>
                  <w:pPr>
                    <w:adjustRightInd w:val="0"/>
                    <w:snapToGrid w:val="0"/>
                    <w:jc w:val="center"/>
                    <w:rPr>
                      <w:b w:val="0"/>
                      <w:bCs w:val="0"/>
                      <w:color w:val="FF0000"/>
                      <w:sz w:val="21"/>
                      <w:szCs w:val="21"/>
                      <w:u w:val="single"/>
                    </w:rPr>
                  </w:pPr>
                  <w:r>
                    <w:rPr>
                      <w:b w:val="0"/>
                      <w:bCs w:val="0"/>
                      <w:color w:val="FF0000"/>
                      <w:sz w:val="21"/>
                      <w:szCs w:val="21"/>
                      <w:u w:val="single"/>
                    </w:rPr>
                    <w:t>监测因子</w:t>
                  </w:r>
                </w:p>
              </w:tc>
              <w:tc>
                <w:tcPr>
                  <w:tcW w:w="2011" w:type="pct"/>
                  <w:gridSpan w:val="4"/>
                  <w:tcBorders>
                    <w:tl2br w:val="nil"/>
                    <w:tr2bl w:val="nil"/>
                  </w:tcBorders>
                  <w:noWrap w:val="0"/>
                  <w:vAlign w:val="center"/>
                </w:tcPr>
                <w:p>
                  <w:pPr>
                    <w:adjustRightInd w:val="0"/>
                    <w:snapToGrid w:val="0"/>
                    <w:jc w:val="center"/>
                    <w:rPr>
                      <w:b w:val="0"/>
                      <w:bCs w:val="0"/>
                      <w:color w:val="FF0000"/>
                      <w:sz w:val="21"/>
                      <w:szCs w:val="21"/>
                      <w:u w:val="single"/>
                    </w:rPr>
                  </w:pPr>
                  <w:r>
                    <w:rPr>
                      <w:b w:val="0"/>
                      <w:bCs w:val="0"/>
                      <w:color w:val="FF0000"/>
                      <w:sz w:val="21"/>
                      <w:szCs w:val="21"/>
                      <w:u w:val="single"/>
                    </w:rPr>
                    <w:t>监测结果</w:t>
                  </w:r>
                </w:p>
              </w:tc>
              <w:tc>
                <w:tcPr>
                  <w:tcW w:w="507" w:type="pct"/>
                  <w:vMerge w:val="restart"/>
                  <w:tcBorders>
                    <w:tl2br w:val="nil"/>
                    <w:tr2bl w:val="nil"/>
                  </w:tcBorders>
                  <w:noWrap w:val="0"/>
                  <w:vAlign w:val="center"/>
                </w:tcPr>
                <w:p>
                  <w:pPr>
                    <w:adjustRightInd w:val="0"/>
                    <w:snapToGrid w:val="0"/>
                    <w:jc w:val="center"/>
                    <w:rPr>
                      <w:b w:val="0"/>
                      <w:bCs w:val="0"/>
                      <w:color w:val="FF0000"/>
                      <w:sz w:val="21"/>
                      <w:szCs w:val="21"/>
                      <w:u w:val="single"/>
                    </w:rPr>
                  </w:pPr>
                  <w:r>
                    <w:rPr>
                      <w:b w:val="0"/>
                      <w:bCs w:val="0"/>
                      <w:color w:val="FF0000"/>
                      <w:sz w:val="21"/>
                      <w:szCs w:val="21"/>
                      <w:u w:val="single"/>
                    </w:rPr>
                    <w:t>超标（%）</w:t>
                  </w:r>
                </w:p>
              </w:tc>
              <w:tc>
                <w:tcPr>
                  <w:tcW w:w="1149" w:type="pct"/>
                  <w:vMerge w:val="restart"/>
                  <w:tcBorders>
                    <w:tl2br w:val="nil"/>
                    <w:tr2bl w:val="nil"/>
                  </w:tcBorders>
                  <w:noWrap w:val="0"/>
                  <w:vAlign w:val="center"/>
                </w:tcPr>
                <w:p>
                  <w:pPr>
                    <w:adjustRightInd w:val="0"/>
                    <w:snapToGrid w:val="0"/>
                    <w:jc w:val="center"/>
                    <w:rPr>
                      <w:b w:val="0"/>
                      <w:bCs w:val="0"/>
                      <w:color w:val="FF0000"/>
                      <w:sz w:val="21"/>
                      <w:szCs w:val="21"/>
                      <w:u w:val="single"/>
                    </w:rPr>
                  </w:pPr>
                  <w:r>
                    <w:rPr>
                      <w:b w:val="0"/>
                      <w:bCs w:val="0"/>
                      <w:color w:val="FF0000"/>
                      <w:sz w:val="21"/>
                      <w:szCs w:val="21"/>
                      <w:u w:val="single"/>
                    </w:rPr>
                    <w:t>执行标准</w:t>
                  </w:r>
                </w:p>
                <w:p>
                  <w:pPr>
                    <w:adjustRightInd w:val="0"/>
                    <w:snapToGrid w:val="0"/>
                    <w:jc w:val="center"/>
                    <w:rPr>
                      <w:b w:val="0"/>
                      <w:bCs w:val="0"/>
                      <w:color w:val="FF0000"/>
                      <w:sz w:val="21"/>
                      <w:szCs w:val="21"/>
                      <w:u w:val="single"/>
                    </w:rPr>
                  </w:pPr>
                  <w:r>
                    <w:rPr>
                      <w:b w:val="0"/>
                      <w:bCs w:val="0"/>
                      <w:color w:val="FF0000"/>
                      <w:sz w:val="21"/>
                      <w:szCs w:val="21"/>
                      <w:u w:val="single"/>
                    </w:rPr>
                    <w:t>（GB3838-2002Ⅲ类）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510" w:type="pct"/>
                  <w:vMerge w:val="continue"/>
                  <w:tcBorders>
                    <w:tl2br w:val="nil"/>
                    <w:tr2bl w:val="nil"/>
                  </w:tcBorders>
                  <w:noWrap w:val="0"/>
                  <w:vAlign w:val="center"/>
                </w:tcPr>
                <w:p>
                  <w:pPr>
                    <w:adjustRightInd w:val="0"/>
                    <w:snapToGrid w:val="0"/>
                    <w:jc w:val="center"/>
                    <w:rPr>
                      <w:b w:val="0"/>
                      <w:bCs w:val="0"/>
                      <w:color w:val="FF0000"/>
                      <w:sz w:val="21"/>
                      <w:szCs w:val="21"/>
                      <w:u w:val="single"/>
                    </w:rPr>
                  </w:pPr>
                </w:p>
              </w:tc>
              <w:tc>
                <w:tcPr>
                  <w:tcW w:w="821" w:type="pct"/>
                  <w:vMerge w:val="continue"/>
                  <w:tcBorders>
                    <w:tl2br w:val="nil"/>
                    <w:tr2bl w:val="nil"/>
                  </w:tcBorders>
                  <w:noWrap w:val="0"/>
                  <w:vAlign w:val="center"/>
                </w:tcPr>
                <w:p>
                  <w:pPr>
                    <w:adjustRightInd w:val="0"/>
                    <w:snapToGrid w:val="0"/>
                    <w:jc w:val="center"/>
                    <w:rPr>
                      <w:b w:val="0"/>
                      <w:bCs w:val="0"/>
                      <w:color w:val="FF0000"/>
                      <w:sz w:val="21"/>
                      <w:szCs w:val="21"/>
                      <w:u w:val="single"/>
                    </w:rPr>
                  </w:pPr>
                </w:p>
              </w:tc>
              <w:tc>
                <w:tcPr>
                  <w:tcW w:w="610" w:type="pct"/>
                  <w:tcBorders>
                    <w:tl2br w:val="nil"/>
                    <w:tr2bl w:val="nil"/>
                  </w:tcBorders>
                  <w:noWrap w:val="0"/>
                  <w:vAlign w:val="center"/>
                </w:tcPr>
                <w:p>
                  <w:pPr>
                    <w:snapToGrid w:val="0"/>
                    <w:spacing w:line="240" w:lineRule="auto"/>
                    <w:ind w:left="0" w:leftChars="0"/>
                    <w:jc w:val="center"/>
                    <w:textAlignment w:val="baseline"/>
                    <w:rPr>
                      <w:b w:val="0"/>
                      <w:bCs w:val="0"/>
                      <w:color w:val="FF0000"/>
                      <w:sz w:val="21"/>
                      <w:szCs w:val="21"/>
                      <w:u w:val="single"/>
                    </w:rPr>
                  </w:pPr>
                  <w:r>
                    <w:rPr>
                      <w:rFonts w:hint="default" w:ascii="Times New Roman" w:hAnsi="Times New Roman" w:eastAsia="宋体" w:cs="Times New Roman"/>
                      <w:b w:val="0"/>
                      <w:bCs w:val="0"/>
                      <w:color w:val="FF0000"/>
                      <w:sz w:val="21"/>
                      <w:szCs w:val="21"/>
                      <w:u w:val="single"/>
                    </w:rPr>
                    <w:t>左</w:t>
                  </w:r>
                </w:p>
              </w:tc>
              <w:tc>
                <w:tcPr>
                  <w:tcW w:w="466" w:type="pct"/>
                  <w:tcBorders>
                    <w:tl2br w:val="nil"/>
                    <w:tr2bl w:val="nil"/>
                  </w:tcBorders>
                  <w:noWrap w:val="0"/>
                  <w:vAlign w:val="center"/>
                </w:tcPr>
                <w:p>
                  <w:pPr>
                    <w:snapToGrid w:val="0"/>
                    <w:spacing w:line="240" w:lineRule="auto"/>
                    <w:ind w:left="0" w:leftChars="0"/>
                    <w:jc w:val="center"/>
                    <w:textAlignment w:val="baseline"/>
                    <w:rPr>
                      <w:b w:val="0"/>
                      <w:bCs w:val="0"/>
                      <w:color w:val="FF0000"/>
                      <w:sz w:val="21"/>
                      <w:szCs w:val="21"/>
                      <w:u w:val="single"/>
                    </w:rPr>
                  </w:pPr>
                  <w:r>
                    <w:rPr>
                      <w:rFonts w:hint="default" w:ascii="Times New Roman" w:hAnsi="Times New Roman" w:eastAsia="宋体" w:cs="Times New Roman"/>
                      <w:b w:val="0"/>
                      <w:bCs w:val="0"/>
                      <w:color w:val="FF0000"/>
                      <w:sz w:val="21"/>
                      <w:szCs w:val="21"/>
                      <w:u w:val="single"/>
                    </w:rPr>
                    <w:t>中</w:t>
                  </w:r>
                </w:p>
              </w:tc>
              <w:tc>
                <w:tcPr>
                  <w:tcW w:w="466" w:type="pct"/>
                  <w:tcBorders>
                    <w:tl2br w:val="nil"/>
                    <w:tr2bl w:val="nil"/>
                  </w:tcBorders>
                  <w:noWrap w:val="0"/>
                  <w:vAlign w:val="center"/>
                </w:tcPr>
                <w:p>
                  <w:pPr>
                    <w:snapToGrid w:val="0"/>
                    <w:spacing w:line="240" w:lineRule="auto"/>
                    <w:ind w:left="0" w:leftChars="0"/>
                    <w:jc w:val="center"/>
                    <w:textAlignment w:val="baseline"/>
                    <w:rPr>
                      <w:b w:val="0"/>
                      <w:bCs w:val="0"/>
                      <w:color w:val="FF0000"/>
                      <w:sz w:val="21"/>
                      <w:szCs w:val="21"/>
                      <w:u w:val="single"/>
                    </w:rPr>
                  </w:pPr>
                  <w:r>
                    <w:rPr>
                      <w:rFonts w:hint="default" w:ascii="Times New Roman" w:hAnsi="Times New Roman" w:eastAsia="宋体" w:cs="Times New Roman"/>
                      <w:b w:val="0"/>
                      <w:bCs w:val="0"/>
                      <w:color w:val="FF0000"/>
                      <w:sz w:val="21"/>
                      <w:szCs w:val="21"/>
                      <w:u w:val="single"/>
                    </w:rPr>
                    <w:t>右</w:t>
                  </w:r>
                </w:p>
              </w:tc>
              <w:tc>
                <w:tcPr>
                  <w:tcW w:w="468" w:type="pct"/>
                  <w:tcBorders>
                    <w:tl2br w:val="nil"/>
                    <w:tr2bl w:val="nil"/>
                  </w:tcBorders>
                  <w:noWrap w:val="0"/>
                  <w:vAlign w:val="center"/>
                </w:tcPr>
                <w:p>
                  <w:pPr>
                    <w:snapToGrid w:val="0"/>
                    <w:spacing w:line="240" w:lineRule="auto"/>
                    <w:ind w:left="0" w:leftChars="0"/>
                    <w:jc w:val="center"/>
                    <w:textAlignment w:val="baseline"/>
                    <w:rPr>
                      <w:b w:val="0"/>
                      <w:bCs w:val="0"/>
                      <w:color w:val="FF0000"/>
                      <w:sz w:val="21"/>
                      <w:szCs w:val="21"/>
                      <w:u w:val="single"/>
                    </w:rPr>
                  </w:pPr>
                  <w:r>
                    <w:rPr>
                      <w:rFonts w:hint="default" w:ascii="Times New Roman" w:hAnsi="Times New Roman" w:eastAsia="宋体" w:cs="Times New Roman"/>
                      <w:b w:val="0"/>
                      <w:bCs w:val="0"/>
                      <w:color w:val="FF0000"/>
                      <w:sz w:val="21"/>
                      <w:szCs w:val="21"/>
                      <w:u w:val="single"/>
                    </w:rPr>
                    <w:t>均值</w:t>
                  </w:r>
                </w:p>
              </w:tc>
              <w:tc>
                <w:tcPr>
                  <w:tcW w:w="507" w:type="pct"/>
                  <w:vMerge w:val="continue"/>
                  <w:tcBorders>
                    <w:tl2br w:val="nil"/>
                    <w:tr2bl w:val="nil"/>
                  </w:tcBorders>
                  <w:noWrap w:val="0"/>
                  <w:vAlign w:val="center"/>
                </w:tcPr>
                <w:p>
                  <w:pPr>
                    <w:adjustRightInd w:val="0"/>
                    <w:snapToGrid w:val="0"/>
                    <w:jc w:val="center"/>
                    <w:rPr>
                      <w:b w:val="0"/>
                      <w:bCs w:val="0"/>
                      <w:color w:val="FF0000"/>
                      <w:sz w:val="21"/>
                      <w:szCs w:val="21"/>
                      <w:u w:val="single"/>
                    </w:rPr>
                  </w:pPr>
                </w:p>
              </w:tc>
              <w:tc>
                <w:tcPr>
                  <w:tcW w:w="1149" w:type="pct"/>
                  <w:vMerge w:val="continue"/>
                  <w:tcBorders>
                    <w:tl2br w:val="nil"/>
                    <w:tr2bl w:val="nil"/>
                  </w:tcBorders>
                  <w:noWrap w:val="0"/>
                  <w:vAlign w:val="center"/>
                </w:tcPr>
                <w:p>
                  <w:pPr>
                    <w:adjustRightInd w:val="0"/>
                    <w:snapToGrid w:val="0"/>
                    <w:jc w:val="center"/>
                    <w:rPr>
                      <w:b w:val="0"/>
                      <w:bCs w:val="0"/>
                      <w:color w:val="FF0000"/>
                      <w:sz w:val="21"/>
                      <w:szCs w:val="21"/>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0" w:type="pct"/>
                  <w:vMerge w:val="restart"/>
                  <w:tcBorders>
                    <w:tl2br w:val="nil"/>
                    <w:tr2bl w:val="nil"/>
                  </w:tcBorders>
                  <w:noWrap w:val="0"/>
                  <w:vAlign w:val="center"/>
                </w:tcPr>
                <w:p>
                  <w:pPr>
                    <w:adjustRightInd w:val="0"/>
                    <w:snapToGrid w:val="0"/>
                    <w:jc w:val="center"/>
                    <w:rPr>
                      <w:rFonts w:hint="default" w:eastAsia="宋体"/>
                      <w:b w:val="0"/>
                      <w:bCs w:val="0"/>
                      <w:color w:val="FF0000"/>
                      <w:sz w:val="21"/>
                      <w:szCs w:val="21"/>
                      <w:u w:val="single"/>
                      <w:lang w:val="en-US" w:eastAsia="zh-CN"/>
                    </w:rPr>
                  </w:pPr>
                  <w:r>
                    <w:rPr>
                      <w:rFonts w:hint="eastAsia"/>
                      <w:b w:val="0"/>
                      <w:bCs w:val="0"/>
                      <w:color w:val="FF0000"/>
                      <w:sz w:val="21"/>
                      <w:szCs w:val="21"/>
                      <w:u w:val="single"/>
                      <w:lang w:val="en-US" w:eastAsia="zh-CN"/>
                    </w:rPr>
                    <w:t>2019</w:t>
                  </w:r>
                </w:p>
              </w:tc>
              <w:tc>
                <w:tcPr>
                  <w:tcW w:w="821" w:type="pct"/>
                  <w:tcBorders>
                    <w:tl2br w:val="nil"/>
                    <w:tr2bl w:val="nil"/>
                  </w:tcBorders>
                  <w:noWrap w:val="0"/>
                  <w:vAlign w:val="center"/>
                </w:tcPr>
                <w:p>
                  <w:pPr>
                    <w:adjustRightInd w:val="0"/>
                    <w:snapToGrid w:val="0"/>
                    <w:jc w:val="center"/>
                    <w:rPr>
                      <w:b w:val="0"/>
                      <w:bCs w:val="0"/>
                      <w:color w:val="FF0000"/>
                      <w:sz w:val="21"/>
                      <w:szCs w:val="21"/>
                      <w:u w:val="single"/>
                    </w:rPr>
                  </w:pPr>
                  <w:r>
                    <w:rPr>
                      <w:b w:val="0"/>
                      <w:bCs w:val="0"/>
                      <w:color w:val="FF0000"/>
                      <w:sz w:val="21"/>
                      <w:szCs w:val="21"/>
                      <w:u w:val="single"/>
                    </w:rPr>
                    <w:t>pH</w:t>
                  </w:r>
                </w:p>
              </w:tc>
              <w:tc>
                <w:tcPr>
                  <w:tcW w:w="610" w:type="pct"/>
                  <w:tcBorders>
                    <w:tl2br w:val="nil"/>
                    <w:tr2bl w:val="nil"/>
                  </w:tcBorders>
                  <w:noWrap w:val="0"/>
                  <w:vAlign w:val="center"/>
                </w:tcPr>
                <w:p>
                  <w:pPr>
                    <w:snapToGrid w:val="0"/>
                    <w:spacing w:line="240" w:lineRule="auto"/>
                    <w:ind w:left="0" w:leftChars="0"/>
                    <w:jc w:val="center"/>
                    <w:rPr>
                      <w:rFonts w:hint="default" w:eastAsia="宋体"/>
                      <w:b w:val="0"/>
                      <w:bCs w:val="0"/>
                      <w:color w:val="FF0000"/>
                      <w:sz w:val="21"/>
                      <w:szCs w:val="21"/>
                      <w:u w:val="single"/>
                      <w:lang w:val="en-US" w:eastAsia="zh-CN"/>
                    </w:rPr>
                  </w:pPr>
                  <w:r>
                    <w:rPr>
                      <w:rFonts w:hint="eastAsia" w:ascii="Times New Roman" w:hAnsi="Times New Roman" w:eastAsia="宋体" w:cs="Times New Roman"/>
                      <w:b w:val="0"/>
                      <w:bCs w:val="0"/>
                      <w:color w:val="FF0000"/>
                      <w:sz w:val="21"/>
                      <w:szCs w:val="21"/>
                      <w:u w:val="single"/>
                      <w:lang w:val="en-US" w:eastAsia="zh-CN"/>
                    </w:rPr>
                    <w:t>6.98</w:t>
                  </w:r>
                </w:p>
              </w:tc>
              <w:tc>
                <w:tcPr>
                  <w:tcW w:w="466" w:type="pct"/>
                  <w:tcBorders>
                    <w:tl2br w:val="nil"/>
                    <w:tr2bl w:val="nil"/>
                  </w:tcBorders>
                  <w:noWrap w:val="0"/>
                  <w:vAlign w:val="center"/>
                </w:tcPr>
                <w:p>
                  <w:pPr>
                    <w:snapToGrid w:val="0"/>
                    <w:spacing w:line="240" w:lineRule="auto"/>
                    <w:ind w:left="0" w:leftChars="0"/>
                    <w:jc w:val="center"/>
                    <w:rPr>
                      <w:rFonts w:hint="eastAsia"/>
                      <w:b w:val="0"/>
                      <w:bCs w:val="0"/>
                      <w:color w:val="FF0000"/>
                      <w:sz w:val="21"/>
                      <w:szCs w:val="21"/>
                      <w:u w:val="single"/>
                      <w:lang w:val="en-US" w:eastAsia="zh-CN"/>
                    </w:rPr>
                  </w:pPr>
                  <w:r>
                    <w:rPr>
                      <w:rFonts w:hint="eastAsia" w:ascii="Times New Roman" w:hAnsi="Times New Roman" w:eastAsia="宋体" w:cs="Times New Roman"/>
                      <w:b w:val="0"/>
                      <w:bCs w:val="0"/>
                      <w:color w:val="FF0000"/>
                      <w:sz w:val="21"/>
                      <w:szCs w:val="21"/>
                      <w:u w:val="single"/>
                      <w:lang w:val="en-US" w:eastAsia="zh-CN"/>
                    </w:rPr>
                    <w:t>7.12</w:t>
                  </w:r>
                </w:p>
              </w:tc>
              <w:tc>
                <w:tcPr>
                  <w:tcW w:w="466" w:type="pct"/>
                  <w:tcBorders>
                    <w:tl2br w:val="nil"/>
                    <w:tr2bl w:val="nil"/>
                  </w:tcBorders>
                  <w:noWrap w:val="0"/>
                  <w:vAlign w:val="center"/>
                </w:tcPr>
                <w:p>
                  <w:pPr>
                    <w:snapToGrid w:val="0"/>
                    <w:spacing w:line="240" w:lineRule="auto"/>
                    <w:ind w:left="0" w:leftChars="0"/>
                    <w:jc w:val="center"/>
                    <w:rPr>
                      <w:b w:val="0"/>
                      <w:bCs w:val="0"/>
                      <w:color w:val="FF0000"/>
                      <w:sz w:val="21"/>
                      <w:szCs w:val="21"/>
                      <w:u w:val="single"/>
                    </w:rPr>
                  </w:pPr>
                  <w:r>
                    <w:rPr>
                      <w:rFonts w:hint="eastAsia" w:ascii="Times New Roman" w:hAnsi="Times New Roman" w:eastAsia="宋体" w:cs="Times New Roman"/>
                      <w:b w:val="0"/>
                      <w:bCs w:val="0"/>
                      <w:color w:val="FF0000"/>
                      <w:sz w:val="21"/>
                      <w:szCs w:val="21"/>
                      <w:u w:val="single"/>
                      <w:lang w:val="en-US" w:eastAsia="zh-CN"/>
                    </w:rPr>
                    <w:t>7.08</w:t>
                  </w:r>
                </w:p>
              </w:tc>
              <w:tc>
                <w:tcPr>
                  <w:tcW w:w="468" w:type="pct"/>
                  <w:tcBorders>
                    <w:tl2br w:val="nil"/>
                    <w:tr2bl w:val="nil"/>
                  </w:tcBorders>
                  <w:noWrap w:val="0"/>
                  <w:vAlign w:val="center"/>
                </w:tcPr>
                <w:p>
                  <w:pPr>
                    <w:snapToGrid w:val="0"/>
                    <w:spacing w:line="240" w:lineRule="auto"/>
                    <w:ind w:left="0" w:leftChars="0"/>
                    <w:jc w:val="center"/>
                    <w:textAlignment w:val="baseline"/>
                    <w:rPr>
                      <w:b w:val="0"/>
                      <w:bCs w:val="0"/>
                      <w:color w:val="FF0000"/>
                      <w:sz w:val="21"/>
                      <w:szCs w:val="21"/>
                      <w:u w:val="single"/>
                    </w:rPr>
                  </w:pPr>
                  <w:r>
                    <w:rPr>
                      <w:rFonts w:hint="eastAsia" w:ascii="Times New Roman" w:hAnsi="Times New Roman" w:eastAsia="宋体" w:cs="Times New Roman"/>
                      <w:b w:val="0"/>
                      <w:bCs w:val="0"/>
                      <w:color w:val="FF0000"/>
                      <w:sz w:val="21"/>
                      <w:szCs w:val="21"/>
                      <w:u w:val="single"/>
                      <w:lang w:val="en-US" w:eastAsia="zh-CN"/>
                    </w:rPr>
                    <w:t>/</w:t>
                  </w:r>
                </w:p>
              </w:tc>
              <w:tc>
                <w:tcPr>
                  <w:tcW w:w="507" w:type="pct"/>
                  <w:tcBorders>
                    <w:tl2br w:val="nil"/>
                    <w:tr2bl w:val="nil"/>
                  </w:tcBorders>
                  <w:noWrap w:val="0"/>
                  <w:vAlign w:val="center"/>
                </w:tcPr>
                <w:p>
                  <w:pPr>
                    <w:adjustRightInd w:val="0"/>
                    <w:snapToGrid w:val="0"/>
                    <w:jc w:val="center"/>
                    <w:rPr>
                      <w:b w:val="0"/>
                      <w:bCs w:val="0"/>
                      <w:color w:val="FF0000"/>
                      <w:sz w:val="21"/>
                      <w:szCs w:val="21"/>
                      <w:u w:val="single"/>
                    </w:rPr>
                  </w:pPr>
                  <w:r>
                    <w:rPr>
                      <w:b w:val="0"/>
                      <w:bCs w:val="0"/>
                      <w:color w:val="FF0000"/>
                      <w:sz w:val="21"/>
                      <w:szCs w:val="21"/>
                      <w:u w:val="single"/>
                    </w:rPr>
                    <w:t>0.00</w:t>
                  </w:r>
                </w:p>
              </w:tc>
              <w:tc>
                <w:tcPr>
                  <w:tcW w:w="1149" w:type="pct"/>
                  <w:tcBorders>
                    <w:tl2br w:val="nil"/>
                    <w:tr2bl w:val="nil"/>
                  </w:tcBorders>
                  <w:noWrap w:val="0"/>
                  <w:vAlign w:val="center"/>
                </w:tcPr>
                <w:p>
                  <w:pPr>
                    <w:adjustRightInd w:val="0"/>
                    <w:snapToGrid w:val="0"/>
                    <w:jc w:val="center"/>
                    <w:rPr>
                      <w:b w:val="0"/>
                      <w:bCs w:val="0"/>
                      <w:color w:val="FF0000"/>
                      <w:sz w:val="21"/>
                      <w:szCs w:val="21"/>
                      <w:u w:val="single"/>
                    </w:rPr>
                  </w:pPr>
                  <w:r>
                    <w:rPr>
                      <w:b w:val="0"/>
                      <w:bCs w:val="0"/>
                      <w:color w:val="FF0000"/>
                      <w:sz w:val="21"/>
                      <w:szCs w:val="21"/>
                      <w:u w:val="single"/>
                    </w:rPr>
                    <w:t>6~9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0" w:type="pct"/>
                  <w:vMerge w:val="continue"/>
                  <w:tcBorders>
                    <w:tl2br w:val="nil"/>
                    <w:tr2bl w:val="nil"/>
                  </w:tcBorders>
                  <w:noWrap w:val="0"/>
                  <w:vAlign w:val="center"/>
                </w:tcPr>
                <w:p>
                  <w:pPr>
                    <w:adjustRightInd w:val="0"/>
                    <w:snapToGrid w:val="0"/>
                    <w:jc w:val="center"/>
                    <w:rPr>
                      <w:b w:val="0"/>
                      <w:bCs w:val="0"/>
                      <w:color w:val="FF0000"/>
                      <w:sz w:val="21"/>
                      <w:szCs w:val="21"/>
                      <w:u w:val="single"/>
                    </w:rPr>
                  </w:pPr>
                </w:p>
              </w:tc>
              <w:tc>
                <w:tcPr>
                  <w:tcW w:w="821" w:type="pct"/>
                  <w:tcBorders>
                    <w:tl2br w:val="nil"/>
                    <w:tr2bl w:val="nil"/>
                  </w:tcBorders>
                  <w:noWrap w:val="0"/>
                  <w:vAlign w:val="center"/>
                </w:tcPr>
                <w:p>
                  <w:pPr>
                    <w:adjustRightInd w:val="0"/>
                    <w:snapToGrid w:val="0"/>
                    <w:jc w:val="center"/>
                    <w:rPr>
                      <w:b w:val="0"/>
                      <w:bCs w:val="0"/>
                      <w:color w:val="FF0000"/>
                      <w:sz w:val="21"/>
                      <w:szCs w:val="21"/>
                      <w:u w:val="single"/>
                    </w:rPr>
                  </w:pPr>
                  <w:r>
                    <w:rPr>
                      <w:b w:val="0"/>
                      <w:bCs w:val="0"/>
                      <w:color w:val="FF0000"/>
                      <w:sz w:val="21"/>
                      <w:szCs w:val="21"/>
                      <w:u w:val="single"/>
                    </w:rPr>
                    <w:t>COD</w:t>
                  </w:r>
                  <w:r>
                    <w:rPr>
                      <w:b w:val="0"/>
                      <w:bCs w:val="0"/>
                      <w:color w:val="FF0000"/>
                      <w:sz w:val="21"/>
                      <w:szCs w:val="21"/>
                      <w:u w:val="single"/>
                      <w:vertAlign w:val="subscript"/>
                    </w:rPr>
                    <w:t>cr</w:t>
                  </w:r>
                </w:p>
              </w:tc>
              <w:tc>
                <w:tcPr>
                  <w:tcW w:w="610" w:type="pct"/>
                  <w:tcBorders>
                    <w:tl2br w:val="nil"/>
                    <w:tr2bl w:val="nil"/>
                  </w:tcBorders>
                  <w:noWrap w:val="0"/>
                  <w:vAlign w:val="center"/>
                </w:tcPr>
                <w:p>
                  <w:pPr>
                    <w:snapToGrid w:val="0"/>
                    <w:spacing w:line="240" w:lineRule="auto"/>
                    <w:ind w:left="0" w:leftChars="0"/>
                    <w:jc w:val="center"/>
                    <w:rPr>
                      <w:rFonts w:hint="default" w:eastAsia="宋体"/>
                      <w:b w:val="0"/>
                      <w:bCs w:val="0"/>
                      <w:color w:val="FF0000"/>
                      <w:sz w:val="21"/>
                      <w:szCs w:val="21"/>
                      <w:u w:val="single"/>
                      <w:lang w:val="en-US" w:eastAsia="zh-CN"/>
                    </w:rPr>
                  </w:pPr>
                  <w:r>
                    <w:rPr>
                      <w:rFonts w:hint="eastAsia" w:ascii="Times New Roman" w:hAnsi="Times New Roman" w:eastAsia="宋体" w:cs="Times New Roman"/>
                      <w:b w:val="0"/>
                      <w:bCs w:val="0"/>
                      <w:color w:val="FF0000"/>
                      <w:sz w:val="21"/>
                      <w:szCs w:val="21"/>
                      <w:u w:val="single"/>
                      <w:lang w:val="en-US" w:eastAsia="zh-CN"/>
                    </w:rPr>
                    <w:t>13.6</w:t>
                  </w:r>
                </w:p>
              </w:tc>
              <w:tc>
                <w:tcPr>
                  <w:tcW w:w="466" w:type="pct"/>
                  <w:tcBorders>
                    <w:tl2br w:val="nil"/>
                    <w:tr2bl w:val="nil"/>
                  </w:tcBorders>
                  <w:noWrap w:val="0"/>
                  <w:vAlign w:val="center"/>
                </w:tcPr>
                <w:p>
                  <w:pPr>
                    <w:snapToGrid w:val="0"/>
                    <w:spacing w:line="240" w:lineRule="auto"/>
                    <w:ind w:left="0" w:leftChars="0"/>
                    <w:jc w:val="center"/>
                    <w:rPr>
                      <w:rFonts w:hint="eastAsia"/>
                      <w:b w:val="0"/>
                      <w:bCs w:val="0"/>
                      <w:color w:val="FF0000"/>
                      <w:sz w:val="21"/>
                      <w:szCs w:val="21"/>
                      <w:u w:val="single"/>
                      <w:lang w:val="en-US" w:eastAsia="zh-CN"/>
                    </w:rPr>
                  </w:pPr>
                  <w:r>
                    <w:rPr>
                      <w:rFonts w:hint="eastAsia" w:ascii="Times New Roman" w:hAnsi="Times New Roman" w:eastAsia="宋体" w:cs="Times New Roman"/>
                      <w:b w:val="0"/>
                      <w:bCs w:val="0"/>
                      <w:color w:val="FF0000"/>
                      <w:sz w:val="21"/>
                      <w:szCs w:val="21"/>
                      <w:u w:val="single"/>
                      <w:lang w:val="en-US" w:eastAsia="zh-CN"/>
                    </w:rPr>
                    <w:t>13.4</w:t>
                  </w:r>
                </w:p>
              </w:tc>
              <w:tc>
                <w:tcPr>
                  <w:tcW w:w="466" w:type="pct"/>
                  <w:tcBorders>
                    <w:tl2br w:val="nil"/>
                    <w:tr2bl w:val="nil"/>
                  </w:tcBorders>
                  <w:noWrap w:val="0"/>
                  <w:vAlign w:val="center"/>
                </w:tcPr>
                <w:p>
                  <w:pPr>
                    <w:snapToGrid w:val="0"/>
                    <w:spacing w:line="240" w:lineRule="auto"/>
                    <w:ind w:left="0" w:leftChars="0"/>
                    <w:jc w:val="center"/>
                    <w:rPr>
                      <w:b w:val="0"/>
                      <w:bCs w:val="0"/>
                      <w:color w:val="FF0000"/>
                      <w:sz w:val="21"/>
                      <w:szCs w:val="21"/>
                      <w:u w:val="single"/>
                    </w:rPr>
                  </w:pPr>
                  <w:r>
                    <w:rPr>
                      <w:rFonts w:hint="eastAsia" w:ascii="Times New Roman" w:hAnsi="Times New Roman" w:eastAsia="宋体" w:cs="Times New Roman"/>
                      <w:b w:val="0"/>
                      <w:bCs w:val="0"/>
                      <w:color w:val="FF0000"/>
                      <w:sz w:val="21"/>
                      <w:szCs w:val="21"/>
                      <w:u w:val="single"/>
                      <w:lang w:val="en-US" w:eastAsia="zh-CN"/>
                    </w:rPr>
                    <w:t>13.4</w:t>
                  </w:r>
                </w:p>
              </w:tc>
              <w:tc>
                <w:tcPr>
                  <w:tcW w:w="468" w:type="pct"/>
                  <w:tcBorders>
                    <w:tl2br w:val="nil"/>
                    <w:tr2bl w:val="nil"/>
                  </w:tcBorders>
                  <w:noWrap w:val="0"/>
                  <w:vAlign w:val="center"/>
                </w:tcPr>
                <w:p>
                  <w:pPr>
                    <w:snapToGrid w:val="0"/>
                    <w:spacing w:line="240" w:lineRule="auto"/>
                    <w:ind w:left="0" w:leftChars="0"/>
                    <w:jc w:val="center"/>
                    <w:rPr>
                      <w:b w:val="0"/>
                      <w:bCs w:val="0"/>
                      <w:color w:val="FF0000"/>
                      <w:sz w:val="21"/>
                      <w:szCs w:val="21"/>
                      <w:u w:val="single"/>
                    </w:rPr>
                  </w:pPr>
                  <w:r>
                    <w:rPr>
                      <w:rFonts w:hint="eastAsia" w:ascii="Times New Roman" w:hAnsi="Times New Roman" w:eastAsia="宋体" w:cs="Times New Roman"/>
                      <w:b w:val="0"/>
                      <w:bCs w:val="0"/>
                      <w:color w:val="FF0000"/>
                      <w:sz w:val="21"/>
                      <w:szCs w:val="21"/>
                      <w:u w:val="single"/>
                      <w:lang w:val="en-US" w:eastAsia="zh-CN"/>
                    </w:rPr>
                    <w:t>13.4</w:t>
                  </w:r>
                </w:p>
              </w:tc>
              <w:tc>
                <w:tcPr>
                  <w:tcW w:w="507" w:type="pct"/>
                  <w:tcBorders>
                    <w:tl2br w:val="nil"/>
                    <w:tr2bl w:val="nil"/>
                  </w:tcBorders>
                  <w:noWrap w:val="0"/>
                  <w:vAlign w:val="center"/>
                </w:tcPr>
                <w:p>
                  <w:pPr>
                    <w:adjustRightInd w:val="0"/>
                    <w:snapToGrid w:val="0"/>
                    <w:jc w:val="center"/>
                    <w:rPr>
                      <w:b w:val="0"/>
                      <w:bCs w:val="0"/>
                      <w:color w:val="FF0000"/>
                      <w:sz w:val="21"/>
                      <w:szCs w:val="21"/>
                      <w:u w:val="single"/>
                    </w:rPr>
                  </w:pPr>
                  <w:r>
                    <w:rPr>
                      <w:b w:val="0"/>
                      <w:bCs w:val="0"/>
                      <w:color w:val="FF0000"/>
                      <w:sz w:val="21"/>
                      <w:szCs w:val="21"/>
                      <w:u w:val="single"/>
                    </w:rPr>
                    <w:t>0.00</w:t>
                  </w:r>
                </w:p>
              </w:tc>
              <w:tc>
                <w:tcPr>
                  <w:tcW w:w="1149" w:type="pct"/>
                  <w:tcBorders>
                    <w:tl2br w:val="nil"/>
                    <w:tr2bl w:val="nil"/>
                  </w:tcBorders>
                  <w:noWrap w:val="0"/>
                  <w:vAlign w:val="center"/>
                </w:tcPr>
                <w:p>
                  <w:pPr>
                    <w:adjustRightInd w:val="0"/>
                    <w:snapToGrid w:val="0"/>
                    <w:jc w:val="center"/>
                    <w:rPr>
                      <w:b w:val="0"/>
                      <w:bCs w:val="0"/>
                      <w:color w:val="FF0000"/>
                      <w:sz w:val="21"/>
                      <w:szCs w:val="21"/>
                      <w:u w:val="single"/>
                    </w:rPr>
                  </w:pPr>
                  <w:r>
                    <w:rPr>
                      <w:b w:val="0"/>
                      <w:bCs w:val="0"/>
                      <w:color w:val="FF0000"/>
                      <w:sz w:val="21"/>
                      <w:szCs w:val="21"/>
                      <w:u w:val="single"/>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0" w:type="pct"/>
                  <w:vMerge w:val="continue"/>
                  <w:tcBorders>
                    <w:tl2br w:val="nil"/>
                    <w:tr2bl w:val="nil"/>
                  </w:tcBorders>
                  <w:noWrap w:val="0"/>
                  <w:vAlign w:val="center"/>
                </w:tcPr>
                <w:p>
                  <w:pPr>
                    <w:adjustRightInd w:val="0"/>
                    <w:snapToGrid w:val="0"/>
                    <w:jc w:val="center"/>
                    <w:rPr>
                      <w:b w:val="0"/>
                      <w:bCs w:val="0"/>
                      <w:color w:val="FF0000"/>
                      <w:sz w:val="21"/>
                      <w:szCs w:val="21"/>
                      <w:u w:val="single"/>
                    </w:rPr>
                  </w:pPr>
                </w:p>
              </w:tc>
              <w:tc>
                <w:tcPr>
                  <w:tcW w:w="821" w:type="pct"/>
                  <w:tcBorders>
                    <w:tl2br w:val="nil"/>
                    <w:tr2bl w:val="nil"/>
                  </w:tcBorders>
                  <w:noWrap w:val="0"/>
                  <w:vAlign w:val="center"/>
                </w:tcPr>
                <w:p>
                  <w:pPr>
                    <w:adjustRightInd w:val="0"/>
                    <w:snapToGrid w:val="0"/>
                    <w:jc w:val="center"/>
                    <w:rPr>
                      <w:b w:val="0"/>
                      <w:bCs w:val="0"/>
                      <w:color w:val="FF0000"/>
                      <w:sz w:val="21"/>
                      <w:szCs w:val="21"/>
                      <w:u w:val="single"/>
                    </w:rPr>
                  </w:pPr>
                  <w:r>
                    <w:rPr>
                      <w:b w:val="0"/>
                      <w:bCs w:val="0"/>
                      <w:color w:val="FF0000"/>
                      <w:sz w:val="21"/>
                      <w:szCs w:val="21"/>
                      <w:u w:val="single"/>
                    </w:rPr>
                    <w:t>BOD</w:t>
                  </w:r>
                  <w:r>
                    <w:rPr>
                      <w:b w:val="0"/>
                      <w:bCs w:val="0"/>
                      <w:color w:val="FF0000"/>
                      <w:sz w:val="21"/>
                      <w:szCs w:val="21"/>
                      <w:u w:val="single"/>
                      <w:vertAlign w:val="subscript"/>
                    </w:rPr>
                    <w:t>5</w:t>
                  </w:r>
                </w:p>
              </w:tc>
              <w:tc>
                <w:tcPr>
                  <w:tcW w:w="610" w:type="pct"/>
                  <w:tcBorders>
                    <w:tl2br w:val="nil"/>
                    <w:tr2bl w:val="nil"/>
                  </w:tcBorders>
                  <w:noWrap w:val="0"/>
                  <w:vAlign w:val="center"/>
                </w:tcPr>
                <w:p>
                  <w:pPr>
                    <w:snapToGrid w:val="0"/>
                    <w:spacing w:line="240" w:lineRule="auto"/>
                    <w:ind w:left="0" w:leftChars="0"/>
                    <w:jc w:val="center"/>
                    <w:rPr>
                      <w:b w:val="0"/>
                      <w:bCs w:val="0"/>
                      <w:color w:val="FF0000"/>
                      <w:sz w:val="21"/>
                      <w:szCs w:val="21"/>
                      <w:u w:val="single"/>
                    </w:rPr>
                  </w:pPr>
                  <w:r>
                    <w:rPr>
                      <w:rFonts w:hint="eastAsia" w:ascii="Times New Roman" w:hAnsi="Times New Roman" w:eastAsia="宋体" w:cs="Times New Roman"/>
                      <w:b w:val="0"/>
                      <w:bCs w:val="0"/>
                      <w:color w:val="FF0000"/>
                      <w:sz w:val="21"/>
                      <w:szCs w:val="21"/>
                      <w:u w:val="single"/>
                      <w:lang w:val="en-US" w:eastAsia="zh-CN"/>
                    </w:rPr>
                    <w:t>2.72</w:t>
                  </w:r>
                </w:p>
              </w:tc>
              <w:tc>
                <w:tcPr>
                  <w:tcW w:w="466" w:type="pct"/>
                  <w:tcBorders>
                    <w:tl2br w:val="nil"/>
                    <w:tr2bl w:val="nil"/>
                  </w:tcBorders>
                  <w:noWrap w:val="0"/>
                  <w:vAlign w:val="center"/>
                </w:tcPr>
                <w:p>
                  <w:pPr>
                    <w:snapToGrid w:val="0"/>
                    <w:spacing w:line="240" w:lineRule="auto"/>
                    <w:ind w:left="0" w:leftChars="0"/>
                    <w:jc w:val="center"/>
                    <w:rPr>
                      <w:b w:val="0"/>
                      <w:bCs w:val="0"/>
                      <w:color w:val="FF0000"/>
                      <w:sz w:val="21"/>
                      <w:szCs w:val="21"/>
                      <w:u w:val="single"/>
                    </w:rPr>
                  </w:pPr>
                  <w:r>
                    <w:rPr>
                      <w:rFonts w:hint="eastAsia" w:ascii="Times New Roman" w:hAnsi="Times New Roman" w:eastAsia="宋体" w:cs="Times New Roman"/>
                      <w:b w:val="0"/>
                      <w:bCs w:val="0"/>
                      <w:color w:val="FF0000"/>
                      <w:sz w:val="21"/>
                      <w:szCs w:val="21"/>
                      <w:u w:val="single"/>
                      <w:lang w:val="en-US" w:eastAsia="zh-CN"/>
                    </w:rPr>
                    <w:t>2.62</w:t>
                  </w:r>
                </w:p>
              </w:tc>
              <w:tc>
                <w:tcPr>
                  <w:tcW w:w="466" w:type="pct"/>
                  <w:tcBorders>
                    <w:tl2br w:val="nil"/>
                    <w:tr2bl w:val="nil"/>
                  </w:tcBorders>
                  <w:noWrap w:val="0"/>
                  <w:vAlign w:val="center"/>
                </w:tcPr>
                <w:p>
                  <w:pPr>
                    <w:snapToGrid w:val="0"/>
                    <w:spacing w:line="240" w:lineRule="auto"/>
                    <w:ind w:left="0" w:leftChars="0"/>
                    <w:jc w:val="center"/>
                    <w:rPr>
                      <w:b w:val="0"/>
                      <w:bCs w:val="0"/>
                      <w:color w:val="FF0000"/>
                      <w:sz w:val="21"/>
                      <w:szCs w:val="21"/>
                      <w:u w:val="single"/>
                    </w:rPr>
                  </w:pPr>
                  <w:r>
                    <w:rPr>
                      <w:rFonts w:hint="eastAsia" w:ascii="Times New Roman" w:hAnsi="Times New Roman" w:eastAsia="宋体" w:cs="Times New Roman"/>
                      <w:b w:val="0"/>
                      <w:bCs w:val="0"/>
                      <w:color w:val="FF0000"/>
                      <w:sz w:val="21"/>
                      <w:szCs w:val="21"/>
                      <w:u w:val="single"/>
                      <w:lang w:val="en-US" w:eastAsia="zh-CN"/>
                    </w:rPr>
                    <w:t>2.68</w:t>
                  </w:r>
                </w:p>
              </w:tc>
              <w:tc>
                <w:tcPr>
                  <w:tcW w:w="468" w:type="pct"/>
                  <w:tcBorders>
                    <w:tl2br w:val="nil"/>
                    <w:tr2bl w:val="nil"/>
                  </w:tcBorders>
                  <w:noWrap w:val="0"/>
                  <w:vAlign w:val="center"/>
                </w:tcPr>
                <w:p>
                  <w:pPr>
                    <w:snapToGrid w:val="0"/>
                    <w:spacing w:line="240" w:lineRule="auto"/>
                    <w:ind w:left="0" w:leftChars="0"/>
                    <w:jc w:val="center"/>
                    <w:rPr>
                      <w:b w:val="0"/>
                      <w:bCs w:val="0"/>
                      <w:color w:val="FF0000"/>
                      <w:sz w:val="21"/>
                      <w:szCs w:val="21"/>
                      <w:u w:val="single"/>
                    </w:rPr>
                  </w:pPr>
                  <w:r>
                    <w:rPr>
                      <w:rFonts w:hint="eastAsia" w:ascii="Times New Roman" w:hAnsi="Times New Roman" w:eastAsia="宋体" w:cs="Times New Roman"/>
                      <w:b w:val="0"/>
                      <w:bCs w:val="0"/>
                      <w:color w:val="FF0000"/>
                      <w:sz w:val="21"/>
                      <w:szCs w:val="21"/>
                      <w:u w:val="single"/>
                      <w:lang w:val="en-US" w:eastAsia="zh-CN"/>
                    </w:rPr>
                    <w:t>2.67</w:t>
                  </w:r>
                </w:p>
              </w:tc>
              <w:tc>
                <w:tcPr>
                  <w:tcW w:w="507" w:type="pct"/>
                  <w:tcBorders>
                    <w:tl2br w:val="nil"/>
                    <w:tr2bl w:val="nil"/>
                  </w:tcBorders>
                  <w:noWrap w:val="0"/>
                  <w:vAlign w:val="center"/>
                </w:tcPr>
                <w:p>
                  <w:pPr>
                    <w:adjustRightInd w:val="0"/>
                    <w:snapToGrid w:val="0"/>
                    <w:jc w:val="center"/>
                    <w:rPr>
                      <w:b w:val="0"/>
                      <w:bCs w:val="0"/>
                      <w:color w:val="FF0000"/>
                      <w:sz w:val="21"/>
                      <w:szCs w:val="21"/>
                      <w:u w:val="single"/>
                    </w:rPr>
                  </w:pPr>
                  <w:r>
                    <w:rPr>
                      <w:b w:val="0"/>
                      <w:bCs w:val="0"/>
                      <w:color w:val="FF0000"/>
                      <w:sz w:val="21"/>
                      <w:szCs w:val="21"/>
                      <w:u w:val="single"/>
                    </w:rPr>
                    <w:t>0.00</w:t>
                  </w:r>
                </w:p>
              </w:tc>
              <w:tc>
                <w:tcPr>
                  <w:tcW w:w="1149" w:type="pct"/>
                  <w:tcBorders>
                    <w:tl2br w:val="nil"/>
                    <w:tr2bl w:val="nil"/>
                  </w:tcBorders>
                  <w:noWrap w:val="0"/>
                  <w:vAlign w:val="center"/>
                </w:tcPr>
                <w:p>
                  <w:pPr>
                    <w:adjustRightInd w:val="0"/>
                    <w:snapToGrid w:val="0"/>
                    <w:jc w:val="center"/>
                    <w:rPr>
                      <w:b w:val="0"/>
                      <w:bCs w:val="0"/>
                      <w:color w:val="FF0000"/>
                      <w:sz w:val="21"/>
                      <w:szCs w:val="21"/>
                      <w:u w:val="single"/>
                    </w:rPr>
                  </w:pPr>
                  <w:r>
                    <w:rPr>
                      <w:b w:val="0"/>
                      <w:bCs w:val="0"/>
                      <w:color w:val="FF0000"/>
                      <w:sz w:val="21"/>
                      <w:szCs w:val="21"/>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0" w:type="pct"/>
                  <w:vMerge w:val="continue"/>
                  <w:tcBorders>
                    <w:tl2br w:val="nil"/>
                    <w:tr2bl w:val="nil"/>
                  </w:tcBorders>
                  <w:noWrap w:val="0"/>
                  <w:vAlign w:val="center"/>
                </w:tcPr>
                <w:p>
                  <w:pPr>
                    <w:adjustRightInd w:val="0"/>
                    <w:snapToGrid w:val="0"/>
                    <w:jc w:val="center"/>
                    <w:rPr>
                      <w:b w:val="0"/>
                      <w:bCs w:val="0"/>
                      <w:color w:val="FF0000"/>
                      <w:sz w:val="21"/>
                      <w:szCs w:val="21"/>
                      <w:u w:val="single"/>
                    </w:rPr>
                  </w:pPr>
                </w:p>
              </w:tc>
              <w:tc>
                <w:tcPr>
                  <w:tcW w:w="821" w:type="pct"/>
                  <w:tcBorders>
                    <w:tl2br w:val="nil"/>
                    <w:tr2bl w:val="nil"/>
                  </w:tcBorders>
                  <w:noWrap w:val="0"/>
                  <w:vAlign w:val="center"/>
                </w:tcPr>
                <w:p>
                  <w:pPr>
                    <w:adjustRightInd w:val="0"/>
                    <w:snapToGrid w:val="0"/>
                    <w:jc w:val="center"/>
                    <w:rPr>
                      <w:b w:val="0"/>
                      <w:bCs w:val="0"/>
                      <w:color w:val="FF0000"/>
                      <w:sz w:val="21"/>
                      <w:szCs w:val="21"/>
                      <w:u w:val="single"/>
                    </w:rPr>
                  </w:pPr>
                  <w:r>
                    <w:rPr>
                      <w:b w:val="0"/>
                      <w:bCs w:val="0"/>
                      <w:color w:val="FF0000"/>
                      <w:sz w:val="21"/>
                      <w:szCs w:val="21"/>
                      <w:u w:val="single"/>
                    </w:rPr>
                    <w:t>NH</w:t>
                  </w:r>
                  <w:r>
                    <w:rPr>
                      <w:b w:val="0"/>
                      <w:bCs w:val="0"/>
                      <w:color w:val="FF0000"/>
                      <w:sz w:val="21"/>
                      <w:szCs w:val="21"/>
                      <w:u w:val="single"/>
                      <w:vertAlign w:val="subscript"/>
                    </w:rPr>
                    <w:t>3</w:t>
                  </w:r>
                  <w:r>
                    <w:rPr>
                      <w:b w:val="0"/>
                      <w:bCs w:val="0"/>
                      <w:color w:val="FF0000"/>
                      <w:sz w:val="21"/>
                      <w:szCs w:val="21"/>
                      <w:u w:val="single"/>
                    </w:rPr>
                    <w:t>-N</w:t>
                  </w:r>
                </w:p>
              </w:tc>
              <w:tc>
                <w:tcPr>
                  <w:tcW w:w="610" w:type="pct"/>
                  <w:tcBorders>
                    <w:tl2br w:val="nil"/>
                    <w:tr2bl w:val="nil"/>
                  </w:tcBorders>
                  <w:noWrap w:val="0"/>
                  <w:vAlign w:val="center"/>
                </w:tcPr>
                <w:p>
                  <w:pPr>
                    <w:snapToGrid w:val="0"/>
                    <w:spacing w:line="240" w:lineRule="auto"/>
                    <w:ind w:left="0" w:leftChars="0"/>
                    <w:jc w:val="center"/>
                    <w:rPr>
                      <w:b w:val="0"/>
                      <w:bCs w:val="0"/>
                      <w:color w:val="FF0000"/>
                      <w:sz w:val="21"/>
                      <w:szCs w:val="21"/>
                      <w:u w:val="single"/>
                    </w:rPr>
                  </w:pPr>
                  <w:r>
                    <w:rPr>
                      <w:rFonts w:hint="eastAsia" w:ascii="Times New Roman" w:hAnsi="Times New Roman" w:eastAsia="宋体" w:cs="Times New Roman"/>
                      <w:b w:val="0"/>
                      <w:bCs w:val="0"/>
                      <w:color w:val="FF0000"/>
                      <w:sz w:val="21"/>
                      <w:szCs w:val="21"/>
                      <w:u w:val="single"/>
                      <w:lang w:val="en-US" w:eastAsia="zh-CN"/>
                    </w:rPr>
                    <w:t>0.535</w:t>
                  </w:r>
                </w:p>
              </w:tc>
              <w:tc>
                <w:tcPr>
                  <w:tcW w:w="466" w:type="pct"/>
                  <w:tcBorders>
                    <w:tl2br w:val="nil"/>
                    <w:tr2bl w:val="nil"/>
                  </w:tcBorders>
                  <w:noWrap w:val="0"/>
                  <w:vAlign w:val="center"/>
                </w:tcPr>
                <w:p>
                  <w:pPr>
                    <w:snapToGrid w:val="0"/>
                    <w:spacing w:line="240" w:lineRule="auto"/>
                    <w:ind w:left="0" w:leftChars="0"/>
                    <w:jc w:val="center"/>
                    <w:rPr>
                      <w:b w:val="0"/>
                      <w:bCs w:val="0"/>
                      <w:color w:val="FF0000"/>
                      <w:sz w:val="21"/>
                      <w:szCs w:val="21"/>
                      <w:u w:val="single"/>
                    </w:rPr>
                  </w:pPr>
                  <w:r>
                    <w:rPr>
                      <w:rFonts w:hint="eastAsia" w:ascii="Times New Roman" w:hAnsi="Times New Roman" w:eastAsia="宋体" w:cs="Times New Roman"/>
                      <w:b w:val="0"/>
                      <w:bCs w:val="0"/>
                      <w:color w:val="FF0000"/>
                      <w:sz w:val="21"/>
                      <w:szCs w:val="21"/>
                      <w:u w:val="single"/>
                      <w:lang w:val="en-US" w:eastAsia="zh-CN"/>
                    </w:rPr>
                    <w:t>0.486</w:t>
                  </w:r>
                </w:p>
              </w:tc>
              <w:tc>
                <w:tcPr>
                  <w:tcW w:w="466" w:type="pct"/>
                  <w:tcBorders>
                    <w:tl2br w:val="nil"/>
                    <w:tr2bl w:val="nil"/>
                  </w:tcBorders>
                  <w:noWrap w:val="0"/>
                  <w:vAlign w:val="center"/>
                </w:tcPr>
                <w:p>
                  <w:pPr>
                    <w:snapToGrid w:val="0"/>
                    <w:spacing w:line="240" w:lineRule="auto"/>
                    <w:ind w:left="0" w:leftChars="0"/>
                    <w:jc w:val="center"/>
                    <w:rPr>
                      <w:b w:val="0"/>
                      <w:bCs w:val="0"/>
                      <w:color w:val="FF0000"/>
                      <w:sz w:val="21"/>
                      <w:szCs w:val="21"/>
                      <w:u w:val="single"/>
                    </w:rPr>
                  </w:pPr>
                  <w:r>
                    <w:rPr>
                      <w:rFonts w:hint="eastAsia" w:ascii="Times New Roman" w:hAnsi="Times New Roman" w:eastAsia="宋体" w:cs="Times New Roman"/>
                      <w:b w:val="0"/>
                      <w:bCs w:val="0"/>
                      <w:color w:val="FF0000"/>
                      <w:sz w:val="21"/>
                      <w:szCs w:val="21"/>
                      <w:u w:val="single"/>
                      <w:lang w:val="en-US" w:eastAsia="zh-CN"/>
                    </w:rPr>
                    <w:t>0.429</w:t>
                  </w:r>
                </w:p>
              </w:tc>
              <w:tc>
                <w:tcPr>
                  <w:tcW w:w="468" w:type="pct"/>
                  <w:tcBorders>
                    <w:tl2br w:val="nil"/>
                    <w:tr2bl w:val="nil"/>
                  </w:tcBorders>
                  <w:noWrap w:val="0"/>
                  <w:vAlign w:val="center"/>
                </w:tcPr>
                <w:p>
                  <w:pPr>
                    <w:snapToGrid w:val="0"/>
                    <w:spacing w:line="240" w:lineRule="auto"/>
                    <w:ind w:left="0" w:leftChars="0"/>
                    <w:jc w:val="center"/>
                    <w:rPr>
                      <w:b w:val="0"/>
                      <w:bCs w:val="0"/>
                      <w:color w:val="FF0000"/>
                      <w:sz w:val="21"/>
                      <w:szCs w:val="21"/>
                      <w:u w:val="single"/>
                    </w:rPr>
                  </w:pPr>
                  <w:r>
                    <w:rPr>
                      <w:rFonts w:hint="eastAsia" w:ascii="Times New Roman" w:hAnsi="Times New Roman" w:eastAsia="宋体" w:cs="Times New Roman"/>
                      <w:b w:val="0"/>
                      <w:bCs w:val="0"/>
                      <w:color w:val="FF0000"/>
                      <w:sz w:val="21"/>
                      <w:szCs w:val="21"/>
                      <w:u w:val="single"/>
                      <w:lang w:val="en-US" w:eastAsia="zh-CN"/>
                    </w:rPr>
                    <w:t>0.517</w:t>
                  </w:r>
                </w:p>
              </w:tc>
              <w:tc>
                <w:tcPr>
                  <w:tcW w:w="507" w:type="pct"/>
                  <w:tcBorders>
                    <w:tl2br w:val="nil"/>
                    <w:tr2bl w:val="nil"/>
                  </w:tcBorders>
                  <w:noWrap w:val="0"/>
                  <w:vAlign w:val="center"/>
                </w:tcPr>
                <w:p>
                  <w:pPr>
                    <w:adjustRightInd w:val="0"/>
                    <w:snapToGrid w:val="0"/>
                    <w:jc w:val="center"/>
                    <w:rPr>
                      <w:b w:val="0"/>
                      <w:bCs w:val="0"/>
                      <w:color w:val="FF0000"/>
                      <w:sz w:val="21"/>
                      <w:szCs w:val="21"/>
                      <w:u w:val="single"/>
                    </w:rPr>
                  </w:pPr>
                  <w:r>
                    <w:rPr>
                      <w:b w:val="0"/>
                      <w:bCs w:val="0"/>
                      <w:color w:val="FF0000"/>
                      <w:sz w:val="21"/>
                      <w:szCs w:val="21"/>
                      <w:u w:val="single"/>
                    </w:rPr>
                    <w:t>0.00</w:t>
                  </w:r>
                </w:p>
              </w:tc>
              <w:tc>
                <w:tcPr>
                  <w:tcW w:w="1149" w:type="pct"/>
                  <w:tcBorders>
                    <w:tl2br w:val="nil"/>
                    <w:tr2bl w:val="nil"/>
                  </w:tcBorders>
                  <w:noWrap w:val="0"/>
                  <w:vAlign w:val="center"/>
                </w:tcPr>
                <w:p>
                  <w:pPr>
                    <w:adjustRightInd w:val="0"/>
                    <w:snapToGrid w:val="0"/>
                    <w:jc w:val="center"/>
                    <w:rPr>
                      <w:b w:val="0"/>
                      <w:bCs w:val="0"/>
                      <w:color w:val="FF0000"/>
                      <w:sz w:val="21"/>
                      <w:szCs w:val="21"/>
                      <w:u w:val="single"/>
                    </w:rPr>
                  </w:pPr>
                  <w:r>
                    <w:rPr>
                      <w:b w:val="0"/>
                      <w:bCs w:val="0"/>
                      <w:color w:val="FF0000"/>
                      <w:sz w:val="21"/>
                      <w:szCs w:val="21"/>
                      <w:u w:val="single"/>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0" w:type="pct"/>
                  <w:vMerge w:val="continue"/>
                  <w:tcBorders>
                    <w:tl2br w:val="nil"/>
                    <w:tr2bl w:val="nil"/>
                  </w:tcBorders>
                  <w:noWrap w:val="0"/>
                  <w:vAlign w:val="center"/>
                </w:tcPr>
                <w:p>
                  <w:pPr>
                    <w:adjustRightInd w:val="0"/>
                    <w:snapToGrid w:val="0"/>
                    <w:jc w:val="center"/>
                    <w:rPr>
                      <w:b w:val="0"/>
                      <w:bCs w:val="0"/>
                      <w:color w:val="FF0000"/>
                      <w:sz w:val="21"/>
                      <w:szCs w:val="21"/>
                      <w:u w:val="single"/>
                    </w:rPr>
                  </w:pPr>
                </w:p>
              </w:tc>
              <w:tc>
                <w:tcPr>
                  <w:tcW w:w="821" w:type="pct"/>
                  <w:tcBorders>
                    <w:tl2br w:val="nil"/>
                    <w:tr2bl w:val="nil"/>
                  </w:tcBorders>
                  <w:noWrap w:val="0"/>
                  <w:vAlign w:val="center"/>
                </w:tcPr>
                <w:p>
                  <w:pPr>
                    <w:adjustRightInd w:val="0"/>
                    <w:snapToGrid w:val="0"/>
                    <w:jc w:val="center"/>
                    <w:rPr>
                      <w:b w:val="0"/>
                      <w:bCs w:val="0"/>
                      <w:color w:val="FF0000"/>
                      <w:sz w:val="21"/>
                      <w:szCs w:val="21"/>
                      <w:u w:val="single"/>
                    </w:rPr>
                  </w:pPr>
                  <w:r>
                    <w:rPr>
                      <w:b w:val="0"/>
                      <w:bCs w:val="0"/>
                      <w:color w:val="FF0000"/>
                      <w:sz w:val="21"/>
                      <w:szCs w:val="21"/>
                      <w:u w:val="single"/>
                    </w:rPr>
                    <w:t>总磷</w:t>
                  </w:r>
                </w:p>
              </w:tc>
              <w:tc>
                <w:tcPr>
                  <w:tcW w:w="610" w:type="pct"/>
                  <w:tcBorders>
                    <w:tl2br w:val="nil"/>
                    <w:tr2bl w:val="nil"/>
                  </w:tcBorders>
                  <w:noWrap w:val="0"/>
                  <w:vAlign w:val="center"/>
                </w:tcPr>
                <w:p>
                  <w:pPr>
                    <w:snapToGrid w:val="0"/>
                    <w:spacing w:line="240" w:lineRule="auto"/>
                    <w:ind w:left="0" w:leftChars="0"/>
                    <w:jc w:val="center"/>
                    <w:rPr>
                      <w:b w:val="0"/>
                      <w:bCs w:val="0"/>
                      <w:color w:val="FF0000"/>
                      <w:sz w:val="21"/>
                      <w:szCs w:val="21"/>
                      <w:u w:val="single"/>
                    </w:rPr>
                  </w:pPr>
                  <w:r>
                    <w:rPr>
                      <w:rFonts w:hint="eastAsia" w:ascii="Times New Roman" w:hAnsi="Times New Roman" w:eastAsia="宋体" w:cs="Times New Roman"/>
                      <w:b w:val="0"/>
                      <w:bCs w:val="0"/>
                      <w:color w:val="FF0000"/>
                      <w:sz w:val="21"/>
                      <w:szCs w:val="21"/>
                      <w:u w:val="single"/>
                      <w:lang w:val="en-US" w:eastAsia="zh-CN"/>
                    </w:rPr>
                    <w:t>0.092</w:t>
                  </w:r>
                </w:p>
              </w:tc>
              <w:tc>
                <w:tcPr>
                  <w:tcW w:w="466" w:type="pct"/>
                  <w:tcBorders>
                    <w:tl2br w:val="nil"/>
                    <w:tr2bl w:val="nil"/>
                  </w:tcBorders>
                  <w:noWrap w:val="0"/>
                  <w:vAlign w:val="center"/>
                </w:tcPr>
                <w:p>
                  <w:pPr>
                    <w:snapToGrid w:val="0"/>
                    <w:spacing w:line="240" w:lineRule="auto"/>
                    <w:ind w:left="0" w:leftChars="0"/>
                    <w:jc w:val="center"/>
                    <w:rPr>
                      <w:b w:val="0"/>
                      <w:bCs w:val="0"/>
                      <w:color w:val="FF0000"/>
                      <w:sz w:val="21"/>
                      <w:szCs w:val="21"/>
                      <w:u w:val="single"/>
                    </w:rPr>
                  </w:pPr>
                  <w:r>
                    <w:rPr>
                      <w:rFonts w:hint="eastAsia" w:ascii="Times New Roman" w:hAnsi="Times New Roman" w:eastAsia="宋体" w:cs="Times New Roman"/>
                      <w:b w:val="0"/>
                      <w:bCs w:val="0"/>
                      <w:color w:val="FF0000"/>
                      <w:sz w:val="21"/>
                      <w:szCs w:val="21"/>
                      <w:u w:val="single"/>
                      <w:lang w:val="en-US" w:eastAsia="zh-CN"/>
                    </w:rPr>
                    <w:t>0.076</w:t>
                  </w:r>
                </w:p>
              </w:tc>
              <w:tc>
                <w:tcPr>
                  <w:tcW w:w="466" w:type="pct"/>
                  <w:tcBorders>
                    <w:tl2br w:val="nil"/>
                    <w:tr2bl w:val="nil"/>
                  </w:tcBorders>
                  <w:noWrap w:val="0"/>
                  <w:vAlign w:val="center"/>
                </w:tcPr>
                <w:p>
                  <w:pPr>
                    <w:snapToGrid w:val="0"/>
                    <w:spacing w:line="240" w:lineRule="auto"/>
                    <w:ind w:left="0" w:leftChars="0"/>
                    <w:jc w:val="center"/>
                    <w:rPr>
                      <w:b w:val="0"/>
                      <w:bCs w:val="0"/>
                      <w:color w:val="FF0000"/>
                      <w:sz w:val="21"/>
                      <w:szCs w:val="21"/>
                      <w:u w:val="single"/>
                    </w:rPr>
                  </w:pPr>
                  <w:r>
                    <w:rPr>
                      <w:rFonts w:hint="eastAsia" w:ascii="Times New Roman" w:hAnsi="Times New Roman" w:eastAsia="宋体" w:cs="Times New Roman"/>
                      <w:b w:val="0"/>
                      <w:bCs w:val="0"/>
                      <w:color w:val="FF0000"/>
                      <w:sz w:val="21"/>
                      <w:szCs w:val="21"/>
                      <w:u w:val="single"/>
                      <w:lang w:val="en-US" w:eastAsia="zh-CN"/>
                    </w:rPr>
                    <w:t>0.083</w:t>
                  </w:r>
                </w:p>
              </w:tc>
              <w:tc>
                <w:tcPr>
                  <w:tcW w:w="468" w:type="pct"/>
                  <w:tcBorders>
                    <w:tl2br w:val="nil"/>
                    <w:tr2bl w:val="nil"/>
                  </w:tcBorders>
                  <w:noWrap w:val="0"/>
                  <w:vAlign w:val="center"/>
                </w:tcPr>
                <w:p>
                  <w:pPr>
                    <w:snapToGrid w:val="0"/>
                    <w:spacing w:line="240" w:lineRule="auto"/>
                    <w:ind w:left="0" w:leftChars="0"/>
                    <w:jc w:val="center"/>
                    <w:rPr>
                      <w:b w:val="0"/>
                      <w:bCs w:val="0"/>
                      <w:color w:val="FF0000"/>
                      <w:sz w:val="21"/>
                      <w:szCs w:val="21"/>
                      <w:u w:val="single"/>
                    </w:rPr>
                  </w:pPr>
                  <w:r>
                    <w:rPr>
                      <w:rFonts w:hint="eastAsia" w:ascii="Times New Roman" w:hAnsi="Times New Roman" w:eastAsia="宋体" w:cs="Times New Roman"/>
                      <w:b w:val="0"/>
                      <w:bCs w:val="0"/>
                      <w:color w:val="FF0000"/>
                      <w:sz w:val="21"/>
                      <w:szCs w:val="21"/>
                      <w:u w:val="single"/>
                      <w:lang w:val="en-US" w:eastAsia="zh-CN"/>
                    </w:rPr>
                    <w:t>0.084</w:t>
                  </w:r>
                </w:p>
              </w:tc>
              <w:tc>
                <w:tcPr>
                  <w:tcW w:w="507" w:type="pct"/>
                  <w:tcBorders>
                    <w:tl2br w:val="nil"/>
                    <w:tr2bl w:val="nil"/>
                  </w:tcBorders>
                  <w:noWrap w:val="0"/>
                  <w:vAlign w:val="center"/>
                </w:tcPr>
                <w:p>
                  <w:pPr>
                    <w:adjustRightInd w:val="0"/>
                    <w:snapToGrid w:val="0"/>
                    <w:jc w:val="center"/>
                    <w:rPr>
                      <w:b w:val="0"/>
                      <w:bCs w:val="0"/>
                      <w:color w:val="FF0000"/>
                      <w:sz w:val="21"/>
                      <w:szCs w:val="21"/>
                      <w:u w:val="single"/>
                    </w:rPr>
                  </w:pPr>
                  <w:r>
                    <w:rPr>
                      <w:b w:val="0"/>
                      <w:bCs w:val="0"/>
                      <w:color w:val="FF0000"/>
                      <w:sz w:val="21"/>
                      <w:szCs w:val="21"/>
                      <w:u w:val="single"/>
                    </w:rPr>
                    <w:t>0.00</w:t>
                  </w:r>
                </w:p>
              </w:tc>
              <w:tc>
                <w:tcPr>
                  <w:tcW w:w="1149" w:type="pct"/>
                  <w:tcBorders>
                    <w:tl2br w:val="nil"/>
                    <w:tr2bl w:val="nil"/>
                  </w:tcBorders>
                  <w:noWrap w:val="0"/>
                  <w:vAlign w:val="center"/>
                </w:tcPr>
                <w:p>
                  <w:pPr>
                    <w:adjustRightInd w:val="0"/>
                    <w:snapToGrid w:val="0"/>
                    <w:jc w:val="center"/>
                    <w:rPr>
                      <w:b w:val="0"/>
                      <w:bCs w:val="0"/>
                      <w:color w:val="FF0000"/>
                      <w:sz w:val="21"/>
                      <w:szCs w:val="21"/>
                      <w:u w:val="single"/>
                    </w:rPr>
                  </w:pPr>
                  <w:r>
                    <w:rPr>
                      <w:b w:val="0"/>
                      <w:bCs w:val="0"/>
                      <w:color w:val="FF0000"/>
                      <w:sz w:val="21"/>
                      <w:szCs w:val="21"/>
                      <w:u w:val="single"/>
                    </w:rPr>
                    <w:t>≦0.2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0" w:type="pct"/>
                  <w:vMerge w:val="continue"/>
                  <w:tcBorders>
                    <w:tl2br w:val="nil"/>
                    <w:tr2bl w:val="nil"/>
                  </w:tcBorders>
                  <w:noWrap w:val="0"/>
                  <w:vAlign w:val="center"/>
                </w:tcPr>
                <w:p>
                  <w:pPr>
                    <w:adjustRightInd w:val="0"/>
                    <w:snapToGrid w:val="0"/>
                    <w:jc w:val="center"/>
                    <w:rPr>
                      <w:b w:val="0"/>
                      <w:bCs w:val="0"/>
                      <w:color w:val="FF0000"/>
                      <w:sz w:val="21"/>
                      <w:szCs w:val="21"/>
                      <w:u w:val="single"/>
                    </w:rPr>
                  </w:pPr>
                </w:p>
              </w:tc>
              <w:tc>
                <w:tcPr>
                  <w:tcW w:w="821" w:type="pct"/>
                  <w:tcBorders>
                    <w:tl2br w:val="nil"/>
                    <w:tr2bl w:val="nil"/>
                  </w:tcBorders>
                  <w:noWrap w:val="0"/>
                  <w:vAlign w:val="center"/>
                </w:tcPr>
                <w:p>
                  <w:pPr>
                    <w:adjustRightInd w:val="0"/>
                    <w:snapToGrid w:val="0"/>
                    <w:jc w:val="center"/>
                    <w:rPr>
                      <w:b w:val="0"/>
                      <w:bCs w:val="0"/>
                      <w:color w:val="FF0000"/>
                      <w:sz w:val="21"/>
                      <w:szCs w:val="21"/>
                      <w:u w:val="single"/>
                    </w:rPr>
                  </w:pPr>
                  <w:r>
                    <w:rPr>
                      <w:b w:val="0"/>
                      <w:bCs w:val="0"/>
                      <w:color w:val="FF0000"/>
                      <w:sz w:val="21"/>
                      <w:szCs w:val="21"/>
                      <w:u w:val="single"/>
                    </w:rPr>
                    <w:t>粪大肠菌群</w:t>
                  </w:r>
                </w:p>
                <w:p>
                  <w:pPr>
                    <w:adjustRightInd w:val="0"/>
                    <w:snapToGrid w:val="0"/>
                    <w:jc w:val="center"/>
                    <w:rPr>
                      <w:b w:val="0"/>
                      <w:bCs w:val="0"/>
                      <w:color w:val="FF0000"/>
                      <w:sz w:val="21"/>
                      <w:szCs w:val="21"/>
                      <w:u w:val="single"/>
                    </w:rPr>
                  </w:pPr>
                  <w:r>
                    <w:rPr>
                      <w:b w:val="0"/>
                      <w:bCs w:val="0"/>
                      <w:color w:val="FF0000"/>
                      <w:sz w:val="21"/>
                      <w:szCs w:val="21"/>
                      <w:u w:val="single"/>
                    </w:rPr>
                    <w:t>（个/L）</w:t>
                  </w:r>
                </w:p>
              </w:tc>
              <w:tc>
                <w:tcPr>
                  <w:tcW w:w="610" w:type="pct"/>
                  <w:tcBorders>
                    <w:tl2br w:val="nil"/>
                    <w:tr2bl w:val="nil"/>
                  </w:tcBorders>
                  <w:noWrap w:val="0"/>
                  <w:vAlign w:val="center"/>
                </w:tcPr>
                <w:p>
                  <w:pPr>
                    <w:snapToGrid w:val="0"/>
                    <w:spacing w:line="240" w:lineRule="auto"/>
                    <w:ind w:left="0" w:leftChars="0"/>
                    <w:jc w:val="center"/>
                    <w:rPr>
                      <w:b w:val="0"/>
                      <w:bCs w:val="0"/>
                      <w:color w:val="FF0000"/>
                      <w:sz w:val="21"/>
                      <w:szCs w:val="21"/>
                      <w:u w:val="single"/>
                    </w:rPr>
                  </w:pPr>
                  <w:r>
                    <w:rPr>
                      <w:rFonts w:hint="eastAsia" w:ascii="Times New Roman" w:hAnsi="Times New Roman" w:eastAsia="宋体" w:cs="Times New Roman"/>
                      <w:b w:val="0"/>
                      <w:bCs w:val="0"/>
                      <w:color w:val="FF0000"/>
                      <w:sz w:val="21"/>
                      <w:szCs w:val="21"/>
                      <w:u w:val="single"/>
                      <w:lang w:val="en-US" w:eastAsia="zh-CN"/>
                    </w:rPr>
                    <w:t>2200</w:t>
                  </w:r>
                </w:p>
              </w:tc>
              <w:tc>
                <w:tcPr>
                  <w:tcW w:w="466" w:type="pct"/>
                  <w:tcBorders>
                    <w:tl2br w:val="nil"/>
                    <w:tr2bl w:val="nil"/>
                  </w:tcBorders>
                  <w:noWrap w:val="0"/>
                  <w:vAlign w:val="center"/>
                </w:tcPr>
                <w:p>
                  <w:pPr>
                    <w:snapToGrid w:val="0"/>
                    <w:spacing w:line="240" w:lineRule="auto"/>
                    <w:ind w:left="0" w:leftChars="0"/>
                    <w:jc w:val="center"/>
                    <w:rPr>
                      <w:b w:val="0"/>
                      <w:bCs w:val="0"/>
                      <w:color w:val="FF0000"/>
                      <w:sz w:val="21"/>
                      <w:szCs w:val="21"/>
                      <w:u w:val="single"/>
                    </w:rPr>
                  </w:pPr>
                  <w:r>
                    <w:rPr>
                      <w:rFonts w:hint="eastAsia" w:ascii="Times New Roman" w:hAnsi="Times New Roman" w:eastAsia="宋体" w:cs="Times New Roman"/>
                      <w:b w:val="0"/>
                      <w:bCs w:val="0"/>
                      <w:color w:val="FF0000"/>
                      <w:sz w:val="21"/>
                      <w:szCs w:val="21"/>
                      <w:u w:val="single"/>
                      <w:lang w:val="en-US" w:eastAsia="zh-CN"/>
                    </w:rPr>
                    <w:t>2200</w:t>
                  </w:r>
                </w:p>
              </w:tc>
              <w:tc>
                <w:tcPr>
                  <w:tcW w:w="466" w:type="pct"/>
                  <w:tcBorders>
                    <w:tl2br w:val="nil"/>
                    <w:tr2bl w:val="nil"/>
                  </w:tcBorders>
                  <w:noWrap w:val="0"/>
                  <w:vAlign w:val="center"/>
                </w:tcPr>
                <w:p>
                  <w:pPr>
                    <w:snapToGrid w:val="0"/>
                    <w:spacing w:line="240" w:lineRule="auto"/>
                    <w:ind w:left="0" w:leftChars="0"/>
                    <w:jc w:val="center"/>
                    <w:rPr>
                      <w:b w:val="0"/>
                      <w:bCs w:val="0"/>
                      <w:color w:val="FF0000"/>
                      <w:sz w:val="21"/>
                      <w:szCs w:val="21"/>
                      <w:u w:val="single"/>
                    </w:rPr>
                  </w:pPr>
                  <w:r>
                    <w:rPr>
                      <w:rFonts w:hint="eastAsia" w:ascii="Times New Roman" w:hAnsi="Times New Roman" w:eastAsia="宋体" w:cs="Times New Roman"/>
                      <w:b w:val="0"/>
                      <w:bCs w:val="0"/>
                      <w:color w:val="FF0000"/>
                      <w:sz w:val="21"/>
                      <w:szCs w:val="21"/>
                      <w:u w:val="single"/>
                      <w:lang w:val="en-US" w:eastAsia="zh-CN"/>
                    </w:rPr>
                    <w:t>2800</w:t>
                  </w:r>
                </w:p>
              </w:tc>
              <w:tc>
                <w:tcPr>
                  <w:tcW w:w="468" w:type="pct"/>
                  <w:tcBorders>
                    <w:tl2br w:val="nil"/>
                    <w:tr2bl w:val="nil"/>
                  </w:tcBorders>
                  <w:noWrap w:val="0"/>
                  <w:vAlign w:val="center"/>
                </w:tcPr>
                <w:p>
                  <w:pPr>
                    <w:snapToGrid w:val="0"/>
                    <w:spacing w:line="240" w:lineRule="auto"/>
                    <w:ind w:left="0" w:leftChars="0"/>
                    <w:jc w:val="center"/>
                    <w:rPr>
                      <w:b w:val="0"/>
                      <w:bCs w:val="0"/>
                      <w:color w:val="FF0000"/>
                      <w:sz w:val="21"/>
                      <w:szCs w:val="21"/>
                      <w:u w:val="single"/>
                    </w:rPr>
                  </w:pPr>
                  <w:r>
                    <w:rPr>
                      <w:rFonts w:hint="eastAsia" w:ascii="Times New Roman" w:hAnsi="Times New Roman" w:eastAsia="宋体" w:cs="Times New Roman"/>
                      <w:b w:val="0"/>
                      <w:bCs w:val="0"/>
                      <w:color w:val="FF0000"/>
                      <w:sz w:val="21"/>
                      <w:szCs w:val="21"/>
                      <w:u w:val="single"/>
                      <w:lang w:val="en-US" w:eastAsia="zh-CN"/>
                    </w:rPr>
                    <w:t>2400</w:t>
                  </w:r>
                </w:p>
              </w:tc>
              <w:tc>
                <w:tcPr>
                  <w:tcW w:w="507" w:type="pct"/>
                  <w:tcBorders>
                    <w:tl2br w:val="nil"/>
                    <w:tr2bl w:val="nil"/>
                  </w:tcBorders>
                  <w:noWrap w:val="0"/>
                  <w:vAlign w:val="center"/>
                </w:tcPr>
                <w:p>
                  <w:pPr>
                    <w:adjustRightInd w:val="0"/>
                    <w:snapToGrid w:val="0"/>
                    <w:jc w:val="center"/>
                    <w:rPr>
                      <w:b w:val="0"/>
                      <w:bCs w:val="0"/>
                      <w:color w:val="FF0000"/>
                      <w:sz w:val="21"/>
                      <w:szCs w:val="21"/>
                      <w:u w:val="single"/>
                    </w:rPr>
                  </w:pPr>
                  <w:r>
                    <w:rPr>
                      <w:b w:val="0"/>
                      <w:bCs w:val="0"/>
                      <w:color w:val="FF0000"/>
                      <w:sz w:val="21"/>
                      <w:szCs w:val="21"/>
                      <w:u w:val="single"/>
                    </w:rPr>
                    <w:t>0.00</w:t>
                  </w:r>
                </w:p>
              </w:tc>
              <w:tc>
                <w:tcPr>
                  <w:tcW w:w="1149" w:type="pct"/>
                  <w:tcBorders>
                    <w:tl2br w:val="nil"/>
                    <w:tr2bl w:val="nil"/>
                  </w:tcBorders>
                  <w:noWrap w:val="0"/>
                  <w:vAlign w:val="center"/>
                </w:tcPr>
                <w:p>
                  <w:pPr>
                    <w:adjustRightInd w:val="0"/>
                    <w:snapToGrid w:val="0"/>
                    <w:jc w:val="center"/>
                    <w:rPr>
                      <w:b w:val="0"/>
                      <w:bCs w:val="0"/>
                      <w:color w:val="FF0000"/>
                      <w:sz w:val="21"/>
                      <w:szCs w:val="21"/>
                      <w:u w:val="single"/>
                    </w:rPr>
                  </w:pPr>
                  <w:r>
                    <w:rPr>
                      <w:b w:val="0"/>
                      <w:bCs w:val="0"/>
                      <w:color w:val="FF0000"/>
                      <w:sz w:val="21"/>
                      <w:szCs w:val="21"/>
                      <w:u w:val="single"/>
                    </w:rPr>
                    <w:t>≦10000</w:t>
                  </w:r>
                </w:p>
              </w:tc>
            </w:tr>
          </w:tbl>
          <w:p>
            <w:pPr>
              <w:bidi w:val="0"/>
              <w:spacing w:line="360" w:lineRule="auto"/>
              <w:ind w:firstLine="480" w:firstLineChars="200"/>
              <w:rPr>
                <w:rFonts w:hint="default" w:ascii="Times New Roman" w:hAnsi="Times New Roman" w:cs="Times New Roman"/>
                <w:color w:val="FF0000"/>
                <w:sz w:val="24"/>
                <w:szCs w:val="24"/>
                <w:u w:val="single"/>
                <w:lang w:val="en-US" w:eastAsia="zh-CN"/>
              </w:rPr>
            </w:pPr>
            <w:r>
              <w:rPr>
                <w:rFonts w:hint="default"/>
                <w:color w:val="FF0000"/>
                <w:sz w:val="24"/>
                <w:szCs w:val="24"/>
                <w:u w:val="single"/>
                <w:lang w:val="en-US" w:eastAsia="zh-CN"/>
              </w:rPr>
              <w:t>根据监测统计结果可知，湘江湘阴段洋沙湖断面、乌龙咀断面水质各项指标</w:t>
            </w:r>
            <w:r>
              <w:rPr>
                <w:rFonts w:hint="default" w:ascii="Times New Roman" w:hAnsi="Times New Roman" w:cs="Times New Roman"/>
                <w:color w:val="FF0000"/>
                <w:sz w:val="24"/>
                <w:szCs w:val="24"/>
                <w:u w:val="single"/>
                <w:lang w:val="en-US" w:eastAsia="zh-CN"/>
              </w:rPr>
              <w:t>均达到《地表水环境质量标准》（GB3838-2002）中Ⅲ类标准，区域水质状况良好。</w:t>
            </w:r>
          </w:p>
          <w:p>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3.声环境质量现状</w:t>
            </w:r>
          </w:p>
          <w:p>
            <w:pPr>
              <w:pStyle w:val="26"/>
              <w:adjustRightInd w:val="0"/>
              <w:snapToGrid w:val="0"/>
              <w:ind w:firstLine="420"/>
              <w:rPr>
                <w:rFonts w:hint="default" w:ascii="Times New Roman" w:hAnsi="Times New Roman" w:cs="Times New Roman"/>
              </w:rPr>
            </w:pPr>
            <w:r>
              <w:rPr>
                <w:rFonts w:hint="default" w:ascii="Times New Roman" w:hAnsi="Times New Roman" w:cs="Times New Roman"/>
              </w:rPr>
              <w:t>根据项目噪声源和区域声环境特征相结合的原则，本次评价</w:t>
            </w:r>
            <w:r>
              <w:rPr>
                <w:rFonts w:hint="default" w:ascii="Times New Roman" w:hAnsi="Times New Roman" w:cs="Times New Roman"/>
                <w:lang w:val="en-US" w:eastAsia="zh-CN"/>
              </w:rPr>
              <w:t>采用了</w:t>
            </w:r>
            <w:r>
              <w:rPr>
                <w:rFonts w:hint="default" w:ascii="Times New Roman" w:hAnsi="Times New Roman" w:cs="Times New Roman"/>
              </w:rPr>
              <w:t>湖南精准通检测技术有限公司于2021年</w:t>
            </w:r>
            <w:r>
              <w:rPr>
                <w:rFonts w:hint="default" w:ascii="Times New Roman" w:hAnsi="Times New Roman" w:cs="Times New Roman"/>
                <w:lang w:val="en-US" w:eastAsia="zh-CN"/>
              </w:rPr>
              <w:t>9</w:t>
            </w:r>
            <w:r>
              <w:rPr>
                <w:rFonts w:hint="default" w:ascii="Times New Roman" w:hAnsi="Times New Roman" w:cs="Times New Roman"/>
              </w:rPr>
              <w:t>月</w:t>
            </w:r>
            <w:r>
              <w:rPr>
                <w:rFonts w:hint="default" w:ascii="Times New Roman" w:hAnsi="Times New Roman" w:cs="Times New Roman"/>
                <w:lang w:val="en-US" w:eastAsia="zh-CN"/>
              </w:rPr>
              <w:t>16</w:t>
            </w:r>
            <w:r>
              <w:rPr>
                <w:rFonts w:hint="default" w:ascii="Times New Roman" w:hAnsi="Times New Roman" w:cs="Times New Roman"/>
              </w:rPr>
              <w:t>日~</w:t>
            </w:r>
            <w:r>
              <w:rPr>
                <w:rFonts w:hint="default" w:ascii="Times New Roman" w:hAnsi="Times New Roman" w:cs="Times New Roman"/>
                <w:lang w:val="en-US" w:eastAsia="zh-CN"/>
              </w:rPr>
              <w:t>17</w:t>
            </w:r>
            <w:r>
              <w:rPr>
                <w:rFonts w:hint="default" w:ascii="Times New Roman" w:hAnsi="Times New Roman" w:cs="Times New Roman"/>
              </w:rPr>
              <w:t>日对项目所在区域声环境监测</w:t>
            </w:r>
            <w:r>
              <w:rPr>
                <w:rFonts w:hint="default" w:ascii="Times New Roman" w:hAnsi="Times New Roman" w:cs="Times New Roman"/>
                <w:lang w:val="en-US" w:eastAsia="zh-CN"/>
              </w:rPr>
              <w:t>数据</w:t>
            </w:r>
            <w:r>
              <w:rPr>
                <w:rFonts w:hint="default" w:ascii="Times New Roman" w:hAnsi="Times New Roman" w:cs="Times New Roman"/>
              </w:rPr>
              <w:t>。</w:t>
            </w:r>
          </w:p>
          <w:p>
            <w:pPr>
              <w:pStyle w:val="26"/>
              <w:adjustRightInd w:val="0"/>
              <w:snapToGrid w:val="0"/>
              <w:ind w:firstLine="420"/>
              <w:rPr>
                <w:rFonts w:hint="default" w:ascii="Times New Roman" w:hAnsi="Times New Roman" w:cs="Times New Roman"/>
              </w:rPr>
            </w:pPr>
            <w:r>
              <w:rPr>
                <w:rFonts w:hint="default" w:ascii="Times New Roman" w:hAnsi="Times New Roman" w:cs="Times New Roman"/>
              </w:rPr>
              <w:t>（1）监测点位：项目厂界东、南、西、北处；</w:t>
            </w:r>
          </w:p>
          <w:p>
            <w:pPr>
              <w:pStyle w:val="26"/>
              <w:adjustRightInd w:val="0"/>
              <w:snapToGrid w:val="0"/>
              <w:ind w:firstLine="420"/>
              <w:rPr>
                <w:rFonts w:hint="default" w:ascii="Times New Roman" w:hAnsi="Times New Roman" w:cs="Times New Roman"/>
              </w:rPr>
            </w:pPr>
            <w:r>
              <w:rPr>
                <w:rFonts w:hint="default" w:ascii="Times New Roman" w:hAnsi="Times New Roman" w:cs="Times New Roman"/>
              </w:rPr>
              <w:t>（2）监测因子：等效连续A声级；</w:t>
            </w:r>
          </w:p>
          <w:p>
            <w:pPr>
              <w:pStyle w:val="26"/>
              <w:adjustRightInd w:val="0"/>
              <w:snapToGrid w:val="0"/>
              <w:ind w:firstLine="420"/>
              <w:rPr>
                <w:rFonts w:hint="default" w:ascii="Times New Roman" w:hAnsi="Times New Roman" w:cs="Times New Roman"/>
              </w:rPr>
            </w:pPr>
            <w:r>
              <w:rPr>
                <w:rFonts w:hint="default" w:ascii="Times New Roman" w:hAnsi="Times New Roman" w:cs="Times New Roman"/>
              </w:rPr>
              <w:t>（3）监测方法：按照《声环境质量标准》</w:t>
            </w:r>
            <w:r>
              <w:rPr>
                <w:rFonts w:hint="eastAsia" w:ascii="Times New Roman" w:hAnsi="Times New Roman" w:cs="Times New Roman"/>
                <w:lang w:eastAsia="zh-CN"/>
              </w:rPr>
              <w:t>（</w:t>
            </w:r>
            <w:r>
              <w:rPr>
                <w:rFonts w:hint="default" w:ascii="Times New Roman" w:hAnsi="Times New Roman" w:cs="Times New Roman"/>
              </w:rPr>
              <w:t>GB3096-2008</w:t>
            </w:r>
            <w:r>
              <w:rPr>
                <w:rFonts w:hint="eastAsia" w:ascii="Times New Roman" w:hAnsi="Times New Roman" w:cs="Times New Roman"/>
                <w:lang w:eastAsia="zh-CN"/>
              </w:rPr>
              <w:t>）</w:t>
            </w:r>
            <w:r>
              <w:rPr>
                <w:rFonts w:hint="default" w:ascii="Times New Roman" w:hAnsi="Times New Roman" w:cs="Times New Roman"/>
              </w:rPr>
              <w:t>中的有关规定进行；</w:t>
            </w:r>
          </w:p>
          <w:p>
            <w:pPr>
              <w:pStyle w:val="26"/>
              <w:adjustRightInd w:val="0"/>
              <w:snapToGrid w:val="0"/>
              <w:ind w:firstLine="420"/>
              <w:rPr>
                <w:rFonts w:hint="default" w:ascii="Times New Roman" w:hAnsi="Times New Roman" w:cs="Times New Roman"/>
              </w:rPr>
            </w:pPr>
            <w:r>
              <w:rPr>
                <w:rFonts w:hint="default" w:ascii="Times New Roman" w:hAnsi="Times New Roman" w:cs="Times New Roman"/>
              </w:rPr>
              <w:t>（4）评价方法：《环境影响评价技术导则—声环境》</w:t>
            </w:r>
            <w:r>
              <w:rPr>
                <w:rFonts w:hint="eastAsia" w:ascii="Times New Roman" w:hAnsi="Times New Roman" w:cs="Times New Roman"/>
                <w:lang w:eastAsia="zh-CN"/>
              </w:rPr>
              <w:t>（</w:t>
            </w:r>
            <w:r>
              <w:rPr>
                <w:rFonts w:hint="default" w:ascii="Times New Roman" w:hAnsi="Times New Roman" w:cs="Times New Roman"/>
              </w:rPr>
              <w:t>HJ2.4-2009</w:t>
            </w:r>
            <w:r>
              <w:rPr>
                <w:rFonts w:hint="eastAsia" w:ascii="Times New Roman" w:hAnsi="Times New Roman" w:cs="Times New Roman"/>
                <w:lang w:eastAsia="zh-CN"/>
              </w:rPr>
              <w:t>）</w:t>
            </w:r>
            <w:r>
              <w:rPr>
                <w:rFonts w:hint="default" w:ascii="Times New Roman" w:hAnsi="Times New Roman" w:cs="Times New Roman"/>
              </w:rPr>
              <w:t>中的相关规范进行；</w:t>
            </w:r>
          </w:p>
          <w:p>
            <w:pPr>
              <w:pStyle w:val="26"/>
              <w:adjustRightInd w:val="0"/>
              <w:snapToGrid w:val="0"/>
              <w:ind w:firstLine="420"/>
              <w:rPr>
                <w:rFonts w:hint="default" w:ascii="Times New Roman" w:hAnsi="Times New Roman" w:cs="Times New Roman"/>
              </w:rPr>
            </w:pPr>
            <w:r>
              <w:rPr>
                <w:rFonts w:hint="default" w:ascii="Times New Roman" w:hAnsi="Times New Roman" w:cs="Times New Roman"/>
              </w:rPr>
              <w:t>（5）执行标准：根据项目所在区域的环境特征，评价区执行《声环境质量标准》（GB3096-2008）中的</w:t>
            </w:r>
            <w:r>
              <w:rPr>
                <w:rFonts w:hint="default" w:ascii="Times New Roman" w:hAnsi="Times New Roman" w:cs="Times New Roman"/>
                <w:lang w:val="en-US" w:eastAsia="zh-CN"/>
              </w:rPr>
              <w:t>2</w:t>
            </w:r>
            <w:r>
              <w:rPr>
                <w:rFonts w:hint="default" w:ascii="Times New Roman" w:hAnsi="Times New Roman" w:cs="Times New Roman"/>
              </w:rPr>
              <w:t>类标准；</w:t>
            </w:r>
          </w:p>
          <w:p>
            <w:pPr>
              <w:pStyle w:val="26"/>
              <w:adjustRightInd w:val="0"/>
              <w:snapToGrid w:val="0"/>
              <w:ind w:firstLine="420"/>
              <w:rPr>
                <w:rFonts w:hint="default" w:ascii="Times New Roman" w:hAnsi="Times New Roman" w:cs="Times New Roman"/>
              </w:rPr>
            </w:pPr>
            <w:r>
              <w:rPr>
                <w:rFonts w:hint="default" w:ascii="Times New Roman" w:hAnsi="Times New Roman" w:cs="Times New Roman"/>
              </w:rPr>
              <w:t>（6）监测结果及评价：详见表3-</w:t>
            </w:r>
            <w:r>
              <w:rPr>
                <w:rFonts w:hint="default" w:ascii="Times New Roman" w:hAnsi="Times New Roman" w:cs="Times New Roman"/>
                <w:lang w:val="en-US" w:eastAsia="zh-CN"/>
              </w:rPr>
              <w:t>5</w:t>
            </w:r>
            <w:r>
              <w:rPr>
                <w:rFonts w:hint="default" w:ascii="Times New Roman" w:hAnsi="Times New Roman" w:cs="Times New Roman"/>
              </w:rPr>
              <w:t>。</w:t>
            </w:r>
          </w:p>
          <w:p>
            <w:pPr>
              <w:pStyle w:val="27"/>
              <w:adjustRightInd w:val="0"/>
              <w:snapToGrid w:val="0"/>
              <w:spacing w:line="360" w:lineRule="auto"/>
              <w:rPr>
                <w:rFonts w:hint="default" w:ascii="Times New Roman" w:hAnsi="Times New Roman" w:cs="Times New Roman"/>
                <w:lang w:val="zh-CN"/>
              </w:rPr>
            </w:pPr>
            <w:bookmarkStart w:id="8" w:name="_Ref419661638"/>
            <w:r>
              <w:rPr>
                <w:rFonts w:hint="default" w:ascii="Times New Roman" w:hAnsi="Times New Roman" w:cs="Times New Roman"/>
                <w:lang w:val="zh-CN"/>
              </w:rPr>
              <w:t>表</w:t>
            </w:r>
            <w:bookmarkEnd w:id="8"/>
            <w:r>
              <w:rPr>
                <w:rFonts w:hint="default" w:ascii="Times New Roman" w:hAnsi="Times New Roman" w:cs="Times New Roman"/>
              </w:rPr>
              <w:t>3-</w:t>
            </w:r>
            <w:r>
              <w:rPr>
                <w:rFonts w:hint="default" w:ascii="Times New Roman" w:hAnsi="Times New Roman" w:cs="Times New Roman"/>
                <w:lang w:val="en-US" w:eastAsia="zh-CN"/>
              </w:rPr>
              <w:t>5</w:t>
            </w:r>
            <w:r>
              <w:rPr>
                <w:rFonts w:hint="default" w:ascii="Times New Roman" w:hAnsi="Times New Roman" w:cs="Times New Roman"/>
              </w:rPr>
              <w:t xml:space="preserve"> </w:t>
            </w:r>
            <w:r>
              <w:rPr>
                <w:rFonts w:hint="default" w:ascii="Times New Roman" w:hAnsi="Times New Roman" w:cs="Times New Roman"/>
                <w:lang w:val="zh-CN"/>
              </w:rPr>
              <w:t xml:space="preserve"> 声环境监测评价结果  </w:t>
            </w:r>
          </w:p>
          <w:tbl>
            <w:tblPr>
              <w:tblStyle w:val="17"/>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795"/>
              <w:gridCol w:w="897"/>
              <w:gridCol w:w="897"/>
              <w:gridCol w:w="897"/>
              <w:gridCol w:w="899"/>
              <w:gridCol w:w="955"/>
              <w:gridCol w:w="112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8" w:hRule="atLeast"/>
              </w:trPr>
              <w:tc>
                <w:tcPr>
                  <w:tcW w:w="1651" w:type="pct"/>
                  <w:vMerge w:val="restart"/>
                  <w:tcBorders>
                    <w:tl2br w:val="nil"/>
                    <w:tr2bl w:val="nil"/>
                  </w:tcBorders>
                  <w:shd w:val="clear" w:color="auto" w:fill="auto"/>
                  <w:noWrap w:val="0"/>
                  <w:vAlign w:val="center"/>
                </w:tcPr>
                <w:p>
                  <w:pPr>
                    <w:pStyle w:val="28"/>
                    <w:adjustRightInd w:val="0"/>
                    <w:spacing w:after="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检测点位</w:t>
                  </w:r>
                </w:p>
              </w:tc>
              <w:tc>
                <w:tcPr>
                  <w:tcW w:w="2121" w:type="pct"/>
                  <w:gridSpan w:val="4"/>
                  <w:tcBorders>
                    <w:tl2br w:val="nil"/>
                    <w:tr2bl w:val="nil"/>
                  </w:tcBorders>
                  <w:shd w:val="clear" w:color="auto" w:fill="auto"/>
                  <w:noWrap w:val="0"/>
                  <w:vAlign w:val="center"/>
                </w:tcPr>
                <w:p>
                  <w:pPr>
                    <w:pStyle w:val="28"/>
                    <w:adjustRightInd w:val="0"/>
                    <w:spacing w:after="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检测日期及结果（单位：dB</w:t>
                  </w:r>
                  <w:r>
                    <w:rPr>
                      <w:rFonts w:hint="eastAsia" w:ascii="Times New Roman" w:hAnsi="Times New Roman" w:cs="Times New Roman"/>
                      <w:lang w:val="en-US" w:eastAsia="zh-CN"/>
                    </w:rPr>
                    <w:t>（</w:t>
                  </w:r>
                  <w:r>
                    <w:rPr>
                      <w:rFonts w:hint="default" w:ascii="Times New Roman" w:hAnsi="Times New Roman" w:cs="Times New Roman"/>
                      <w:lang w:val="en-US" w:eastAsia="zh-CN"/>
                    </w:rPr>
                    <w:t>A</w:t>
                  </w:r>
                  <w:r>
                    <w:rPr>
                      <w:rFonts w:hint="eastAsia" w:ascii="Times New Roman" w:hAnsi="Times New Roman" w:cs="Times New Roman"/>
                      <w:lang w:val="en-US" w:eastAsia="zh-CN"/>
                    </w:rPr>
                    <w:t>）</w:t>
                  </w:r>
                  <w:r>
                    <w:rPr>
                      <w:rFonts w:hint="default" w:ascii="Times New Roman" w:hAnsi="Times New Roman" w:cs="Times New Roman"/>
                      <w:lang w:val="en-US" w:eastAsia="zh-CN"/>
                    </w:rPr>
                    <w:t>）</w:t>
                  </w:r>
                </w:p>
              </w:tc>
              <w:tc>
                <w:tcPr>
                  <w:tcW w:w="1226" w:type="pct"/>
                  <w:gridSpan w:val="2"/>
                  <w:vMerge w:val="restart"/>
                  <w:tcBorders>
                    <w:tl2br w:val="nil"/>
                    <w:tr2bl w:val="nil"/>
                  </w:tcBorders>
                  <w:shd w:val="clear" w:color="auto" w:fill="auto"/>
                  <w:noWrap w:val="0"/>
                  <w:vAlign w:val="center"/>
                </w:tcPr>
                <w:p>
                  <w:pPr>
                    <w:pStyle w:val="28"/>
                    <w:adjustRightInd w:val="0"/>
                    <w:spacing w:after="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标准限值dB（A）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8" w:hRule="atLeast"/>
              </w:trPr>
              <w:tc>
                <w:tcPr>
                  <w:tcW w:w="1651" w:type="pct"/>
                  <w:vMerge w:val="continue"/>
                  <w:tcBorders>
                    <w:tl2br w:val="nil"/>
                    <w:tr2bl w:val="nil"/>
                  </w:tcBorders>
                  <w:shd w:val="clear" w:color="auto" w:fill="auto"/>
                  <w:noWrap w:val="0"/>
                  <w:vAlign w:val="center"/>
                </w:tcPr>
                <w:p>
                  <w:pPr>
                    <w:pStyle w:val="28"/>
                    <w:adjustRightInd w:val="0"/>
                    <w:spacing w:after="0"/>
                    <w:ind w:firstLine="0" w:firstLineChars="0"/>
                    <w:rPr>
                      <w:rFonts w:hint="default" w:ascii="Times New Roman" w:hAnsi="Times New Roman" w:cs="Times New Roman"/>
                      <w:lang w:val="en-US" w:eastAsia="zh-CN"/>
                    </w:rPr>
                  </w:pPr>
                </w:p>
              </w:tc>
              <w:tc>
                <w:tcPr>
                  <w:tcW w:w="1060" w:type="pct"/>
                  <w:gridSpan w:val="2"/>
                  <w:tcBorders>
                    <w:tl2br w:val="nil"/>
                    <w:tr2bl w:val="nil"/>
                  </w:tcBorders>
                  <w:shd w:val="clear" w:color="auto" w:fill="auto"/>
                  <w:noWrap w:val="0"/>
                  <w:vAlign w:val="center"/>
                </w:tcPr>
                <w:p>
                  <w:pPr>
                    <w:pStyle w:val="28"/>
                    <w:adjustRightInd w:val="0"/>
                    <w:spacing w:after="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2021.9.16</w:t>
                  </w:r>
                </w:p>
              </w:tc>
              <w:tc>
                <w:tcPr>
                  <w:tcW w:w="1061" w:type="pct"/>
                  <w:gridSpan w:val="2"/>
                  <w:tcBorders>
                    <w:tl2br w:val="nil"/>
                    <w:tr2bl w:val="nil"/>
                  </w:tcBorders>
                  <w:shd w:val="clear" w:color="auto" w:fill="auto"/>
                  <w:noWrap w:val="0"/>
                  <w:vAlign w:val="center"/>
                </w:tcPr>
                <w:p>
                  <w:pPr>
                    <w:pStyle w:val="28"/>
                    <w:adjustRightInd w:val="0"/>
                    <w:spacing w:after="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2021.9.17</w:t>
                  </w:r>
                </w:p>
              </w:tc>
              <w:tc>
                <w:tcPr>
                  <w:tcW w:w="1226" w:type="pct"/>
                  <w:gridSpan w:val="2"/>
                  <w:vMerge w:val="continue"/>
                  <w:tcBorders>
                    <w:tl2br w:val="nil"/>
                    <w:tr2bl w:val="nil"/>
                  </w:tcBorders>
                  <w:shd w:val="clear" w:color="auto" w:fill="auto"/>
                  <w:noWrap w:val="0"/>
                  <w:vAlign w:val="center"/>
                </w:tcPr>
                <w:p>
                  <w:pPr>
                    <w:pStyle w:val="28"/>
                    <w:adjustRightInd w:val="0"/>
                    <w:spacing w:after="0"/>
                    <w:ind w:firstLine="0" w:firstLineChars="0"/>
                    <w:rPr>
                      <w:rFonts w:hint="default" w:ascii="Times New Roman" w:hAnsi="Times New Roman" w:cs="Times New Roman"/>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8" w:hRule="atLeast"/>
              </w:trPr>
              <w:tc>
                <w:tcPr>
                  <w:tcW w:w="1651" w:type="pct"/>
                  <w:vMerge w:val="continue"/>
                  <w:tcBorders>
                    <w:tl2br w:val="nil"/>
                    <w:tr2bl w:val="nil"/>
                  </w:tcBorders>
                  <w:shd w:val="clear" w:color="auto" w:fill="auto"/>
                  <w:noWrap w:val="0"/>
                  <w:vAlign w:val="center"/>
                </w:tcPr>
                <w:p>
                  <w:pPr>
                    <w:pStyle w:val="28"/>
                    <w:adjustRightInd w:val="0"/>
                    <w:spacing w:after="0"/>
                    <w:ind w:firstLine="0" w:firstLineChars="0"/>
                    <w:rPr>
                      <w:rFonts w:hint="default" w:ascii="Times New Roman" w:hAnsi="Times New Roman" w:cs="Times New Roman"/>
                      <w:lang w:val="en-US" w:eastAsia="zh-CN"/>
                    </w:rPr>
                  </w:pPr>
                </w:p>
              </w:tc>
              <w:tc>
                <w:tcPr>
                  <w:tcW w:w="530" w:type="pct"/>
                  <w:tcBorders>
                    <w:tl2br w:val="nil"/>
                    <w:tr2bl w:val="nil"/>
                  </w:tcBorders>
                  <w:shd w:val="clear" w:color="auto" w:fill="auto"/>
                  <w:noWrap w:val="0"/>
                  <w:vAlign w:val="center"/>
                </w:tcPr>
                <w:p>
                  <w:pPr>
                    <w:pStyle w:val="28"/>
                    <w:adjustRightInd w:val="0"/>
                    <w:spacing w:after="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昼间</w:t>
                  </w:r>
                </w:p>
              </w:tc>
              <w:tc>
                <w:tcPr>
                  <w:tcW w:w="530" w:type="pct"/>
                  <w:tcBorders>
                    <w:tl2br w:val="nil"/>
                    <w:tr2bl w:val="nil"/>
                  </w:tcBorders>
                  <w:shd w:val="clear" w:color="auto" w:fill="auto"/>
                  <w:noWrap w:val="0"/>
                  <w:vAlign w:val="center"/>
                </w:tcPr>
                <w:p>
                  <w:pPr>
                    <w:pStyle w:val="28"/>
                    <w:adjustRightInd w:val="0"/>
                    <w:spacing w:after="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夜间</w:t>
                  </w:r>
                </w:p>
              </w:tc>
              <w:tc>
                <w:tcPr>
                  <w:tcW w:w="530" w:type="pct"/>
                  <w:tcBorders>
                    <w:tl2br w:val="nil"/>
                    <w:tr2bl w:val="nil"/>
                  </w:tcBorders>
                  <w:shd w:val="clear" w:color="auto" w:fill="auto"/>
                  <w:noWrap w:val="0"/>
                  <w:vAlign w:val="center"/>
                </w:tcPr>
                <w:p>
                  <w:pPr>
                    <w:pStyle w:val="28"/>
                    <w:adjustRightInd w:val="0"/>
                    <w:spacing w:after="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昼间</w:t>
                  </w:r>
                </w:p>
              </w:tc>
              <w:tc>
                <w:tcPr>
                  <w:tcW w:w="531" w:type="pct"/>
                  <w:tcBorders>
                    <w:tl2br w:val="nil"/>
                    <w:tr2bl w:val="nil"/>
                  </w:tcBorders>
                  <w:shd w:val="clear" w:color="auto" w:fill="auto"/>
                  <w:noWrap w:val="0"/>
                  <w:vAlign w:val="center"/>
                </w:tcPr>
                <w:p>
                  <w:pPr>
                    <w:pStyle w:val="28"/>
                    <w:adjustRightInd w:val="0"/>
                    <w:spacing w:after="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夜间</w:t>
                  </w:r>
                </w:p>
              </w:tc>
              <w:tc>
                <w:tcPr>
                  <w:tcW w:w="564" w:type="pct"/>
                  <w:tcBorders>
                    <w:tl2br w:val="nil"/>
                    <w:tr2bl w:val="nil"/>
                  </w:tcBorders>
                  <w:shd w:val="clear" w:color="auto" w:fill="auto"/>
                  <w:noWrap w:val="0"/>
                  <w:vAlign w:val="center"/>
                </w:tcPr>
                <w:p>
                  <w:pPr>
                    <w:pStyle w:val="28"/>
                    <w:adjustRightInd w:val="0"/>
                    <w:spacing w:after="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昼间</w:t>
                  </w:r>
                </w:p>
              </w:tc>
              <w:tc>
                <w:tcPr>
                  <w:tcW w:w="662" w:type="pct"/>
                  <w:tcBorders>
                    <w:tl2br w:val="nil"/>
                    <w:tr2bl w:val="nil"/>
                  </w:tcBorders>
                  <w:shd w:val="clear" w:color="auto" w:fill="auto"/>
                  <w:noWrap w:val="0"/>
                  <w:vAlign w:val="center"/>
                </w:tcPr>
                <w:p>
                  <w:pPr>
                    <w:pStyle w:val="28"/>
                    <w:adjustRightInd w:val="0"/>
                    <w:spacing w:after="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8" w:hRule="atLeast"/>
              </w:trPr>
              <w:tc>
                <w:tcPr>
                  <w:tcW w:w="1651" w:type="pct"/>
                  <w:tcBorders>
                    <w:tl2br w:val="nil"/>
                    <w:tr2bl w:val="nil"/>
                  </w:tcBorders>
                  <w:shd w:val="clear" w:color="auto" w:fill="auto"/>
                  <w:noWrap w:val="0"/>
                  <w:vAlign w:val="center"/>
                </w:tcPr>
                <w:p>
                  <w:pPr>
                    <w:pStyle w:val="28"/>
                    <w:adjustRightInd w:val="0"/>
                    <w:spacing w:after="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N1项目厂界东侧外1米处</w:t>
                  </w:r>
                </w:p>
              </w:tc>
              <w:tc>
                <w:tcPr>
                  <w:tcW w:w="530" w:type="pct"/>
                  <w:tcBorders>
                    <w:tl2br w:val="nil"/>
                    <w:tr2bl w:val="nil"/>
                  </w:tcBorders>
                  <w:shd w:val="clear" w:color="auto" w:fill="auto"/>
                  <w:noWrap w:val="0"/>
                  <w:vAlign w:val="center"/>
                </w:tcPr>
                <w:p>
                  <w:pPr>
                    <w:pStyle w:val="28"/>
                    <w:adjustRightInd w:val="0"/>
                    <w:spacing w:after="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53</w:t>
                  </w:r>
                </w:p>
              </w:tc>
              <w:tc>
                <w:tcPr>
                  <w:tcW w:w="530" w:type="pct"/>
                  <w:tcBorders>
                    <w:tl2br w:val="nil"/>
                    <w:tr2bl w:val="nil"/>
                  </w:tcBorders>
                  <w:shd w:val="clear" w:color="auto" w:fill="auto"/>
                  <w:noWrap w:val="0"/>
                  <w:vAlign w:val="center"/>
                </w:tcPr>
                <w:p>
                  <w:pPr>
                    <w:pStyle w:val="28"/>
                    <w:adjustRightInd w:val="0"/>
                    <w:spacing w:after="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44</w:t>
                  </w:r>
                </w:p>
              </w:tc>
              <w:tc>
                <w:tcPr>
                  <w:tcW w:w="530" w:type="pct"/>
                  <w:tcBorders>
                    <w:tl2br w:val="nil"/>
                    <w:tr2bl w:val="nil"/>
                  </w:tcBorders>
                  <w:shd w:val="clear" w:color="auto" w:fill="auto"/>
                  <w:noWrap w:val="0"/>
                  <w:vAlign w:val="center"/>
                </w:tcPr>
                <w:p>
                  <w:pPr>
                    <w:pStyle w:val="28"/>
                    <w:adjustRightInd w:val="0"/>
                    <w:spacing w:after="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54</w:t>
                  </w:r>
                </w:p>
              </w:tc>
              <w:tc>
                <w:tcPr>
                  <w:tcW w:w="531" w:type="pct"/>
                  <w:tcBorders>
                    <w:tl2br w:val="nil"/>
                    <w:tr2bl w:val="nil"/>
                  </w:tcBorders>
                  <w:shd w:val="clear" w:color="auto" w:fill="auto"/>
                  <w:noWrap w:val="0"/>
                  <w:vAlign w:val="center"/>
                </w:tcPr>
                <w:p>
                  <w:pPr>
                    <w:pStyle w:val="28"/>
                    <w:adjustRightInd w:val="0"/>
                    <w:spacing w:after="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43</w:t>
                  </w:r>
                </w:p>
              </w:tc>
              <w:tc>
                <w:tcPr>
                  <w:tcW w:w="564" w:type="pct"/>
                  <w:vMerge w:val="restart"/>
                  <w:tcBorders>
                    <w:tl2br w:val="nil"/>
                    <w:tr2bl w:val="nil"/>
                  </w:tcBorders>
                  <w:shd w:val="clear" w:color="auto" w:fill="auto"/>
                  <w:noWrap w:val="0"/>
                  <w:vAlign w:val="center"/>
                </w:tcPr>
                <w:p>
                  <w:pPr>
                    <w:pStyle w:val="28"/>
                    <w:adjustRightInd w:val="0"/>
                    <w:spacing w:after="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60</w:t>
                  </w:r>
                </w:p>
              </w:tc>
              <w:tc>
                <w:tcPr>
                  <w:tcW w:w="662" w:type="pct"/>
                  <w:vMerge w:val="restart"/>
                  <w:tcBorders>
                    <w:tl2br w:val="nil"/>
                    <w:tr2bl w:val="nil"/>
                  </w:tcBorders>
                  <w:shd w:val="clear" w:color="auto" w:fill="auto"/>
                  <w:noWrap w:val="0"/>
                  <w:vAlign w:val="center"/>
                </w:tcPr>
                <w:p>
                  <w:pPr>
                    <w:pStyle w:val="28"/>
                    <w:adjustRightInd w:val="0"/>
                    <w:spacing w:after="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8" w:hRule="atLeast"/>
              </w:trPr>
              <w:tc>
                <w:tcPr>
                  <w:tcW w:w="1651" w:type="pct"/>
                  <w:tcBorders>
                    <w:tl2br w:val="nil"/>
                    <w:tr2bl w:val="nil"/>
                  </w:tcBorders>
                  <w:shd w:val="clear" w:color="auto" w:fill="auto"/>
                  <w:noWrap w:val="0"/>
                  <w:vAlign w:val="center"/>
                </w:tcPr>
                <w:p>
                  <w:pPr>
                    <w:pStyle w:val="28"/>
                    <w:adjustRightInd w:val="0"/>
                    <w:spacing w:after="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N2项目厂界南侧外1米处</w:t>
                  </w:r>
                </w:p>
              </w:tc>
              <w:tc>
                <w:tcPr>
                  <w:tcW w:w="530" w:type="pct"/>
                  <w:tcBorders>
                    <w:tl2br w:val="nil"/>
                    <w:tr2bl w:val="nil"/>
                  </w:tcBorders>
                  <w:shd w:val="clear" w:color="auto" w:fill="auto"/>
                  <w:noWrap w:val="0"/>
                  <w:vAlign w:val="center"/>
                </w:tcPr>
                <w:p>
                  <w:pPr>
                    <w:pStyle w:val="28"/>
                    <w:adjustRightInd w:val="0"/>
                    <w:spacing w:after="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54</w:t>
                  </w:r>
                </w:p>
              </w:tc>
              <w:tc>
                <w:tcPr>
                  <w:tcW w:w="530" w:type="pct"/>
                  <w:tcBorders>
                    <w:tl2br w:val="nil"/>
                    <w:tr2bl w:val="nil"/>
                  </w:tcBorders>
                  <w:shd w:val="clear" w:color="auto" w:fill="auto"/>
                  <w:noWrap w:val="0"/>
                  <w:vAlign w:val="center"/>
                </w:tcPr>
                <w:p>
                  <w:pPr>
                    <w:pStyle w:val="28"/>
                    <w:adjustRightInd w:val="0"/>
                    <w:spacing w:after="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43</w:t>
                  </w:r>
                </w:p>
              </w:tc>
              <w:tc>
                <w:tcPr>
                  <w:tcW w:w="530" w:type="pct"/>
                  <w:tcBorders>
                    <w:tl2br w:val="nil"/>
                    <w:tr2bl w:val="nil"/>
                  </w:tcBorders>
                  <w:shd w:val="clear" w:color="auto" w:fill="auto"/>
                  <w:noWrap w:val="0"/>
                  <w:vAlign w:val="center"/>
                </w:tcPr>
                <w:p>
                  <w:pPr>
                    <w:pStyle w:val="28"/>
                    <w:adjustRightInd w:val="0"/>
                    <w:spacing w:after="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53</w:t>
                  </w:r>
                </w:p>
              </w:tc>
              <w:tc>
                <w:tcPr>
                  <w:tcW w:w="531" w:type="pct"/>
                  <w:tcBorders>
                    <w:tl2br w:val="nil"/>
                    <w:tr2bl w:val="nil"/>
                  </w:tcBorders>
                  <w:shd w:val="clear" w:color="auto" w:fill="auto"/>
                  <w:noWrap w:val="0"/>
                  <w:vAlign w:val="center"/>
                </w:tcPr>
                <w:p>
                  <w:pPr>
                    <w:pStyle w:val="28"/>
                    <w:adjustRightInd w:val="0"/>
                    <w:spacing w:after="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44</w:t>
                  </w:r>
                </w:p>
              </w:tc>
              <w:tc>
                <w:tcPr>
                  <w:tcW w:w="564" w:type="pct"/>
                  <w:vMerge w:val="continue"/>
                  <w:tcBorders>
                    <w:tl2br w:val="nil"/>
                    <w:tr2bl w:val="nil"/>
                  </w:tcBorders>
                  <w:shd w:val="clear" w:color="auto" w:fill="auto"/>
                  <w:noWrap w:val="0"/>
                  <w:vAlign w:val="center"/>
                </w:tcPr>
                <w:p>
                  <w:pPr>
                    <w:pStyle w:val="28"/>
                    <w:adjustRightInd w:val="0"/>
                    <w:spacing w:after="0"/>
                    <w:ind w:firstLine="0" w:firstLineChars="0"/>
                    <w:rPr>
                      <w:rFonts w:hint="default" w:ascii="Times New Roman" w:hAnsi="Times New Roman" w:cs="Times New Roman"/>
                      <w:lang w:val="en-US" w:eastAsia="zh-CN"/>
                    </w:rPr>
                  </w:pPr>
                </w:p>
              </w:tc>
              <w:tc>
                <w:tcPr>
                  <w:tcW w:w="662" w:type="pct"/>
                  <w:vMerge w:val="continue"/>
                  <w:tcBorders>
                    <w:tl2br w:val="nil"/>
                    <w:tr2bl w:val="nil"/>
                  </w:tcBorders>
                  <w:shd w:val="clear" w:color="auto" w:fill="auto"/>
                  <w:noWrap w:val="0"/>
                  <w:vAlign w:val="center"/>
                </w:tcPr>
                <w:p>
                  <w:pPr>
                    <w:pStyle w:val="28"/>
                    <w:adjustRightInd w:val="0"/>
                    <w:spacing w:after="0"/>
                    <w:ind w:firstLine="0" w:firstLineChars="0"/>
                    <w:rPr>
                      <w:rFonts w:hint="default" w:ascii="Times New Roman" w:hAnsi="Times New Roman" w:cs="Times New Roman"/>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8" w:hRule="atLeast"/>
              </w:trPr>
              <w:tc>
                <w:tcPr>
                  <w:tcW w:w="1651" w:type="pct"/>
                  <w:tcBorders>
                    <w:tl2br w:val="nil"/>
                    <w:tr2bl w:val="nil"/>
                  </w:tcBorders>
                  <w:shd w:val="clear" w:color="auto" w:fill="auto"/>
                  <w:noWrap w:val="0"/>
                  <w:vAlign w:val="center"/>
                </w:tcPr>
                <w:p>
                  <w:pPr>
                    <w:pStyle w:val="28"/>
                    <w:adjustRightInd w:val="0"/>
                    <w:spacing w:after="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N3项目厂界西侧外1米处</w:t>
                  </w:r>
                </w:p>
              </w:tc>
              <w:tc>
                <w:tcPr>
                  <w:tcW w:w="530" w:type="pct"/>
                  <w:tcBorders>
                    <w:tl2br w:val="nil"/>
                    <w:tr2bl w:val="nil"/>
                  </w:tcBorders>
                  <w:shd w:val="clear" w:color="auto" w:fill="auto"/>
                  <w:noWrap w:val="0"/>
                  <w:vAlign w:val="center"/>
                </w:tcPr>
                <w:p>
                  <w:pPr>
                    <w:pStyle w:val="28"/>
                    <w:adjustRightInd w:val="0"/>
                    <w:spacing w:after="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51</w:t>
                  </w:r>
                </w:p>
              </w:tc>
              <w:tc>
                <w:tcPr>
                  <w:tcW w:w="530" w:type="pct"/>
                  <w:tcBorders>
                    <w:tl2br w:val="nil"/>
                    <w:tr2bl w:val="nil"/>
                  </w:tcBorders>
                  <w:shd w:val="clear" w:color="auto" w:fill="auto"/>
                  <w:noWrap w:val="0"/>
                  <w:vAlign w:val="center"/>
                </w:tcPr>
                <w:p>
                  <w:pPr>
                    <w:pStyle w:val="28"/>
                    <w:adjustRightInd w:val="0"/>
                    <w:spacing w:after="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42</w:t>
                  </w:r>
                </w:p>
              </w:tc>
              <w:tc>
                <w:tcPr>
                  <w:tcW w:w="530" w:type="pct"/>
                  <w:tcBorders>
                    <w:tl2br w:val="nil"/>
                    <w:tr2bl w:val="nil"/>
                  </w:tcBorders>
                  <w:shd w:val="clear" w:color="auto" w:fill="auto"/>
                  <w:noWrap w:val="0"/>
                  <w:vAlign w:val="center"/>
                </w:tcPr>
                <w:p>
                  <w:pPr>
                    <w:pStyle w:val="28"/>
                    <w:adjustRightInd w:val="0"/>
                    <w:spacing w:after="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52</w:t>
                  </w:r>
                </w:p>
              </w:tc>
              <w:tc>
                <w:tcPr>
                  <w:tcW w:w="531" w:type="pct"/>
                  <w:tcBorders>
                    <w:tl2br w:val="nil"/>
                    <w:tr2bl w:val="nil"/>
                  </w:tcBorders>
                  <w:shd w:val="clear" w:color="auto" w:fill="auto"/>
                  <w:noWrap w:val="0"/>
                  <w:vAlign w:val="center"/>
                </w:tcPr>
                <w:p>
                  <w:pPr>
                    <w:pStyle w:val="28"/>
                    <w:adjustRightInd w:val="0"/>
                    <w:spacing w:after="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43</w:t>
                  </w:r>
                </w:p>
              </w:tc>
              <w:tc>
                <w:tcPr>
                  <w:tcW w:w="564" w:type="pct"/>
                  <w:vMerge w:val="continue"/>
                  <w:tcBorders>
                    <w:tl2br w:val="nil"/>
                    <w:tr2bl w:val="nil"/>
                  </w:tcBorders>
                  <w:shd w:val="clear" w:color="auto" w:fill="auto"/>
                  <w:noWrap w:val="0"/>
                  <w:vAlign w:val="center"/>
                </w:tcPr>
                <w:p>
                  <w:pPr>
                    <w:pStyle w:val="28"/>
                    <w:adjustRightInd w:val="0"/>
                    <w:spacing w:after="0"/>
                    <w:ind w:firstLine="0" w:firstLineChars="0"/>
                    <w:rPr>
                      <w:rFonts w:hint="default" w:ascii="Times New Roman" w:hAnsi="Times New Roman" w:cs="Times New Roman"/>
                      <w:lang w:val="en-US" w:eastAsia="zh-CN"/>
                    </w:rPr>
                  </w:pPr>
                </w:p>
              </w:tc>
              <w:tc>
                <w:tcPr>
                  <w:tcW w:w="662" w:type="pct"/>
                  <w:vMerge w:val="continue"/>
                  <w:tcBorders>
                    <w:tl2br w:val="nil"/>
                    <w:tr2bl w:val="nil"/>
                  </w:tcBorders>
                  <w:shd w:val="clear" w:color="auto" w:fill="auto"/>
                  <w:noWrap w:val="0"/>
                  <w:vAlign w:val="center"/>
                </w:tcPr>
                <w:p>
                  <w:pPr>
                    <w:pStyle w:val="28"/>
                    <w:adjustRightInd w:val="0"/>
                    <w:spacing w:after="0"/>
                    <w:ind w:firstLine="0" w:firstLineChars="0"/>
                    <w:rPr>
                      <w:rFonts w:hint="default" w:ascii="Times New Roman" w:hAnsi="Times New Roman" w:cs="Times New Roman"/>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8" w:hRule="atLeast"/>
              </w:trPr>
              <w:tc>
                <w:tcPr>
                  <w:tcW w:w="1651" w:type="pct"/>
                  <w:tcBorders>
                    <w:tl2br w:val="nil"/>
                    <w:tr2bl w:val="nil"/>
                  </w:tcBorders>
                  <w:shd w:val="clear" w:color="auto" w:fill="auto"/>
                  <w:noWrap w:val="0"/>
                  <w:vAlign w:val="center"/>
                </w:tcPr>
                <w:p>
                  <w:pPr>
                    <w:pStyle w:val="28"/>
                    <w:adjustRightInd w:val="0"/>
                    <w:spacing w:after="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N4项目厂界北侧外1米处</w:t>
                  </w:r>
                </w:p>
              </w:tc>
              <w:tc>
                <w:tcPr>
                  <w:tcW w:w="530" w:type="pct"/>
                  <w:tcBorders>
                    <w:tl2br w:val="nil"/>
                    <w:tr2bl w:val="nil"/>
                  </w:tcBorders>
                  <w:shd w:val="clear" w:color="auto" w:fill="auto"/>
                  <w:noWrap w:val="0"/>
                  <w:vAlign w:val="center"/>
                </w:tcPr>
                <w:p>
                  <w:pPr>
                    <w:pStyle w:val="28"/>
                    <w:adjustRightInd w:val="0"/>
                    <w:spacing w:after="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53</w:t>
                  </w:r>
                </w:p>
              </w:tc>
              <w:tc>
                <w:tcPr>
                  <w:tcW w:w="530" w:type="pct"/>
                  <w:tcBorders>
                    <w:tl2br w:val="nil"/>
                    <w:tr2bl w:val="nil"/>
                  </w:tcBorders>
                  <w:shd w:val="clear" w:color="auto" w:fill="auto"/>
                  <w:noWrap w:val="0"/>
                  <w:vAlign w:val="center"/>
                </w:tcPr>
                <w:p>
                  <w:pPr>
                    <w:pStyle w:val="28"/>
                    <w:adjustRightInd w:val="0"/>
                    <w:spacing w:after="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43</w:t>
                  </w:r>
                </w:p>
              </w:tc>
              <w:tc>
                <w:tcPr>
                  <w:tcW w:w="530" w:type="pct"/>
                  <w:tcBorders>
                    <w:tl2br w:val="nil"/>
                    <w:tr2bl w:val="nil"/>
                  </w:tcBorders>
                  <w:shd w:val="clear" w:color="auto" w:fill="auto"/>
                  <w:noWrap w:val="0"/>
                  <w:vAlign w:val="center"/>
                </w:tcPr>
                <w:p>
                  <w:pPr>
                    <w:pStyle w:val="28"/>
                    <w:adjustRightInd w:val="0"/>
                    <w:spacing w:after="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53</w:t>
                  </w:r>
                </w:p>
              </w:tc>
              <w:tc>
                <w:tcPr>
                  <w:tcW w:w="531" w:type="pct"/>
                  <w:tcBorders>
                    <w:tl2br w:val="nil"/>
                    <w:tr2bl w:val="nil"/>
                  </w:tcBorders>
                  <w:shd w:val="clear" w:color="auto" w:fill="auto"/>
                  <w:noWrap w:val="0"/>
                  <w:vAlign w:val="center"/>
                </w:tcPr>
                <w:p>
                  <w:pPr>
                    <w:pStyle w:val="28"/>
                    <w:adjustRightInd w:val="0"/>
                    <w:spacing w:after="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42</w:t>
                  </w:r>
                </w:p>
              </w:tc>
              <w:tc>
                <w:tcPr>
                  <w:tcW w:w="564" w:type="pct"/>
                  <w:vMerge w:val="continue"/>
                  <w:tcBorders>
                    <w:tl2br w:val="nil"/>
                    <w:tr2bl w:val="nil"/>
                  </w:tcBorders>
                  <w:shd w:val="clear" w:color="auto" w:fill="auto"/>
                  <w:noWrap w:val="0"/>
                  <w:vAlign w:val="center"/>
                </w:tcPr>
                <w:p>
                  <w:pPr>
                    <w:pStyle w:val="28"/>
                    <w:adjustRightInd w:val="0"/>
                    <w:spacing w:after="0"/>
                    <w:ind w:firstLine="0" w:firstLineChars="0"/>
                    <w:rPr>
                      <w:rFonts w:hint="default" w:ascii="Times New Roman" w:hAnsi="Times New Roman" w:cs="Times New Roman"/>
                      <w:lang w:val="en-US" w:eastAsia="zh-CN"/>
                    </w:rPr>
                  </w:pPr>
                </w:p>
              </w:tc>
              <w:tc>
                <w:tcPr>
                  <w:tcW w:w="662" w:type="pct"/>
                  <w:vMerge w:val="continue"/>
                  <w:tcBorders>
                    <w:tl2br w:val="nil"/>
                    <w:tr2bl w:val="nil"/>
                  </w:tcBorders>
                  <w:shd w:val="clear" w:color="auto" w:fill="auto"/>
                  <w:noWrap w:val="0"/>
                  <w:vAlign w:val="center"/>
                </w:tcPr>
                <w:p>
                  <w:pPr>
                    <w:pStyle w:val="28"/>
                    <w:adjustRightInd w:val="0"/>
                    <w:spacing w:after="0"/>
                    <w:ind w:firstLine="0" w:firstLineChars="0"/>
                    <w:rPr>
                      <w:rFonts w:hint="default" w:ascii="Times New Roman" w:hAnsi="Times New Roman" w:cs="Times New Roman"/>
                      <w:lang w:val="en-US" w:eastAsia="zh-CN"/>
                    </w:rPr>
                  </w:pPr>
                </w:p>
              </w:tc>
            </w:tr>
          </w:tbl>
          <w:p>
            <w:pPr>
              <w:adjustRightInd w:val="0"/>
              <w:snapToGrid w:val="0"/>
              <w:spacing w:line="360" w:lineRule="auto"/>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从现状监测数据可知，项目厂界四周声环境质量达到了《声环境质量标准》</w:t>
            </w:r>
            <w:r>
              <w:rPr>
                <w:rFonts w:hint="eastAsia" w:cs="Times New Roman"/>
                <w:sz w:val="24"/>
                <w:szCs w:val="24"/>
                <w:lang w:eastAsia="zh-CN"/>
              </w:rPr>
              <w:t>（</w:t>
            </w:r>
            <w:r>
              <w:rPr>
                <w:rFonts w:hint="default" w:ascii="Times New Roman" w:hAnsi="Times New Roman" w:cs="Times New Roman"/>
                <w:sz w:val="24"/>
                <w:szCs w:val="24"/>
              </w:rPr>
              <w:t>GB3096-2008</w:t>
            </w:r>
            <w:r>
              <w:rPr>
                <w:rFonts w:hint="eastAsia" w:cs="Times New Roman"/>
                <w:sz w:val="24"/>
                <w:szCs w:val="24"/>
                <w:lang w:eastAsia="zh-CN"/>
              </w:rPr>
              <w:t>）</w:t>
            </w:r>
            <w:r>
              <w:rPr>
                <w:rFonts w:hint="default" w:ascii="Times New Roman" w:hAnsi="Times New Roman" w:cs="Times New Roman"/>
                <w:sz w:val="24"/>
                <w:szCs w:val="24"/>
              </w:rPr>
              <w:t>中的</w:t>
            </w:r>
            <w:r>
              <w:rPr>
                <w:rFonts w:hint="default" w:ascii="Times New Roman" w:hAnsi="Times New Roman" w:cs="Times New Roman"/>
                <w:sz w:val="24"/>
                <w:szCs w:val="24"/>
                <w:lang w:val="en-US" w:eastAsia="zh-CN"/>
              </w:rPr>
              <w:t>2</w:t>
            </w:r>
            <w:r>
              <w:rPr>
                <w:rFonts w:hint="default" w:ascii="Times New Roman" w:hAnsi="Times New Roman" w:cs="Times New Roman"/>
                <w:sz w:val="24"/>
                <w:szCs w:val="24"/>
              </w:rPr>
              <w:t>类标准。</w:t>
            </w:r>
          </w:p>
          <w:p>
            <w:pPr>
              <w:adjustRightInd w:val="0"/>
              <w:snapToGrid w:val="0"/>
              <w:spacing w:line="360" w:lineRule="auto"/>
              <w:rPr>
                <w:rFonts w:hint="eastAsia"/>
                <w:sz w:val="24"/>
                <w:szCs w:val="24"/>
              </w:rPr>
            </w:pPr>
            <w:r>
              <w:rPr>
                <w:rFonts w:hint="eastAsia"/>
                <w:sz w:val="24"/>
                <w:szCs w:val="24"/>
                <w:lang w:val="en-US" w:eastAsia="zh-CN"/>
              </w:rPr>
              <w:t>4.</w:t>
            </w:r>
            <w:r>
              <w:rPr>
                <w:rFonts w:hint="eastAsia"/>
                <w:sz w:val="24"/>
                <w:szCs w:val="24"/>
              </w:rPr>
              <w:t>生态环境现状</w:t>
            </w:r>
          </w:p>
          <w:p>
            <w:pPr>
              <w:adjustRightInd w:val="0"/>
              <w:snapToGrid w:val="0"/>
              <w:spacing w:line="360" w:lineRule="auto"/>
              <w:ind w:firstLine="480" w:firstLineChars="200"/>
              <w:rPr>
                <w:rFonts w:hint="default"/>
                <w:color w:val="FF0000"/>
                <w:sz w:val="24"/>
                <w:szCs w:val="24"/>
                <w:u w:val="single"/>
                <w:lang w:val="en-US" w:eastAsia="zh-CN"/>
              </w:rPr>
            </w:pPr>
            <w:r>
              <w:rPr>
                <w:rFonts w:hint="eastAsia"/>
                <w:color w:val="FF0000"/>
                <w:sz w:val="24"/>
                <w:szCs w:val="24"/>
                <w:u w:val="single"/>
                <w:lang w:val="en-US" w:eastAsia="zh-CN"/>
              </w:rPr>
              <w:t>本项目航线范围包括横岭湖自然保护区。关于横岭湖自然保护区的自然概况如下：</w:t>
            </w:r>
          </w:p>
          <w:p>
            <w:pPr>
              <w:numPr>
                <w:ilvl w:val="0"/>
                <w:numId w:val="0"/>
              </w:numPr>
              <w:adjustRightInd w:val="0"/>
              <w:snapToGrid w:val="0"/>
              <w:spacing w:line="360" w:lineRule="auto"/>
              <w:ind w:firstLine="480" w:firstLineChars="200"/>
              <w:rPr>
                <w:rFonts w:hint="eastAsia"/>
                <w:color w:val="FF0000"/>
                <w:sz w:val="24"/>
                <w:szCs w:val="24"/>
                <w:u w:val="single"/>
                <w:lang w:val="en-US" w:eastAsia="zh-CN"/>
              </w:rPr>
            </w:pPr>
            <w:r>
              <w:rPr>
                <w:rFonts w:hint="eastAsia"/>
                <w:color w:val="FF0000"/>
                <w:sz w:val="24"/>
                <w:szCs w:val="24"/>
                <w:u w:val="single"/>
                <w:lang w:val="en-US" w:eastAsia="zh-CN"/>
              </w:rPr>
              <w:t>横岭湖自然保护区是洞庭湖湿地的重要组成部分，由大小二十四个常年性湖泊和三大片季节性洲土珠连玉缀而成。由于湘、资、沅、澧四水所夹带的泥沙长期淤积而渐与洞庭湖形成季节性分裂，丰水期仍与洞庭湖碧波相连。2000年6月，经湘阴县人民政府批准，成立了湘阴县横岭湖鸟类和湿地自然保护区，2003年4月经湖南省人民政府批准，晋升为省级自然保护区。</w:t>
            </w:r>
          </w:p>
          <w:p>
            <w:pPr>
              <w:numPr>
                <w:ilvl w:val="0"/>
                <w:numId w:val="0"/>
              </w:numPr>
              <w:adjustRightInd w:val="0"/>
              <w:snapToGrid w:val="0"/>
              <w:spacing w:line="360" w:lineRule="auto"/>
              <w:ind w:firstLine="480" w:firstLineChars="200"/>
              <w:rPr>
                <w:rFonts w:hint="eastAsia"/>
                <w:color w:val="FF0000"/>
                <w:sz w:val="24"/>
                <w:szCs w:val="24"/>
                <w:u w:val="single"/>
                <w:lang w:val="en-US" w:eastAsia="zh-CN"/>
              </w:rPr>
            </w:pPr>
            <w:r>
              <w:rPr>
                <w:rFonts w:hint="eastAsia"/>
                <w:color w:val="FF0000"/>
                <w:sz w:val="24"/>
                <w:szCs w:val="24"/>
                <w:u w:val="single"/>
                <w:lang w:val="en-US" w:eastAsia="zh-CN"/>
              </w:rPr>
              <w:t>一、地理位置</w:t>
            </w:r>
          </w:p>
          <w:p>
            <w:pPr>
              <w:numPr>
                <w:ilvl w:val="0"/>
                <w:numId w:val="0"/>
              </w:numPr>
              <w:adjustRightInd w:val="0"/>
              <w:snapToGrid w:val="0"/>
              <w:spacing w:line="360" w:lineRule="auto"/>
              <w:ind w:firstLine="480" w:firstLineChars="200"/>
              <w:rPr>
                <w:rFonts w:hint="eastAsia"/>
                <w:color w:val="FF0000"/>
                <w:sz w:val="24"/>
                <w:szCs w:val="24"/>
                <w:u w:val="single"/>
                <w:lang w:val="en-US" w:eastAsia="zh-CN"/>
              </w:rPr>
            </w:pPr>
            <w:r>
              <w:rPr>
                <w:rFonts w:hint="eastAsia"/>
                <w:color w:val="FF0000"/>
                <w:sz w:val="24"/>
                <w:szCs w:val="24"/>
                <w:u w:val="single"/>
                <w:lang w:val="en-US" w:eastAsia="zh-CN"/>
              </w:rPr>
              <w:t>横岭湖自然保护区位于湘阴县北部，东起湘江与岳阳市屈原行政区隔江相望，南抵湘阴县洞庭围镇和鹤龙湖镇，西临益阳沅江市，北接东洞庭湖磊石山。地理坐标介于东经112°38′～112°57′与北纬28°30′～29°3′之间。</w:t>
            </w:r>
          </w:p>
          <w:p>
            <w:pPr>
              <w:numPr>
                <w:ilvl w:val="0"/>
                <w:numId w:val="2"/>
              </w:numPr>
              <w:adjustRightInd w:val="0"/>
              <w:snapToGrid w:val="0"/>
              <w:spacing w:line="360" w:lineRule="auto"/>
              <w:ind w:left="0" w:leftChars="0" w:firstLine="480" w:firstLineChars="200"/>
              <w:rPr>
                <w:rFonts w:hint="eastAsia"/>
                <w:color w:val="FF0000"/>
                <w:sz w:val="24"/>
                <w:szCs w:val="24"/>
                <w:u w:val="single"/>
                <w:lang w:val="en-US" w:eastAsia="zh-CN"/>
              </w:rPr>
            </w:pPr>
            <w:r>
              <w:rPr>
                <w:rFonts w:hint="eastAsia"/>
                <w:color w:val="FF0000"/>
                <w:sz w:val="24"/>
                <w:szCs w:val="24"/>
                <w:u w:val="single"/>
                <w:lang w:val="en-US" w:eastAsia="zh-CN"/>
              </w:rPr>
              <w:t>生态环境</w:t>
            </w:r>
          </w:p>
          <w:p>
            <w:pPr>
              <w:bidi w:val="0"/>
              <w:spacing w:line="360" w:lineRule="auto"/>
              <w:ind w:firstLine="480" w:firstLineChars="200"/>
              <w:rPr>
                <w:rFonts w:hint="default"/>
                <w:color w:val="FF0000"/>
                <w:sz w:val="24"/>
                <w:szCs w:val="24"/>
                <w:u w:val="single"/>
                <w:lang w:val="en-US"/>
              </w:rPr>
            </w:pPr>
            <w:r>
              <w:rPr>
                <w:rFonts w:hint="default"/>
                <w:color w:val="FF0000"/>
                <w:sz w:val="24"/>
                <w:szCs w:val="24"/>
                <w:u w:val="single"/>
                <w:lang w:val="en-US"/>
              </w:rPr>
              <w:t>横岭湖自然保护区是洞庭湖湿地的重要组成部分，属内陆湿地和水域生态系统类型自然保护区，该保护区具有以下特点：</w:t>
            </w:r>
          </w:p>
          <w:p>
            <w:pPr>
              <w:bidi w:val="0"/>
              <w:spacing w:line="360" w:lineRule="auto"/>
              <w:ind w:firstLine="480" w:firstLineChars="200"/>
              <w:rPr>
                <w:rFonts w:hint="default"/>
                <w:color w:val="FF0000"/>
                <w:sz w:val="24"/>
                <w:szCs w:val="24"/>
                <w:u w:val="single"/>
                <w:lang w:val="en-US"/>
              </w:rPr>
            </w:pPr>
            <w:r>
              <w:rPr>
                <w:rFonts w:hint="default"/>
                <w:color w:val="FF0000"/>
                <w:sz w:val="24"/>
                <w:szCs w:val="24"/>
                <w:u w:val="single"/>
                <w:lang w:val="en-US"/>
              </w:rPr>
              <w:t>①典型性</w:t>
            </w:r>
          </w:p>
          <w:p>
            <w:pPr>
              <w:bidi w:val="0"/>
              <w:spacing w:line="360" w:lineRule="auto"/>
              <w:ind w:firstLine="480" w:firstLineChars="200"/>
              <w:rPr>
                <w:rFonts w:hint="default"/>
                <w:color w:val="FF0000"/>
                <w:sz w:val="24"/>
                <w:szCs w:val="24"/>
                <w:u w:val="single"/>
                <w:lang w:val="en-US"/>
              </w:rPr>
            </w:pPr>
            <w:r>
              <w:rPr>
                <w:rFonts w:hint="default"/>
                <w:color w:val="FF0000"/>
                <w:sz w:val="24"/>
                <w:szCs w:val="24"/>
                <w:u w:val="single"/>
                <w:lang w:val="en-US"/>
              </w:rPr>
              <w:t>横岭湖湿地是洞庭湖湿地的重要组成部分，是亚热带内陆湿地的典型代表，该保护区内的湖沼洲滩是最为典型的湿地生态系统。</w:t>
            </w:r>
          </w:p>
          <w:p>
            <w:pPr>
              <w:bidi w:val="0"/>
              <w:spacing w:line="360" w:lineRule="auto"/>
              <w:ind w:firstLine="480" w:firstLineChars="200"/>
              <w:rPr>
                <w:rFonts w:hint="default"/>
                <w:color w:val="FF0000"/>
                <w:sz w:val="24"/>
                <w:szCs w:val="24"/>
                <w:u w:val="single"/>
                <w:lang w:val="en-US"/>
              </w:rPr>
            </w:pPr>
            <w:r>
              <w:rPr>
                <w:rFonts w:hint="default"/>
                <w:color w:val="FF0000"/>
                <w:sz w:val="24"/>
                <w:szCs w:val="24"/>
                <w:u w:val="single"/>
                <w:lang w:val="en-US"/>
              </w:rPr>
              <w:t>②脆弱性</w:t>
            </w:r>
          </w:p>
          <w:p>
            <w:pPr>
              <w:bidi w:val="0"/>
              <w:spacing w:line="360" w:lineRule="auto"/>
              <w:ind w:firstLine="480" w:firstLineChars="200"/>
              <w:rPr>
                <w:rFonts w:hint="default"/>
                <w:color w:val="FF0000"/>
                <w:sz w:val="24"/>
                <w:szCs w:val="24"/>
                <w:u w:val="single"/>
                <w:lang w:val="en-US"/>
              </w:rPr>
            </w:pPr>
            <w:r>
              <w:rPr>
                <w:rFonts w:hint="default"/>
                <w:color w:val="FF0000"/>
                <w:sz w:val="24"/>
                <w:szCs w:val="24"/>
                <w:u w:val="single"/>
                <w:lang w:val="en-US"/>
              </w:rPr>
              <w:t>横岭湖二十世纪七十年代曾遭围垦，使该区湿地功能有所退化，加之近年来的水质污染、湖泊淤积、偷猎、电捕鱼、植杨树等自然和人为的破坏，使横岭湖的湿地资源和生态系统极具脆弱性。</w:t>
            </w:r>
          </w:p>
          <w:p>
            <w:pPr>
              <w:bidi w:val="0"/>
              <w:spacing w:line="360" w:lineRule="auto"/>
              <w:ind w:firstLine="480" w:firstLineChars="200"/>
              <w:rPr>
                <w:rFonts w:hint="default"/>
                <w:color w:val="FF0000"/>
                <w:sz w:val="24"/>
                <w:szCs w:val="24"/>
                <w:u w:val="single"/>
                <w:lang w:val="en-US"/>
              </w:rPr>
            </w:pPr>
            <w:r>
              <w:rPr>
                <w:rFonts w:hint="default"/>
                <w:color w:val="FF0000"/>
                <w:sz w:val="24"/>
                <w:szCs w:val="24"/>
                <w:u w:val="single"/>
                <w:lang w:val="en-US"/>
              </w:rPr>
              <w:t>③生物多样性</w:t>
            </w:r>
          </w:p>
          <w:p>
            <w:pPr>
              <w:bidi w:val="0"/>
              <w:spacing w:line="360" w:lineRule="auto"/>
              <w:ind w:firstLine="480" w:firstLineChars="200"/>
              <w:rPr>
                <w:rFonts w:hint="default"/>
                <w:color w:val="FF0000"/>
                <w:sz w:val="24"/>
                <w:szCs w:val="24"/>
                <w:u w:val="single"/>
                <w:lang w:val="en-US"/>
              </w:rPr>
            </w:pPr>
            <w:r>
              <w:rPr>
                <w:rFonts w:hint="default"/>
                <w:color w:val="FF0000"/>
                <w:sz w:val="24"/>
                <w:szCs w:val="24"/>
                <w:u w:val="single"/>
                <w:lang w:val="en-US"/>
              </w:rPr>
              <w:t>由于湖南“四水”的冲积作用，使横岭湖形成了湖洲、草甸、沼泽、水域等复杂的生境：区内生物资源极其丰富，有维管束植物106科（196属）397种，有各类野生动物440种。其中鱼类12目21科112种，鸟类16目47科207种，爬行类8科29种；兽类16科28种；两栖类5科12种，虾蟹类5科11种，贝类5科41种。保护区内物种资源具有珍稀种类多，特色物种多等特点。</w:t>
            </w:r>
          </w:p>
          <w:p>
            <w:pPr>
              <w:bidi w:val="0"/>
              <w:spacing w:line="360" w:lineRule="auto"/>
              <w:ind w:firstLine="480" w:firstLineChars="200"/>
              <w:rPr>
                <w:rFonts w:hint="default"/>
                <w:color w:val="FF0000"/>
                <w:sz w:val="24"/>
                <w:szCs w:val="24"/>
                <w:u w:val="single"/>
                <w:lang w:val="en-US"/>
              </w:rPr>
            </w:pPr>
            <w:r>
              <w:rPr>
                <w:rFonts w:hint="default"/>
                <w:color w:val="FF0000"/>
                <w:sz w:val="24"/>
                <w:szCs w:val="24"/>
                <w:u w:val="single"/>
                <w:lang w:val="en-US"/>
              </w:rPr>
              <w:t>④稀有性</w:t>
            </w:r>
          </w:p>
          <w:p>
            <w:pPr>
              <w:bidi w:val="0"/>
              <w:spacing w:line="360" w:lineRule="auto"/>
              <w:ind w:firstLine="480" w:firstLineChars="200"/>
              <w:rPr>
                <w:rFonts w:hint="default"/>
                <w:color w:val="FF0000"/>
                <w:sz w:val="24"/>
                <w:szCs w:val="24"/>
                <w:u w:val="single"/>
                <w:lang w:val="en-US"/>
              </w:rPr>
            </w:pPr>
            <w:r>
              <w:rPr>
                <w:rFonts w:hint="default"/>
                <w:color w:val="FF0000"/>
                <w:sz w:val="24"/>
                <w:szCs w:val="24"/>
                <w:u w:val="single"/>
                <w:lang w:val="en-US"/>
              </w:rPr>
              <w:t>横岭湖省级自然保护区悠久的历史和丰富的水热资源为植物的生存繁衍提供了得天独厚的条件，在动物区系中含有大量的古老孑遗物路，如鱼类中的中华鲟、白鲟，哺乳类的白暨豚等。保护区内仅国家重点保护的Ⅰ、Ⅱ级野生动物50余种，其中Ⅰ国家级保护动物有：白鹤、白头鹤、东方白鹳、黑鹳、中华秋沙鸭、白尾海雕、大鸨，国家Ⅱ级保护动物有江豚、白脸琵鹭、大天鹅、小天鹅、白头鹞、白尾鹞、赤腹鹰、雀鹰、松雀鹰、苍鹰、燕隼、小杓鹬、虎纹蛙等。部分物种涉于灭绝，其中5种极危级，7种濒危级，17种近危级，8种低危级，别外2种为中国特有种。长江流域被认为是中国鱼类生物多样性最高的三个区域之一，包含胭脂鱼在内的4种频危鱼类生活在横岭湖。另有两种具有全球重要意义的哺乳类生活在横岭湖一带，即白鳍豚、江豚，前者为极危种，后者为濒危种。</w:t>
            </w:r>
          </w:p>
          <w:p>
            <w:pPr>
              <w:bidi w:val="0"/>
              <w:spacing w:line="360" w:lineRule="auto"/>
              <w:ind w:firstLine="480" w:firstLineChars="200"/>
              <w:rPr>
                <w:rFonts w:hint="default"/>
                <w:color w:val="FF0000"/>
                <w:sz w:val="24"/>
                <w:szCs w:val="24"/>
                <w:u w:val="single"/>
                <w:lang w:val="en-US"/>
              </w:rPr>
            </w:pPr>
            <w:r>
              <w:rPr>
                <w:rFonts w:hint="default"/>
                <w:color w:val="FF0000"/>
                <w:sz w:val="24"/>
                <w:szCs w:val="24"/>
                <w:u w:val="single"/>
                <w:lang w:val="en-US"/>
              </w:rPr>
              <w:t>⑤自然性</w:t>
            </w:r>
          </w:p>
          <w:p>
            <w:pPr>
              <w:bidi w:val="0"/>
              <w:spacing w:line="360" w:lineRule="auto"/>
              <w:ind w:firstLine="480" w:firstLineChars="200"/>
              <w:rPr>
                <w:rFonts w:hint="default"/>
                <w:color w:val="FF0000"/>
                <w:sz w:val="24"/>
                <w:szCs w:val="24"/>
                <w:u w:val="single"/>
                <w:lang w:val="en-US"/>
              </w:rPr>
            </w:pPr>
            <w:r>
              <w:rPr>
                <w:rFonts w:hint="default"/>
                <w:color w:val="FF0000"/>
                <w:sz w:val="24"/>
                <w:szCs w:val="24"/>
                <w:u w:val="single"/>
                <w:lang w:val="en-US"/>
              </w:rPr>
              <w:t>保护区虽然在实验区人为活动频繁，但核心区和缓冲区还是保持较为原始自然状态。</w:t>
            </w:r>
          </w:p>
          <w:p>
            <w:pPr>
              <w:numPr>
                <w:ilvl w:val="0"/>
                <w:numId w:val="2"/>
              </w:numPr>
              <w:bidi w:val="0"/>
              <w:spacing w:line="360" w:lineRule="auto"/>
              <w:ind w:left="0" w:leftChars="0" w:firstLine="480" w:firstLineChars="200"/>
              <w:rPr>
                <w:rFonts w:hint="eastAsia"/>
                <w:color w:val="FF0000"/>
                <w:sz w:val="24"/>
                <w:szCs w:val="24"/>
                <w:u w:val="single"/>
                <w:lang w:val="en-US" w:eastAsia="zh-CN"/>
              </w:rPr>
            </w:pPr>
            <w:r>
              <w:rPr>
                <w:rFonts w:hint="eastAsia"/>
                <w:color w:val="FF0000"/>
                <w:sz w:val="24"/>
                <w:szCs w:val="24"/>
                <w:u w:val="single"/>
                <w:lang w:val="en-US" w:eastAsia="zh-CN"/>
              </w:rPr>
              <w:t>植物资源</w:t>
            </w:r>
          </w:p>
          <w:p>
            <w:pPr>
              <w:numPr>
                <w:ilvl w:val="0"/>
                <w:numId w:val="0"/>
              </w:numPr>
              <w:bidi w:val="0"/>
              <w:spacing w:line="360" w:lineRule="auto"/>
              <w:ind w:firstLine="480" w:firstLineChars="200"/>
              <w:rPr>
                <w:rFonts w:hint="eastAsia"/>
                <w:color w:val="FF0000"/>
                <w:sz w:val="24"/>
                <w:szCs w:val="24"/>
                <w:u w:val="single"/>
                <w:lang w:val="en-US" w:eastAsia="zh-CN"/>
              </w:rPr>
            </w:pPr>
            <w:r>
              <w:rPr>
                <w:rFonts w:hint="eastAsia"/>
                <w:color w:val="FF0000"/>
                <w:sz w:val="24"/>
                <w:szCs w:val="24"/>
                <w:u w:val="single"/>
                <w:lang w:val="en-US" w:eastAsia="zh-CN"/>
              </w:rPr>
              <w:t>保护区内拥有植物106科196属397种，其中包括野生的金荞麦、野菱等珍稀植物种群分布。国家重点保护植物、名贵中药蔓京子在青山岛上局部分布，我国仅发现2处，保护区内还发现有古银杏（人工栽培种）存在。</w:t>
            </w:r>
          </w:p>
          <w:p>
            <w:pPr>
              <w:numPr>
                <w:ilvl w:val="0"/>
                <w:numId w:val="2"/>
              </w:numPr>
              <w:bidi w:val="0"/>
              <w:spacing w:line="360" w:lineRule="auto"/>
              <w:ind w:left="0" w:leftChars="0" w:firstLine="480" w:firstLineChars="200"/>
              <w:rPr>
                <w:rFonts w:hint="default"/>
                <w:color w:val="FF0000"/>
                <w:sz w:val="24"/>
                <w:szCs w:val="24"/>
                <w:u w:val="single"/>
                <w:lang w:val="en-US" w:eastAsia="zh-CN"/>
              </w:rPr>
            </w:pPr>
            <w:r>
              <w:rPr>
                <w:rFonts w:hint="eastAsia"/>
                <w:color w:val="FF0000"/>
                <w:sz w:val="24"/>
                <w:szCs w:val="24"/>
                <w:u w:val="single"/>
                <w:lang w:val="en-US" w:eastAsia="zh-CN"/>
              </w:rPr>
              <w:t>动物资源</w:t>
            </w:r>
          </w:p>
          <w:p>
            <w:pPr>
              <w:bidi w:val="0"/>
              <w:spacing w:line="360" w:lineRule="auto"/>
              <w:ind w:firstLine="480" w:firstLineChars="200"/>
              <w:rPr>
                <w:color w:val="FF0000"/>
                <w:sz w:val="24"/>
                <w:szCs w:val="24"/>
                <w:u w:val="single"/>
              </w:rPr>
            </w:pPr>
            <w:r>
              <w:rPr>
                <w:rFonts w:hint="default"/>
                <w:color w:val="FF0000"/>
                <w:sz w:val="24"/>
                <w:szCs w:val="24"/>
                <w:u w:val="single"/>
                <w:lang w:val="en-US" w:eastAsia="zh-CN"/>
              </w:rPr>
              <w:t>a、鸟类资源：已经记录到的鸟类207种。本区约有152种鸟类，因在国内或国际间具有重要保护意义而分别列入我国政府公布的保护鸟类名录或我国与外国政府共同签署的保护鸟类名录。属于国家重点保护的鸟类有38种，其中国家一级重点保护鸟类7种，二级重点保护鸟类31种。同时，该保护区是中华秋沙鸭和</w:t>
            </w:r>
            <w:r>
              <w:rPr>
                <w:rFonts w:hint="default"/>
                <w:color w:val="FF0000"/>
                <w:sz w:val="24"/>
                <w:szCs w:val="24"/>
                <w:u w:val="single"/>
                <w:lang w:val="en-US" w:eastAsia="zh-CN"/>
              </w:rPr>
              <w:fldChar w:fldCharType="begin"/>
            </w:r>
            <w:r>
              <w:rPr>
                <w:rFonts w:hint="default"/>
                <w:color w:val="FF0000"/>
                <w:sz w:val="24"/>
                <w:szCs w:val="24"/>
                <w:u w:val="single"/>
                <w:lang w:val="en-US" w:eastAsia="zh-CN"/>
              </w:rPr>
              <w:instrText xml:space="preserve"> HYPERLINK "https://baike.baidu.com/item/%E7%BD%97%E7%BA%B9%E9%B8%AD" \t "https://baike.baidu.com/item/%E6%A8%AA%E5%B2%AD%E6%B9%96%E8%87%AA%E7%84%B6%E4%BF%9D%E6%8A%A4%E5%8C%BA/_blank" </w:instrText>
            </w:r>
            <w:r>
              <w:rPr>
                <w:rFonts w:hint="default"/>
                <w:color w:val="FF0000"/>
                <w:sz w:val="24"/>
                <w:szCs w:val="24"/>
                <w:u w:val="single"/>
                <w:lang w:val="en-US" w:eastAsia="zh-CN"/>
              </w:rPr>
              <w:fldChar w:fldCharType="separate"/>
            </w:r>
            <w:r>
              <w:rPr>
                <w:rStyle w:val="21"/>
                <w:rFonts w:hint="default" w:ascii="Helvetica" w:hAnsi="Helvetica" w:eastAsia="Helvetica" w:cs="Helvetica"/>
                <w:i w:val="0"/>
                <w:iCs w:val="0"/>
                <w:caps w:val="0"/>
                <w:color w:val="FF0000"/>
                <w:spacing w:val="0"/>
                <w:sz w:val="24"/>
                <w:szCs w:val="24"/>
                <w:u w:val="single"/>
                <w:shd w:val="clear" w:fill="FFFFFF"/>
              </w:rPr>
              <w:t>罗纹鸭</w:t>
            </w:r>
            <w:r>
              <w:rPr>
                <w:rFonts w:hint="default"/>
                <w:color w:val="FF0000"/>
                <w:sz w:val="24"/>
                <w:szCs w:val="24"/>
                <w:u w:val="single"/>
                <w:lang w:val="en-US" w:eastAsia="zh-CN"/>
              </w:rPr>
              <w:fldChar w:fldCharType="end"/>
            </w:r>
            <w:r>
              <w:rPr>
                <w:rFonts w:hint="default"/>
                <w:color w:val="FF0000"/>
                <w:sz w:val="24"/>
                <w:szCs w:val="24"/>
                <w:u w:val="single"/>
                <w:lang w:val="en-US" w:eastAsia="zh-CN"/>
              </w:rPr>
              <w:t>的重要越冬栖息地，世界上近30%的罗纹鸭在该保护区越冬。</w:t>
            </w:r>
          </w:p>
          <w:p>
            <w:pPr>
              <w:bidi w:val="0"/>
              <w:spacing w:line="360" w:lineRule="auto"/>
              <w:ind w:firstLine="480" w:firstLineChars="200"/>
              <w:rPr>
                <w:rFonts w:hint="default"/>
                <w:color w:val="FF0000"/>
                <w:sz w:val="24"/>
                <w:szCs w:val="24"/>
                <w:u w:val="single"/>
              </w:rPr>
            </w:pPr>
            <w:r>
              <w:rPr>
                <w:rFonts w:hint="default"/>
                <w:color w:val="FF0000"/>
                <w:sz w:val="24"/>
                <w:szCs w:val="24"/>
                <w:u w:val="single"/>
                <w:lang w:val="en-US" w:eastAsia="zh-CN"/>
              </w:rPr>
              <w:t>b、爬行类8科29种、哺乳类16科28种、两栖类5科12种。包含两种具有全球重要意义的哺乳类生活在洞庭湖和横岭湖一带，即白鳍豚、江豚，前者为极危种，后者为濒危种。</w:t>
            </w:r>
          </w:p>
          <w:p>
            <w:pPr>
              <w:bidi w:val="0"/>
              <w:spacing w:line="360" w:lineRule="auto"/>
              <w:ind w:firstLine="480" w:firstLineChars="200"/>
              <w:rPr>
                <w:rFonts w:hint="default"/>
                <w:color w:val="FF0000"/>
                <w:sz w:val="24"/>
                <w:szCs w:val="24"/>
                <w:u w:val="single"/>
              </w:rPr>
            </w:pPr>
            <w:r>
              <w:rPr>
                <w:rFonts w:hint="default"/>
                <w:color w:val="FF0000"/>
                <w:sz w:val="24"/>
                <w:szCs w:val="24"/>
                <w:u w:val="single"/>
                <w:lang w:val="en-US" w:eastAsia="zh-CN"/>
              </w:rPr>
              <w:t>c、鱼类资源：记录到的鱼类有12目21科112种、虾蟹类5科11种、贝类5科41种。其中有包含胭脂鱼在内的4种濒危鱼类生活在横岭湖。有国家一级重点保护鱼类中华鲟、</w:t>
            </w:r>
            <w:r>
              <w:rPr>
                <w:rFonts w:hint="default"/>
                <w:color w:val="FF0000"/>
                <w:sz w:val="24"/>
                <w:szCs w:val="24"/>
                <w:u w:val="single"/>
                <w:lang w:val="en-US" w:eastAsia="zh-CN"/>
              </w:rPr>
              <w:fldChar w:fldCharType="begin"/>
            </w:r>
            <w:r>
              <w:rPr>
                <w:rFonts w:hint="default"/>
                <w:color w:val="FF0000"/>
                <w:sz w:val="24"/>
                <w:szCs w:val="24"/>
                <w:u w:val="single"/>
                <w:lang w:val="en-US" w:eastAsia="zh-CN"/>
              </w:rPr>
              <w:instrText xml:space="preserve"> HYPERLINK "https://baike.baidu.com/item/%E7%99%BD%E9%B2%9F" \t "https://baike.baidu.com/item/%E6%A8%AA%E5%B2%AD%E6%B9%96%E8%87%AA%E7%84%B6%E4%BF%9D%E6%8A%A4%E5%8C%BA/_blank" </w:instrText>
            </w:r>
            <w:r>
              <w:rPr>
                <w:rFonts w:hint="default"/>
                <w:color w:val="FF0000"/>
                <w:sz w:val="24"/>
                <w:szCs w:val="24"/>
                <w:u w:val="single"/>
                <w:lang w:val="en-US" w:eastAsia="zh-CN"/>
              </w:rPr>
              <w:fldChar w:fldCharType="separate"/>
            </w:r>
            <w:r>
              <w:rPr>
                <w:rStyle w:val="21"/>
                <w:rFonts w:hint="default" w:ascii="Helvetica" w:hAnsi="Helvetica" w:eastAsia="Helvetica" w:cs="Helvetica"/>
                <w:i w:val="0"/>
                <w:iCs w:val="0"/>
                <w:caps w:val="0"/>
                <w:color w:val="FF0000"/>
                <w:spacing w:val="0"/>
                <w:sz w:val="24"/>
                <w:szCs w:val="24"/>
                <w:u w:val="single"/>
                <w:shd w:val="clear" w:fill="FFFFFF"/>
              </w:rPr>
              <w:t>白鲟</w:t>
            </w:r>
            <w:r>
              <w:rPr>
                <w:rFonts w:hint="default"/>
                <w:color w:val="FF0000"/>
                <w:sz w:val="24"/>
                <w:szCs w:val="24"/>
                <w:u w:val="single"/>
                <w:lang w:val="en-US" w:eastAsia="zh-CN"/>
              </w:rPr>
              <w:fldChar w:fldCharType="end"/>
            </w:r>
            <w:r>
              <w:rPr>
                <w:rFonts w:hint="default"/>
                <w:color w:val="FF0000"/>
                <w:sz w:val="24"/>
                <w:szCs w:val="24"/>
                <w:u w:val="single"/>
                <w:lang w:val="en-US" w:eastAsia="zh-CN"/>
              </w:rPr>
              <w:t>。</w:t>
            </w:r>
          </w:p>
          <w:p>
            <w:pPr>
              <w:bidi w:val="0"/>
              <w:spacing w:line="360" w:lineRule="auto"/>
              <w:ind w:firstLine="480" w:firstLineChars="200"/>
              <w:rPr>
                <w:rFonts w:hint="default"/>
                <w:color w:val="FF0000"/>
                <w:sz w:val="24"/>
                <w:szCs w:val="24"/>
                <w:u w:val="single"/>
              </w:rPr>
            </w:pPr>
            <w:r>
              <w:rPr>
                <w:rFonts w:hint="eastAsia"/>
                <w:color w:val="FF0000"/>
                <w:sz w:val="24"/>
                <w:szCs w:val="24"/>
                <w:u w:val="single"/>
                <w:lang w:val="en-US" w:eastAsia="zh-CN"/>
              </w:rPr>
              <w:t>d</w:t>
            </w:r>
            <w:r>
              <w:rPr>
                <w:rFonts w:hint="default"/>
                <w:color w:val="FF0000"/>
                <w:sz w:val="24"/>
                <w:szCs w:val="24"/>
                <w:u w:val="single"/>
                <w:lang w:val="en-US" w:eastAsia="zh-CN"/>
              </w:rPr>
              <w:t>、保护区面积及功能区划</w:t>
            </w:r>
          </w:p>
          <w:p>
            <w:pPr>
              <w:bidi w:val="0"/>
              <w:spacing w:line="360" w:lineRule="auto"/>
              <w:ind w:firstLine="480" w:firstLineChars="200"/>
              <w:rPr>
                <w:rFonts w:hint="default"/>
                <w:color w:val="FF0000"/>
                <w:sz w:val="24"/>
                <w:szCs w:val="24"/>
                <w:u w:val="single"/>
              </w:rPr>
            </w:pPr>
            <w:r>
              <w:rPr>
                <w:rFonts w:hint="default"/>
                <w:color w:val="FF0000"/>
                <w:sz w:val="24"/>
                <w:szCs w:val="24"/>
                <w:u w:val="single"/>
                <w:lang w:val="en-US" w:eastAsia="zh-CN"/>
              </w:rPr>
              <w:t>横岭湖自然保护区总面积4.3万公顷,分核心区、缓冲区、 实验区。其中核心区面积1.5万公顷, 缓冲区面积1.2万公顷, 实验区面积1.6万公顷。</w:t>
            </w:r>
          </w:p>
          <w:p>
            <w:pPr>
              <w:bidi w:val="0"/>
              <w:spacing w:line="360" w:lineRule="auto"/>
              <w:ind w:firstLine="480" w:firstLineChars="200"/>
              <w:rPr>
                <w:rFonts w:hint="default"/>
                <w:color w:val="FF0000"/>
                <w:sz w:val="24"/>
                <w:szCs w:val="24"/>
                <w:u w:val="single"/>
              </w:rPr>
            </w:pPr>
            <w:r>
              <w:rPr>
                <w:rFonts w:hint="eastAsia"/>
                <w:color w:val="FF0000"/>
                <w:sz w:val="24"/>
                <w:szCs w:val="24"/>
                <w:u w:val="single"/>
                <w:lang w:val="en-US" w:eastAsia="zh-CN"/>
              </w:rPr>
              <w:t>e</w:t>
            </w:r>
            <w:r>
              <w:rPr>
                <w:rFonts w:hint="default"/>
                <w:color w:val="FF0000"/>
                <w:sz w:val="24"/>
                <w:szCs w:val="24"/>
                <w:u w:val="single"/>
                <w:lang w:val="en-US" w:eastAsia="zh-CN"/>
              </w:rPr>
              <w:t>、保护对象</w:t>
            </w:r>
          </w:p>
          <w:p>
            <w:pPr>
              <w:bidi w:val="0"/>
              <w:spacing w:line="360" w:lineRule="auto"/>
              <w:ind w:firstLine="480" w:firstLineChars="200"/>
              <w:rPr>
                <w:rFonts w:hint="default"/>
                <w:lang w:val="en-US" w:eastAsia="zh-CN"/>
              </w:rPr>
            </w:pPr>
            <w:r>
              <w:rPr>
                <w:rFonts w:hint="default"/>
                <w:color w:val="FF0000"/>
                <w:sz w:val="24"/>
                <w:szCs w:val="24"/>
                <w:u w:val="single"/>
                <w:lang w:val="en-US" w:eastAsia="zh-CN"/>
              </w:rPr>
              <w:t>珍稀濒危水禽；湿地生态系统和生物多样性；</w:t>
            </w:r>
            <w:r>
              <w:rPr>
                <w:rFonts w:hint="default"/>
                <w:color w:val="FF0000"/>
                <w:sz w:val="24"/>
                <w:szCs w:val="24"/>
                <w:u w:val="single"/>
                <w:lang w:val="en-US" w:eastAsia="zh-CN"/>
              </w:rPr>
              <w:fldChar w:fldCharType="begin"/>
            </w:r>
            <w:r>
              <w:rPr>
                <w:rFonts w:hint="default"/>
                <w:color w:val="FF0000"/>
                <w:sz w:val="24"/>
                <w:szCs w:val="24"/>
                <w:u w:val="single"/>
                <w:lang w:val="en-US" w:eastAsia="zh-CN"/>
              </w:rPr>
              <w:instrText xml:space="preserve"> HYPERLINK "https://baike.baidu.com/item/%E8%87%AA%E7%84%B6%E7%94%9F%E6%80%81%E7%8E%AF%E5%A2%83" \t "https://baike.baidu.com/item/%E6%A8%AA%E5%B2%AD%E6%B9%96%E8%87%AA%E7%84%B6%E4%BF%9D%E6%8A%A4%E5%8C%BA/_blank" </w:instrText>
            </w:r>
            <w:r>
              <w:rPr>
                <w:rFonts w:hint="default"/>
                <w:color w:val="FF0000"/>
                <w:sz w:val="24"/>
                <w:szCs w:val="24"/>
                <w:u w:val="single"/>
                <w:lang w:val="en-US" w:eastAsia="zh-CN"/>
              </w:rPr>
              <w:fldChar w:fldCharType="separate"/>
            </w:r>
            <w:r>
              <w:rPr>
                <w:rStyle w:val="21"/>
                <w:rFonts w:hint="default" w:ascii="Helvetica" w:hAnsi="Helvetica" w:eastAsia="Helvetica" w:cs="Helvetica"/>
                <w:i w:val="0"/>
                <w:iCs w:val="0"/>
                <w:caps w:val="0"/>
                <w:color w:val="FF0000"/>
                <w:spacing w:val="0"/>
                <w:sz w:val="24"/>
                <w:szCs w:val="24"/>
                <w:u w:val="single"/>
                <w:shd w:val="clear" w:fill="FFFFFF"/>
              </w:rPr>
              <w:t>自然生态环境</w:t>
            </w:r>
            <w:r>
              <w:rPr>
                <w:rFonts w:hint="default"/>
                <w:color w:val="FF0000"/>
                <w:sz w:val="24"/>
                <w:szCs w:val="24"/>
                <w:u w:val="single"/>
                <w:lang w:val="en-US" w:eastAsia="zh-CN"/>
              </w:rPr>
              <w:fldChar w:fldCharType="end"/>
            </w:r>
            <w:r>
              <w:rPr>
                <w:rFonts w:hint="default"/>
                <w:color w:val="FF0000"/>
                <w:sz w:val="24"/>
                <w:szCs w:val="24"/>
                <w:u w:val="single"/>
                <w:lang w:val="en-US" w:eastAsia="zh-CN"/>
              </w:rPr>
              <w:t>和自然环境资源；自然、人文景观等是横岭湖自然保护区的主要保护对象。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noWrap w:val="0"/>
            <w:tcMar>
              <w:left w:w="28" w:type="dxa"/>
              <w:right w:w="28" w:type="dxa"/>
            </w:tcMar>
            <w:vAlign w:val="center"/>
          </w:tcPr>
          <w:p>
            <w:pPr>
              <w:adjustRightInd w:val="0"/>
              <w:snapToGrid w:val="0"/>
              <w:jc w:val="center"/>
              <w:rPr>
                <w:rFonts w:hint="eastAsia" w:ascii="宋体" w:hAnsi="宋体" w:eastAsia="宋体" w:cs="宋体"/>
                <w:b w:val="0"/>
                <w:bCs w:val="0"/>
                <w:color w:val="auto"/>
                <w:kern w:val="0"/>
                <w:sz w:val="24"/>
                <w:szCs w:val="24"/>
                <w:u w:val="none" w:color="auto"/>
                <w:lang w:val="en-US" w:eastAsia="zh-CN"/>
              </w:rPr>
            </w:pPr>
            <w:r>
              <w:rPr>
                <w:rFonts w:hint="eastAsia" w:ascii="宋体" w:hAnsi="宋体" w:cs="宋体"/>
                <w:b w:val="0"/>
                <w:bCs w:val="0"/>
                <w:color w:val="auto"/>
                <w:kern w:val="0"/>
                <w:sz w:val="24"/>
                <w:szCs w:val="24"/>
                <w:u w:val="none" w:color="auto"/>
                <w:lang w:val="en-US" w:eastAsia="zh-CN"/>
              </w:rPr>
              <w:t>环境保护目标</w:t>
            </w:r>
          </w:p>
        </w:tc>
        <w:tc>
          <w:tcPr>
            <w:tcW w:w="8190" w:type="dxa"/>
            <w:noWrap w:val="0"/>
            <w:vAlign w:val="top"/>
          </w:tcPr>
          <w:p>
            <w:pPr>
              <w:spacing w:line="360" w:lineRule="auto"/>
              <w:ind w:firstLine="480" w:firstLineChars="200"/>
              <w:outlineLvl w:val="0"/>
              <w:rPr>
                <w:color w:val="FF0000"/>
                <w:sz w:val="24"/>
                <w:highlight w:val="none"/>
                <w:u w:val="single"/>
              </w:rPr>
            </w:pPr>
            <w:bookmarkStart w:id="9" w:name="_Toc27652"/>
            <w:bookmarkStart w:id="10" w:name="_Toc487331137"/>
            <w:r>
              <w:rPr>
                <w:rFonts w:hint="eastAsia"/>
                <w:color w:val="FF0000"/>
                <w:sz w:val="24"/>
                <w:u w:val="single"/>
              </w:rPr>
              <w:t>项目环境保护目标</w:t>
            </w:r>
            <w:r>
              <w:rPr>
                <w:color w:val="FF0000"/>
                <w:sz w:val="24"/>
                <w:highlight w:val="none"/>
                <w:u w:val="single"/>
              </w:rPr>
              <w:t>分布情况具体见下表。</w:t>
            </w:r>
            <w:bookmarkEnd w:id="9"/>
            <w:bookmarkEnd w:id="10"/>
          </w:p>
          <w:p>
            <w:pPr>
              <w:pStyle w:val="7"/>
              <w:keepNext/>
              <w:rPr>
                <w:rFonts w:ascii="Times New Roman" w:hAnsi="Times New Roman"/>
                <w:color w:val="FF0000"/>
                <w:highlight w:val="none"/>
                <w:u w:val="single"/>
              </w:rPr>
            </w:pPr>
            <w:bookmarkStart w:id="11" w:name="_Ref420507693"/>
            <w:r>
              <w:rPr>
                <w:rFonts w:ascii="Times New Roman" w:hAnsi="Times New Roman"/>
                <w:color w:val="FF0000"/>
                <w:highlight w:val="none"/>
                <w:u w:val="single"/>
              </w:rPr>
              <w:t>表</w:t>
            </w:r>
            <w:bookmarkEnd w:id="11"/>
            <w:r>
              <w:rPr>
                <w:rFonts w:hint="eastAsia" w:ascii="Times New Roman" w:hAnsi="Times New Roman"/>
                <w:color w:val="FF0000"/>
                <w:highlight w:val="none"/>
                <w:u w:val="single"/>
                <w:lang w:val="en-US" w:eastAsia="zh-CN"/>
              </w:rPr>
              <w:t>3-6</w:t>
            </w:r>
            <w:r>
              <w:rPr>
                <w:rFonts w:ascii="Times New Roman" w:hAnsi="Times New Roman"/>
                <w:color w:val="FF0000"/>
                <w:highlight w:val="none"/>
                <w:u w:val="single"/>
              </w:rPr>
              <w:t xml:space="preserve">  主要环境保护目标一览表</w:t>
            </w:r>
          </w:p>
          <w:tbl>
            <w:tblPr>
              <w:tblStyle w:val="1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59"/>
              <w:gridCol w:w="1986"/>
              <w:gridCol w:w="2988"/>
              <w:gridCol w:w="1212"/>
              <w:gridCol w:w="161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0" w:type="auto"/>
                  <w:tcBorders>
                    <w:top w:val="single" w:color="auto" w:sz="12" w:space="0"/>
                    <w:left w:val="single" w:color="auto" w:sz="12" w:space="0"/>
                    <w:bottom w:val="single" w:color="auto" w:sz="4" w:space="0"/>
                    <w:right w:val="single" w:color="auto" w:sz="4" w:space="0"/>
                  </w:tcBorders>
                  <w:noWrap/>
                  <w:vAlign w:val="center"/>
                </w:tcPr>
                <w:p>
                  <w:pPr>
                    <w:jc w:val="center"/>
                    <w:rPr>
                      <w:color w:val="FF0000"/>
                      <w:szCs w:val="21"/>
                      <w:u w:val="single"/>
                    </w:rPr>
                  </w:pPr>
                  <w:r>
                    <w:rPr>
                      <w:color w:val="FF0000"/>
                      <w:szCs w:val="21"/>
                      <w:u w:val="single"/>
                    </w:rPr>
                    <w:t>环境要素</w:t>
                  </w:r>
                </w:p>
              </w:tc>
              <w:tc>
                <w:tcPr>
                  <w:tcW w:w="0" w:type="auto"/>
                  <w:tcBorders>
                    <w:top w:val="single" w:color="auto" w:sz="12" w:space="0"/>
                    <w:left w:val="single" w:color="auto" w:sz="4" w:space="0"/>
                    <w:bottom w:val="single" w:color="auto" w:sz="4" w:space="0"/>
                    <w:right w:val="single" w:color="auto" w:sz="4" w:space="0"/>
                  </w:tcBorders>
                  <w:noWrap/>
                  <w:vAlign w:val="center"/>
                </w:tcPr>
                <w:p>
                  <w:pPr>
                    <w:jc w:val="center"/>
                    <w:rPr>
                      <w:color w:val="FF0000"/>
                      <w:szCs w:val="21"/>
                      <w:u w:val="single"/>
                    </w:rPr>
                  </w:pPr>
                  <w:r>
                    <w:rPr>
                      <w:color w:val="FF0000"/>
                      <w:szCs w:val="21"/>
                      <w:u w:val="single"/>
                    </w:rPr>
                    <w:t>敏感目标</w:t>
                  </w:r>
                </w:p>
              </w:tc>
              <w:tc>
                <w:tcPr>
                  <w:tcW w:w="0" w:type="auto"/>
                  <w:tcBorders>
                    <w:top w:val="single" w:color="auto" w:sz="12" w:space="0"/>
                    <w:left w:val="single" w:color="auto" w:sz="4" w:space="0"/>
                    <w:bottom w:val="single" w:color="auto" w:sz="4" w:space="0"/>
                    <w:right w:val="single" w:color="auto" w:sz="4" w:space="0"/>
                  </w:tcBorders>
                  <w:noWrap/>
                  <w:vAlign w:val="center"/>
                </w:tcPr>
                <w:p>
                  <w:pPr>
                    <w:jc w:val="center"/>
                    <w:rPr>
                      <w:color w:val="FF0000"/>
                      <w:szCs w:val="21"/>
                      <w:u w:val="single"/>
                    </w:rPr>
                  </w:pPr>
                  <w:r>
                    <w:rPr>
                      <w:color w:val="FF0000"/>
                      <w:szCs w:val="21"/>
                      <w:u w:val="single"/>
                    </w:rPr>
                    <w:t>方位</w:t>
                  </w:r>
                </w:p>
              </w:tc>
              <w:tc>
                <w:tcPr>
                  <w:tcW w:w="0" w:type="auto"/>
                  <w:tcBorders>
                    <w:top w:val="single" w:color="auto" w:sz="12" w:space="0"/>
                    <w:left w:val="single" w:color="auto" w:sz="4" w:space="0"/>
                    <w:bottom w:val="single" w:color="auto" w:sz="4" w:space="0"/>
                    <w:right w:val="single" w:color="auto" w:sz="4" w:space="0"/>
                  </w:tcBorders>
                  <w:noWrap/>
                  <w:vAlign w:val="center"/>
                </w:tcPr>
                <w:p>
                  <w:pPr>
                    <w:jc w:val="center"/>
                    <w:rPr>
                      <w:color w:val="FF0000"/>
                      <w:szCs w:val="21"/>
                      <w:u w:val="single"/>
                    </w:rPr>
                  </w:pPr>
                  <w:r>
                    <w:rPr>
                      <w:color w:val="FF0000"/>
                      <w:szCs w:val="21"/>
                      <w:u w:val="single"/>
                    </w:rPr>
                    <w:t>功能规模</w:t>
                  </w:r>
                </w:p>
              </w:tc>
              <w:tc>
                <w:tcPr>
                  <w:tcW w:w="0" w:type="auto"/>
                  <w:tcBorders>
                    <w:top w:val="single" w:color="auto" w:sz="12" w:space="0"/>
                    <w:left w:val="single" w:color="auto" w:sz="4" w:space="0"/>
                    <w:bottom w:val="single" w:color="auto" w:sz="4" w:space="0"/>
                    <w:right w:val="single" w:color="auto" w:sz="12" w:space="0"/>
                  </w:tcBorders>
                  <w:noWrap/>
                  <w:vAlign w:val="center"/>
                </w:tcPr>
                <w:p>
                  <w:pPr>
                    <w:jc w:val="center"/>
                    <w:rPr>
                      <w:color w:val="FF0000"/>
                      <w:szCs w:val="21"/>
                      <w:u w:val="single"/>
                    </w:rPr>
                  </w:pPr>
                  <w:r>
                    <w:rPr>
                      <w:color w:val="FF0000"/>
                      <w:szCs w:val="21"/>
                      <w:u w:val="single"/>
                    </w:rPr>
                    <w:t>保护级别</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0" w:type="auto"/>
                  <w:tcBorders>
                    <w:top w:val="single" w:color="auto" w:sz="4" w:space="0"/>
                    <w:left w:val="single" w:color="auto" w:sz="12" w:space="0"/>
                    <w:right w:val="single" w:color="auto" w:sz="4" w:space="0"/>
                  </w:tcBorders>
                  <w:noWrap/>
                  <w:vAlign w:val="center"/>
                </w:tcPr>
                <w:p>
                  <w:pPr>
                    <w:jc w:val="center"/>
                    <w:rPr>
                      <w:color w:val="FF0000"/>
                      <w:szCs w:val="21"/>
                      <w:u w:val="single"/>
                    </w:rPr>
                  </w:pPr>
                  <w:r>
                    <w:rPr>
                      <w:rFonts w:hint="eastAsia"/>
                      <w:color w:val="FF0000"/>
                      <w:szCs w:val="21"/>
                      <w:u w:val="single"/>
                    </w:rPr>
                    <w:t>声环境</w:t>
                  </w:r>
                </w:p>
              </w:tc>
              <w:tc>
                <w:tcPr>
                  <w:tcW w:w="0" w:type="auto"/>
                  <w:gridSpan w:val="4"/>
                  <w:tcBorders>
                    <w:top w:val="single" w:color="auto" w:sz="4" w:space="0"/>
                    <w:left w:val="single" w:color="auto" w:sz="4" w:space="0"/>
                    <w:bottom w:val="single" w:color="auto" w:sz="4" w:space="0"/>
                    <w:right w:val="single" w:color="auto" w:sz="12" w:space="0"/>
                  </w:tcBorders>
                  <w:noWrap/>
                  <w:vAlign w:val="center"/>
                </w:tcPr>
                <w:p>
                  <w:pPr>
                    <w:jc w:val="center"/>
                    <w:rPr>
                      <w:rFonts w:hint="default" w:eastAsia="宋体"/>
                      <w:color w:val="FF0000"/>
                      <w:szCs w:val="21"/>
                      <w:u w:val="single"/>
                      <w:lang w:val="en-US" w:eastAsia="zh-CN"/>
                    </w:rPr>
                  </w:pPr>
                  <w:r>
                    <w:rPr>
                      <w:rStyle w:val="22"/>
                      <w:rFonts w:hint="eastAsia"/>
                      <w:color w:val="FF0000"/>
                      <w:u w:val="single"/>
                      <w:lang w:eastAsia="zh-CN"/>
                    </w:rPr>
                    <w:t>本项目收集范围中</w:t>
                  </w:r>
                  <w:r>
                    <w:rPr>
                      <w:rStyle w:val="22"/>
                      <w:rFonts w:hint="eastAsia"/>
                      <w:color w:val="FF0000"/>
                      <w:u w:val="single"/>
                      <w:lang w:val="en-US" w:eastAsia="zh-CN"/>
                    </w:rPr>
                    <w:t>50m范围没有居民点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0" w:type="auto"/>
                  <w:vMerge w:val="restart"/>
                  <w:tcBorders>
                    <w:top w:val="single" w:color="auto" w:sz="4" w:space="0"/>
                    <w:left w:val="single" w:color="auto" w:sz="12" w:space="0"/>
                    <w:right w:val="single" w:color="auto" w:sz="4" w:space="0"/>
                  </w:tcBorders>
                  <w:noWrap/>
                  <w:vAlign w:val="center"/>
                </w:tcPr>
                <w:p>
                  <w:pPr>
                    <w:jc w:val="center"/>
                    <w:rPr>
                      <w:color w:val="FF0000"/>
                      <w:szCs w:val="21"/>
                      <w:u w:val="single"/>
                    </w:rPr>
                  </w:pPr>
                  <w:r>
                    <w:rPr>
                      <w:color w:val="FF0000"/>
                      <w:szCs w:val="21"/>
                      <w:u w:val="single"/>
                    </w:rPr>
                    <w:t>水</w:t>
                  </w:r>
                </w:p>
                <w:p>
                  <w:pPr>
                    <w:jc w:val="center"/>
                    <w:rPr>
                      <w:color w:val="FF0000"/>
                      <w:szCs w:val="21"/>
                      <w:u w:val="single"/>
                    </w:rPr>
                  </w:pPr>
                  <w:r>
                    <w:rPr>
                      <w:color w:val="FF0000"/>
                      <w:szCs w:val="21"/>
                      <w:u w:val="single"/>
                    </w:rPr>
                    <w:t>环</w:t>
                  </w:r>
                </w:p>
                <w:p>
                  <w:pPr>
                    <w:jc w:val="center"/>
                    <w:rPr>
                      <w:color w:val="FF0000"/>
                      <w:szCs w:val="21"/>
                      <w:u w:val="single"/>
                    </w:rPr>
                  </w:pPr>
                  <w:r>
                    <w:rPr>
                      <w:color w:val="FF0000"/>
                      <w:szCs w:val="21"/>
                      <w:u w:val="single"/>
                    </w:rPr>
                    <w:t>境</w:t>
                  </w:r>
                </w:p>
              </w:tc>
              <w:tc>
                <w:tcPr>
                  <w:tcW w:w="0" w:type="auto"/>
                  <w:tcBorders>
                    <w:top w:val="single" w:color="auto" w:sz="4" w:space="0"/>
                    <w:left w:val="single" w:color="auto" w:sz="4" w:space="0"/>
                    <w:bottom w:val="single" w:color="auto" w:sz="4" w:space="0"/>
                    <w:right w:val="single" w:color="auto" w:sz="4" w:space="0"/>
                  </w:tcBorders>
                  <w:noWrap/>
                  <w:vAlign w:val="center"/>
                </w:tcPr>
                <w:p>
                  <w:pPr>
                    <w:pStyle w:val="47"/>
                    <w:rPr>
                      <w:color w:val="FF0000"/>
                      <w:szCs w:val="21"/>
                      <w:u w:val="single"/>
                    </w:rPr>
                  </w:pPr>
                  <w:r>
                    <w:rPr>
                      <w:rFonts w:hint="eastAsia"/>
                      <w:color w:val="FF0000"/>
                      <w:szCs w:val="21"/>
                      <w:u w:val="single"/>
                    </w:rPr>
                    <w:t>湘江（一级、二级饮用水源区除外）</w:t>
                  </w:r>
                </w:p>
              </w:tc>
              <w:tc>
                <w:tcPr>
                  <w:tcW w:w="0" w:type="auto"/>
                  <w:gridSpan w:val="2"/>
                  <w:tcBorders>
                    <w:top w:val="single" w:color="auto" w:sz="4" w:space="0"/>
                    <w:left w:val="single" w:color="auto" w:sz="4" w:space="0"/>
                    <w:right w:val="single" w:color="auto" w:sz="4" w:space="0"/>
                  </w:tcBorders>
                  <w:noWrap/>
                  <w:vAlign w:val="center"/>
                </w:tcPr>
                <w:p>
                  <w:pPr>
                    <w:pStyle w:val="47"/>
                    <w:rPr>
                      <w:color w:val="FF0000"/>
                      <w:szCs w:val="21"/>
                      <w:u w:val="single"/>
                    </w:rPr>
                  </w:pPr>
                  <w:r>
                    <w:rPr>
                      <w:color w:val="FF0000"/>
                      <w:szCs w:val="21"/>
                      <w:u w:val="single"/>
                    </w:rPr>
                    <w:t>一般鱼</w:t>
                  </w:r>
                  <w:r>
                    <w:rPr>
                      <w:rFonts w:hint="eastAsia"/>
                      <w:color w:val="FF0000"/>
                      <w:szCs w:val="21"/>
                      <w:u w:val="single"/>
                    </w:rPr>
                    <w:t>业</w:t>
                  </w:r>
                  <w:r>
                    <w:rPr>
                      <w:color w:val="FF0000"/>
                      <w:szCs w:val="21"/>
                      <w:u w:val="single"/>
                    </w:rPr>
                    <w:t>用水区</w:t>
                  </w:r>
                </w:p>
              </w:tc>
              <w:tc>
                <w:tcPr>
                  <w:tcW w:w="0" w:type="auto"/>
                  <w:tcBorders>
                    <w:top w:val="single" w:color="auto" w:sz="4" w:space="0"/>
                    <w:left w:val="single" w:color="auto" w:sz="4" w:space="0"/>
                    <w:right w:val="single" w:color="auto" w:sz="12" w:space="0"/>
                  </w:tcBorders>
                  <w:noWrap/>
                  <w:vAlign w:val="center"/>
                </w:tcPr>
                <w:p>
                  <w:pPr>
                    <w:pStyle w:val="47"/>
                    <w:rPr>
                      <w:color w:val="FF0000"/>
                      <w:szCs w:val="21"/>
                      <w:u w:val="single"/>
                    </w:rPr>
                  </w:pPr>
                  <w:r>
                    <w:rPr>
                      <w:color w:val="FF0000"/>
                      <w:szCs w:val="21"/>
                      <w:u w:val="single"/>
                    </w:rPr>
                    <w:t>（GB3838-2002）中Ⅲ类标准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3" w:hRule="atLeast"/>
                <w:jc w:val="center"/>
              </w:trPr>
              <w:tc>
                <w:tcPr>
                  <w:tcW w:w="0" w:type="auto"/>
                  <w:vMerge w:val="continue"/>
                  <w:tcBorders>
                    <w:left w:val="single" w:color="auto" w:sz="12" w:space="0"/>
                    <w:right w:val="single" w:color="auto" w:sz="4" w:space="0"/>
                  </w:tcBorders>
                  <w:noWrap/>
                  <w:vAlign w:val="center"/>
                </w:tcPr>
                <w:p>
                  <w:pPr>
                    <w:jc w:val="center"/>
                    <w:rPr>
                      <w:color w:val="FF0000"/>
                      <w:szCs w:val="21"/>
                      <w:u w:val="single"/>
                    </w:rPr>
                  </w:pPr>
                </w:p>
              </w:tc>
              <w:tc>
                <w:tcPr>
                  <w:tcW w:w="0" w:type="auto"/>
                  <w:vMerge w:val="restart"/>
                  <w:tcBorders>
                    <w:top w:val="single" w:color="auto" w:sz="4" w:space="0"/>
                    <w:left w:val="single" w:color="auto" w:sz="4" w:space="0"/>
                    <w:right w:val="single" w:color="auto" w:sz="4" w:space="0"/>
                  </w:tcBorders>
                  <w:noWrap/>
                  <w:vAlign w:val="center"/>
                </w:tcPr>
                <w:p>
                  <w:pPr>
                    <w:pStyle w:val="47"/>
                    <w:rPr>
                      <w:color w:val="FF0000"/>
                      <w:szCs w:val="21"/>
                      <w:u w:val="single"/>
                    </w:rPr>
                  </w:pPr>
                  <w:r>
                    <w:rPr>
                      <w:rFonts w:hint="eastAsia"/>
                      <w:color w:val="FF0000"/>
                      <w:szCs w:val="21"/>
                      <w:u w:val="single"/>
                    </w:rPr>
                    <w:t>湘江湘阴段</w:t>
                  </w:r>
                </w:p>
              </w:tc>
              <w:tc>
                <w:tcPr>
                  <w:tcW w:w="0" w:type="auto"/>
                  <w:tcBorders>
                    <w:top w:val="single" w:color="auto" w:sz="4" w:space="0"/>
                    <w:left w:val="single" w:color="auto" w:sz="4" w:space="0"/>
                    <w:right w:val="single" w:color="auto" w:sz="4" w:space="0"/>
                  </w:tcBorders>
                  <w:noWrap/>
                  <w:vAlign w:val="center"/>
                </w:tcPr>
                <w:p>
                  <w:pPr>
                    <w:pStyle w:val="47"/>
                    <w:rPr>
                      <w:color w:val="FF0000"/>
                      <w:szCs w:val="21"/>
                      <w:u w:val="single"/>
                    </w:rPr>
                  </w:pPr>
                  <w:r>
                    <w:rPr>
                      <w:rFonts w:hint="eastAsia"/>
                      <w:color w:val="FF0000"/>
                      <w:szCs w:val="21"/>
                      <w:u w:val="single"/>
                    </w:rPr>
                    <w:t>取水口上游1000m至取水口下游100m</w:t>
                  </w:r>
                </w:p>
              </w:tc>
              <w:tc>
                <w:tcPr>
                  <w:tcW w:w="0" w:type="auto"/>
                  <w:tcBorders>
                    <w:top w:val="single" w:color="auto" w:sz="4" w:space="0"/>
                    <w:left w:val="single" w:color="auto" w:sz="4" w:space="0"/>
                    <w:right w:val="single" w:color="auto" w:sz="4" w:space="0"/>
                  </w:tcBorders>
                  <w:noWrap/>
                  <w:vAlign w:val="center"/>
                </w:tcPr>
                <w:p>
                  <w:pPr>
                    <w:pStyle w:val="47"/>
                    <w:rPr>
                      <w:color w:val="FF0000"/>
                      <w:szCs w:val="21"/>
                      <w:u w:val="single"/>
                    </w:rPr>
                  </w:pPr>
                  <w:r>
                    <w:rPr>
                      <w:rFonts w:hint="eastAsia"/>
                      <w:color w:val="FF0000"/>
                      <w:szCs w:val="21"/>
                      <w:u w:val="single"/>
                    </w:rPr>
                    <w:t>一级饮用水源保护区</w:t>
                  </w:r>
                </w:p>
              </w:tc>
              <w:tc>
                <w:tcPr>
                  <w:tcW w:w="0" w:type="auto"/>
                  <w:tcBorders>
                    <w:top w:val="single" w:color="auto" w:sz="4" w:space="0"/>
                    <w:left w:val="single" w:color="auto" w:sz="4" w:space="0"/>
                    <w:right w:val="single" w:color="auto" w:sz="12" w:space="0"/>
                  </w:tcBorders>
                  <w:noWrap/>
                  <w:vAlign w:val="center"/>
                </w:tcPr>
                <w:p>
                  <w:pPr>
                    <w:pStyle w:val="47"/>
                    <w:rPr>
                      <w:color w:val="FF0000"/>
                      <w:szCs w:val="21"/>
                      <w:u w:val="single"/>
                    </w:rPr>
                  </w:pPr>
                  <w:r>
                    <w:rPr>
                      <w:color w:val="FF0000"/>
                      <w:szCs w:val="21"/>
                      <w:u w:val="single"/>
                    </w:rPr>
                    <w:t>（GB3838-2002）中Ⅱ类标准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95" w:hRule="atLeast"/>
                <w:jc w:val="center"/>
              </w:trPr>
              <w:tc>
                <w:tcPr>
                  <w:tcW w:w="0" w:type="auto"/>
                  <w:vMerge w:val="continue"/>
                  <w:tcBorders>
                    <w:left w:val="single" w:color="auto" w:sz="12" w:space="0"/>
                    <w:right w:val="single" w:color="auto" w:sz="4" w:space="0"/>
                  </w:tcBorders>
                  <w:noWrap/>
                  <w:vAlign w:val="center"/>
                </w:tcPr>
                <w:p>
                  <w:pPr>
                    <w:jc w:val="center"/>
                    <w:rPr>
                      <w:color w:val="FF0000"/>
                      <w:szCs w:val="21"/>
                      <w:u w:val="single"/>
                    </w:rPr>
                  </w:pPr>
                </w:p>
              </w:tc>
              <w:tc>
                <w:tcPr>
                  <w:tcW w:w="0" w:type="auto"/>
                  <w:vMerge w:val="continue"/>
                  <w:tcBorders>
                    <w:left w:val="single" w:color="auto" w:sz="4" w:space="0"/>
                    <w:bottom w:val="single" w:color="auto" w:sz="4" w:space="0"/>
                    <w:right w:val="single" w:color="auto" w:sz="4" w:space="0"/>
                  </w:tcBorders>
                  <w:noWrap/>
                  <w:vAlign w:val="center"/>
                </w:tcPr>
                <w:p>
                  <w:pPr>
                    <w:pStyle w:val="47"/>
                    <w:rPr>
                      <w:color w:val="FF0000"/>
                      <w:szCs w:val="21"/>
                      <w:u w:val="single"/>
                    </w:rPr>
                  </w:pPr>
                </w:p>
              </w:tc>
              <w:tc>
                <w:tcPr>
                  <w:tcW w:w="0" w:type="auto"/>
                  <w:tcBorders>
                    <w:left w:val="single" w:color="auto" w:sz="4" w:space="0"/>
                    <w:right w:val="single" w:color="auto" w:sz="4" w:space="0"/>
                  </w:tcBorders>
                  <w:noWrap/>
                  <w:vAlign w:val="center"/>
                </w:tcPr>
                <w:p>
                  <w:pPr>
                    <w:pStyle w:val="47"/>
                    <w:rPr>
                      <w:color w:val="FF0000"/>
                      <w:szCs w:val="21"/>
                      <w:u w:val="single"/>
                    </w:rPr>
                  </w:pPr>
                  <w:r>
                    <w:rPr>
                      <w:rFonts w:hint="eastAsia"/>
                      <w:color w:val="FF0000"/>
                      <w:szCs w:val="21"/>
                      <w:u w:val="single"/>
                    </w:rPr>
                    <w:t>一级保护区水域边界上溯2000m至下边界下延200m之间</w:t>
                  </w:r>
                </w:p>
              </w:tc>
              <w:tc>
                <w:tcPr>
                  <w:tcW w:w="0" w:type="auto"/>
                  <w:tcBorders>
                    <w:left w:val="single" w:color="auto" w:sz="4" w:space="0"/>
                    <w:right w:val="single" w:color="auto" w:sz="4" w:space="0"/>
                  </w:tcBorders>
                  <w:noWrap/>
                  <w:vAlign w:val="center"/>
                </w:tcPr>
                <w:p>
                  <w:pPr>
                    <w:pStyle w:val="47"/>
                    <w:rPr>
                      <w:color w:val="FF0000"/>
                      <w:szCs w:val="21"/>
                      <w:u w:val="single"/>
                    </w:rPr>
                  </w:pPr>
                  <w:r>
                    <w:rPr>
                      <w:rFonts w:hint="eastAsia"/>
                      <w:color w:val="FF0000"/>
                      <w:szCs w:val="21"/>
                      <w:u w:val="single"/>
                    </w:rPr>
                    <w:t>二级饮用水源保护区</w:t>
                  </w:r>
                </w:p>
              </w:tc>
              <w:tc>
                <w:tcPr>
                  <w:tcW w:w="0" w:type="auto"/>
                  <w:tcBorders>
                    <w:left w:val="single" w:color="auto" w:sz="4" w:space="0"/>
                    <w:right w:val="single" w:color="auto" w:sz="12" w:space="0"/>
                  </w:tcBorders>
                  <w:noWrap/>
                  <w:vAlign w:val="center"/>
                </w:tcPr>
                <w:p>
                  <w:pPr>
                    <w:pStyle w:val="47"/>
                    <w:rPr>
                      <w:color w:val="FF0000"/>
                      <w:szCs w:val="21"/>
                      <w:u w:val="single"/>
                    </w:rPr>
                  </w:pPr>
                  <w:r>
                    <w:rPr>
                      <w:color w:val="FF0000"/>
                      <w:szCs w:val="21"/>
                      <w:u w:val="single"/>
                    </w:rPr>
                    <w:t>（GB3838-2002）中Ⅲ类标准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95" w:hRule="atLeast"/>
                <w:jc w:val="center"/>
              </w:trPr>
              <w:tc>
                <w:tcPr>
                  <w:tcW w:w="0" w:type="auto"/>
                  <w:vMerge w:val="continue"/>
                  <w:tcBorders>
                    <w:left w:val="single" w:color="auto" w:sz="12" w:space="0"/>
                    <w:right w:val="single" w:color="auto" w:sz="4" w:space="0"/>
                  </w:tcBorders>
                  <w:noWrap/>
                  <w:vAlign w:val="center"/>
                </w:tcPr>
                <w:p>
                  <w:pPr>
                    <w:jc w:val="center"/>
                    <w:rPr>
                      <w:color w:val="FF0000"/>
                      <w:szCs w:val="21"/>
                      <w:u w:val="single"/>
                    </w:rPr>
                  </w:pPr>
                </w:p>
              </w:tc>
              <w:tc>
                <w:tcPr>
                  <w:tcW w:w="0" w:type="auto"/>
                  <w:tcBorders>
                    <w:top w:val="single" w:color="auto" w:sz="4" w:space="0"/>
                    <w:left w:val="single" w:color="auto" w:sz="4" w:space="0"/>
                    <w:right w:val="single" w:color="auto" w:sz="4" w:space="0"/>
                  </w:tcBorders>
                  <w:noWrap/>
                  <w:vAlign w:val="center"/>
                </w:tcPr>
                <w:p>
                  <w:pPr>
                    <w:jc w:val="center"/>
                    <w:rPr>
                      <w:color w:val="FF0000"/>
                      <w:szCs w:val="21"/>
                      <w:u w:val="single"/>
                    </w:rPr>
                  </w:pPr>
                  <w:r>
                    <w:rPr>
                      <w:rFonts w:hint="eastAsia"/>
                      <w:color w:val="FF0000"/>
                      <w:szCs w:val="21"/>
                      <w:u w:val="single"/>
                    </w:rPr>
                    <w:t>湘江屈原段</w:t>
                  </w:r>
                </w:p>
              </w:tc>
              <w:tc>
                <w:tcPr>
                  <w:tcW w:w="0" w:type="auto"/>
                  <w:tcBorders>
                    <w:left w:val="single" w:color="auto" w:sz="4" w:space="0"/>
                    <w:right w:val="single" w:color="auto" w:sz="4" w:space="0"/>
                  </w:tcBorders>
                  <w:noWrap/>
                  <w:vAlign w:val="center"/>
                </w:tcPr>
                <w:p>
                  <w:pPr>
                    <w:pStyle w:val="47"/>
                    <w:rPr>
                      <w:color w:val="FF0000"/>
                      <w:szCs w:val="21"/>
                      <w:u w:val="single"/>
                    </w:rPr>
                  </w:pPr>
                  <w:r>
                    <w:rPr>
                      <w:rFonts w:hint="eastAsia"/>
                      <w:color w:val="FF0000"/>
                      <w:szCs w:val="21"/>
                      <w:u w:val="single"/>
                    </w:rPr>
                    <w:t>取水口上游1000m至取水口下游100m（航道除外）</w:t>
                  </w:r>
                </w:p>
              </w:tc>
              <w:tc>
                <w:tcPr>
                  <w:tcW w:w="0" w:type="auto"/>
                  <w:tcBorders>
                    <w:left w:val="single" w:color="auto" w:sz="4" w:space="0"/>
                    <w:right w:val="single" w:color="auto" w:sz="4" w:space="0"/>
                  </w:tcBorders>
                  <w:noWrap/>
                  <w:vAlign w:val="center"/>
                </w:tcPr>
                <w:p>
                  <w:pPr>
                    <w:pStyle w:val="47"/>
                    <w:rPr>
                      <w:color w:val="FF0000"/>
                      <w:szCs w:val="21"/>
                      <w:u w:val="single"/>
                    </w:rPr>
                  </w:pPr>
                  <w:r>
                    <w:rPr>
                      <w:rFonts w:hint="eastAsia"/>
                      <w:color w:val="FF0000"/>
                      <w:szCs w:val="21"/>
                      <w:u w:val="single"/>
                    </w:rPr>
                    <w:t>一级饮用水源保护区</w:t>
                  </w:r>
                </w:p>
              </w:tc>
              <w:tc>
                <w:tcPr>
                  <w:tcW w:w="0" w:type="auto"/>
                  <w:tcBorders>
                    <w:left w:val="single" w:color="auto" w:sz="4" w:space="0"/>
                    <w:right w:val="single" w:color="auto" w:sz="12" w:space="0"/>
                  </w:tcBorders>
                  <w:noWrap/>
                  <w:vAlign w:val="center"/>
                </w:tcPr>
                <w:p>
                  <w:pPr>
                    <w:pStyle w:val="47"/>
                    <w:rPr>
                      <w:color w:val="FF0000"/>
                      <w:szCs w:val="21"/>
                      <w:u w:val="single"/>
                    </w:rPr>
                  </w:pPr>
                  <w:r>
                    <w:rPr>
                      <w:color w:val="FF0000"/>
                      <w:szCs w:val="21"/>
                      <w:u w:val="single"/>
                    </w:rPr>
                    <w:t>（GB3838-2002）中Ⅱ类标准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24" w:hRule="atLeast"/>
                <w:jc w:val="center"/>
              </w:trPr>
              <w:tc>
                <w:tcPr>
                  <w:tcW w:w="0" w:type="auto"/>
                  <w:vMerge w:val="continue"/>
                  <w:tcBorders>
                    <w:left w:val="single" w:color="auto" w:sz="12" w:space="0"/>
                    <w:right w:val="single" w:color="auto" w:sz="4" w:space="0"/>
                  </w:tcBorders>
                  <w:noWrap/>
                  <w:vAlign w:val="center"/>
                </w:tcPr>
                <w:p>
                  <w:pPr>
                    <w:jc w:val="center"/>
                    <w:rPr>
                      <w:color w:val="FF0000"/>
                      <w:szCs w:val="21"/>
                      <w:u w:val="single"/>
                    </w:rPr>
                  </w:pPr>
                </w:p>
              </w:tc>
              <w:tc>
                <w:tcPr>
                  <w:tcW w:w="0" w:type="auto"/>
                  <w:tcBorders>
                    <w:top w:val="single" w:color="auto" w:sz="4" w:space="0"/>
                    <w:left w:val="single" w:color="auto" w:sz="4" w:space="0"/>
                    <w:bottom w:val="single" w:color="auto" w:sz="4" w:space="0"/>
                    <w:right w:val="single" w:color="auto" w:sz="4" w:space="0"/>
                  </w:tcBorders>
                  <w:noWrap/>
                  <w:vAlign w:val="center"/>
                </w:tcPr>
                <w:p>
                  <w:pPr>
                    <w:pStyle w:val="47"/>
                    <w:rPr>
                      <w:rFonts w:hint="default" w:eastAsia="宋体"/>
                      <w:color w:val="FF0000"/>
                      <w:szCs w:val="21"/>
                      <w:u w:val="single"/>
                      <w:lang w:val="en-US" w:eastAsia="zh-CN"/>
                    </w:rPr>
                  </w:pPr>
                  <w:r>
                    <w:rPr>
                      <w:rFonts w:hint="eastAsia"/>
                      <w:color w:val="FF0000"/>
                      <w:szCs w:val="21"/>
                      <w:u w:val="single"/>
                      <w:lang w:val="en-US" w:eastAsia="zh-CN"/>
                    </w:rPr>
                    <w:t>横岭湖自然保护区</w:t>
                  </w:r>
                </w:p>
              </w:tc>
              <w:tc>
                <w:tcPr>
                  <w:tcW w:w="0" w:type="auto"/>
                  <w:gridSpan w:val="2"/>
                  <w:tcBorders>
                    <w:top w:val="single" w:color="auto" w:sz="4" w:space="0"/>
                    <w:left w:val="single" w:color="auto" w:sz="4" w:space="0"/>
                    <w:bottom w:val="single" w:color="auto" w:sz="4" w:space="0"/>
                    <w:right w:val="single" w:color="auto" w:sz="4" w:space="0"/>
                  </w:tcBorders>
                  <w:noWrap/>
                  <w:vAlign w:val="center"/>
                </w:tcPr>
                <w:p>
                  <w:pPr>
                    <w:pStyle w:val="47"/>
                    <w:rPr>
                      <w:color w:val="FF0000"/>
                      <w:szCs w:val="21"/>
                      <w:u w:val="single"/>
                    </w:rPr>
                  </w:pPr>
                  <w:r>
                    <w:rPr>
                      <w:color w:val="FF0000"/>
                      <w:szCs w:val="21"/>
                      <w:u w:val="single"/>
                    </w:rPr>
                    <w:t>自然保护区</w:t>
                  </w:r>
                </w:p>
              </w:tc>
              <w:tc>
                <w:tcPr>
                  <w:tcW w:w="0" w:type="auto"/>
                  <w:tcBorders>
                    <w:left w:val="single" w:color="auto" w:sz="4" w:space="0"/>
                    <w:bottom w:val="single" w:color="auto" w:sz="4" w:space="0"/>
                    <w:right w:val="single" w:color="auto" w:sz="12" w:space="0"/>
                  </w:tcBorders>
                  <w:noWrap/>
                  <w:vAlign w:val="center"/>
                </w:tcPr>
                <w:p>
                  <w:pPr>
                    <w:jc w:val="center"/>
                    <w:rPr>
                      <w:color w:val="FF0000"/>
                      <w:szCs w:val="21"/>
                      <w:u w:val="single"/>
                    </w:rPr>
                  </w:pPr>
                  <w:r>
                    <w:rPr>
                      <w:color w:val="FF0000"/>
                      <w:szCs w:val="21"/>
                      <w:u w:val="single"/>
                    </w:rPr>
                    <w:t>（GB3838-2002）中Ⅲ类标准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24" w:hRule="atLeast"/>
                <w:jc w:val="center"/>
              </w:trPr>
              <w:tc>
                <w:tcPr>
                  <w:tcW w:w="0" w:type="auto"/>
                  <w:vMerge w:val="continue"/>
                  <w:tcBorders>
                    <w:left w:val="single" w:color="auto" w:sz="12" w:space="0"/>
                    <w:bottom w:val="single" w:color="auto" w:sz="4" w:space="0"/>
                    <w:right w:val="single" w:color="auto" w:sz="4" w:space="0"/>
                  </w:tcBorders>
                  <w:noWrap/>
                  <w:vAlign w:val="center"/>
                </w:tcPr>
                <w:p>
                  <w:pPr>
                    <w:jc w:val="center"/>
                    <w:rPr>
                      <w:color w:val="FF0000"/>
                      <w:szCs w:val="21"/>
                      <w:u w:val="single"/>
                    </w:rPr>
                  </w:pPr>
                </w:p>
              </w:tc>
              <w:tc>
                <w:tcPr>
                  <w:tcW w:w="0" w:type="auto"/>
                  <w:tcBorders>
                    <w:top w:val="single" w:color="auto" w:sz="4" w:space="0"/>
                    <w:left w:val="single" w:color="auto" w:sz="4" w:space="0"/>
                    <w:bottom w:val="single" w:color="auto" w:sz="4" w:space="0"/>
                    <w:right w:val="single" w:color="auto" w:sz="4" w:space="0"/>
                  </w:tcBorders>
                  <w:noWrap/>
                  <w:vAlign w:val="center"/>
                </w:tcPr>
                <w:p>
                  <w:pPr>
                    <w:pStyle w:val="47"/>
                    <w:rPr>
                      <w:rFonts w:hint="default"/>
                      <w:color w:val="FF0000"/>
                      <w:szCs w:val="21"/>
                      <w:u w:val="single"/>
                      <w:lang w:val="en-US" w:eastAsia="zh-CN"/>
                    </w:rPr>
                  </w:pPr>
                  <w:r>
                    <w:rPr>
                      <w:rFonts w:hint="eastAsia"/>
                      <w:color w:val="FF0000"/>
                      <w:szCs w:val="21"/>
                      <w:u w:val="single"/>
                      <w:lang w:val="en-US" w:eastAsia="zh-CN"/>
                    </w:rPr>
                    <w:t>东洞庭湖自然保护区</w:t>
                  </w:r>
                </w:p>
              </w:tc>
              <w:tc>
                <w:tcPr>
                  <w:tcW w:w="0" w:type="auto"/>
                  <w:gridSpan w:val="2"/>
                  <w:tcBorders>
                    <w:top w:val="single" w:color="auto" w:sz="4" w:space="0"/>
                    <w:left w:val="single" w:color="auto" w:sz="4" w:space="0"/>
                    <w:bottom w:val="single" w:color="auto" w:sz="4" w:space="0"/>
                    <w:right w:val="single" w:color="auto" w:sz="4" w:space="0"/>
                  </w:tcBorders>
                  <w:noWrap/>
                  <w:vAlign w:val="center"/>
                </w:tcPr>
                <w:p>
                  <w:pPr>
                    <w:pStyle w:val="47"/>
                    <w:rPr>
                      <w:rFonts w:hint="eastAsia" w:eastAsia="宋体"/>
                      <w:color w:val="FF0000"/>
                      <w:szCs w:val="21"/>
                      <w:u w:val="single"/>
                      <w:lang w:val="en-US" w:eastAsia="zh-CN"/>
                    </w:rPr>
                  </w:pPr>
                  <w:r>
                    <w:rPr>
                      <w:rFonts w:hint="eastAsia"/>
                      <w:color w:val="FF0000"/>
                      <w:szCs w:val="21"/>
                      <w:u w:val="single"/>
                      <w:lang w:val="en-US" w:eastAsia="zh-CN"/>
                    </w:rPr>
                    <w:t>自然保护区</w:t>
                  </w:r>
                </w:p>
              </w:tc>
              <w:tc>
                <w:tcPr>
                  <w:tcW w:w="0" w:type="auto"/>
                  <w:tcBorders>
                    <w:left w:val="single" w:color="auto" w:sz="4" w:space="0"/>
                    <w:bottom w:val="single" w:color="auto" w:sz="4" w:space="0"/>
                    <w:right w:val="single" w:color="auto" w:sz="12" w:space="0"/>
                  </w:tcBorders>
                  <w:noWrap/>
                  <w:vAlign w:val="center"/>
                </w:tcPr>
                <w:p>
                  <w:pPr>
                    <w:jc w:val="center"/>
                    <w:rPr>
                      <w:color w:val="FF0000"/>
                      <w:szCs w:val="21"/>
                      <w:u w:val="single"/>
                    </w:rPr>
                  </w:pPr>
                  <w:r>
                    <w:rPr>
                      <w:color w:val="FF0000"/>
                      <w:szCs w:val="21"/>
                      <w:u w:val="single"/>
                    </w:rPr>
                    <w:t>（GB3838-2002）中Ⅲ类标准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0" w:type="auto"/>
                  <w:tcBorders>
                    <w:top w:val="single" w:color="auto" w:sz="4" w:space="0"/>
                    <w:left w:val="single" w:color="auto" w:sz="12" w:space="0"/>
                    <w:right w:val="single" w:color="auto" w:sz="4" w:space="0"/>
                  </w:tcBorders>
                  <w:noWrap/>
                  <w:vAlign w:val="center"/>
                </w:tcPr>
                <w:p>
                  <w:pPr>
                    <w:jc w:val="center"/>
                    <w:rPr>
                      <w:color w:val="FF0000"/>
                      <w:szCs w:val="21"/>
                      <w:u w:val="single"/>
                    </w:rPr>
                  </w:pPr>
                  <w:r>
                    <w:rPr>
                      <w:color w:val="FF0000"/>
                      <w:szCs w:val="21"/>
                      <w:u w:val="single"/>
                    </w:rPr>
                    <w:t>生态环境</w:t>
                  </w:r>
                </w:p>
              </w:tc>
              <w:tc>
                <w:tcPr>
                  <w:tcW w:w="0" w:type="auto"/>
                  <w:gridSpan w:val="4"/>
                  <w:tcBorders>
                    <w:top w:val="single" w:color="auto" w:sz="4" w:space="0"/>
                    <w:left w:val="single" w:color="auto" w:sz="4" w:space="0"/>
                    <w:bottom w:val="single" w:color="auto" w:sz="4" w:space="0"/>
                    <w:right w:val="single" w:color="auto" w:sz="12" w:space="0"/>
                  </w:tcBorders>
                  <w:noWrap/>
                  <w:vAlign w:val="center"/>
                </w:tcPr>
                <w:p>
                  <w:pPr>
                    <w:jc w:val="center"/>
                    <w:rPr>
                      <w:color w:val="FF0000"/>
                      <w:u w:val="single"/>
                    </w:rPr>
                  </w:pPr>
                  <w:r>
                    <w:rPr>
                      <w:rFonts w:hint="eastAsia"/>
                      <w:color w:val="FF0000"/>
                      <w:szCs w:val="21"/>
                      <w:u w:val="single"/>
                      <w:lang w:val="en-US" w:eastAsia="zh-CN"/>
                    </w:rPr>
                    <w:t>横岭湖自然保护区、东洞庭湖自然保护区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3" w:hRule="atLeast"/>
                <w:jc w:val="center"/>
              </w:trPr>
              <w:tc>
                <w:tcPr>
                  <w:tcW w:w="0" w:type="auto"/>
                  <w:tcBorders>
                    <w:top w:val="single" w:color="auto" w:sz="4" w:space="0"/>
                    <w:left w:val="single" w:color="auto" w:sz="12" w:space="0"/>
                    <w:bottom w:val="single" w:color="auto" w:sz="4" w:space="0"/>
                    <w:right w:val="single" w:color="auto" w:sz="4" w:space="0"/>
                  </w:tcBorders>
                  <w:noWrap/>
                  <w:vAlign w:val="center"/>
                </w:tcPr>
                <w:p>
                  <w:pPr>
                    <w:jc w:val="center"/>
                    <w:rPr>
                      <w:color w:val="FF0000"/>
                      <w:szCs w:val="21"/>
                      <w:u w:val="single"/>
                    </w:rPr>
                  </w:pPr>
                  <w:r>
                    <w:rPr>
                      <w:color w:val="FF0000"/>
                      <w:szCs w:val="21"/>
                      <w:u w:val="single"/>
                    </w:rPr>
                    <w:t>环境风险</w:t>
                  </w:r>
                </w:p>
              </w:tc>
              <w:tc>
                <w:tcPr>
                  <w:tcW w:w="0" w:type="auto"/>
                  <w:gridSpan w:val="4"/>
                  <w:tcBorders>
                    <w:top w:val="single" w:color="auto" w:sz="4" w:space="0"/>
                    <w:left w:val="single" w:color="auto" w:sz="4" w:space="0"/>
                    <w:bottom w:val="single" w:color="auto" w:sz="4" w:space="0"/>
                    <w:right w:val="single" w:color="auto" w:sz="12" w:space="0"/>
                  </w:tcBorders>
                  <w:noWrap/>
                  <w:vAlign w:val="center"/>
                </w:tcPr>
                <w:p>
                  <w:pPr>
                    <w:jc w:val="center"/>
                    <w:rPr>
                      <w:color w:val="FF0000"/>
                      <w:szCs w:val="21"/>
                      <w:u w:val="single"/>
                    </w:rPr>
                  </w:pPr>
                  <w:r>
                    <w:rPr>
                      <w:color w:val="FF0000"/>
                      <w:szCs w:val="21"/>
                      <w:u w:val="single"/>
                    </w:rPr>
                    <w:t>码头及周边船舶</w:t>
                  </w:r>
                </w:p>
              </w:tc>
            </w:tr>
          </w:tbl>
          <w:p>
            <w:pPr>
              <w:numPr>
                <w:ilvl w:val="0"/>
                <w:numId w:val="0"/>
              </w:numPr>
              <w:adjustRightInd w:val="0"/>
              <w:snapToGrid w:val="0"/>
              <w:spacing w:line="360" w:lineRule="auto"/>
              <w:ind w:firstLine="480" w:firstLineChars="200"/>
              <w:jc w:val="both"/>
              <w:rPr>
                <w:rFonts w:hint="eastAsia"/>
                <w:b w:val="0"/>
                <w:bCs w:val="0"/>
                <w:color w:val="auto"/>
                <w:sz w:val="24"/>
                <w:szCs w:val="24"/>
                <w:u w:val="none" w:color="auto"/>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noWrap w:val="0"/>
            <w:tcMar>
              <w:left w:w="28" w:type="dxa"/>
              <w:right w:w="28" w:type="dxa"/>
            </w:tcMar>
            <w:vAlign w:val="center"/>
          </w:tcPr>
          <w:p>
            <w:pPr>
              <w:adjustRightInd w:val="0"/>
              <w:snapToGrid w:val="0"/>
              <w:jc w:val="center"/>
              <w:rPr>
                <w:rFonts w:hint="eastAsia" w:ascii="宋体" w:hAnsi="宋体" w:cs="宋体"/>
                <w:b w:val="0"/>
                <w:bCs w:val="0"/>
                <w:color w:val="auto"/>
                <w:kern w:val="0"/>
                <w:sz w:val="24"/>
                <w:szCs w:val="24"/>
                <w:u w:val="none" w:color="auto"/>
              </w:rPr>
            </w:pPr>
            <w:r>
              <w:rPr>
                <w:rFonts w:hint="eastAsia" w:ascii="宋体" w:hAnsi="宋体" w:cs="宋体"/>
                <w:b w:val="0"/>
                <w:bCs w:val="0"/>
                <w:color w:val="auto"/>
                <w:kern w:val="0"/>
                <w:sz w:val="24"/>
                <w:szCs w:val="24"/>
                <w:u w:val="none" w:color="auto"/>
              </w:rPr>
              <w:t>污染</w:t>
            </w:r>
          </w:p>
          <w:p>
            <w:pPr>
              <w:adjustRightInd w:val="0"/>
              <w:snapToGrid w:val="0"/>
              <w:jc w:val="center"/>
              <w:rPr>
                <w:rFonts w:hint="eastAsia" w:ascii="宋体" w:hAnsi="宋体" w:cs="宋体"/>
                <w:b w:val="0"/>
                <w:bCs w:val="0"/>
                <w:color w:val="auto"/>
                <w:kern w:val="0"/>
                <w:sz w:val="24"/>
                <w:szCs w:val="24"/>
                <w:u w:val="none" w:color="auto"/>
              </w:rPr>
            </w:pPr>
            <w:r>
              <w:rPr>
                <w:rFonts w:hint="eastAsia" w:ascii="宋体" w:hAnsi="宋体" w:cs="宋体"/>
                <w:b w:val="0"/>
                <w:bCs w:val="0"/>
                <w:color w:val="auto"/>
                <w:kern w:val="0"/>
                <w:sz w:val="24"/>
                <w:szCs w:val="24"/>
                <w:u w:val="none" w:color="auto"/>
              </w:rPr>
              <w:t>物排</w:t>
            </w:r>
          </w:p>
          <w:p>
            <w:pPr>
              <w:adjustRightInd w:val="0"/>
              <w:snapToGrid w:val="0"/>
              <w:jc w:val="center"/>
              <w:rPr>
                <w:rFonts w:hint="eastAsia" w:ascii="宋体" w:hAnsi="宋体" w:cs="宋体"/>
                <w:b w:val="0"/>
                <w:bCs w:val="0"/>
                <w:color w:val="auto"/>
                <w:kern w:val="0"/>
                <w:sz w:val="24"/>
                <w:szCs w:val="24"/>
                <w:u w:val="none" w:color="auto"/>
              </w:rPr>
            </w:pPr>
            <w:r>
              <w:rPr>
                <w:rFonts w:hint="eastAsia" w:ascii="宋体" w:hAnsi="宋体" w:cs="宋体"/>
                <w:b w:val="0"/>
                <w:bCs w:val="0"/>
                <w:color w:val="auto"/>
                <w:kern w:val="0"/>
                <w:sz w:val="24"/>
                <w:szCs w:val="24"/>
                <w:u w:val="none" w:color="auto"/>
              </w:rPr>
              <w:t>放控</w:t>
            </w:r>
          </w:p>
          <w:p>
            <w:pPr>
              <w:adjustRightInd w:val="0"/>
              <w:snapToGrid w:val="0"/>
              <w:jc w:val="center"/>
              <w:rPr>
                <w:rFonts w:hint="eastAsia" w:ascii="宋体" w:hAnsi="宋体" w:cs="宋体"/>
                <w:b w:val="0"/>
                <w:bCs w:val="0"/>
                <w:color w:val="auto"/>
                <w:kern w:val="0"/>
                <w:sz w:val="24"/>
                <w:szCs w:val="24"/>
                <w:u w:val="none" w:color="auto"/>
              </w:rPr>
            </w:pPr>
            <w:r>
              <w:rPr>
                <w:rFonts w:hint="eastAsia" w:ascii="宋体" w:hAnsi="宋体" w:cs="宋体"/>
                <w:b w:val="0"/>
                <w:bCs w:val="0"/>
                <w:color w:val="auto"/>
                <w:kern w:val="0"/>
                <w:sz w:val="24"/>
                <w:szCs w:val="24"/>
                <w:u w:val="none" w:color="auto"/>
              </w:rPr>
              <w:t>制标</w:t>
            </w:r>
          </w:p>
          <w:p>
            <w:pPr>
              <w:adjustRightInd w:val="0"/>
              <w:snapToGrid w:val="0"/>
              <w:jc w:val="center"/>
              <w:rPr>
                <w:rFonts w:ascii="宋体" w:hAnsi="宋体" w:cs="宋体"/>
                <w:color w:val="auto"/>
                <w:kern w:val="0"/>
                <w:sz w:val="24"/>
                <w:szCs w:val="24"/>
                <w:u w:val="none" w:color="auto"/>
              </w:rPr>
            </w:pPr>
            <w:r>
              <w:rPr>
                <w:rFonts w:hint="eastAsia" w:ascii="宋体" w:hAnsi="宋体" w:cs="宋体"/>
                <w:b w:val="0"/>
                <w:bCs w:val="0"/>
                <w:color w:val="auto"/>
                <w:kern w:val="0"/>
                <w:sz w:val="24"/>
                <w:szCs w:val="24"/>
                <w:u w:val="none" w:color="auto"/>
              </w:rPr>
              <w:t>准</w:t>
            </w:r>
          </w:p>
        </w:tc>
        <w:tc>
          <w:tcPr>
            <w:tcW w:w="8190" w:type="dxa"/>
            <w:noWrap w:val="0"/>
            <w:vAlign w:val="top"/>
          </w:tcPr>
          <w:p>
            <w:pPr>
              <w:numPr>
                <w:ilvl w:val="0"/>
                <w:numId w:val="0"/>
              </w:numPr>
              <w:adjustRightInd w:val="0"/>
              <w:snapToGrid w:val="0"/>
              <w:spacing w:line="360" w:lineRule="auto"/>
              <w:ind w:firstLine="480" w:firstLineChars="200"/>
              <w:jc w:val="both"/>
              <w:rPr>
                <w:rFonts w:hint="eastAsia"/>
                <w:b w:val="0"/>
                <w:bCs w:val="0"/>
                <w:color w:val="auto"/>
                <w:sz w:val="24"/>
                <w:szCs w:val="24"/>
                <w:u w:val="none" w:color="auto"/>
                <w:lang w:val="en-US" w:eastAsia="zh-CN"/>
              </w:rPr>
            </w:pPr>
            <w:r>
              <w:rPr>
                <w:rFonts w:hint="eastAsia"/>
                <w:b w:val="0"/>
                <w:bCs w:val="0"/>
                <w:color w:val="auto"/>
                <w:sz w:val="24"/>
                <w:szCs w:val="24"/>
                <w:u w:val="none" w:color="auto"/>
                <w:lang w:val="en-US" w:eastAsia="zh-CN"/>
              </w:rPr>
              <w:t xml:space="preserve">1、废气：氨、硫化氢、臭气浓度参考《恶臭污染物排放标准》（GB 14554-93） 表1标准；食堂油烟废气执行《饮食业油烟排放标准（试行）》 （GB18483-2001），其他因子执行《大气污染物综合排放标准》 （GB16297-1996）表2中标准。 </w:t>
            </w:r>
          </w:p>
          <w:p>
            <w:pPr>
              <w:numPr>
                <w:ilvl w:val="0"/>
                <w:numId w:val="0"/>
              </w:numPr>
              <w:adjustRightInd w:val="0"/>
              <w:snapToGrid w:val="0"/>
              <w:spacing w:line="360" w:lineRule="auto"/>
              <w:ind w:firstLine="480" w:firstLineChars="200"/>
              <w:jc w:val="both"/>
              <w:rPr>
                <w:rFonts w:hint="eastAsia"/>
                <w:b w:val="0"/>
                <w:bCs w:val="0"/>
                <w:color w:val="auto"/>
                <w:sz w:val="24"/>
                <w:szCs w:val="24"/>
                <w:u w:val="none" w:color="auto"/>
                <w:lang w:val="en-US" w:eastAsia="zh-CN"/>
              </w:rPr>
            </w:pPr>
            <w:r>
              <w:rPr>
                <w:rFonts w:hint="eastAsia"/>
                <w:b w:val="0"/>
                <w:bCs w:val="0"/>
                <w:color w:val="auto"/>
                <w:sz w:val="24"/>
                <w:szCs w:val="24"/>
                <w:u w:val="none" w:color="auto"/>
                <w:lang w:val="en-US" w:eastAsia="zh-CN"/>
              </w:rPr>
              <w:t xml:space="preserve">2、废水：《船舶水污染物排放控制标准》（GB 3552-2018）表 2 中标准。 </w:t>
            </w:r>
          </w:p>
          <w:p>
            <w:pPr>
              <w:numPr>
                <w:ilvl w:val="0"/>
                <w:numId w:val="0"/>
              </w:numPr>
              <w:adjustRightInd w:val="0"/>
              <w:snapToGrid w:val="0"/>
              <w:spacing w:line="360" w:lineRule="auto"/>
              <w:ind w:firstLine="480" w:firstLineChars="200"/>
              <w:jc w:val="both"/>
              <w:rPr>
                <w:rFonts w:hint="eastAsia"/>
                <w:b w:val="0"/>
                <w:bCs w:val="0"/>
                <w:color w:val="auto"/>
                <w:sz w:val="24"/>
                <w:szCs w:val="24"/>
                <w:u w:val="none" w:color="auto"/>
                <w:lang w:val="en-US" w:eastAsia="zh-CN"/>
              </w:rPr>
            </w:pPr>
            <w:r>
              <w:rPr>
                <w:rFonts w:hint="eastAsia"/>
                <w:b w:val="0"/>
                <w:bCs w:val="0"/>
                <w:color w:val="auto"/>
                <w:sz w:val="24"/>
                <w:szCs w:val="24"/>
                <w:u w:val="none" w:color="auto"/>
                <w:lang w:val="en-US" w:eastAsia="zh-CN"/>
              </w:rPr>
              <w:t xml:space="preserve">3、噪声：营运期执行《工业企业厂界环境噪声排放标准》（GB12348-2008） 中2类和4类标准。 </w:t>
            </w:r>
          </w:p>
          <w:p>
            <w:pPr>
              <w:numPr>
                <w:ilvl w:val="0"/>
                <w:numId w:val="0"/>
              </w:numPr>
              <w:adjustRightInd w:val="0"/>
              <w:snapToGrid w:val="0"/>
              <w:spacing w:line="360" w:lineRule="auto"/>
              <w:ind w:firstLine="480" w:firstLineChars="200"/>
              <w:jc w:val="both"/>
              <w:rPr>
                <w:rFonts w:hint="default" w:ascii="宋体" w:hAnsi="宋体" w:eastAsia="宋体" w:cs="宋体"/>
                <w:color w:val="auto"/>
                <w:kern w:val="0"/>
                <w:sz w:val="24"/>
                <w:szCs w:val="24"/>
                <w:u w:val="none" w:color="auto"/>
                <w:lang w:val="en-US" w:eastAsia="zh-CN"/>
              </w:rPr>
            </w:pPr>
            <w:r>
              <w:rPr>
                <w:rFonts w:hint="eastAsia"/>
                <w:b w:val="0"/>
                <w:bCs w:val="0"/>
                <w:color w:val="auto"/>
                <w:sz w:val="24"/>
                <w:szCs w:val="24"/>
                <w:u w:val="none" w:color="auto"/>
                <w:lang w:val="en-US" w:eastAsia="zh-CN"/>
              </w:rPr>
              <w:t>4、固体废物：船舶垃圾执行《船舶水污染物排放控制标准》 （GB3552-2018）要求；危险固废执行《危险废物储存污染控制标准》 （GB18597-2001）（2013年修定）。</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07" w:hRule="atLeast"/>
          <w:jc w:val="center"/>
        </w:trPr>
        <w:tc>
          <w:tcPr>
            <w:tcW w:w="800" w:type="dxa"/>
            <w:noWrap w:val="0"/>
            <w:vAlign w:val="center"/>
          </w:tcPr>
          <w:p>
            <w:pPr>
              <w:adjustRightInd w:val="0"/>
              <w:snapToGrid w:val="0"/>
              <w:jc w:val="center"/>
              <w:rPr>
                <w:rFonts w:hint="eastAsia" w:ascii="宋体" w:hAnsi="宋体" w:cs="宋体"/>
                <w:color w:val="auto"/>
                <w:kern w:val="0"/>
                <w:sz w:val="24"/>
                <w:szCs w:val="24"/>
                <w:u w:val="none" w:color="auto"/>
              </w:rPr>
            </w:pPr>
            <w:r>
              <w:rPr>
                <w:rFonts w:hint="eastAsia" w:ascii="宋体" w:hAnsi="宋体" w:cs="宋体"/>
                <w:color w:val="auto"/>
                <w:kern w:val="0"/>
                <w:sz w:val="24"/>
                <w:szCs w:val="24"/>
                <w:u w:val="none" w:color="auto"/>
              </w:rPr>
              <w:t>总量</w:t>
            </w:r>
          </w:p>
          <w:p>
            <w:pPr>
              <w:adjustRightInd w:val="0"/>
              <w:snapToGrid w:val="0"/>
              <w:jc w:val="center"/>
              <w:rPr>
                <w:rFonts w:hint="eastAsia" w:ascii="宋体" w:hAnsi="宋体" w:cs="宋体"/>
                <w:color w:val="auto"/>
                <w:kern w:val="0"/>
                <w:sz w:val="24"/>
                <w:szCs w:val="24"/>
                <w:u w:val="none" w:color="auto"/>
              </w:rPr>
            </w:pPr>
            <w:r>
              <w:rPr>
                <w:rFonts w:hint="eastAsia" w:ascii="宋体" w:hAnsi="宋体" w:cs="宋体"/>
                <w:color w:val="auto"/>
                <w:kern w:val="0"/>
                <w:sz w:val="24"/>
                <w:szCs w:val="24"/>
                <w:u w:val="none" w:color="auto"/>
              </w:rPr>
              <w:t>控制</w:t>
            </w:r>
          </w:p>
          <w:p>
            <w:pPr>
              <w:adjustRightInd w:val="0"/>
              <w:snapToGrid w:val="0"/>
              <w:jc w:val="center"/>
              <w:rPr>
                <w:rFonts w:ascii="宋体" w:hAnsi="宋体" w:cs="宋体"/>
                <w:color w:val="auto"/>
                <w:kern w:val="0"/>
                <w:sz w:val="24"/>
                <w:szCs w:val="24"/>
                <w:u w:val="none" w:color="auto"/>
              </w:rPr>
            </w:pPr>
            <w:r>
              <w:rPr>
                <w:rFonts w:hint="eastAsia" w:ascii="宋体" w:hAnsi="宋体" w:cs="宋体"/>
                <w:color w:val="auto"/>
                <w:kern w:val="0"/>
                <w:sz w:val="24"/>
                <w:szCs w:val="24"/>
                <w:u w:val="none" w:color="auto"/>
              </w:rPr>
              <w:t>指标</w:t>
            </w:r>
          </w:p>
        </w:tc>
        <w:tc>
          <w:tcPr>
            <w:tcW w:w="8190" w:type="dxa"/>
            <w:noWrap w:val="0"/>
            <w:vAlign w:val="center"/>
          </w:tcPr>
          <w:p>
            <w:pPr>
              <w:numPr>
                <w:ilvl w:val="0"/>
                <w:numId w:val="3"/>
              </w:numPr>
              <w:adjustRightInd w:val="0"/>
              <w:snapToGrid w:val="0"/>
              <w:spacing w:line="360" w:lineRule="auto"/>
              <w:ind w:firstLine="480" w:firstLineChars="200"/>
              <w:jc w:val="left"/>
              <w:rPr>
                <w:rFonts w:hint="eastAsia" w:ascii="宋体" w:hAnsi="宋体" w:cs="宋体"/>
                <w:color w:val="auto"/>
                <w:kern w:val="0"/>
                <w:sz w:val="24"/>
                <w:szCs w:val="24"/>
                <w:u w:val="none" w:color="auto"/>
                <w:lang w:val="en-US" w:eastAsia="zh-CN"/>
              </w:rPr>
            </w:pPr>
            <w:r>
              <w:rPr>
                <w:rFonts w:hint="eastAsia" w:ascii="宋体" w:hAnsi="宋体" w:cs="宋体"/>
                <w:color w:val="auto"/>
                <w:kern w:val="0"/>
                <w:sz w:val="24"/>
                <w:szCs w:val="24"/>
                <w:u w:val="none" w:color="auto"/>
                <w:lang w:val="en-US" w:eastAsia="zh-CN"/>
              </w:rPr>
              <w:t>废水</w:t>
            </w:r>
          </w:p>
          <w:p>
            <w:pPr>
              <w:numPr>
                <w:ilvl w:val="0"/>
                <w:numId w:val="0"/>
              </w:numPr>
              <w:adjustRightInd w:val="0"/>
              <w:snapToGrid w:val="0"/>
              <w:spacing w:line="360" w:lineRule="auto"/>
              <w:ind w:firstLine="480" w:firstLineChars="200"/>
              <w:jc w:val="left"/>
              <w:rPr>
                <w:rFonts w:hint="eastAsia" w:ascii="宋体" w:hAnsi="宋体" w:cs="宋体"/>
                <w:color w:val="auto"/>
                <w:kern w:val="0"/>
                <w:sz w:val="24"/>
                <w:szCs w:val="24"/>
                <w:u w:val="none" w:color="auto"/>
              </w:rPr>
            </w:pPr>
            <w:r>
              <w:rPr>
                <w:rFonts w:hint="eastAsia" w:ascii="宋体" w:hAnsi="宋体" w:cs="宋体"/>
                <w:color w:val="auto"/>
                <w:kern w:val="0"/>
                <w:sz w:val="24"/>
                <w:szCs w:val="24"/>
                <w:u w:val="none" w:color="auto"/>
              </w:rPr>
              <w:t>本项目主要为收集船舶废矿物油、船舶生活垃圾，对收集范围内有一定的环境改善效果，项目属于N772环境治理业。在运营过程中排放的废水主要为生活污水和含油废水，</w:t>
            </w:r>
            <w:r>
              <w:rPr>
                <w:rFonts w:hint="eastAsia" w:ascii="宋体" w:hAnsi="宋体" w:cs="宋体"/>
                <w:color w:val="auto"/>
                <w:kern w:val="0"/>
                <w:sz w:val="24"/>
                <w:szCs w:val="24"/>
                <w:u w:val="none" w:color="auto"/>
                <w:lang w:val="en-US" w:eastAsia="zh-CN"/>
              </w:rPr>
              <w:t>生活污水由葛洲坝水务（湘阴）有限公司转运处置，不外排；含油废水</w:t>
            </w:r>
            <w:r>
              <w:rPr>
                <w:rFonts w:hint="eastAsia" w:ascii="宋体" w:hAnsi="宋体" w:cs="宋体"/>
                <w:color w:val="auto"/>
                <w:kern w:val="0"/>
                <w:sz w:val="24"/>
                <w:szCs w:val="24"/>
                <w:u w:val="none" w:color="auto"/>
              </w:rPr>
              <w:t>处理</w:t>
            </w:r>
            <w:r>
              <w:rPr>
                <w:rFonts w:hint="eastAsia" w:ascii="宋体" w:hAnsi="宋体" w:cs="宋体"/>
                <w:color w:val="auto"/>
                <w:kern w:val="0"/>
                <w:sz w:val="24"/>
                <w:szCs w:val="24"/>
                <w:u w:val="none" w:color="auto"/>
                <w:lang w:val="en-US" w:eastAsia="zh-CN"/>
              </w:rPr>
              <w:t>后</w:t>
            </w:r>
            <w:r>
              <w:rPr>
                <w:rFonts w:hint="eastAsia" w:ascii="宋体" w:hAnsi="宋体" w:cs="宋体"/>
                <w:color w:val="auto"/>
                <w:kern w:val="0"/>
                <w:sz w:val="24"/>
                <w:szCs w:val="24"/>
                <w:u w:val="none" w:color="auto"/>
              </w:rPr>
              <w:t>达到《船舶水污染物排放控制标准》（GB3552-2018）相关标准要求后直接排入</w:t>
            </w:r>
            <w:r>
              <w:rPr>
                <w:rFonts w:hint="eastAsia" w:ascii="宋体" w:hAnsi="宋体" w:cs="宋体"/>
                <w:color w:val="auto"/>
                <w:kern w:val="0"/>
                <w:sz w:val="24"/>
                <w:szCs w:val="24"/>
                <w:u w:val="none" w:color="auto"/>
                <w:lang w:val="en-US" w:eastAsia="zh-CN"/>
              </w:rPr>
              <w:t>自然水域</w:t>
            </w:r>
            <w:r>
              <w:rPr>
                <w:rFonts w:hint="eastAsia" w:ascii="宋体" w:hAnsi="宋体" w:cs="宋体"/>
                <w:color w:val="auto"/>
                <w:kern w:val="0"/>
                <w:sz w:val="24"/>
                <w:szCs w:val="24"/>
                <w:u w:val="none" w:color="auto"/>
              </w:rPr>
              <w:t>。</w:t>
            </w:r>
          </w:p>
          <w:p>
            <w:pPr>
              <w:numPr>
                <w:ilvl w:val="0"/>
                <w:numId w:val="3"/>
              </w:numPr>
              <w:adjustRightInd w:val="0"/>
              <w:snapToGrid w:val="0"/>
              <w:spacing w:line="360" w:lineRule="auto"/>
              <w:ind w:left="0" w:leftChars="0" w:firstLine="480" w:firstLineChars="200"/>
              <w:jc w:val="left"/>
              <w:rPr>
                <w:rFonts w:hint="eastAsia" w:ascii="宋体" w:hAnsi="宋体" w:cs="宋体"/>
                <w:color w:val="auto"/>
                <w:kern w:val="0"/>
                <w:sz w:val="24"/>
                <w:szCs w:val="24"/>
                <w:u w:val="none" w:color="auto"/>
                <w:lang w:val="en-US" w:eastAsia="zh-CN"/>
              </w:rPr>
            </w:pPr>
            <w:r>
              <w:rPr>
                <w:rFonts w:hint="eastAsia" w:ascii="宋体" w:hAnsi="宋体" w:cs="宋体"/>
                <w:color w:val="auto"/>
                <w:kern w:val="0"/>
                <w:sz w:val="24"/>
                <w:szCs w:val="24"/>
                <w:u w:val="none" w:color="auto"/>
                <w:lang w:val="en-US" w:eastAsia="zh-CN"/>
              </w:rPr>
              <w:t>废气</w:t>
            </w:r>
          </w:p>
          <w:p>
            <w:pPr>
              <w:numPr>
                <w:ilvl w:val="0"/>
                <w:numId w:val="0"/>
              </w:numPr>
              <w:adjustRightInd w:val="0"/>
              <w:snapToGrid w:val="0"/>
              <w:spacing w:line="360" w:lineRule="auto"/>
              <w:ind w:firstLine="480" w:firstLineChars="200"/>
              <w:jc w:val="both"/>
              <w:rPr>
                <w:rFonts w:hint="eastAsia" w:ascii="宋体" w:hAnsi="宋体" w:eastAsia="宋体" w:cs="宋体"/>
                <w:color w:val="auto"/>
                <w:kern w:val="0"/>
                <w:sz w:val="24"/>
                <w:szCs w:val="24"/>
                <w:u w:val="none" w:color="auto"/>
                <w:lang w:eastAsia="zh-CN"/>
              </w:rPr>
            </w:pPr>
            <w:r>
              <w:rPr>
                <w:rFonts w:hint="eastAsia" w:ascii="宋体" w:hAnsi="宋体" w:cs="宋体"/>
                <w:b w:val="0"/>
                <w:bCs w:val="0"/>
                <w:color w:val="auto"/>
                <w:kern w:val="0"/>
                <w:sz w:val="24"/>
                <w:szCs w:val="24"/>
              </w:rPr>
              <w:t>根据工程分析，该项目排放的污染因子中，纳入总量控制要求的主要污染物是废气中的（以</w:t>
            </w:r>
            <w:r>
              <w:rPr>
                <w:rFonts w:hint="eastAsia" w:ascii="宋体" w:hAnsi="宋体" w:cs="宋体"/>
                <w:b w:val="0"/>
                <w:bCs w:val="0"/>
                <w:color w:val="auto"/>
                <w:kern w:val="0"/>
                <w:sz w:val="24"/>
                <w:szCs w:val="24"/>
                <w:lang w:val="en-US" w:eastAsia="zh-CN"/>
              </w:rPr>
              <w:t>非甲烷总烃计</w:t>
            </w:r>
            <w:r>
              <w:rPr>
                <w:rFonts w:hint="eastAsia" w:ascii="宋体" w:hAnsi="宋体" w:cs="宋体"/>
                <w:b w:val="0"/>
                <w:bCs w:val="0"/>
                <w:color w:val="auto"/>
                <w:kern w:val="0"/>
                <w:sz w:val="24"/>
                <w:szCs w:val="24"/>
              </w:rPr>
              <w:t>）。建议总量控制指标为：</w:t>
            </w:r>
            <w:r>
              <w:rPr>
                <w:rFonts w:hint="eastAsia" w:ascii="宋体" w:hAnsi="宋体" w:cs="宋体"/>
                <w:b w:val="0"/>
                <w:bCs w:val="0"/>
                <w:color w:val="auto"/>
                <w:kern w:val="0"/>
                <w:sz w:val="24"/>
                <w:szCs w:val="24"/>
                <w:lang w:val="en-US" w:eastAsia="zh-CN"/>
              </w:rPr>
              <w:t>挥发性有机物</w:t>
            </w:r>
            <w:r>
              <w:rPr>
                <w:rFonts w:hint="eastAsia" w:ascii="宋体" w:hAnsi="宋体" w:cs="宋体"/>
                <w:b w:val="0"/>
                <w:bCs w:val="0"/>
                <w:color w:val="auto"/>
                <w:kern w:val="0"/>
                <w:sz w:val="24"/>
                <w:szCs w:val="24"/>
              </w:rPr>
              <w:t>（以</w:t>
            </w:r>
            <w:r>
              <w:rPr>
                <w:rFonts w:hint="eastAsia" w:ascii="宋体" w:hAnsi="宋体" w:cs="宋体"/>
                <w:b w:val="0"/>
                <w:bCs w:val="0"/>
                <w:color w:val="auto"/>
                <w:kern w:val="0"/>
                <w:sz w:val="24"/>
                <w:szCs w:val="24"/>
                <w:lang w:val="en-US" w:eastAsia="zh-CN"/>
              </w:rPr>
              <w:t>非甲烷总烃计</w:t>
            </w:r>
            <w:r>
              <w:rPr>
                <w:rFonts w:hint="eastAsia" w:ascii="宋体" w:hAnsi="宋体" w:cs="宋体"/>
                <w:b w:val="0"/>
                <w:bCs w:val="0"/>
                <w:color w:val="auto"/>
                <w:kern w:val="0"/>
                <w:sz w:val="24"/>
                <w:szCs w:val="24"/>
              </w:rPr>
              <w:t>）：</w:t>
            </w:r>
            <w:r>
              <w:rPr>
                <w:rFonts w:hint="eastAsia" w:ascii="宋体" w:hAnsi="宋体" w:cs="宋体"/>
                <w:b w:val="0"/>
                <w:bCs w:val="0"/>
                <w:color w:val="auto"/>
                <w:kern w:val="0"/>
                <w:sz w:val="24"/>
                <w:szCs w:val="24"/>
                <w:lang w:val="en-US" w:eastAsia="zh-CN"/>
              </w:rPr>
              <w:t>0.03</w:t>
            </w:r>
            <w:r>
              <w:rPr>
                <w:rFonts w:hint="eastAsia" w:ascii="宋体" w:hAnsi="宋体" w:cs="宋体"/>
                <w:b w:val="0"/>
                <w:bCs w:val="0"/>
                <w:color w:val="auto"/>
                <w:kern w:val="0"/>
                <w:sz w:val="24"/>
                <w:szCs w:val="24"/>
              </w:rPr>
              <w:t>/a</w:t>
            </w:r>
            <w:r>
              <w:rPr>
                <w:rFonts w:hint="eastAsia" w:ascii="宋体" w:hAnsi="宋体" w:cs="宋体"/>
                <w:b w:val="0"/>
                <w:bCs w:val="0"/>
                <w:color w:val="auto"/>
                <w:kern w:val="0"/>
                <w:sz w:val="24"/>
                <w:szCs w:val="24"/>
                <w:lang w:eastAsia="zh-CN"/>
              </w:rPr>
              <w:t>。</w:t>
            </w:r>
          </w:p>
        </w:tc>
      </w:tr>
    </w:tbl>
    <w:p>
      <w:pPr>
        <w:pStyle w:val="14"/>
        <w:jc w:val="center"/>
        <w:outlineLvl w:val="0"/>
        <w:rPr>
          <w:rFonts w:ascii="黑体" w:hAnsi="黑体" w:eastAsia="黑体"/>
          <w:snapToGrid w:val="0"/>
          <w:color w:val="auto"/>
          <w:sz w:val="30"/>
          <w:szCs w:val="30"/>
          <w:u w:val="none" w:color="auto"/>
        </w:rPr>
      </w:pPr>
      <w:r>
        <w:rPr>
          <w:rFonts w:ascii="黑体" w:hAnsi="黑体" w:eastAsia="黑体"/>
          <w:snapToGrid w:val="0"/>
          <w:color w:val="0000FF"/>
          <w:sz w:val="36"/>
          <w:szCs w:val="36"/>
          <w:u w:val="none" w:color="auto"/>
        </w:rPr>
        <w:br w:type="page"/>
      </w:r>
      <w:bookmarkStart w:id="12" w:name="_Toc11171"/>
      <w:r>
        <w:rPr>
          <w:rFonts w:hint="eastAsia" w:ascii="黑体" w:hAnsi="黑体" w:eastAsia="黑体"/>
          <w:snapToGrid w:val="0"/>
          <w:color w:val="auto"/>
          <w:sz w:val="30"/>
          <w:szCs w:val="30"/>
          <w:u w:val="none" w:color="auto"/>
        </w:rPr>
        <w:t>四、主要环境影响和保护措施</w:t>
      </w:r>
      <w:bookmarkEnd w:id="12"/>
    </w:p>
    <w:tbl>
      <w:tblPr>
        <w:tblStyle w:val="17"/>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46"/>
        <w:gridCol w:w="816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1758" w:hRule="atLeast"/>
          <w:jc w:val="center"/>
        </w:trPr>
        <w:tc>
          <w:tcPr>
            <w:tcW w:w="746" w:type="dxa"/>
            <w:noWrap w:val="0"/>
            <w:tcMar>
              <w:left w:w="28" w:type="dxa"/>
              <w:right w:w="28" w:type="dxa"/>
            </w:tcMar>
            <w:vAlign w:val="center"/>
          </w:tcPr>
          <w:p>
            <w:pPr>
              <w:pStyle w:val="14"/>
              <w:adjustRightInd w:val="0"/>
              <w:snapToGrid w:val="0"/>
              <w:spacing w:before="0" w:beforeAutospacing="0" w:after="0" w:afterAutospacing="0"/>
              <w:jc w:val="center"/>
              <w:rPr>
                <w:rFonts w:hint="eastAsia" w:cs="宋体"/>
                <w:color w:val="auto"/>
                <w:kern w:val="2"/>
                <w:sz w:val="24"/>
                <w:szCs w:val="24"/>
                <w:u w:val="none" w:color="auto"/>
              </w:rPr>
            </w:pPr>
            <w:r>
              <w:rPr>
                <w:rFonts w:hint="eastAsia" w:cs="宋体"/>
                <w:color w:val="auto"/>
                <w:kern w:val="2"/>
                <w:sz w:val="24"/>
                <w:szCs w:val="24"/>
                <w:u w:val="none" w:color="auto"/>
              </w:rPr>
              <w:t>施工</w:t>
            </w:r>
          </w:p>
          <w:p>
            <w:pPr>
              <w:pStyle w:val="14"/>
              <w:adjustRightInd w:val="0"/>
              <w:snapToGrid w:val="0"/>
              <w:spacing w:before="0" w:beforeAutospacing="0" w:after="0" w:afterAutospacing="0"/>
              <w:jc w:val="center"/>
              <w:rPr>
                <w:rFonts w:hint="eastAsia" w:cs="宋体"/>
                <w:color w:val="auto"/>
                <w:kern w:val="2"/>
                <w:sz w:val="24"/>
                <w:szCs w:val="24"/>
                <w:u w:val="none" w:color="auto"/>
              </w:rPr>
            </w:pPr>
            <w:r>
              <w:rPr>
                <w:rFonts w:hint="eastAsia" w:cs="宋体"/>
                <w:color w:val="auto"/>
                <w:kern w:val="2"/>
                <w:sz w:val="24"/>
                <w:szCs w:val="24"/>
                <w:u w:val="none" w:color="auto"/>
              </w:rPr>
              <w:t>期环</w:t>
            </w:r>
          </w:p>
          <w:p>
            <w:pPr>
              <w:pStyle w:val="14"/>
              <w:adjustRightInd w:val="0"/>
              <w:snapToGrid w:val="0"/>
              <w:spacing w:before="0" w:beforeAutospacing="0" w:after="0" w:afterAutospacing="0"/>
              <w:jc w:val="center"/>
              <w:rPr>
                <w:rFonts w:hint="eastAsia" w:cs="宋体"/>
                <w:color w:val="auto"/>
                <w:kern w:val="2"/>
                <w:sz w:val="24"/>
                <w:szCs w:val="24"/>
                <w:u w:val="none" w:color="auto"/>
              </w:rPr>
            </w:pPr>
            <w:r>
              <w:rPr>
                <w:rFonts w:hint="eastAsia" w:cs="宋体"/>
                <w:color w:val="auto"/>
                <w:kern w:val="2"/>
                <w:sz w:val="24"/>
                <w:szCs w:val="24"/>
                <w:u w:val="none" w:color="auto"/>
              </w:rPr>
              <w:t>境保</w:t>
            </w:r>
          </w:p>
          <w:p>
            <w:pPr>
              <w:pStyle w:val="14"/>
              <w:adjustRightInd w:val="0"/>
              <w:snapToGrid w:val="0"/>
              <w:spacing w:before="0" w:beforeAutospacing="0" w:after="0" w:afterAutospacing="0"/>
              <w:jc w:val="center"/>
              <w:rPr>
                <w:rFonts w:hint="eastAsia" w:cs="宋体"/>
                <w:color w:val="auto"/>
                <w:kern w:val="2"/>
                <w:sz w:val="24"/>
                <w:szCs w:val="24"/>
                <w:u w:val="none" w:color="auto"/>
              </w:rPr>
            </w:pPr>
            <w:r>
              <w:rPr>
                <w:rFonts w:hint="eastAsia" w:cs="宋体"/>
                <w:color w:val="auto"/>
                <w:kern w:val="2"/>
                <w:sz w:val="24"/>
                <w:szCs w:val="24"/>
                <w:u w:val="none" w:color="auto"/>
              </w:rPr>
              <w:t>护措</w:t>
            </w:r>
          </w:p>
          <w:p>
            <w:pPr>
              <w:pStyle w:val="14"/>
              <w:adjustRightInd w:val="0"/>
              <w:snapToGrid w:val="0"/>
              <w:spacing w:before="0" w:beforeAutospacing="0" w:after="0" w:afterAutospacing="0"/>
              <w:jc w:val="center"/>
              <w:rPr>
                <w:rFonts w:hint="eastAsia" w:cs="宋体"/>
                <w:bCs/>
                <w:color w:val="auto"/>
                <w:kern w:val="2"/>
                <w:sz w:val="24"/>
                <w:szCs w:val="24"/>
                <w:u w:val="none" w:color="auto"/>
              </w:rPr>
            </w:pPr>
            <w:r>
              <w:rPr>
                <w:rFonts w:hint="eastAsia" w:cs="宋体"/>
                <w:color w:val="auto"/>
                <w:kern w:val="2"/>
                <w:sz w:val="24"/>
                <w:szCs w:val="24"/>
                <w:u w:val="none" w:color="auto"/>
              </w:rPr>
              <w:t>施</w:t>
            </w:r>
          </w:p>
        </w:tc>
        <w:tc>
          <w:tcPr>
            <w:tcW w:w="8162" w:type="dxa"/>
            <w:noWrap w:val="0"/>
            <w:vAlign w:val="center"/>
          </w:tcPr>
          <w:p>
            <w:pPr>
              <w:numPr>
                <w:ilvl w:val="0"/>
                <w:numId w:val="0"/>
              </w:numPr>
              <w:adjustRightInd w:val="0"/>
              <w:snapToGrid w:val="0"/>
              <w:spacing w:line="360" w:lineRule="auto"/>
              <w:ind w:firstLine="480" w:firstLineChars="200"/>
              <w:rPr>
                <w:rFonts w:ascii="宋体" w:hAnsi="宋体" w:cs="宋体"/>
                <w:bCs/>
                <w:color w:val="auto"/>
                <w:spacing w:val="-10"/>
                <w:sz w:val="24"/>
                <w:szCs w:val="24"/>
                <w:u w:val="none" w:color="auto"/>
              </w:rPr>
            </w:pPr>
            <w:r>
              <w:rPr>
                <w:rFonts w:hint="eastAsia" w:ascii="宋体" w:hAnsi="宋体"/>
                <w:bCs/>
                <w:color w:val="auto"/>
                <w:sz w:val="24"/>
                <w:szCs w:val="24"/>
                <w:u w:val="none" w:color="auto"/>
              </w:rPr>
              <w:t>本项目是利用回收废矿物油专用船开展回收作业，船舶委托船厂制造，故本项目不存在施工期。</w:t>
            </w:r>
          </w:p>
        </w:tc>
      </w:tr>
    </w:tbl>
    <w:p>
      <w:pPr>
        <w:adjustRightInd w:val="0"/>
        <w:snapToGrid w:val="0"/>
        <w:spacing w:line="360" w:lineRule="auto"/>
        <w:rPr>
          <w:rFonts w:hint="eastAsia" w:ascii="宋体" w:cs="宋体"/>
          <w:b/>
          <w:color w:val="0000FF"/>
          <w:kern w:val="0"/>
          <w:sz w:val="28"/>
          <w:szCs w:val="28"/>
          <w:u w:val="none" w:color="auto"/>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5"/>
        <w:gridCol w:w="82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5" w:type="dxa"/>
            <w:vAlign w:val="center"/>
          </w:tcPr>
          <w:p>
            <w:pPr>
              <w:adjustRightInd w:val="0"/>
              <w:snapToGrid w:val="0"/>
              <w:jc w:val="center"/>
              <w:rPr>
                <w:rFonts w:hint="eastAsia" w:ascii="宋体" w:hAnsi="宋体" w:cs="宋体"/>
                <w:bCs/>
                <w:color w:val="0000FF"/>
                <w:sz w:val="24"/>
                <w:szCs w:val="24"/>
                <w:u w:val="none" w:color="auto"/>
              </w:rPr>
            </w:pPr>
            <w:r>
              <w:rPr>
                <w:rFonts w:hint="eastAsia" w:ascii="宋体" w:hAnsi="宋体" w:cs="宋体"/>
                <w:bCs/>
                <w:color w:val="0000FF"/>
                <w:sz w:val="24"/>
                <w:szCs w:val="24"/>
                <w:u w:val="none" w:color="auto"/>
              </w:rPr>
              <w:t>运营</w:t>
            </w:r>
          </w:p>
          <w:p>
            <w:pPr>
              <w:adjustRightInd w:val="0"/>
              <w:snapToGrid w:val="0"/>
              <w:jc w:val="center"/>
              <w:rPr>
                <w:rFonts w:hint="eastAsia" w:ascii="宋体" w:hAnsi="宋体" w:cs="宋体"/>
                <w:bCs/>
                <w:color w:val="0000FF"/>
                <w:sz w:val="24"/>
                <w:szCs w:val="24"/>
                <w:u w:val="none" w:color="auto"/>
              </w:rPr>
            </w:pPr>
            <w:r>
              <w:rPr>
                <w:rFonts w:hint="eastAsia" w:ascii="宋体" w:hAnsi="宋体" w:cs="宋体"/>
                <w:bCs/>
                <w:color w:val="0000FF"/>
                <w:sz w:val="24"/>
                <w:szCs w:val="24"/>
                <w:u w:val="none" w:color="auto"/>
              </w:rPr>
              <w:t>期环</w:t>
            </w:r>
          </w:p>
          <w:p>
            <w:pPr>
              <w:adjustRightInd w:val="0"/>
              <w:snapToGrid w:val="0"/>
              <w:jc w:val="center"/>
              <w:rPr>
                <w:rFonts w:hint="eastAsia" w:ascii="宋体" w:hAnsi="宋体" w:cs="宋体"/>
                <w:bCs/>
                <w:color w:val="0000FF"/>
                <w:sz w:val="24"/>
                <w:szCs w:val="24"/>
                <w:u w:val="none" w:color="auto"/>
              </w:rPr>
            </w:pPr>
            <w:r>
              <w:rPr>
                <w:rFonts w:hint="eastAsia" w:ascii="宋体" w:hAnsi="宋体" w:cs="宋体"/>
                <w:bCs/>
                <w:color w:val="0000FF"/>
                <w:sz w:val="24"/>
                <w:szCs w:val="24"/>
                <w:u w:val="none" w:color="auto"/>
              </w:rPr>
              <w:t>境影</w:t>
            </w:r>
          </w:p>
          <w:p>
            <w:pPr>
              <w:adjustRightInd w:val="0"/>
              <w:snapToGrid w:val="0"/>
              <w:jc w:val="center"/>
              <w:rPr>
                <w:rFonts w:hint="eastAsia" w:ascii="宋体" w:hAnsi="宋体" w:cs="宋体"/>
                <w:bCs/>
                <w:color w:val="0000FF"/>
                <w:sz w:val="24"/>
                <w:szCs w:val="24"/>
                <w:u w:val="none" w:color="auto"/>
              </w:rPr>
            </w:pPr>
            <w:r>
              <w:rPr>
                <w:rFonts w:hint="eastAsia" w:ascii="宋体" w:hAnsi="宋体" w:cs="宋体"/>
                <w:bCs/>
                <w:color w:val="0000FF"/>
                <w:sz w:val="24"/>
                <w:szCs w:val="24"/>
                <w:u w:val="none" w:color="auto"/>
              </w:rPr>
              <w:t>响和</w:t>
            </w:r>
          </w:p>
          <w:p>
            <w:pPr>
              <w:adjustRightInd w:val="0"/>
              <w:snapToGrid w:val="0"/>
              <w:jc w:val="center"/>
              <w:rPr>
                <w:rFonts w:hint="eastAsia" w:ascii="宋体" w:hAnsi="宋体" w:cs="宋体"/>
                <w:bCs/>
                <w:color w:val="0000FF"/>
                <w:sz w:val="24"/>
                <w:szCs w:val="24"/>
                <w:u w:val="none" w:color="auto"/>
              </w:rPr>
            </w:pPr>
            <w:r>
              <w:rPr>
                <w:rFonts w:hint="eastAsia" w:ascii="宋体" w:hAnsi="宋体" w:cs="宋体"/>
                <w:bCs/>
                <w:color w:val="0000FF"/>
                <w:sz w:val="24"/>
                <w:szCs w:val="24"/>
                <w:u w:val="none" w:color="auto"/>
              </w:rPr>
              <w:t>保护</w:t>
            </w:r>
          </w:p>
          <w:p>
            <w:pPr>
              <w:jc w:val="center"/>
              <w:rPr>
                <w:rFonts w:hint="eastAsia"/>
                <w:color w:val="0000FF"/>
                <w:u w:val="none" w:color="auto"/>
                <w:vertAlign w:val="baseline"/>
              </w:rPr>
            </w:pPr>
            <w:r>
              <w:rPr>
                <w:rFonts w:hint="eastAsia" w:ascii="宋体" w:hAnsi="宋体" w:cs="宋体"/>
                <w:bCs/>
                <w:color w:val="0000FF"/>
                <w:sz w:val="24"/>
                <w:szCs w:val="24"/>
                <w:u w:val="none" w:color="auto"/>
              </w:rPr>
              <w:t>措施</w:t>
            </w:r>
          </w:p>
        </w:tc>
        <w:tc>
          <w:tcPr>
            <w:tcW w:w="8226" w:type="dxa"/>
          </w:tcPr>
          <w:p>
            <w:pPr>
              <w:keepNext w:val="0"/>
              <w:keepLines w:val="0"/>
              <w:widowControl/>
              <w:suppressLineNumbers w:val="0"/>
              <w:spacing w:line="360" w:lineRule="auto"/>
              <w:ind w:firstLine="482" w:firstLineChars="200"/>
              <w:jc w:val="left"/>
              <w:rPr>
                <w:rFonts w:hint="default" w:ascii="Times New Roman" w:hAnsi="Times New Roman" w:eastAsia="宋体" w:cs="Times New Roman"/>
                <w:b/>
                <w:bCs/>
                <w:color w:val="auto"/>
              </w:rPr>
            </w:pPr>
            <w:r>
              <w:rPr>
                <w:rFonts w:hint="default" w:ascii="Times New Roman" w:hAnsi="Times New Roman" w:eastAsia="宋体" w:cs="Times New Roman"/>
                <w:b/>
                <w:bCs/>
                <w:color w:val="auto"/>
                <w:kern w:val="0"/>
                <w:sz w:val="24"/>
                <w:szCs w:val="24"/>
                <w:lang w:val="en-US" w:eastAsia="zh-CN" w:bidi="ar"/>
              </w:rPr>
              <w:t xml:space="preserve">大气环境影响分析 </w:t>
            </w:r>
          </w:p>
          <w:p>
            <w:pPr>
              <w:keepNext w:val="0"/>
              <w:keepLines w:val="0"/>
              <w:widowControl/>
              <w:suppressLineNumbers w:val="0"/>
              <w:spacing w:line="360" w:lineRule="auto"/>
              <w:ind w:firstLine="480" w:firstLineChars="200"/>
              <w:jc w:val="left"/>
              <w:rPr>
                <w:rFonts w:hint="default" w:ascii="Times New Roman" w:hAnsi="Times New Roman" w:eastAsia="宋体" w:cs="Times New Roman"/>
                <w:color w:val="FF0000"/>
                <w:u w:val="single"/>
              </w:rPr>
            </w:pPr>
            <w:r>
              <w:rPr>
                <w:rFonts w:hint="default" w:ascii="Times New Roman" w:hAnsi="Times New Roman" w:eastAsia="宋体" w:cs="Times New Roman"/>
                <w:color w:val="FF0000"/>
                <w:kern w:val="0"/>
                <w:sz w:val="24"/>
                <w:szCs w:val="24"/>
                <w:u w:val="single"/>
                <w:lang w:val="en-US" w:eastAsia="zh-CN" w:bidi="ar"/>
              </w:rPr>
              <w:t xml:space="preserve">1.1 大气环境污染源分析 </w:t>
            </w:r>
          </w:p>
          <w:p>
            <w:pPr>
              <w:keepNext w:val="0"/>
              <w:keepLines w:val="0"/>
              <w:widowControl/>
              <w:suppressLineNumbers w:val="0"/>
              <w:spacing w:line="360" w:lineRule="auto"/>
              <w:ind w:firstLine="480" w:firstLineChars="200"/>
              <w:jc w:val="left"/>
              <w:rPr>
                <w:rFonts w:hint="default" w:ascii="Times New Roman" w:hAnsi="Times New Roman" w:eastAsia="宋体" w:cs="Times New Roman"/>
                <w:color w:val="FF0000"/>
                <w:u w:val="single"/>
              </w:rPr>
            </w:pPr>
            <w:r>
              <w:rPr>
                <w:rFonts w:hint="default" w:ascii="Times New Roman" w:hAnsi="Times New Roman" w:eastAsia="宋体" w:cs="Times New Roman"/>
                <w:color w:val="FF0000"/>
                <w:kern w:val="0"/>
                <w:sz w:val="24"/>
                <w:szCs w:val="24"/>
                <w:u w:val="single"/>
                <w:lang w:val="en-US" w:eastAsia="zh-CN" w:bidi="ar"/>
              </w:rPr>
              <w:t xml:space="preserve">（1）废矿物油收集、临时储存及装卸过程中产生的废气 </w:t>
            </w:r>
          </w:p>
          <w:p>
            <w:pPr>
              <w:keepNext w:val="0"/>
              <w:keepLines w:val="0"/>
              <w:widowControl/>
              <w:suppressLineNumbers w:val="0"/>
              <w:spacing w:line="360" w:lineRule="auto"/>
              <w:ind w:firstLine="480" w:firstLineChars="200"/>
              <w:jc w:val="left"/>
              <w:rPr>
                <w:rFonts w:hint="default" w:ascii="Times New Roman" w:hAnsi="Times New Roman" w:eastAsia="宋体" w:cs="Times New Roman"/>
                <w:color w:val="FF0000"/>
                <w:u w:val="single"/>
              </w:rPr>
            </w:pPr>
            <w:r>
              <w:rPr>
                <w:rFonts w:hint="default" w:ascii="Times New Roman" w:hAnsi="Times New Roman" w:eastAsia="宋体" w:cs="Times New Roman"/>
                <w:color w:val="FF0000"/>
                <w:kern w:val="0"/>
                <w:sz w:val="24"/>
                <w:szCs w:val="24"/>
                <w:u w:val="single"/>
                <w:lang w:val="en-US" w:eastAsia="zh-CN" w:bidi="ar"/>
              </w:rPr>
              <w:t xml:space="preserve">项目在收集与装卸废矿物油时，临时贮存和装卸过程中有一定的挥发性有机物排放，均为无组织排放，主要成分为非甲烷总烃。项目收集的废矿物油临时贮存在油污收集舱及油罐中，储存与装卸过程中损失主要为“大呼吸”及“小呼吸”。专用油舱因受温度、压力及进出料的影响而产生呼吸排气，呼吸作用产生的无组织排放量与储存量、储罐形式、储存介质、蒸汽压力、温度、储罐内径、高度、环境昼夜温差等因素有关。 </w:t>
            </w:r>
          </w:p>
          <w:p>
            <w:pPr>
              <w:keepNext w:val="0"/>
              <w:keepLines w:val="0"/>
              <w:widowControl/>
              <w:suppressLineNumbers w:val="0"/>
              <w:spacing w:line="360" w:lineRule="auto"/>
              <w:ind w:firstLine="480" w:firstLineChars="200"/>
              <w:jc w:val="left"/>
              <w:rPr>
                <w:rFonts w:hint="default" w:ascii="Times New Roman" w:hAnsi="Times New Roman" w:eastAsia="宋体" w:cs="Times New Roman"/>
                <w:color w:val="FF0000"/>
                <w:u w:val="single"/>
              </w:rPr>
            </w:pPr>
            <w:r>
              <w:rPr>
                <w:rFonts w:hint="default" w:ascii="Times New Roman" w:hAnsi="Times New Roman" w:eastAsia="宋体" w:cs="Times New Roman"/>
                <w:color w:val="FF0000"/>
                <w:kern w:val="0"/>
                <w:sz w:val="24"/>
                <w:szCs w:val="24"/>
                <w:u w:val="single"/>
                <w:lang w:val="en-US" w:eastAsia="zh-CN" w:bidi="ar"/>
              </w:rPr>
              <w:t>①大呼吸：当专用油舱进油时，由于舱内液体体积增加，舱内气体压力增加，当压力增至机械呼吸阀压力极限时，呼吸阀自动开启排气。当从油舱输出油料时，舱内液体体积减少，舱内气体压力降低，当压力降至呼吸阀负压极限时，吸进空气。这种由于输转油料致使油舱排除油蒸气和吸入空气所导致的损失叫“大呼吸”损失。本项目参考《成品油销售业汽油油气排放控</w:t>
            </w:r>
            <w:r>
              <w:rPr>
                <w:rFonts w:hint="eastAsia" w:ascii="Times New Roman" w:hAnsi="Times New Roman" w:eastAsia="宋体" w:cs="Times New Roman"/>
                <w:color w:val="FF0000"/>
                <w:kern w:val="0"/>
                <w:sz w:val="24"/>
                <w:szCs w:val="24"/>
                <w:u w:val="single"/>
                <w:lang w:val="en-US" w:eastAsia="zh-CN" w:bidi="ar"/>
              </w:rPr>
              <w:t>制</w:t>
            </w:r>
            <w:r>
              <w:rPr>
                <w:rFonts w:hint="default" w:ascii="Times New Roman" w:hAnsi="Times New Roman" w:eastAsia="宋体" w:cs="Times New Roman"/>
                <w:color w:val="FF0000"/>
                <w:kern w:val="0"/>
                <w:sz w:val="24"/>
                <w:szCs w:val="24"/>
                <w:u w:val="single"/>
                <w:lang w:val="en-US" w:eastAsia="zh-CN" w:bidi="ar"/>
              </w:rPr>
              <w:t>标准》编制说明可知，储油罐大呼吸烃类有机物平均排放率为0.88kg/m</w:t>
            </w:r>
            <w:r>
              <w:rPr>
                <w:rFonts w:hint="default" w:ascii="Times New Roman" w:hAnsi="Times New Roman" w:eastAsia="宋体" w:cs="Times New Roman"/>
                <w:color w:val="FF0000"/>
                <w:kern w:val="0"/>
                <w:sz w:val="24"/>
                <w:szCs w:val="24"/>
                <w:u w:val="single"/>
                <w:vertAlign w:val="superscript"/>
                <w:lang w:val="en-US" w:eastAsia="zh-CN" w:bidi="ar"/>
              </w:rPr>
              <w:t>3</w:t>
            </w:r>
            <w:r>
              <w:rPr>
                <w:rFonts w:hint="default" w:ascii="Times New Roman" w:hAnsi="Times New Roman" w:eastAsia="宋体" w:cs="Times New Roman"/>
                <w:color w:val="FF0000"/>
                <w:kern w:val="0"/>
                <w:sz w:val="24"/>
                <w:szCs w:val="24"/>
                <w:u w:val="single"/>
                <w:lang w:val="en-US" w:eastAsia="zh-CN" w:bidi="ar"/>
              </w:rPr>
              <w:t>·通过量，本项目收集的机舱油污水由于含水量率较大，约为70%，大呼吸产生的非甲烷总烃较少，因此不予考虑。因此项目废矿物油通过量约为33.7m</w:t>
            </w:r>
            <w:r>
              <w:rPr>
                <w:rFonts w:hint="default" w:ascii="Times New Roman" w:hAnsi="Times New Roman" w:eastAsia="宋体" w:cs="Times New Roman"/>
                <w:color w:val="FF0000"/>
                <w:kern w:val="0"/>
                <w:sz w:val="24"/>
                <w:szCs w:val="24"/>
                <w:u w:val="single"/>
                <w:vertAlign w:val="superscript"/>
                <w:lang w:val="en-US" w:eastAsia="zh-CN" w:bidi="ar"/>
              </w:rPr>
              <w:t>3</w:t>
            </w:r>
            <w:r>
              <w:rPr>
                <w:rFonts w:hint="default" w:ascii="Times New Roman" w:hAnsi="Times New Roman" w:eastAsia="宋体" w:cs="Times New Roman"/>
                <w:color w:val="FF0000"/>
                <w:kern w:val="0"/>
                <w:sz w:val="24"/>
                <w:szCs w:val="24"/>
                <w:u w:val="single"/>
                <w:lang w:val="en-US" w:eastAsia="zh-CN" w:bidi="ar"/>
              </w:rPr>
              <w:t xml:space="preserve">/a，因此项目大呼吸产生的非甲烷总烃约为29.7kg/a，排放速率为0.01kg/h。 </w:t>
            </w:r>
          </w:p>
          <w:p>
            <w:pPr>
              <w:keepNext w:val="0"/>
              <w:keepLines w:val="0"/>
              <w:widowControl/>
              <w:suppressLineNumbers w:val="0"/>
              <w:spacing w:line="360" w:lineRule="auto"/>
              <w:ind w:firstLine="480" w:firstLineChars="200"/>
              <w:jc w:val="left"/>
              <w:rPr>
                <w:rFonts w:hint="default" w:ascii="Times New Roman" w:hAnsi="Times New Roman" w:eastAsia="宋体" w:cs="Times New Roman"/>
                <w:color w:val="FF0000"/>
                <w:kern w:val="0"/>
                <w:sz w:val="24"/>
                <w:szCs w:val="24"/>
                <w:u w:val="single"/>
                <w:lang w:val="en-US" w:eastAsia="zh-CN" w:bidi="ar"/>
              </w:rPr>
            </w:pPr>
            <w:r>
              <w:rPr>
                <w:rFonts w:hint="default" w:ascii="Times New Roman" w:hAnsi="Times New Roman" w:eastAsia="宋体" w:cs="Times New Roman"/>
                <w:color w:val="FF0000"/>
                <w:kern w:val="0"/>
                <w:sz w:val="24"/>
                <w:szCs w:val="24"/>
                <w:u w:val="single"/>
                <w:lang w:val="en-US" w:eastAsia="zh-CN" w:bidi="ar"/>
              </w:rPr>
              <w:t>②小呼吸：静止储存的油品，白天受太阳辐射使油温升高，引起上部空间气体膨胀和油面蒸发加剧，罐内压力随之升高，当压力达到呼吸阀允许值时，油蒸汽就逸出罐外造成损耗。夜晚气温下降使罐内气体收缩，油气凝结，罐内压力随之下降，当压力降到呼吸阀允许真空值时，空气进入罐内，使气体空间的油气浓度降低，又为温度升高后油气蒸发创造条件。这样反复循环</w:t>
            </w:r>
            <w:r>
              <w:rPr>
                <w:rFonts w:hint="eastAsia" w:ascii="Times New Roman" w:hAnsi="Times New Roman" w:eastAsia="宋体" w:cs="Times New Roman"/>
                <w:color w:val="FF0000"/>
                <w:kern w:val="0"/>
                <w:sz w:val="24"/>
                <w:szCs w:val="24"/>
                <w:u w:val="single"/>
                <w:lang w:val="en-US" w:eastAsia="zh-CN" w:bidi="ar"/>
              </w:rPr>
              <w:t>，</w:t>
            </w:r>
            <w:r>
              <w:rPr>
                <w:rFonts w:hint="default" w:ascii="Times New Roman" w:hAnsi="Times New Roman" w:eastAsia="宋体" w:cs="Times New Roman"/>
                <w:color w:val="FF0000"/>
                <w:kern w:val="0"/>
                <w:sz w:val="24"/>
                <w:szCs w:val="24"/>
                <w:u w:val="single"/>
                <w:lang w:val="en-US" w:eastAsia="zh-CN" w:bidi="ar"/>
              </w:rPr>
              <w:t>就形成了油罐的小呼吸损失。根据《社会区域内环境影响评价/环境影响</w:t>
            </w:r>
            <w:r>
              <w:rPr>
                <w:rFonts w:hint="eastAsia" w:ascii="Times New Roman" w:hAnsi="Times New Roman" w:eastAsia="宋体" w:cs="Times New Roman"/>
                <w:color w:val="FF0000"/>
                <w:kern w:val="0"/>
                <w:sz w:val="24"/>
                <w:szCs w:val="24"/>
                <w:u w:val="single"/>
                <w:lang w:val="en-US" w:eastAsia="zh-CN" w:bidi="ar"/>
              </w:rPr>
              <w:t>评价</w:t>
            </w:r>
            <w:r>
              <w:rPr>
                <w:rFonts w:hint="default" w:ascii="Times New Roman" w:hAnsi="Times New Roman" w:eastAsia="宋体" w:cs="Times New Roman"/>
                <w:color w:val="FF0000"/>
                <w:kern w:val="0"/>
                <w:sz w:val="24"/>
                <w:szCs w:val="24"/>
                <w:u w:val="single"/>
                <w:lang w:val="en-US" w:eastAsia="zh-CN" w:bidi="ar"/>
              </w:rPr>
              <w:t>工程师职业资格登记培训教材》中的资料，柴油储油罐小呼吸造成的烃类有 机物排放速率为0.01kg/（m</w:t>
            </w:r>
            <w:r>
              <w:rPr>
                <w:rFonts w:hint="default" w:ascii="Times New Roman" w:hAnsi="Times New Roman" w:eastAsia="宋体" w:cs="Times New Roman"/>
                <w:color w:val="FF0000"/>
                <w:kern w:val="0"/>
                <w:sz w:val="24"/>
                <w:szCs w:val="24"/>
                <w:u w:val="single"/>
                <w:vertAlign w:val="superscript"/>
                <w:lang w:val="en-US" w:eastAsia="zh-CN" w:bidi="ar"/>
              </w:rPr>
              <w:t>3</w:t>
            </w:r>
            <w:r>
              <w:rPr>
                <w:rFonts w:hint="default" w:ascii="Times New Roman" w:hAnsi="Times New Roman" w:eastAsia="宋体" w:cs="Times New Roman"/>
                <w:color w:val="FF0000"/>
                <w:kern w:val="0"/>
                <w:sz w:val="24"/>
                <w:szCs w:val="24"/>
                <w:u w:val="single"/>
                <w:lang w:val="en-US" w:eastAsia="zh-CN" w:bidi="ar"/>
              </w:rPr>
              <w:t>·通过量），本项目收集的机舱油污水由于含水量 率较大，约为70%，小呼吸产生的非甲烷总烃较少，因此不予考虑。因此项目废矿物油通过量约为33.7m</w:t>
            </w:r>
            <w:r>
              <w:rPr>
                <w:rFonts w:hint="default" w:ascii="Times New Roman" w:hAnsi="Times New Roman" w:eastAsia="宋体" w:cs="Times New Roman"/>
                <w:color w:val="FF0000"/>
                <w:kern w:val="0"/>
                <w:sz w:val="24"/>
                <w:szCs w:val="24"/>
                <w:u w:val="single"/>
                <w:vertAlign w:val="superscript"/>
                <w:lang w:val="en-US" w:eastAsia="zh-CN" w:bidi="ar"/>
              </w:rPr>
              <w:t>3</w:t>
            </w:r>
            <w:r>
              <w:rPr>
                <w:rFonts w:hint="default" w:ascii="Times New Roman" w:hAnsi="Times New Roman" w:eastAsia="宋体" w:cs="Times New Roman"/>
                <w:color w:val="FF0000"/>
                <w:kern w:val="0"/>
                <w:sz w:val="24"/>
                <w:szCs w:val="24"/>
                <w:u w:val="single"/>
                <w:lang w:val="en-US" w:eastAsia="zh-CN" w:bidi="ar"/>
              </w:rPr>
              <w:t>/a，因此小呼吸产生的非甲烷总烃为0.38kg/a，排放速率为0.00004kg/h。</w:t>
            </w:r>
          </w:p>
          <w:p>
            <w:pPr>
              <w:bidi w:val="0"/>
              <w:spacing w:line="360" w:lineRule="auto"/>
              <w:ind w:firstLine="480" w:firstLineChars="200"/>
              <w:rPr>
                <w:rFonts w:hint="default"/>
                <w:color w:val="FF0000"/>
                <w:sz w:val="24"/>
                <w:szCs w:val="24"/>
                <w:u w:val="single"/>
                <w:lang w:val="en-US" w:eastAsia="zh-CN"/>
              </w:rPr>
            </w:pPr>
            <w:r>
              <w:rPr>
                <w:rFonts w:hint="default"/>
                <w:color w:val="FF0000"/>
                <w:sz w:val="24"/>
                <w:szCs w:val="24"/>
                <w:u w:val="single"/>
                <w:lang w:val="en-US" w:eastAsia="zh-CN"/>
              </w:rPr>
              <w:t>本扩建项目在收集废矿物油时，临时贮存和装卸过程中有一定的挥发性有机物排放，均为无组织排放，主要成分为非甲烷总烃。项目收集的废矿物油临时贮存在专用油舱中，收集过程中损失主要为“大呼吸”及“小呼吸”，通过呼吸阀无组织逸散至空气中。</w:t>
            </w:r>
          </w:p>
          <w:p>
            <w:pPr>
              <w:bidi w:val="0"/>
              <w:spacing w:line="360" w:lineRule="auto"/>
              <w:ind w:firstLine="480" w:firstLineChars="200"/>
              <w:rPr>
                <w:rFonts w:hint="default"/>
                <w:color w:val="FF0000"/>
                <w:sz w:val="24"/>
                <w:szCs w:val="24"/>
                <w:u w:val="single"/>
                <w:lang w:val="en-US" w:eastAsia="zh-CN"/>
              </w:rPr>
            </w:pPr>
            <w:r>
              <w:rPr>
                <w:rFonts w:hint="default"/>
                <w:color w:val="FF0000"/>
                <w:sz w:val="24"/>
                <w:szCs w:val="24"/>
                <w:u w:val="single"/>
                <w:lang w:val="en-US" w:eastAsia="zh-CN"/>
              </w:rPr>
              <w:t>项目液态物料的收集、临时贮存和装卸采取全密闭、液下装载等方式进行，能有效避免挥发性有机废气泄漏和逸散，同时在使用过程均加强对泵、阀门、法兰等的泄漏监测与控制，定期泄漏检测，一旦油舱、油泵等发生泄漏即进行修复，防止或减少跑、冒、滴、漏现象。另外，各油舱表面拟喷涂浅色涂层，高温天气采用水喷淋降温的方式，从而大大降低了各油舱的呼吸损耗量。</w:t>
            </w:r>
          </w:p>
          <w:p>
            <w:pPr>
              <w:bidi w:val="0"/>
              <w:spacing w:line="360" w:lineRule="auto"/>
              <w:ind w:firstLine="480" w:firstLineChars="200"/>
              <w:rPr>
                <w:rFonts w:hint="default"/>
                <w:color w:val="FF0000"/>
                <w:sz w:val="24"/>
                <w:szCs w:val="24"/>
                <w:u w:val="single"/>
                <w:lang w:val="en-US" w:eastAsia="zh-CN"/>
              </w:rPr>
            </w:pPr>
            <w:r>
              <w:rPr>
                <w:rFonts w:hint="default"/>
                <w:color w:val="FF0000"/>
                <w:sz w:val="24"/>
                <w:szCs w:val="24"/>
                <w:u w:val="single"/>
                <w:lang w:val="en-US" w:eastAsia="zh-CN"/>
              </w:rPr>
              <w:t>根据《岳阳县源成残油垃圾接收有限公司船舶废矿物油回收项目竣工环境保护验收监测报告表》可知，油舱区无组织废气能达到《挥发性有机物无组织排放控制标准》（GB37822-2019）中相应控制要求。但本次评价从严要求，还应采取如下措施：</w:t>
            </w:r>
          </w:p>
          <w:p>
            <w:pPr>
              <w:bidi w:val="0"/>
              <w:spacing w:line="360" w:lineRule="auto"/>
              <w:ind w:firstLine="480" w:firstLineChars="200"/>
              <w:rPr>
                <w:rFonts w:hint="default"/>
                <w:color w:val="FF0000"/>
                <w:sz w:val="24"/>
                <w:szCs w:val="24"/>
                <w:u w:val="single"/>
                <w:lang w:val="en-US" w:eastAsia="zh-CN"/>
              </w:rPr>
            </w:pPr>
            <w:r>
              <w:rPr>
                <w:rFonts w:hint="default"/>
                <w:color w:val="FF0000"/>
                <w:sz w:val="24"/>
                <w:szCs w:val="24"/>
                <w:u w:val="single"/>
                <w:lang w:val="en-US" w:eastAsia="zh-CN"/>
              </w:rPr>
              <w:t>1）减少油舱气体空间的温度变化，船体采取一定的热绝缘或装设防晒设施。</w:t>
            </w:r>
          </w:p>
          <w:p>
            <w:pPr>
              <w:bidi w:val="0"/>
              <w:spacing w:line="360" w:lineRule="auto"/>
              <w:ind w:firstLine="480" w:firstLineChars="200"/>
              <w:rPr>
                <w:rFonts w:hint="default"/>
                <w:color w:val="FF0000"/>
                <w:sz w:val="24"/>
                <w:szCs w:val="24"/>
                <w:u w:val="single"/>
                <w:lang w:val="en-US" w:eastAsia="zh-CN"/>
              </w:rPr>
            </w:pPr>
            <w:r>
              <w:rPr>
                <w:rFonts w:hint="default"/>
                <w:color w:val="FF0000"/>
                <w:sz w:val="24"/>
                <w:szCs w:val="24"/>
                <w:u w:val="single"/>
                <w:lang w:val="en-US" w:eastAsia="zh-CN"/>
              </w:rPr>
              <w:t>2）油舱内气体与外界空气的交换采用自动呼吸阀。通过压力和大气压作用，调节阀门的打开和关闭状态，保证良好的密闭效果，减少有机废气的无组织损耗。</w:t>
            </w:r>
          </w:p>
          <w:p>
            <w:pPr>
              <w:bidi w:val="0"/>
              <w:spacing w:line="360" w:lineRule="auto"/>
              <w:ind w:firstLine="480" w:firstLineChars="200"/>
              <w:rPr>
                <w:rFonts w:hint="default"/>
                <w:color w:val="FF0000"/>
                <w:sz w:val="24"/>
                <w:szCs w:val="24"/>
                <w:u w:val="single"/>
                <w:lang w:val="en-US" w:eastAsia="zh-CN"/>
              </w:rPr>
            </w:pPr>
            <w:r>
              <w:rPr>
                <w:rFonts w:hint="default"/>
                <w:color w:val="FF0000"/>
                <w:sz w:val="24"/>
                <w:szCs w:val="24"/>
                <w:u w:val="single"/>
                <w:lang w:val="en-US" w:eastAsia="zh-CN"/>
              </w:rPr>
              <w:t>3）强化工艺管理，减少操作损耗加强管理，改进操作技术也可以减少有机废气的损耗。</w:t>
            </w:r>
          </w:p>
          <w:p>
            <w:pPr>
              <w:bidi w:val="0"/>
              <w:spacing w:line="360" w:lineRule="auto"/>
              <w:ind w:firstLine="480" w:firstLineChars="200"/>
              <w:rPr>
                <w:rFonts w:hint="default"/>
                <w:color w:val="FF0000"/>
                <w:sz w:val="24"/>
                <w:szCs w:val="24"/>
                <w:u w:val="single"/>
                <w:lang w:val="en-US" w:eastAsia="zh-CN"/>
              </w:rPr>
            </w:pPr>
            <w:r>
              <w:rPr>
                <w:rFonts w:hint="default"/>
                <w:color w:val="FF0000"/>
                <w:sz w:val="24"/>
                <w:szCs w:val="24"/>
                <w:u w:val="single"/>
                <w:lang w:val="en-US" w:eastAsia="zh-CN"/>
              </w:rPr>
              <w:t>本评价建议油舱区应强化以下的工艺管理措施：</w:t>
            </w:r>
          </w:p>
          <w:p>
            <w:pPr>
              <w:bidi w:val="0"/>
              <w:spacing w:line="360" w:lineRule="auto"/>
              <w:ind w:firstLine="480" w:firstLineChars="200"/>
              <w:rPr>
                <w:rFonts w:hint="default"/>
                <w:color w:val="FF0000"/>
                <w:sz w:val="24"/>
                <w:szCs w:val="24"/>
                <w:u w:val="single"/>
                <w:lang w:val="en-US" w:eastAsia="zh-CN"/>
              </w:rPr>
            </w:pPr>
            <w:r>
              <w:rPr>
                <w:rFonts w:hint="default"/>
                <w:color w:val="FF0000"/>
                <w:sz w:val="24"/>
                <w:szCs w:val="24"/>
                <w:u w:val="single"/>
                <w:lang w:val="en-US" w:eastAsia="zh-CN"/>
              </w:rPr>
              <w:t>1）在物料输入操作时，应尽量在降温时作业。</w:t>
            </w:r>
          </w:p>
          <w:p>
            <w:pPr>
              <w:bidi w:val="0"/>
              <w:spacing w:line="360" w:lineRule="auto"/>
              <w:ind w:firstLine="480" w:firstLineChars="200"/>
              <w:rPr>
                <w:rFonts w:hint="default"/>
                <w:color w:val="FF0000"/>
                <w:sz w:val="24"/>
                <w:szCs w:val="24"/>
                <w:u w:val="single"/>
                <w:lang w:val="en-US" w:eastAsia="zh-CN"/>
              </w:rPr>
            </w:pPr>
            <w:r>
              <w:rPr>
                <w:rFonts w:hint="default"/>
                <w:color w:val="FF0000"/>
                <w:sz w:val="24"/>
                <w:szCs w:val="24"/>
                <w:u w:val="single"/>
                <w:lang w:val="en-US" w:eastAsia="zh-CN"/>
              </w:rPr>
              <w:t>2）在安排装进物料时，应优先安排刚排空的油舱。</w:t>
            </w:r>
          </w:p>
          <w:p>
            <w:pPr>
              <w:bidi w:val="0"/>
              <w:spacing w:line="360" w:lineRule="auto"/>
              <w:ind w:firstLine="480" w:firstLineChars="200"/>
              <w:rPr>
                <w:rFonts w:hint="default"/>
                <w:color w:val="FF0000"/>
                <w:sz w:val="24"/>
                <w:szCs w:val="24"/>
                <w:u w:val="single"/>
                <w:lang w:val="en-US" w:eastAsia="zh-CN"/>
              </w:rPr>
            </w:pPr>
            <w:r>
              <w:rPr>
                <w:rFonts w:hint="default"/>
                <w:color w:val="FF0000"/>
                <w:sz w:val="24"/>
                <w:szCs w:val="24"/>
                <w:u w:val="single"/>
                <w:lang w:val="en-US" w:eastAsia="zh-CN"/>
              </w:rPr>
              <w:t>3）尽量采用高液位储存，以减少油舱气体空间。</w:t>
            </w:r>
          </w:p>
          <w:p>
            <w:pPr>
              <w:bidi w:val="0"/>
              <w:spacing w:line="360" w:lineRule="auto"/>
              <w:ind w:firstLine="480" w:firstLineChars="200"/>
              <w:rPr>
                <w:rFonts w:hint="default"/>
                <w:color w:val="FF0000"/>
                <w:sz w:val="24"/>
                <w:szCs w:val="24"/>
                <w:u w:val="single"/>
                <w:lang w:val="en-US" w:eastAsia="zh-CN"/>
              </w:rPr>
            </w:pPr>
            <w:r>
              <w:rPr>
                <w:rFonts w:hint="default"/>
                <w:color w:val="FF0000"/>
                <w:sz w:val="24"/>
                <w:szCs w:val="24"/>
                <w:u w:val="single"/>
                <w:lang w:val="en-US" w:eastAsia="zh-CN"/>
              </w:rPr>
              <w:t>4）尽量减少油舱内输转以减少损耗。</w:t>
            </w:r>
          </w:p>
          <w:p>
            <w:pPr>
              <w:bidi w:val="0"/>
              <w:spacing w:line="360" w:lineRule="auto"/>
              <w:ind w:firstLine="480" w:firstLineChars="200"/>
              <w:rPr>
                <w:rFonts w:hint="default"/>
                <w:color w:val="FF0000"/>
                <w:sz w:val="24"/>
                <w:szCs w:val="24"/>
                <w:u w:val="single"/>
                <w:lang w:val="en-US" w:eastAsia="zh-CN"/>
              </w:rPr>
            </w:pPr>
            <w:r>
              <w:rPr>
                <w:rFonts w:hint="default"/>
                <w:color w:val="FF0000"/>
                <w:sz w:val="24"/>
                <w:szCs w:val="24"/>
                <w:u w:val="single"/>
                <w:lang w:val="en-US" w:eastAsia="zh-CN"/>
              </w:rPr>
              <w:t>5）加强油舱日常管理，定期检查油舱的密封情况，发现漏洞及时修理。</w:t>
            </w:r>
          </w:p>
          <w:p>
            <w:pPr>
              <w:bidi w:val="0"/>
              <w:spacing w:line="360" w:lineRule="auto"/>
              <w:ind w:firstLine="480" w:firstLineChars="200"/>
              <w:rPr>
                <w:rFonts w:hint="default"/>
                <w:color w:val="FF0000"/>
                <w:sz w:val="24"/>
                <w:szCs w:val="24"/>
                <w:u w:val="single"/>
                <w:lang w:val="en-US" w:eastAsia="zh-CN"/>
              </w:rPr>
            </w:pPr>
            <w:r>
              <w:rPr>
                <w:rFonts w:hint="default"/>
                <w:color w:val="FF0000"/>
                <w:sz w:val="24"/>
                <w:szCs w:val="24"/>
                <w:u w:val="single"/>
                <w:lang w:val="en-US" w:eastAsia="zh-CN"/>
              </w:rPr>
              <w:t>在分别采取上述措施后，项目污染物排放量较少，无组织排放也实现排放量最小化。</w:t>
            </w:r>
          </w:p>
          <w:p>
            <w:pPr>
              <w:bidi w:val="0"/>
              <w:spacing w:line="360" w:lineRule="auto"/>
              <w:ind w:firstLine="480" w:firstLineChars="200"/>
              <w:rPr>
                <w:rFonts w:hint="default"/>
                <w:color w:val="FF0000"/>
                <w:sz w:val="24"/>
                <w:szCs w:val="24"/>
                <w:u w:val="single"/>
                <w:lang w:val="en-US" w:eastAsia="zh-CN"/>
              </w:rPr>
            </w:pPr>
            <w:r>
              <w:rPr>
                <w:rFonts w:hint="default"/>
                <w:color w:val="FF0000"/>
                <w:sz w:val="24"/>
                <w:szCs w:val="24"/>
                <w:u w:val="single"/>
                <w:lang w:val="en-US" w:eastAsia="zh-CN"/>
              </w:rPr>
              <w:t>因此，项目拟采取的环境空气污染防治措施可行。</w:t>
            </w:r>
          </w:p>
          <w:p>
            <w:pPr>
              <w:bidi w:val="0"/>
              <w:spacing w:line="360" w:lineRule="auto"/>
              <w:ind w:firstLine="480" w:firstLineChars="200"/>
              <w:rPr>
                <w:rFonts w:hint="default"/>
                <w:color w:val="FF0000"/>
                <w:sz w:val="24"/>
                <w:szCs w:val="24"/>
                <w:u w:val="single"/>
                <w:lang w:val="en-US" w:eastAsia="zh-CN"/>
              </w:rPr>
            </w:pPr>
            <w:r>
              <w:rPr>
                <w:rFonts w:hint="default"/>
                <w:color w:val="FF0000"/>
                <w:sz w:val="24"/>
                <w:szCs w:val="24"/>
                <w:u w:val="single"/>
                <w:lang w:val="en-US" w:eastAsia="zh-CN"/>
              </w:rPr>
              <w:t>综上所述，本扩建项目废气对周围环境影响较小。</w:t>
            </w:r>
          </w:p>
          <w:p>
            <w:pPr>
              <w:keepNext w:val="0"/>
              <w:keepLines w:val="0"/>
              <w:widowControl/>
              <w:numPr>
                <w:ilvl w:val="0"/>
                <w:numId w:val="0"/>
              </w:numPr>
              <w:suppressLineNumbers w:val="0"/>
              <w:spacing w:line="360" w:lineRule="auto"/>
              <w:ind w:firstLine="480" w:firstLineChars="200"/>
              <w:jc w:val="left"/>
              <w:rPr>
                <w:rFonts w:hint="eastAsia" w:ascii="Times New Roman" w:hAnsi="Times New Roman" w:eastAsia="宋体" w:cs="Times New Roman"/>
                <w:color w:val="FF0000"/>
                <w:kern w:val="0"/>
                <w:sz w:val="24"/>
                <w:szCs w:val="24"/>
                <w:u w:val="single"/>
                <w:lang w:val="en-US" w:eastAsia="zh-CN" w:bidi="ar"/>
              </w:rPr>
            </w:pPr>
            <w:r>
              <w:rPr>
                <w:rFonts w:hint="eastAsia" w:cs="Times New Roman"/>
                <w:color w:val="FF0000"/>
                <w:kern w:val="0"/>
                <w:sz w:val="24"/>
                <w:szCs w:val="24"/>
                <w:u w:val="single"/>
                <w:lang w:val="en-US" w:eastAsia="zh-CN" w:bidi="ar"/>
              </w:rPr>
              <w:t>（2）</w:t>
            </w:r>
            <w:r>
              <w:rPr>
                <w:rFonts w:hint="eastAsia" w:ascii="Times New Roman" w:hAnsi="Times New Roman" w:eastAsia="宋体" w:cs="Times New Roman"/>
                <w:color w:val="FF0000"/>
                <w:kern w:val="0"/>
                <w:sz w:val="24"/>
                <w:szCs w:val="24"/>
                <w:u w:val="single"/>
                <w:lang w:val="en-US" w:eastAsia="zh-CN" w:bidi="ar"/>
              </w:rPr>
              <w:t>柴油发动机和柴油发电机产生的废气</w:t>
            </w:r>
          </w:p>
          <w:p>
            <w:pPr>
              <w:keepNext w:val="0"/>
              <w:keepLines w:val="0"/>
              <w:widowControl/>
              <w:numPr>
                <w:ilvl w:val="0"/>
                <w:numId w:val="0"/>
              </w:numPr>
              <w:suppressLineNumbers w:val="0"/>
              <w:spacing w:line="360" w:lineRule="auto"/>
              <w:ind w:firstLine="480" w:firstLineChars="200"/>
              <w:jc w:val="left"/>
              <w:rPr>
                <w:rFonts w:hint="eastAsia" w:ascii="Times New Roman" w:hAnsi="Times New Roman" w:eastAsia="宋体" w:cs="Times New Roman"/>
                <w:color w:val="FF0000"/>
                <w:kern w:val="0"/>
                <w:sz w:val="24"/>
                <w:szCs w:val="24"/>
                <w:u w:val="single"/>
                <w:lang w:val="en-US" w:eastAsia="zh-CN" w:bidi="ar"/>
              </w:rPr>
            </w:pPr>
            <w:r>
              <w:rPr>
                <w:rFonts w:hint="eastAsia" w:ascii="Times New Roman" w:hAnsi="Times New Roman" w:eastAsia="宋体" w:cs="Times New Roman"/>
                <w:color w:val="FF0000"/>
                <w:kern w:val="0"/>
                <w:sz w:val="24"/>
                <w:szCs w:val="24"/>
                <w:u w:val="single"/>
                <w:lang w:val="en-US" w:eastAsia="zh-CN" w:bidi="ar"/>
              </w:rPr>
              <w:t>本项目柴油发动机和柴油发电机使用的柴油为0#柴油，本项目年使用柴 油量约为130t。 根据《环境统计手册》（方品贤等著），计算燃油发电机排放的主要大气污染物方法如下：参考燃料燃烧排放污染物物料衡算法计算：</w:t>
            </w:r>
          </w:p>
          <w:p>
            <w:pPr>
              <w:keepNext w:val="0"/>
              <w:keepLines w:val="0"/>
              <w:widowControl/>
              <w:numPr>
                <w:ilvl w:val="0"/>
                <w:numId w:val="0"/>
              </w:numPr>
              <w:suppressLineNumbers w:val="0"/>
              <w:spacing w:line="360" w:lineRule="auto"/>
              <w:ind w:firstLine="480" w:firstLineChars="200"/>
              <w:jc w:val="left"/>
              <w:rPr>
                <w:rFonts w:hint="eastAsia" w:ascii="Times New Roman" w:hAnsi="Times New Roman" w:eastAsia="宋体" w:cs="Times New Roman"/>
                <w:color w:val="FF0000"/>
                <w:kern w:val="0"/>
                <w:sz w:val="24"/>
                <w:szCs w:val="24"/>
                <w:u w:val="single"/>
                <w:lang w:val="en-US" w:eastAsia="zh-CN" w:bidi="ar"/>
              </w:rPr>
            </w:pPr>
            <w:r>
              <w:rPr>
                <w:rFonts w:hint="eastAsia" w:ascii="Times New Roman" w:hAnsi="Times New Roman" w:eastAsia="宋体" w:cs="Times New Roman"/>
                <w:color w:val="FF0000"/>
                <w:kern w:val="0"/>
                <w:sz w:val="24"/>
                <w:szCs w:val="24"/>
                <w:u w:val="single"/>
                <w:lang w:val="en-US" w:eastAsia="zh-CN" w:bidi="ar"/>
              </w:rPr>
              <w:t>SO</w:t>
            </w:r>
            <w:r>
              <w:rPr>
                <w:rFonts w:hint="eastAsia" w:ascii="Times New Roman" w:hAnsi="Times New Roman" w:eastAsia="宋体" w:cs="Times New Roman"/>
                <w:color w:val="FF0000"/>
                <w:kern w:val="0"/>
                <w:sz w:val="24"/>
                <w:szCs w:val="24"/>
                <w:u w:val="single"/>
                <w:vertAlign w:val="subscript"/>
                <w:lang w:val="en-US" w:eastAsia="zh-CN" w:bidi="ar"/>
              </w:rPr>
              <w:t>2</w:t>
            </w:r>
            <w:r>
              <w:rPr>
                <w:rFonts w:hint="eastAsia" w:ascii="Times New Roman" w:hAnsi="Times New Roman" w:eastAsia="宋体" w:cs="Times New Roman"/>
                <w:color w:val="FF0000"/>
                <w:kern w:val="0"/>
                <w:sz w:val="24"/>
                <w:szCs w:val="24"/>
                <w:u w:val="single"/>
                <w:lang w:val="en-US" w:eastAsia="zh-CN" w:bidi="ar"/>
              </w:rPr>
              <w:t>：C</w:t>
            </w:r>
            <w:r>
              <w:rPr>
                <w:rFonts w:hint="eastAsia" w:ascii="Times New Roman" w:hAnsi="Times New Roman" w:eastAsia="宋体" w:cs="Times New Roman"/>
                <w:color w:val="FF0000"/>
                <w:kern w:val="0"/>
                <w:sz w:val="24"/>
                <w:szCs w:val="24"/>
                <w:u w:val="single"/>
                <w:vertAlign w:val="subscript"/>
                <w:lang w:val="en-US" w:eastAsia="zh-CN" w:bidi="ar"/>
              </w:rPr>
              <w:t>SO2</w:t>
            </w:r>
            <w:r>
              <w:rPr>
                <w:rFonts w:hint="eastAsia" w:ascii="Times New Roman" w:hAnsi="Times New Roman" w:eastAsia="宋体" w:cs="Times New Roman"/>
                <w:color w:val="FF0000"/>
                <w:kern w:val="0"/>
                <w:sz w:val="24"/>
                <w:szCs w:val="24"/>
                <w:u w:val="single"/>
                <w:lang w:val="en-US" w:eastAsia="zh-CN" w:bidi="ar"/>
              </w:rPr>
              <w:t xml:space="preserve">=2×B×S </w:t>
            </w:r>
          </w:p>
          <w:p>
            <w:pPr>
              <w:keepNext w:val="0"/>
              <w:keepLines w:val="0"/>
              <w:widowControl/>
              <w:numPr>
                <w:ilvl w:val="0"/>
                <w:numId w:val="0"/>
              </w:numPr>
              <w:suppressLineNumbers w:val="0"/>
              <w:spacing w:line="360" w:lineRule="auto"/>
              <w:ind w:firstLine="480" w:firstLineChars="200"/>
              <w:jc w:val="left"/>
              <w:rPr>
                <w:rFonts w:hint="eastAsia" w:ascii="Times New Roman" w:hAnsi="Times New Roman" w:eastAsia="宋体" w:cs="Times New Roman"/>
                <w:color w:val="FF0000"/>
                <w:kern w:val="0"/>
                <w:sz w:val="24"/>
                <w:szCs w:val="24"/>
                <w:u w:val="single"/>
                <w:lang w:val="en-US" w:eastAsia="zh-CN" w:bidi="ar"/>
              </w:rPr>
            </w:pPr>
            <w:r>
              <w:rPr>
                <w:rFonts w:hint="eastAsia" w:ascii="Times New Roman" w:hAnsi="Times New Roman" w:eastAsia="宋体" w:cs="Times New Roman"/>
                <w:color w:val="FF0000"/>
                <w:kern w:val="0"/>
                <w:sz w:val="24"/>
                <w:szCs w:val="24"/>
                <w:u w:val="single"/>
                <w:lang w:val="en-US" w:eastAsia="zh-CN" w:bidi="ar"/>
              </w:rPr>
              <w:t>CSO2——二氧化硫排放量，kg；</w:t>
            </w:r>
          </w:p>
          <w:p>
            <w:pPr>
              <w:keepNext w:val="0"/>
              <w:keepLines w:val="0"/>
              <w:widowControl/>
              <w:numPr>
                <w:ilvl w:val="0"/>
                <w:numId w:val="0"/>
              </w:numPr>
              <w:suppressLineNumbers w:val="0"/>
              <w:spacing w:line="360" w:lineRule="auto"/>
              <w:ind w:firstLine="480" w:firstLineChars="200"/>
              <w:jc w:val="left"/>
              <w:rPr>
                <w:rFonts w:hint="eastAsia" w:ascii="Times New Roman" w:hAnsi="Times New Roman" w:eastAsia="宋体" w:cs="Times New Roman"/>
                <w:color w:val="FF0000"/>
                <w:kern w:val="0"/>
                <w:sz w:val="24"/>
                <w:szCs w:val="24"/>
                <w:u w:val="single"/>
                <w:lang w:val="en-US" w:eastAsia="zh-CN" w:bidi="ar"/>
              </w:rPr>
            </w:pPr>
            <w:r>
              <w:rPr>
                <w:rFonts w:hint="eastAsia" w:ascii="Times New Roman" w:hAnsi="Times New Roman" w:eastAsia="宋体" w:cs="Times New Roman"/>
                <w:color w:val="FF0000"/>
                <w:kern w:val="0"/>
                <w:sz w:val="24"/>
                <w:szCs w:val="24"/>
                <w:u w:val="single"/>
                <w:lang w:val="en-US" w:eastAsia="zh-CN" w:bidi="ar"/>
              </w:rPr>
              <w:t>B——消耗的燃料量，kg；</w:t>
            </w:r>
          </w:p>
          <w:p>
            <w:pPr>
              <w:keepNext w:val="0"/>
              <w:keepLines w:val="0"/>
              <w:widowControl/>
              <w:numPr>
                <w:ilvl w:val="0"/>
                <w:numId w:val="0"/>
              </w:numPr>
              <w:suppressLineNumbers w:val="0"/>
              <w:spacing w:line="360" w:lineRule="auto"/>
              <w:ind w:firstLine="480" w:firstLineChars="200"/>
              <w:jc w:val="left"/>
              <w:rPr>
                <w:rFonts w:hint="eastAsia" w:ascii="Times New Roman" w:hAnsi="Times New Roman" w:eastAsia="宋体" w:cs="Times New Roman"/>
                <w:color w:val="FF0000"/>
                <w:kern w:val="0"/>
                <w:sz w:val="24"/>
                <w:szCs w:val="24"/>
                <w:u w:val="single"/>
                <w:lang w:val="en-US" w:eastAsia="zh-CN" w:bidi="ar"/>
              </w:rPr>
            </w:pPr>
            <w:r>
              <w:rPr>
                <w:rFonts w:hint="eastAsia" w:ascii="Times New Roman" w:hAnsi="Times New Roman" w:eastAsia="宋体" w:cs="Times New Roman"/>
                <w:color w:val="FF0000"/>
                <w:kern w:val="0"/>
                <w:sz w:val="24"/>
                <w:szCs w:val="24"/>
                <w:u w:val="single"/>
                <w:lang w:val="en-US" w:eastAsia="zh-CN" w:bidi="ar"/>
              </w:rPr>
              <w:t xml:space="preserve">S——燃料中的全硫份含量；根据《船用燃料油》（GB 17411-2015）及2018年修改单，含硫量不大于 10mg/kg </w:t>
            </w:r>
          </w:p>
          <w:p>
            <w:pPr>
              <w:keepNext w:val="0"/>
              <w:keepLines w:val="0"/>
              <w:widowControl/>
              <w:numPr>
                <w:ilvl w:val="0"/>
                <w:numId w:val="0"/>
              </w:numPr>
              <w:suppressLineNumbers w:val="0"/>
              <w:spacing w:line="360" w:lineRule="auto"/>
              <w:ind w:firstLine="480" w:firstLineChars="200"/>
              <w:jc w:val="left"/>
              <w:rPr>
                <w:rFonts w:hint="eastAsia" w:ascii="Times New Roman" w:hAnsi="Times New Roman" w:eastAsia="宋体" w:cs="Times New Roman"/>
                <w:color w:val="FF0000"/>
                <w:kern w:val="0"/>
                <w:sz w:val="24"/>
                <w:szCs w:val="24"/>
                <w:u w:val="single"/>
                <w:lang w:val="en-US" w:eastAsia="zh-CN" w:bidi="ar"/>
              </w:rPr>
            </w:pPr>
            <w:r>
              <w:rPr>
                <w:rFonts w:hint="eastAsia" w:ascii="Times New Roman" w:hAnsi="Times New Roman" w:eastAsia="宋体" w:cs="Times New Roman"/>
                <w:color w:val="FF0000"/>
                <w:kern w:val="0"/>
                <w:sz w:val="24"/>
                <w:szCs w:val="24"/>
                <w:u w:val="single"/>
                <w:lang w:val="en-US" w:eastAsia="zh-CN" w:bidi="ar"/>
              </w:rPr>
              <w:t>NOx：C</w:t>
            </w:r>
            <w:r>
              <w:rPr>
                <w:rFonts w:hint="eastAsia" w:ascii="Times New Roman" w:hAnsi="Times New Roman" w:eastAsia="宋体" w:cs="Times New Roman"/>
                <w:color w:val="FF0000"/>
                <w:kern w:val="0"/>
                <w:sz w:val="24"/>
                <w:szCs w:val="24"/>
                <w:u w:val="single"/>
                <w:vertAlign w:val="subscript"/>
                <w:lang w:val="en-US" w:eastAsia="zh-CN" w:bidi="ar"/>
              </w:rPr>
              <w:t>NOx</w:t>
            </w:r>
            <w:r>
              <w:rPr>
                <w:rFonts w:hint="eastAsia" w:ascii="Times New Roman" w:hAnsi="Times New Roman" w:eastAsia="宋体" w:cs="Times New Roman"/>
                <w:color w:val="FF0000"/>
                <w:kern w:val="0"/>
                <w:sz w:val="24"/>
                <w:szCs w:val="24"/>
                <w:u w:val="single"/>
                <w:lang w:val="en-US" w:eastAsia="zh-CN" w:bidi="ar"/>
              </w:rPr>
              <w:t>=1.63×B×</w:t>
            </w:r>
            <w:r>
              <w:rPr>
                <w:rFonts w:hint="eastAsia" w:cs="Times New Roman"/>
                <w:color w:val="FF0000"/>
                <w:kern w:val="0"/>
                <w:sz w:val="24"/>
                <w:szCs w:val="24"/>
                <w:u w:val="single"/>
                <w:lang w:val="en-US" w:eastAsia="zh-CN" w:bidi="ar"/>
              </w:rPr>
              <w:t>（</w:t>
            </w:r>
            <w:r>
              <w:rPr>
                <w:rFonts w:hint="eastAsia" w:ascii="Times New Roman" w:hAnsi="Times New Roman" w:eastAsia="宋体" w:cs="Times New Roman"/>
                <w:color w:val="FF0000"/>
                <w:kern w:val="0"/>
                <w:sz w:val="24"/>
                <w:szCs w:val="24"/>
                <w:u w:val="single"/>
                <w:lang w:val="en-US" w:eastAsia="zh-CN" w:bidi="ar"/>
              </w:rPr>
              <w:t>N×β+0.000938</w:t>
            </w:r>
            <w:r>
              <w:rPr>
                <w:rFonts w:hint="eastAsia" w:cs="Times New Roman"/>
                <w:color w:val="FF0000"/>
                <w:kern w:val="0"/>
                <w:sz w:val="24"/>
                <w:szCs w:val="24"/>
                <w:u w:val="single"/>
                <w:lang w:val="en-US" w:eastAsia="zh-CN" w:bidi="ar"/>
              </w:rPr>
              <w:t>）</w:t>
            </w:r>
          </w:p>
          <w:p>
            <w:pPr>
              <w:keepNext w:val="0"/>
              <w:keepLines w:val="0"/>
              <w:widowControl/>
              <w:numPr>
                <w:ilvl w:val="0"/>
                <w:numId w:val="0"/>
              </w:numPr>
              <w:suppressLineNumbers w:val="0"/>
              <w:spacing w:line="360" w:lineRule="auto"/>
              <w:ind w:firstLine="480" w:firstLineChars="200"/>
              <w:jc w:val="left"/>
              <w:rPr>
                <w:rFonts w:hint="eastAsia" w:ascii="Times New Roman" w:hAnsi="Times New Roman" w:eastAsia="宋体" w:cs="Times New Roman"/>
                <w:color w:val="FF0000"/>
                <w:kern w:val="0"/>
                <w:sz w:val="24"/>
                <w:szCs w:val="24"/>
                <w:u w:val="single"/>
                <w:lang w:val="en-US" w:eastAsia="zh-CN" w:bidi="ar"/>
              </w:rPr>
            </w:pPr>
            <w:r>
              <w:rPr>
                <w:rFonts w:hint="eastAsia" w:ascii="Times New Roman" w:hAnsi="Times New Roman" w:eastAsia="宋体" w:cs="Times New Roman"/>
                <w:color w:val="FF0000"/>
                <w:kern w:val="0"/>
                <w:sz w:val="24"/>
                <w:szCs w:val="24"/>
                <w:u w:val="single"/>
                <w:lang w:val="en-US" w:eastAsia="zh-CN" w:bidi="ar"/>
              </w:rPr>
              <w:t xml:space="preserve"> C</w:t>
            </w:r>
            <w:r>
              <w:rPr>
                <w:rFonts w:hint="eastAsia" w:ascii="Times New Roman" w:hAnsi="Times New Roman" w:eastAsia="宋体" w:cs="Times New Roman"/>
                <w:color w:val="FF0000"/>
                <w:kern w:val="0"/>
                <w:sz w:val="24"/>
                <w:szCs w:val="24"/>
                <w:u w:val="single"/>
                <w:vertAlign w:val="subscript"/>
                <w:lang w:val="en-US" w:eastAsia="zh-CN" w:bidi="ar"/>
              </w:rPr>
              <w:t>NOx</w:t>
            </w:r>
            <w:r>
              <w:rPr>
                <w:rFonts w:hint="eastAsia" w:ascii="Times New Roman" w:hAnsi="Times New Roman" w:eastAsia="宋体" w:cs="Times New Roman"/>
                <w:color w:val="FF0000"/>
                <w:kern w:val="0"/>
                <w:sz w:val="24"/>
                <w:szCs w:val="24"/>
                <w:u w:val="single"/>
                <w:lang w:val="en-US" w:eastAsia="zh-CN" w:bidi="ar"/>
              </w:rPr>
              <w:t>——氮氧化物排放量，kg；</w:t>
            </w:r>
          </w:p>
          <w:p>
            <w:pPr>
              <w:keepNext w:val="0"/>
              <w:keepLines w:val="0"/>
              <w:widowControl/>
              <w:numPr>
                <w:ilvl w:val="0"/>
                <w:numId w:val="0"/>
              </w:numPr>
              <w:suppressLineNumbers w:val="0"/>
              <w:spacing w:line="360" w:lineRule="auto"/>
              <w:ind w:firstLine="480" w:firstLineChars="200"/>
              <w:jc w:val="left"/>
              <w:rPr>
                <w:rFonts w:hint="eastAsia" w:ascii="Times New Roman" w:hAnsi="Times New Roman" w:eastAsia="宋体" w:cs="Times New Roman"/>
                <w:color w:val="FF0000"/>
                <w:kern w:val="0"/>
                <w:sz w:val="24"/>
                <w:szCs w:val="24"/>
                <w:u w:val="single"/>
                <w:lang w:val="en-US" w:eastAsia="zh-CN" w:bidi="ar"/>
              </w:rPr>
            </w:pPr>
            <w:r>
              <w:rPr>
                <w:rFonts w:hint="eastAsia" w:ascii="Times New Roman" w:hAnsi="Times New Roman" w:eastAsia="宋体" w:cs="Times New Roman"/>
                <w:color w:val="FF0000"/>
                <w:kern w:val="0"/>
                <w:sz w:val="24"/>
                <w:szCs w:val="24"/>
                <w:u w:val="single"/>
                <w:lang w:val="en-US" w:eastAsia="zh-CN" w:bidi="ar"/>
              </w:rPr>
              <w:t>B——消耗的燃料量，kg；</w:t>
            </w:r>
          </w:p>
          <w:p>
            <w:pPr>
              <w:keepNext w:val="0"/>
              <w:keepLines w:val="0"/>
              <w:widowControl/>
              <w:numPr>
                <w:ilvl w:val="0"/>
                <w:numId w:val="0"/>
              </w:numPr>
              <w:suppressLineNumbers w:val="0"/>
              <w:spacing w:line="360" w:lineRule="auto"/>
              <w:ind w:firstLine="480" w:firstLineChars="200"/>
              <w:jc w:val="left"/>
              <w:rPr>
                <w:rFonts w:hint="eastAsia" w:ascii="Times New Roman" w:hAnsi="Times New Roman" w:eastAsia="宋体" w:cs="Times New Roman"/>
                <w:color w:val="FF0000"/>
                <w:kern w:val="0"/>
                <w:sz w:val="24"/>
                <w:szCs w:val="24"/>
                <w:u w:val="single"/>
                <w:lang w:val="en-US" w:eastAsia="zh-CN" w:bidi="ar"/>
              </w:rPr>
            </w:pPr>
            <w:r>
              <w:rPr>
                <w:rFonts w:hint="eastAsia" w:ascii="Times New Roman" w:hAnsi="Times New Roman" w:eastAsia="宋体" w:cs="Times New Roman"/>
                <w:color w:val="FF0000"/>
                <w:kern w:val="0"/>
                <w:sz w:val="24"/>
                <w:szCs w:val="24"/>
                <w:u w:val="single"/>
                <w:lang w:val="en-US" w:eastAsia="zh-CN" w:bidi="ar"/>
              </w:rPr>
              <w:t>N——燃料中的含氮量；本项目取值0.02%；</w:t>
            </w:r>
          </w:p>
          <w:p>
            <w:pPr>
              <w:keepNext w:val="0"/>
              <w:keepLines w:val="0"/>
              <w:widowControl/>
              <w:numPr>
                <w:ilvl w:val="0"/>
                <w:numId w:val="0"/>
              </w:numPr>
              <w:suppressLineNumbers w:val="0"/>
              <w:spacing w:line="360" w:lineRule="auto"/>
              <w:ind w:firstLine="480" w:firstLineChars="200"/>
              <w:jc w:val="left"/>
              <w:rPr>
                <w:rFonts w:hint="eastAsia" w:ascii="Times New Roman" w:hAnsi="Times New Roman" w:eastAsia="宋体" w:cs="Times New Roman"/>
                <w:color w:val="FF0000"/>
                <w:kern w:val="0"/>
                <w:sz w:val="24"/>
                <w:szCs w:val="24"/>
                <w:u w:val="single"/>
                <w:lang w:val="en-US" w:eastAsia="zh-CN" w:bidi="ar"/>
              </w:rPr>
            </w:pPr>
            <w:r>
              <w:rPr>
                <w:rFonts w:hint="eastAsia" w:ascii="Times New Roman" w:hAnsi="Times New Roman" w:eastAsia="宋体" w:cs="Times New Roman"/>
                <w:color w:val="FF0000"/>
                <w:kern w:val="0"/>
                <w:sz w:val="24"/>
                <w:szCs w:val="24"/>
                <w:u w:val="single"/>
                <w:lang w:val="en-US" w:eastAsia="zh-CN" w:bidi="ar"/>
              </w:rPr>
              <w:t>β——燃料中氮的转化率；本项目取值40%。</w:t>
            </w:r>
          </w:p>
          <w:p>
            <w:pPr>
              <w:keepNext w:val="0"/>
              <w:keepLines w:val="0"/>
              <w:widowControl/>
              <w:numPr>
                <w:ilvl w:val="0"/>
                <w:numId w:val="0"/>
              </w:numPr>
              <w:suppressLineNumbers w:val="0"/>
              <w:spacing w:line="360" w:lineRule="auto"/>
              <w:ind w:firstLine="480" w:firstLineChars="200"/>
              <w:jc w:val="left"/>
              <w:rPr>
                <w:rFonts w:hint="eastAsia" w:ascii="Times New Roman" w:hAnsi="Times New Roman" w:eastAsia="宋体" w:cs="Times New Roman"/>
                <w:color w:val="FF0000"/>
                <w:kern w:val="0"/>
                <w:sz w:val="24"/>
                <w:szCs w:val="24"/>
                <w:u w:val="single"/>
                <w:lang w:val="en-US" w:eastAsia="zh-CN" w:bidi="ar"/>
              </w:rPr>
            </w:pPr>
            <w:r>
              <w:rPr>
                <w:rFonts w:hint="eastAsia" w:ascii="Times New Roman" w:hAnsi="Times New Roman" w:eastAsia="宋体" w:cs="Times New Roman"/>
                <w:color w:val="FF0000"/>
                <w:kern w:val="0"/>
                <w:sz w:val="24"/>
                <w:szCs w:val="24"/>
                <w:u w:val="single"/>
                <w:lang w:val="en-US" w:eastAsia="zh-CN" w:bidi="ar"/>
              </w:rPr>
              <w:t>根据环评工程师注册培训教材《社会区域》给出的计算参数：柴油发电机运行烟尘的排放系数为 0.714g/L，0#柴油的密度约 0.86（kg/L）。经计算，本项目柴油发电机及柴油发动机的大气污染物产生量见下表：</w:t>
            </w:r>
          </w:p>
          <w:p>
            <w:pPr>
              <w:keepNext w:val="0"/>
              <w:keepLines w:val="0"/>
              <w:widowControl/>
              <w:numPr>
                <w:ilvl w:val="0"/>
                <w:numId w:val="0"/>
              </w:numPr>
              <w:suppressLineNumbers w:val="0"/>
              <w:spacing w:line="360" w:lineRule="auto"/>
              <w:jc w:val="center"/>
              <w:rPr>
                <w:rFonts w:hint="default" w:ascii="Times New Roman" w:hAnsi="Times New Roman" w:eastAsia="宋体" w:cs="Times New Roman"/>
                <w:b/>
                <w:bCs/>
                <w:color w:val="FF0000"/>
                <w:kern w:val="0"/>
                <w:sz w:val="21"/>
                <w:szCs w:val="21"/>
                <w:u w:val="single"/>
                <w:lang w:val="en-US" w:eastAsia="zh-CN" w:bidi="ar"/>
              </w:rPr>
            </w:pPr>
            <w:r>
              <w:rPr>
                <w:rFonts w:hint="eastAsia" w:ascii="Times New Roman" w:hAnsi="Times New Roman" w:eastAsia="宋体" w:cs="Times New Roman"/>
                <w:b/>
                <w:bCs/>
                <w:color w:val="FF0000"/>
                <w:kern w:val="0"/>
                <w:sz w:val="21"/>
                <w:szCs w:val="21"/>
                <w:u w:val="single"/>
                <w:lang w:val="en-US" w:eastAsia="zh-CN" w:bidi="ar"/>
              </w:rPr>
              <w:t>表4-1  项目柴油发动机</w:t>
            </w:r>
            <w:r>
              <w:rPr>
                <w:rFonts w:hint="eastAsia" w:cs="Times New Roman"/>
                <w:b/>
                <w:bCs/>
                <w:color w:val="FF0000"/>
                <w:kern w:val="0"/>
                <w:sz w:val="21"/>
                <w:szCs w:val="21"/>
                <w:u w:val="single"/>
                <w:lang w:val="en-US" w:eastAsia="zh-CN" w:bidi="ar"/>
              </w:rPr>
              <w:t>燃烧</w:t>
            </w:r>
            <w:r>
              <w:rPr>
                <w:rFonts w:hint="eastAsia" w:ascii="Times New Roman" w:hAnsi="Times New Roman" w:eastAsia="宋体" w:cs="Times New Roman"/>
                <w:b/>
                <w:bCs/>
                <w:color w:val="FF0000"/>
                <w:kern w:val="0"/>
                <w:sz w:val="21"/>
                <w:szCs w:val="21"/>
                <w:u w:val="single"/>
                <w:lang w:val="en-US" w:eastAsia="zh-CN" w:bidi="ar"/>
              </w:rPr>
              <w:t>柴油</w:t>
            </w:r>
            <w:r>
              <w:rPr>
                <w:rFonts w:hint="eastAsia" w:cs="Times New Roman"/>
                <w:b/>
                <w:bCs/>
                <w:color w:val="FF0000"/>
                <w:kern w:val="0"/>
                <w:sz w:val="21"/>
                <w:szCs w:val="21"/>
                <w:u w:val="single"/>
                <w:lang w:val="en-US" w:eastAsia="zh-CN" w:bidi="ar"/>
              </w:rPr>
              <w:t>主要</w:t>
            </w:r>
            <w:r>
              <w:rPr>
                <w:rFonts w:hint="eastAsia" w:ascii="Times New Roman" w:hAnsi="Times New Roman" w:eastAsia="宋体" w:cs="Times New Roman"/>
                <w:b/>
                <w:bCs/>
                <w:color w:val="FF0000"/>
                <w:kern w:val="0"/>
                <w:sz w:val="21"/>
                <w:szCs w:val="21"/>
                <w:u w:val="single"/>
                <w:lang w:val="en-US" w:eastAsia="zh-CN" w:bidi="ar"/>
              </w:rPr>
              <w:t>大气污染物产生量</w:t>
            </w:r>
          </w:p>
          <w:tbl>
            <w:tblPr>
              <w:tblStyle w:val="18"/>
              <w:tblW w:w="0" w:type="auto"/>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002"/>
              <w:gridCol w:w="2002"/>
              <w:gridCol w:w="2003"/>
              <w:gridCol w:w="200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002" w:type="dxa"/>
                  <w:tcBorders>
                    <w:tl2br w:val="nil"/>
                    <w:tr2bl w:val="nil"/>
                  </w:tcBorders>
                  <w:vAlign w:val="center"/>
                </w:tcPr>
                <w:p>
                  <w:pPr>
                    <w:keepNext w:val="0"/>
                    <w:keepLines w:val="0"/>
                    <w:widowControl/>
                    <w:numPr>
                      <w:ilvl w:val="0"/>
                      <w:numId w:val="0"/>
                    </w:numPr>
                    <w:suppressLineNumbers w:val="0"/>
                    <w:spacing w:line="240" w:lineRule="auto"/>
                    <w:jc w:val="center"/>
                    <w:rPr>
                      <w:rFonts w:hint="default" w:ascii="Times New Roman" w:hAnsi="Times New Roman" w:eastAsia="宋体" w:cs="Times New Roman"/>
                      <w:color w:val="FF0000"/>
                      <w:kern w:val="0"/>
                      <w:sz w:val="21"/>
                      <w:szCs w:val="21"/>
                      <w:u w:val="single"/>
                      <w:vertAlign w:val="baseline"/>
                      <w:lang w:val="en-US" w:eastAsia="zh-CN" w:bidi="ar"/>
                    </w:rPr>
                  </w:pPr>
                  <w:r>
                    <w:rPr>
                      <w:rFonts w:hint="eastAsia" w:ascii="Times New Roman" w:hAnsi="Times New Roman" w:eastAsia="宋体" w:cs="Times New Roman"/>
                      <w:color w:val="FF0000"/>
                      <w:kern w:val="0"/>
                      <w:sz w:val="21"/>
                      <w:szCs w:val="21"/>
                      <w:u w:val="single"/>
                      <w:vertAlign w:val="baseline"/>
                      <w:lang w:val="en-US" w:eastAsia="zh-CN" w:bidi="ar"/>
                    </w:rPr>
                    <w:t>污染物</w:t>
                  </w:r>
                </w:p>
              </w:tc>
              <w:tc>
                <w:tcPr>
                  <w:tcW w:w="2002" w:type="dxa"/>
                  <w:tcBorders>
                    <w:tl2br w:val="nil"/>
                    <w:tr2bl w:val="nil"/>
                  </w:tcBorders>
                  <w:vAlign w:val="center"/>
                </w:tcPr>
                <w:p>
                  <w:pPr>
                    <w:keepNext w:val="0"/>
                    <w:keepLines w:val="0"/>
                    <w:widowControl/>
                    <w:numPr>
                      <w:ilvl w:val="0"/>
                      <w:numId w:val="0"/>
                    </w:numPr>
                    <w:suppressLineNumbers w:val="0"/>
                    <w:spacing w:line="240" w:lineRule="auto"/>
                    <w:jc w:val="center"/>
                    <w:rPr>
                      <w:rFonts w:hint="default" w:ascii="Times New Roman" w:hAnsi="Times New Roman" w:eastAsia="宋体" w:cs="Times New Roman"/>
                      <w:color w:val="FF0000"/>
                      <w:kern w:val="0"/>
                      <w:sz w:val="21"/>
                      <w:szCs w:val="21"/>
                      <w:u w:val="single"/>
                      <w:vertAlign w:val="baseline"/>
                      <w:lang w:val="en-US" w:eastAsia="zh-CN" w:bidi="ar"/>
                    </w:rPr>
                  </w:pPr>
                  <w:r>
                    <w:rPr>
                      <w:rFonts w:hint="eastAsia" w:ascii="Times New Roman" w:hAnsi="Times New Roman" w:eastAsia="宋体" w:cs="Times New Roman"/>
                      <w:color w:val="FF0000"/>
                      <w:kern w:val="0"/>
                      <w:sz w:val="21"/>
                      <w:szCs w:val="21"/>
                      <w:u w:val="single"/>
                      <w:vertAlign w:val="baseline"/>
                      <w:lang w:val="en-US" w:eastAsia="zh-CN" w:bidi="ar"/>
                    </w:rPr>
                    <w:t>NOx</w:t>
                  </w:r>
                </w:p>
              </w:tc>
              <w:tc>
                <w:tcPr>
                  <w:tcW w:w="2003" w:type="dxa"/>
                  <w:tcBorders>
                    <w:tl2br w:val="nil"/>
                    <w:tr2bl w:val="nil"/>
                  </w:tcBorders>
                  <w:vAlign w:val="center"/>
                </w:tcPr>
                <w:p>
                  <w:pPr>
                    <w:keepNext w:val="0"/>
                    <w:keepLines w:val="0"/>
                    <w:widowControl/>
                    <w:numPr>
                      <w:ilvl w:val="0"/>
                      <w:numId w:val="0"/>
                    </w:numPr>
                    <w:suppressLineNumbers w:val="0"/>
                    <w:spacing w:line="240" w:lineRule="auto"/>
                    <w:jc w:val="center"/>
                    <w:rPr>
                      <w:rFonts w:hint="default" w:ascii="Times New Roman" w:hAnsi="Times New Roman" w:eastAsia="宋体" w:cs="Times New Roman"/>
                      <w:color w:val="FF0000"/>
                      <w:kern w:val="0"/>
                      <w:sz w:val="21"/>
                      <w:szCs w:val="21"/>
                      <w:u w:val="single"/>
                      <w:vertAlign w:val="baseline"/>
                      <w:lang w:val="en-US" w:eastAsia="zh-CN" w:bidi="ar"/>
                    </w:rPr>
                  </w:pPr>
                  <w:r>
                    <w:rPr>
                      <w:rFonts w:hint="eastAsia" w:ascii="Times New Roman" w:hAnsi="Times New Roman" w:eastAsia="宋体" w:cs="Times New Roman"/>
                      <w:color w:val="FF0000"/>
                      <w:kern w:val="0"/>
                      <w:sz w:val="21"/>
                      <w:szCs w:val="21"/>
                      <w:u w:val="single"/>
                      <w:vertAlign w:val="baseline"/>
                      <w:lang w:val="en-US" w:eastAsia="zh-CN" w:bidi="ar"/>
                    </w:rPr>
                    <w:t>SO</w:t>
                  </w:r>
                  <w:r>
                    <w:rPr>
                      <w:rFonts w:hint="eastAsia" w:ascii="Times New Roman" w:hAnsi="Times New Roman" w:eastAsia="宋体" w:cs="Times New Roman"/>
                      <w:color w:val="FF0000"/>
                      <w:kern w:val="0"/>
                      <w:sz w:val="21"/>
                      <w:szCs w:val="21"/>
                      <w:u w:val="single"/>
                      <w:vertAlign w:val="subscript"/>
                      <w:lang w:val="en-US" w:eastAsia="zh-CN" w:bidi="ar"/>
                    </w:rPr>
                    <w:t>2</w:t>
                  </w:r>
                </w:p>
              </w:tc>
              <w:tc>
                <w:tcPr>
                  <w:tcW w:w="2003" w:type="dxa"/>
                  <w:tcBorders>
                    <w:tl2br w:val="nil"/>
                    <w:tr2bl w:val="nil"/>
                  </w:tcBorders>
                  <w:vAlign w:val="center"/>
                </w:tcPr>
                <w:p>
                  <w:pPr>
                    <w:keepNext w:val="0"/>
                    <w:keepLines w:val="0"/>
                    <w:widowControl/>
                    <w:numPr>
                      <w:ilvl w:val="0"/>
                      <w:numId w:val="0"/>
                    </w:numPr>
                    <w:suppressLineNumbers w:val="0"/>
                    <w:spacing w:line="240" w:lineRule="auto"/>
                    <w:jc w:val="center"/>
                    <w:rPr>
                      <w:rFonts w:hint="default" w:ascii="Times New Roman" w:hAnsi="Times New Roman" w:eastAsia="宋体" w:cs="Times New Roman"/>
                      <w:color w:val="FF0000"/>
                      <w:kern w:val="0"/>
                      <w:sz w:val="21"/>
                      <w:szCs w:val="21"/>
                      <w:u w:val="single"/>
                      <w:vertAlign w:val="baseline"/>
                      <w:lang w:val="en-US" w:eastAsia="zh-CN" w:bidi="ar"/>
                    </w:rPr>
                  </w:pPr>
                  <w:r>
                    <w:rPr>
                      <w:rFonts w:hint="eastAsia" w:ascii="Times New Roman" w:hAnsi="Times New Roman" w:eastAsia="宋体" w:cs="Times New Roman"/>
                      <w:color w:val="FF0000"/>
                      <w:kern w:val="0"/>
                      <w:sz w:val="21"/>
                      <w:szCs w:val="21"/>
                      <w:u w:val="single"/>
                      <w:vertAlign w:val="baseline"/>
                      <w:lang w:val="en-US" w:eastAsia="zh-CN" w:bidi="ar"/>
                    </w:rPr>
                    <w:t>烟尘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002" w:type="dxa"/>
                  <w:tcBorders>
                    <w:tl2br w:val="nil"/>
                    <w:tr2bl w:val="nil"/>
                  </w:tcBorders>
                  <w:vAlign w:val="center"/>
                </w:tcPr>
                <w:p>
                  <w:pPr>
                    <w:keepNext w:val="0"/>
                    <w:keepLines w:val="0"/>
                    <w:widowControl/>
                    <w:numPr>
                      <w:ilvl w:val="0"/>
                      <w:numId w:val="0"/>
                    </w:numPr>
                    <w:suppressLineNumbers w:val="0"/>
                    <w:spacing w:line="240" w:lineRule="auto"/>
                    <w:jc w:val="center"/>
                    <w:rPr>
                      <w:rFonts w:hint="default" w:ascii="Times New Roman" w:hAnsi="Times New Roman" w:eastAsia="宋体" w:cs="Times New Roman"/>
                      <w:color w:val="FF0000"/>
                      <w:kern w:val="0"/>
                      <w:sz w:val="21"/>
                      <w:szCs w:val="21"/>
                      <w:u w:val="single"/>
                      <w:vertAlign w:val="baseline"/>
                      <w:lang w:val="en-US" w:eastAsia="zh-CN" w:bidi="ar"/>
                    </w:rPr>
                  </w:pPr>
                  <w:r>
                    <w:rPr>
                      <w:rFonts w:hint="eastAsia" w:ascii="Times New Roman" w:hAnsi="Times New Roman" w:eastAsia="宋体" w:cs="Times New Roman"/>
                      <w:color w:val="FF0000"/>
                      <w:kern w:val="0"/>
                      <w:sz w:val="21"/>
                      <w:szCs w:val="21"/>
                      <w:u w:val="single"/>
                      <w:vertAlign w:val="baseline"/>
                      <w:lang w:val="en-US" w:eastAsia="zh-CN" w:bidi="ar"/>
                    </w:rPr>
                    <w:t>产生速率（kg/h）</w:t>
                  </w:r>
                </w:p>
              </w:tc>
              <w:tc>
                <w:tcPr>
                  <w:tcW w:w="2002" w:type="dxa"/>
                  <w:tcBorders>
                    <w:tl2br w:val="nil"/>
                    <w:tr2bl w:val="nil"/>
                  </w:tcBorders>
                  <w:vAlign w:val="center"/>
                </w:tcPr>
                <w:p>
                  <w:pPr>
                    <w:keepNext w:val="0"/>
                    <w:keepLines w:val="0"/>
                    <w:widowControl/>
                    <w:numPr>
                      <w:ilvl w:val="0"/>
                      <w:numId w:val="0"/>
                    </w:numPr>
                    <w:suppressLineNumbers w:val="0"/>
                    <w:spacing w:line="240" w:lineRule="auto"/>
                    <w:jc w:val="center"/>
                    <w:rPr>
                      <w:rFonts w:hint="default" w:ascii="Times New Roman" w:hAnsi="Times New Roman" w:eastAsia="宋体" w:cs="Times New Roman"/>
                      <w:color w:val="FF0000"/>
                      <w:kern w:val="0"/>
                      <w:sz w:val="21"/>
                      <w:szCs w:val="21"/>
                      <w:u w:val="single"/>
                      <w:vertAlign w:val="baseline"/>
                      <w:lang w:val="en-US" w:eastAsia="zh-CN" w:bidi="ar"/>
                    </w:rPr>
                  </w:pPr>
                  <w:r>
                    <w:rPr>
                      <w:rFonts w:hint="eastAsia" w:ascii="Times New Roman" w:hAnsi="Times New Roman" w:eastAsia="宋体" w:cs="Times New Roman"/>
                      <w:color w:val="FF0000"/>
                      <w:kern w:val="0"/>
                      <w:sz w:val="21"/>
                      <w:szCs w:val="21"/>
                      <w:u w:val="single"/>
                      <w:vertAlign w:val="baseline"/>
                      <w:lang w:val="en-US" w:eastAsia="zh-CN" w:bidi="ar"/>
                    </w:rPr>
                    <w:t>0.075</w:t>
                  </w:r>
                </w:p>
              </w:tc>
              <w:tc>
                <w:tcPr>
                  <w:tcW w:w="2003" w:type="dxa"/>
                  <w:tcBorders>
                    <w:tl2br w:val="nil"/>
                    <w:tr2bl w:val="nil"/>
                  </w:tcBorders>
                  <w:vAlign w:val="center"/>
                </w:tcPr>
                <w:p>
                  <w:pPr>
                    <w:keepNext w:val="0"/>
                    <w:keepLines w:val="0"/>
                    <w:widowControl/>
                    <w:numPr>
                      <w:ilvl w:val="0"/>
                      <w:numId w:val="0"/>
                    </w:numPr>
                    <w:suppressLineNumbers w:val="0"/>
                    <w:spacing w:line="240" w:lineRule="auto"/>
                    <w:jc w:val="center"/>
                    <w:rPr>
                      <w:rFonts w:hint="default" w:ascii="Times New Roman" w:hAnsi="Times New Roman" w:eastAsia="宋体" w:cs="Times New Roman"/>
                      <w:color w:val="FF0000"/>
                      <w:kern w:val="0"/>
                      <w:sz w:val="21"/>
                      <w:szCs w:val="21"/>
                      <w:u w:val="single"/>
                      <w:vertAlign w:val="baseline"/>
                      <w:lang w:val="en-US" w:eastAsia="zh-CN" w:bidi="ar"/>
                    </w:rPr>
                  </w:pPr>
                  <w:r>
                    <w:rPr>
                      <w:rFonts w:hint="eastAsia" w:ascii="Times New Roman" w:hAnsi="Times New Roman" w:eastAsia="宋体" w:cs="Times New Roman"/>
                      <w:color w:val="FF0000"/>
                      <w:kern w:val="0"/>
                      <w:sz w:val="21"/>
                      <w:szCs w:val="21"/>
                      <w:u w:val="single"/>
                      <w:vertAlign w:val="baseline"/>
                      <w:lang w:val="en-US" w:eastAsia="zh-CN" w:bidi="ar"/>
                    </w:rPr>
                    <w:t>0.0009</w:t>
                  </w:r>
                </w:p>
              </w:tc>
              <w:tc>
                <w:tcPr>
                  <w:tcW w:w="2003" w:type="dxa"/>
                  <w:tcBorders>
                    <w:tl2br w:val="nil"/>
                    <w:tr2bl w:val="nil"/>
                  </w:tcBorders>
                  <w:vAlign w:val="center"/>
                </w:tcPr>
                <w:p>
                  <w:pPr>
                    <w:keepNext w:val="0"/>
                    <w:keepLines w:val="0"/>
                    <w:widowControl/>
                    <w:numPr>
                      <w:ilvl w:val="0"/>
                      <w:numId w:val="0"/>
                    </w:numPr>
                    <w:suppressLineNumbers w:val="0"/>
                    <w:spacing w:line="240" w:lineRule="auto"/>
                    <w:jc w:val="center"/>
                    <w:rPr>
                      <w:rFonts w:hint="default" w:ascii="Times New Roman" w:hAnsi="Times New Roman" w:eastAsia="宋体" w:cs="Times New Roman"/>
                      <w:color w:val="FF0000"/>
                      <w:kern w:val="0"/>
                      <w:sz w:val="21"/>
                      <w:szCs w:val="21"/>
                      <w:u w:val="single"/>
                      <w:vertAlign w:val="baseline"/>
                      <w:lang w:val="en-US" w:eastAsia="zh-CN" w:bidi="ar"/>
                    </w:rPr>
                  </w:pPr>
                  <w:r>
                    <w:rPr>
                      <w:rFonts w:hint="eastAsia" w:ascii="Times New Roman" w:hAnsi="Times New Roman" w:eastAsia="宋体" w:cs="Times New Roman"/>
                      <w:color w:val="FF0000"/>
                      <w:kern w:val="0"/>
                      <w:sz w:val="21"/>
                      <w:szCs w:val="21"/>
                      <w:u w:val="single"/>
                      <w:vertAlign w:val="baseline"/>
                      <w:lang w:val="en-US" w:eastAsia="zh-CN" w:bidi="ar"/>
                    </w:rPr>
                    <w:t>0.038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002" w:type="dxa"/>
                  <w:tcBorders>
                    <w:tl2br w:val="nil"/>
                    <w:tr2bl w:val="nil"/>
                  </w:tcBorders>
                  <w:vAlign w:val="center"/>
                </w:tcPr>
                <w:p>
                  <w:pPr>
                    <w:keepNext w:val="0"/>
                    <w:keepLines w:val="0"/>
                    <w:widowControl/>
                    <w:numPr>
                      <w:ilvl w:val="0"/>
                      <w:numId w:val="0"/>
                    </w:numPr>
                    <w:suppressLineNumbers w:val="0"/>
                    <w:spacing w:line="240" w:lineRule="auto"/>
                    <w:jc w:val="center"/>
                    <w:rPr>
                      <w:rFonts w:hint="default" w:ascii="Times New Roman" w:hAnsi="Times New Roman" w:eastAsia="宋体" w:cs="Times New Roman"/>
                      <w:color w:val="FF0000"/>
                      <w:kern w:val="0"/>
                      <w:sz w:val="21"/>
                      <w:szCs w:val="21"/>
                      <w:u w:val="single"/>
                      <w:vertAlign w:val="baseline"/>
                      <w:lang w:val="en-US" w:eastAsia="zh-CN" w:bidi="ar"/>
                    </w:rPr>
                  </w:pPr>
                  <w:r>
                    <w:rPr>
                      <w:rFonts w:hint="eastAsia" w:ascii="Times New Roman" w:hAnsi="Times New Roman" w:eastAsia="宋体" w:cs="Times New Roman"/>
                      <w:color w:val="FF0000"/>
                      <w:kern w:val="0"/>
                      <w:sz w:val="21"/>
                      <w:szCs w:val="21"/>
                      <w:u w:val="single"/>
                      <w:vertAlign w:val="baseline"/>
                      <w:lang w:val="en-US" w:eastAsia="zh-CN" w:bidi="ar"/>
                    </w:rPr>
                    <w:t>年产量（kg/a）</w:t>
                  </w:r>
                </w:p>
              </w:tc>
              <w:tc>
                <w:tcPr>
                  <w:tcW w:w="2002" w:type="dxa"/>
                  <w:tcBorders>
                    <w:tl2br w:val="nil"/>
                    <w:tr2bl w:val="nil"/>
                  </w:tcBorders>
                  <w:vAlign w:val="center"/>
                </w:tcPr>
                <w:p>
                  <w:pPr>
                    <w:keepNext w:val="0"/>
                    <w:keepLines w:val="0"/>
                    <w:widowControl/>
                    <w:numPr>
                      <w:ilvl w:val="0"/>
                      <w:numId w:val="0"/>
                    </w:numPr>
                    <w:suppressLineNumbers w:val="0"/>
                    <w:spacing w:line="240" w:lineRule="auto"/>
                    <w:jc w:val="center"/>
                    <w:rPr>
                      <w:rFonts w:hint="default" w:ascii="Times New Roman" w:hAnsi="Times New Roman" w:eastAsia="宋体" w:cs="Times New Roman"/>
                      <w:color w:val="FF0000"/>
                      <w:kern w:val="0"/>
                      <w:sz w:val="21"/>
                      <w:szCs w:val="21"/>
                      <w:u w:val="single"/>
                      <w:vertAlign w:val="baseline"/>
                      <w:lang w:val="en-US" w:eastAsia="zh-CN" w:bidi="ar"/>
                    </w:rPr>
                  </w:pPr>
                  <w:r>
                    <w:rPr>
                      <w:rFonts w:hint="eastAsia" w:ascii="Times New Roman" w:hAnsi="Times New Roman" w:eastAsia="宋体" w:cs="Times New Roman"/>
                      <w:color w:val="FF0000"/>
                      <w:kern w:val="0"/>
                      <w:sz w:val="21"/>
                      <w:szCs w:val="21"/>
                      <w:u w:val="single"/>
                      <w:vertAlign w:val="baseline"/>
                      <w:lang w:val="en-US" w:eastAsia="zh-CN" w:bidi="ar"/>
                    </w:rPr>
                    <w:t>215.7</w:t>
                  </w:r>
                </w:p>
              </w:tc>
              <w:tc>
                <w:tcPr>
                  <w:tcW w:w="2003" w:type="dxa"/>
                  <w:tcBorders>
                    <w:tl2br w:val="nil"/>
                    <w:tr2bl w:val="nil"/>
                  </w:tcBorders>
                  <w:vAlign w:val="center"/>
                </w:tcPr>
                <w:p>
                  <w:pPr>
                    <w:keepNext w:val="0"/>
                    <w:keepLines w:val="0"/>
                    <w:widowControl/>
                    <w:numPr>
                      <w:ilvl w:val="0"/>
                      <w:numId w:val="0"/>
                    </w:numPr>
                    <w:suppressLineNumbers w:val="0"/>
                    <w:spacing w:line="240" w:lineRule="auto"/>
                    <w:jc w:val="center"/>
                    <w:rPr>
                      <w:rFonts w:hint="eastAsia" w:ascii="Times New Roman" w:hAnsi="Times New Roman" w:eastAsia="宋体" w:cs="Times New Roman"/>
                      <w:color w:val="FF0000"/>
                      <w:kern w:val="0"/>
                      <w:sz w:val="21"/>
                      <w:szCs w:val="21"/>
                      <w:u w:val="single"/>
                      <w:vertAlign w:val="baseline"/>
                      <w:lang w:val="en-US" w:eastAsia="zh-CN" w:bidi="ar"/>
                    </w:rPr>
                  </w:pPr>
                  <w:r>
                    <w:rPr>
                      <w:rFonts w:hint="eastAsia" w:ascii="Times New Roman" w:hAnsi="Times New Roman" w:eastAsia="宋体" w:cs="Times New Roman"/>
                      <w:color w:val="FF0000"/>
                      <w:kern w:val="0"/>
                      <w:sz w:val="21"/>
                      <w:szCs w:val="21"/>
                      <w:u w:val="single"/>
                      <w:vertAlign w:val="baseline"/>
                      <w:lang w:val="en-US" w:eastAsia="zh-CN" w:bidi="ar"/>
                    </w:rPr>
                    <w:t>2.6</w:t>
                  </w:r>
                </w:p>
              </w:tc>
              <w:tc>
                <w:tcPr>
                  <w:tcW w:w="2003" w:type="dxa"/>
                  <w:tcBorders>
                    <w:tl2br w:val="nil"/>
                    <w:tr2bl w:val="nil"/>
                  </w:tcBorders>
                  <w:vAlign w:val="center"/>
                </w:tcPr>
                <w:p>
                  <w:pPr>
                    <w:keepNext w:val="0"/>
                    <w:keepLines w:val="0"/>
                    <w:widowControl/>
                    <w:numPr>
                      <w:ilvl w:val="0"/>
                      <w:numId w:val="0"/>
                    </w:numPr>
                    <w:suppressLineNumbers w:val="0"/>
                    <w:spacing w:line="240" w:lineRule="auto"/>
                    <w:jc w:val="center"/>
                    <w:rPr>
                      <w:rFonts w:hint="default" w:ascii="Times New Roman" w:hAnsi="Times New Roman" w:eastAsia="宋体" w:cs="Times New Roman"/>
                      <w:color w:val="FF0000"/>
                      <w:kern w:val="0"/>
                      <w:sz w:val="21"/>
                      <w:szCs w:val="21"/>
                      <w:u w:val="single"/>
                      <w:vertAlign w:val="baseline"/>
                      <w:lang w:val="en-US" w:eastAsia="zh-CN" w:bidi="ar"/>
                    </w:rPr>
                  </w:pPr>
                  <w:r>
                    <w:rPr>
                      <w:rFonts w:hint="eastAsia" w:ascii="Times New Roman" w:hAnsi="Times New Roman" w:eastAsia="宋体" w:cs="Times New Roman"/>
                      <w:color w:val="FF0000"/>
                      <w:kern w:val="0"/>
                      <w:sz w:val="21"/>
                      <w:szCs w:val="21"/>
                      <w:u w:val="single"/>
                      <w:vertAlign w:val="baseline"/>
                      <w:lang w:val="en-US" w:eastAsia="zh-CN" w:bidi="ar"/>
                    </w:rPr>
                    <w:t>107.9</w:t>
                  </w:r>
                </w:p>
              </w:tc>
            </w:tr>
          </w:tbl>
          <w:p>
            <w:pPr>
              <w:keepNext w:val="0"/>
              <w:keepLines w:val="0"/>
              <w:widowControl/>
              <w:numPr>
                <w:ilvl w:val="0"/>
                <w:numId w:val="0"/>
              </w:numPr>
              <w:suppressLineNumbers w:val="0"/>
              <w:spacing w:line="360" w:lineRule="auto"/>
              <w:ind w:firstLine="480" w:firstLineChars="200"/>
              <w:jc w:val="left"/>
              <w:rPr>
                <w:rFonts w:hint="eastAsia" w:ascii="Times New Roman" w:hAnsi="Times New Roman" w:eastAsia="宋体" w:cs="Times New Roman"/>
                <w:color w:val="FF0000"/>
                <w:kern w:val="0"/>
                <w:sz w:val="24"/>
                <w:szCs w:val="24"/>
                <w:u w:val="single"/>
                <w:lang w:val="en-US" w:eastAsia="zh-CN" w:bidi="ar"/>
              </w:rPr>
            </w:pPr>
            <w:r>
              <w:rPr>
                <w:rFonts w:hint="eastAsia" w:ascii="Times New Roman" w:hAnsi="Times New Roman" w:eastAsia="宋体" w:cs="Times New Roman"/>
                <w:color w:val="FF0000"/>
                <w:kern w:val="0"/>
                <w:sz w:val="24"/>
                <w:szCs w:val="24"/>
                <w:u w:val="single"/>
                <w:lang w:val="en-US" w:eastAsia="zh-CN" w:bidi="ar"/>
              </w:rPr>
              <w:t>项目收集范围属于开放式的广域扩散空间，且为移动式污染源，整个航线可看作很长路段的线状污染源，船舶柴油尾气相对于长路段来说，扩散至公路两侧一定距离的敏感点处的污染物浓度较低，根据相关统计表明，一般在航线两侧</w:t>
            </w:r>
            <w:r>
              <w:rPr>
                <w:rFonts w:hint="default" w:ascii="Times New Roman" w:hAnsi="Times New Roman" w:eastAsia="宋体" w:cs="Times New Roman"/>
                <w:color w:val="FF0000"/>
                <w:kern w:val="0"/>
                <w:sz w:val="24"/>
                <w:szCs w:val="24"/>
                <w:u w:val="single"/>
                <w:lang w:val="en-US" w:eastAsia="zh-CN" w:bidi="ar"/>
              </w:rPr>
              <w:t>20m</w:t>
            </w:r>
            <w:r>
              <w:rPr>
                <w:rFonts w:hint="eastAsia" w:ascii="Times New Roman" w:hAnsi="Times New Roman" w:eastAsia="宋体" w:cs="Times New Roman"/>
                <w:color w:val="FF0000"/>
                <w:kern w:val="0"/>
                <w:sz w:val="24"/>
                <w:szCs w:val="24"/>
                <w:u w:val="single"/>
                <w:lang w:val="en-US" w:eastAsia="zh-CN" w:bidi="ar"/>
              </w:rPr>
              <w:t>处均可达到环境空气质量二级标准要去，对航线两侧敏感点的影响很小，经大气稀释后污染物浓度可以满足《大气污染物综合排放标准》（</w:t>
            </w:r>
            <w:r>
              <w:rPr>
                <w:rFonts w:hint="default" w:ascii="Times New Roman" w:hAnsi="Times New Roman" w:eastAsia="宋体" w:cs="Times New Roman"/>
                <w:color w:val="FF0000"/>
                <w:kern w:val="0"/>
                <w:sz w:val="24"/>
                <w:szCs w:val="24"/>
                <w:u w:val="single"/>
                <w:lang w:val="en-US" w:eastAsia="zh-CN" w:bidi="ar"/>
              </w:rPr>
              <w:t>GB16297-1996</w:t>
            </w:r>
            <w:r>
              <w:rPr>
                <w:rFonts w:hint="eastAsia" w:ascii="Times New Roman" w:hAnsi="Times New Roman" w:eastAsia="宋体" w:cs="Times New Roman"/>
                <w:color w:val="FF0000"/>
                <w:kern w:val="0"/>
                <w:sz w:val="24"/>
                <w:szCs w:val="24"/>
                <w:u w:val="single"/>
                <w:lang w:val="en-US" w:eastAsia="zh-CN" w:bidi="ar"/>
              </w:rPr>
              <w:t>）表</w:t>
            </w:r>
            <w:r>
              <w:rPr>
                <w:rFonts w:hint="default" w:ascii="Times New Roman" w:hAnsi="Times New Roman" w:eastAsia="宋体" w:cs="Times New Roman"/>
                <w:color w:val="FF0000"/>
                <w:kern w:val="0"/>
                <w:sz w:val="24"/>
                <w:szCs w:val="24"/>
                <w:u w:val="single"/>
                <w:lang w:val="en-US" w:eastAsia="zh-CN" w:bidi="ar"/>
              </w:rPr>
              <w:t>2</w:t>
            </w:r>
            <w:r>
              <w:rPr>
                <w:rFonts w:hint="eastAsia" w:ascii="Times New Roman" w:hAnsi="Times New Roman" w:eastAsia="宋体" w:cs="Times New Roman"/>
                <w:color w:val="FF0000"/>
                <w:kern w:val="0"/>
                <w:sz w:val="24"/>
                <w:szCs w:val="24"/>
                <w:u w:val="single"/>
                <w:lang w:val="en-US" w:eastAsia="zh-CN" w:bidi="ar"/>
              </w:rPr>
              <w:t>中二级标准要求。</w:t>
            </w:r>
          </w:p>
          <w:p>
            <w:pPr>
              <w:keepNext w:val="0"/>
              <w:keepLines w:val="0"/>
              <w:widowControl/>
              <w:numPr>
                <w:ilvl w:val="0"/>
                <w:numId w:val="0"/>
              </w:numPr>
              <w:suppressLineNumbers w:val="0"/>
              <w:spacing w:line="360" w:lineRule="auto"/>
              <w:ind w:firstLine="480" w:firstLineChars="200"/>
              <w:jc w:val="left"/>
              <w:rPr>
                <w:rFonts w:hint="eastAsia" w:ascii="Times New Roman" w:hAnsi="Times New Roman" w:eastAsia="宋体" w:cs="Times New Roman"/>
                <w:color w:val="FF0000"/>
                <w:kern w:val="0"/>
                <w:sz w:val="24"/>
                <w:szCs w:val="24"/>
                <w:u w:val="single"/>
                <w:lang w:val="en-US" w:eastAsia="zh-CN" w:bidi="ar"/>
              </w:rPr>
            </w:pPr>
            <w:r>
              <w:rPr>
                <w:rFonts w:hint="eastAsia" w:ascii="Times New Roman" w:hAnsi="Times New Roman" w:eastAsia="宋体" w:cs="Times New Roman"/>
                <w:color w:val="FF0000"/>
                <w:kern w:val="0"/>
                <w:sz w:val="24"/>
                <w:szCs w:val="24"/>
                <w:u w:val="single"/>
                <w:lang w:val="en-US" w:eastAsia="zh-CN" w:bidi="ar"/>
              </w:rPr>
              <w:t>（</w:t>
            </w:r>
            <w:r>
              <w:rPr>
                <w:rFonts w:hint="eastAsia" w:cs="Times New Roman"/>
                <w:color w:val="FF0000"/>
                <w:kern w:val="0"/>
                <w:sz w:val="24"/>
                <w:szCs w:val="24"/>
                <w:u w:val="single"/>
                <w:lang w:val="en-US" w:eastAsia="zh-CN" w:bidi="ar"/>
              </w:rPr>
              <w:t>3</w:t>
            </w:r>
            <w:r>
              <w:rPr>
                <w:rFonts w:hint="eastAsia" w:ascii="Times New Roman" w:hAnsi="Times New Roman" w:eastAsia="宋体" w:cs="Times New Roman"/>
                <w:color w:val="FF0000"/>
                <w:kern w:val="0"/>
                <w:sz w:val="24"/>
                <w:szCs w:val="24"/>
                <w:u w:val="single"/>
                <w:lang w:val="en-US" w:eastAsia="zh-CN" w:bidi="ar"/>
              </w:rPr>
              <w:t>）</w:t>
            </w:r>
            <w:r>
              <w:rPr>
                <w:rFonts w:hint="eastAsia" w:cs="Times New Roman"/>
                <w:color w:val="FF0000"/>
                <w:kern w:val="0"/>
                <w:sz w:val="24"/>
                <w:szCs w:val="24"/>
                <w:u w:val="single"/>
                <w:lang w:val="en-US" w:eastAsia="zh-CN" w:bidi="ar"/>
              </w:rPr>
              <w:t>恶臭废气</w:t>
            </w:r>
          </w:p>
          <w:p>
            <w:pPr>
              <w:keepNext w:val="0"/>
              <w:keepLines w:val="0"/>
              <w:widowControl/>
              <w:numPr>
                <w:ilvl w:val="0"/>
                <w:numId w:val="0"/>
              </w:numPr>
              <w:suppressLineNumbers w:val="0"/>
              <w:spacing w:line="360" w:lineRule="auto"/>
              <w:ind w:firstLine="480" w:firstLineChars="200"/>
              <w:jc w:val="left"/>
              <w:rPr>
                <w:rFonts w:hint="eastAsia" w:ascii="Times New Roman" w:hAnsi="Times New Roman" w:eastAsia="宋体" w:cs="Times New Roman"/>
                <w:color w:val="FF0000"/>
                <w:kern w:val="0"/>
                <w:sz w:val="24"/>
                <w:szCs w:val="24"/>
                <w:u w:val="single"/>
                <w:lang w:val="en-US" w:eastAsia="zh-CN" w:bidi="ar"/>
              </w:rPr>
            </w:pPr>
            <w:r>
              <w:rPr>
                <w:rFonts w:hint="eastAsia" w:ascii="Times New Roman" w:hAnsi="Times New Roman" w:eastAsia="宋体" w:cs="Times New Roman"/>
                <w:color w:val="FF0000"/>
                <w:kern w:val="0"/>
                <w:sz w:val="24"/>
                <w:szCs w:val="24"/>
                <w:u w:val="single"/>
                <w:lang w:val="en-US" w:eastAsia="zh-CN" w:bidi="ar"/>
              </w:rPr>
              <w:t>本项目收集来往船艘船员的生活垃圾和生活污水，生活垃圾用袋装收集好后暂存在专用生活垃圾桶中，部分易腐败的有机垃圾由于其分解会发出异味，滋生蚊蝇，对环境的影响主要表现为恶臭，恶臭气体的成分为甲硫醇、氨、硫化氢、三甲胺等，主要为氨、硫化氢。含量难以估算，且项目所用的专用生活垃圾桶为密闭型的活动式垃圾收集容器，生活污水暂存船舱为封闭式，这里只作一般定性分析。</w:t>
            </w:r>
          </w:p>
          <w:p>
            <w:pPr>
              <w:keepNext w:val="0"/>
              <w:keepLines w:val="0"/>
              <w:widowControl/>
              <w:numPr>
                <w:ilvl w:val="0"/>
                <w:numId w:val="0"/>
              </w:numPr>
              <w:suppressLineNumbers w:val="0"/>
              <w:spacing w:line="360" w:lineRule="auto"/>
              <w:ind w:firstLine="480" w:firstLineChars="200"/>
              <w:jc w:val="left"/>
              <w:rPr>
                <w:rFonts w:hint="eastAsia" w:ascii="Times New Roman" w:hAnsi="Times New Roman" w:eastAsia="宋体" w:cs="Times New Roman"/>
                <w:color w:val="FF0000"/>
                <w:kern w:val="0"/>
                <w:sz w:val="24"/>
                <w:szCs w:val="24"/>
                <w:u w:val="single"/>
                <w:lang w:val="en-US" w:eastAsia="zh-CN" w:bidi="ar"/>
              </w:rPr>
            </w:pPr>
            <w:r>
              <w:rPr>
                <w:rFonts w:hint="eastAsia" w:ascii="Times New Roman" w:hAnsi="Times New Roman" w:eastAsia="宋体" w:cs="Times New Roman"/>
                <w:color w:val="FF0000"/>
                <w:kern w:val="0"/>
                <w:sz w:val="24"/>
                <w:szCs w:val="24"/>
                <w:u w:val="single"/>
                <w:lang w:val="en-US" w:eastAsia="zh-CN" w:bidi="ar"/>
              </w:rPr>
              <w:t>生活垃圾所产生的气体恶臭物质有两种途径：一种是垃圾成分中本身发出的异味，例如宰杀鱼类、家禽等后抛弃的内脏所产生的异味，但不是垃圾主要的恶臭来源，另一种是有机物腐败分解产生的恶臭气体，不同季节的垃圾内含有40～70%的有机物，分为植物性（例如米饭、面食、面包、瓜皮果壳和蔬菜烂叶、根等）和动物性（例如鱼、肉、骨头等），其在微生物作用下的分解产生恶臭味是垃圾恶臭的主要来源，同时有机物腐败产生的恶臭程度与季节有很大的关系，在夏季气温较高时有机物较易腐败，此时从垃圾中散发的恶臭气体明显比冬季强烈。</w:t>
            </w:r>
          </w:p>
          <w:p>
            <w:pPr>
              <w:keepNext w:val="0"/>
              <w:keepLines w:val="0"/>
              <w:widowControl/>
              <w:numPr>
                <w:ilvl w:val="0"/>
                <w:numId w:val="0"/>
              </w:numPr>
              <w:suppressLineNumbers w:val="0"/>
              <w:spacing w:line="360" w:lineRule="auto"/>
              <w:ind w:firstLine="480" w:firstLineChars="200"/>
              <w:jc w:val="left"/>
              <w:rPr>
                <w:rFonts w:hint="eastAsia" w:ascii="Times New Roman" w:hAnsi="Times New Roman" w:eastAsia="宋体" w:cs="Times New Roman"/>
                <w:color w:val="FF0000"/>
                <w:kern w:val="0"/>
                <w:sz w:val="24"/>
                <w:szCs w:val="24"/>
                <w:u w:val="single"/>
                <w:lang w:val="en-US" w:eastAsia="zh-CN" w:bidi="ar"/>
              </w:rPr>
            </w:pPr>
            <w:r>
              <w:rPr>
                <w:rFonts w:hint="eastAsia" w:ascii="Times New Roman" w:hAnsi="Times New Roman" w:eastAsia="宋体" w:cs="Times New Roman"/>
                <w:color w:val="FF0000"/>
                <w:kern w:val="0"/>
                <w:sz w:val="24"/>
                <w:szCs w:val="24"/>
                <w:u w:val="single"/>
                <w:lang w:val="en-US" w:eastAsia="zh-CN" w:bidi="ar"/>
              </w:rPr>
              <w:t>本项目收集专用船收集的船舶垃圾要求做好分类收集，封闭暂存，生活污水封闭暂存，河岸</w:t>
            </w:r>
            <w:r>
              <w:rPr>
                <w:rFonts w:hint="eastAsia" w:cs="Times New Roman"/>
                <w:color w:val="FF0000"/>
                <w:kern w:val="0"/>
                <w:sz w:val="24"/>
                <w:szCs w:val="24"/>
                <w:u w:val="single"/>
                <w:lang w:val="en-US" w:eastAsia="zh-CN" w:bidi="ar"/>
              </w:rPr>
              <w:t>码头</w:t>
            </w:r>
            <w:r>
              <w:rPr>
                <w:rFonts w:hint="eastAsia" w:ascii="Times New Roman" w:hAnsi="Times New Roman" w:eastAsia="宋体" w:cs="Times New Roman"/>
                <w:color w:val="FF0000"/>
                <w:kern w:val="0"/>
                <w:sz w:val="24"/>
                <w:szCs w:val="24"/>
                <w:u w:val="single"/>
                <w:lang w:val="en-US" w:eastAsia="zh-CN" w:bidi="ar"/>
              </w:rPr>
              <w:t>仅进行交接，不会对河岸边居民产生影响</w:t>
            </w:r>
            <w:r>
              <w:rPr>
                <w:rFonts w:hint="eastAsia" w:cs="Times New Roman"/>
                <w:color w:val="FF0000"/>
                <w:kern w:val="0"/>
                <w:sz w:val="24"/>
                <w:szCs w:val="24"/>
                <w:u w:val="single"/>
                <w:lang w:val="en-US" w:eastAsia="zh-CN" w:bidi="ar"/>
              </w:rPr>
              <w:t>。生活垃圾在漕溪港斜坡码头转运</w:t>
            </w:r>
            <w:r>
              <w:rPr>
                <w:rFonts w:hint="eastAsia" w:ascii="Times New Roman" w:hAnsi="Times New Roman" w:eastAsia="宋体" w:cs="Times New Roman"/>
                <w:color w:val="FF0000"/>
                <w:kern w:val="0"/>
                <w:sz w:val="24"/>
                <w:szCs w:val="24"/>
                <w:u w:val="single"/>
                <w:lang w:val="en-US" w:eastAsia="zh-CN" w:bidi="ar"/>
              </w:rPr>
              <w:t>后</w:t>
            </w:r>
            <w:r>
              <w:rPr>
                <w:rFonts w:hint="eastAsia" w:cs="Times New Roman"/>
                <w:color w:val="FF0000"/>
                <w:kern w:val="0"/>
                <w:sz w:val="24"/>
                <w:szCs w:val="24"/>
                <w:u w:val="single"/>
                <w:lang w:val="en-US" w:eastAsia="zh-CN" w:bidi="ar"/>
              </w:rPr>
              <w:t>直接由湘阴县环卫服务中心直接清运处理</w:t>
            </w:r>
            <w:r>
              <w:rPr>
                <w:rFonts w:hint="eastAsia" w:ascii="Times New Roman" w:hAnsi="Times New Roman" w:eastAsia="宋体" w:cs="Times New Roman"/>
                <w:color w:val="FF0000"/>
                <w:kern w:val="0"/>
                <w:sz w:val="24"/>
                <w:szCs w:val="24"/>
                <w:u w:val="single"/>
                <w:lang w:val="en-US" w:eastAsia="zh-CN" w:bidi="ar"/>
              </w:rPr>
              <w:t>，</w:t>
            </w:r>
            <w:r>
              <w:rPr>
                <w:rFonts w:hint="eastAsia" w:cs="Times New Roman"/>
                <w:color w:val="FF0000"/>
                <w:kern w:val="0"/>
                <w:sz w:val="24"/>
                <w:szCs w:val="24"/>
                <w:u w:val="single"/>
                <w:lang w:val="en-US" w:eastAsia="zh-CN" w:bidi="ar"/>
              </w:rPr>
              <w:t>生活污水在漕溪港斜坡码头转运后直接由葛洲坝水务（湘阴）有限公司处置，均不在码头内暂存。</w:t>
            </w:r>
            <w:r>
              <w:rPr>
                <w:rFonts w:hint="eastAsia" w:ascii="Times New Roman" w:hAnsi="Times New Roman" w:eastAsia="宋体" w:cs="Times New Roman"/>
                <w:color w:val="FF0000"/>
                <w:kern w:val="0"/>
                <w:sz w:val="24"/>
                <w:szCs w:val="24"/>
                <w:u w:val="single"/>
                <w:lang w:val="en-US" w:eastAsia="zh-CN" w:bidi="ar"/>
              </w:rPr>
              <w:t>过程中垃圾转运车辆采用环卫部门压缩式垃圾收集车，垃圾车为封闭式，污水处理车为封闭式，可有效避免垃圾恶臭对周边居民的影响。</w:t>
            </w:r>
          </w:p>
          <w:p>
            <w:pPr>
              <w:keepNext w:val="0"/>
              <w:keepLines w:val="0"/>
              <w:widowControl/>
              <w:numPr>
                <w:ilvl w:val="0"/>
                <w:numId w:val="0"/>
              </w:numPr>
              <w:suppressLineNumbers w:val="0"/>
              <w:spacing w:line="360" w:lineRule="auto"/>
              <w:ind w:firstLine="482" w:firstLineChars="200"/>
              <w:jc w:val="left"/>
              <w:rPr>
                <w:rFonts w:hint="eastAsia" w:ascii="Times New Roman" w:hAnsi="Times New Roman" w:eastAsia="宋体" w:cs="Times New Roman"/>
                <w:color w:val="000000"/>
                <w:kern w:val="0"/>
                <w:sz w:val="24"/>
                <w:szCs w:val="24"/>
                <w:lang w:val="en-US" w:eastAsia="zh-CN" w:bidi="ar"/>
              </w:rPr>
            </w:pPr>
            <w:r>
              <w:rPr>
                <w:rFonts w:hint="eastAsia" w:cs="Times New Roman"/>
                <w:b/>
                <w:bCs/>
                <w:color w:val="000000"/>
                <w:kern w:val="0"/>
                <w:sz w:val="24"/>
                <w:szCs w:val="24"/>
                <w:lang w:val="en-US" w:eastAsia="zh-CN" w:bidi="ar"/>
              </w:rPr>
              <w:t>废水</w:t>
            </w:r>
            <w:r>
              <w:rPr>
                <w:rFonts w:hint="eastAsia" w:ascii="Times New Roman" w:hAnsi="Times New Roman" w:eastAsia="宋体" w:cs="Times New Roman"/>
                <w:b/>
                <w:bCs/>
                <w:color w:val="000000"/>
                <w:kern w:val="0"/>
                <w:sz w:val="24"/>
                <w:szCs w:val="24"/>
                <w:lang w:val="en-US" w:eastAsia="zh-CN" w:bidi="ar"/>
              </w:rPr>
              <w:t>污染治理措施和环境影响分析</w:t>
            </w:r>
            <w:r>
              <w:rPr>
                <w:rFonts w:hint="eastAsia" w:ascii="Times New Roman" w:hAnsi="Times New Roman" w:eastAsia="宋体" w:cs="Times New Roman"/>
                <w:color w:val="000000"/>
                <w:kern w:val="0"/>
                <w:sz w:val="24"/>
                <w:szCs w:val="24"/>
                <w:lang w:val="en-US" w:eastAsia="zh-CN" w:bidi="ar"/>
              </w:rPr>
              <w:t xml:space="preserve"> </w:t>
            </w:r>
          </w:p>
          <w:p>
            <w:pPr>
              <w:keepNext w:val="0"/>
              <w:keepLines w:val="0"/>
              <w:widowControl/>
              <w:numPr>
                <w:ilvl w:val="0"/>
                <w:numId w:val="0"/>
              </w:numPr>
              <w:suppressLineNumbers w:val="0"/>
              <w:spacing w:line="360" w:lineRule="auto"/>
              <w:jc w:val="left"/>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 xml:space="preserve">   </w:t>
            </w:r>
            <w:r>
              <w:rPr>
                <w:rFonts w:hint="eastAsia" w:cs="Times New Roman"/>
                <w:color w:val="000000"/>
                <w:kern w:val="0"/>
                <w:sz w:val="24"/>
                <w:szCs w:val="24"/>
                <w:lang w:val="en-US" w:eastAsia="zh-CN" w:bidi="ar"/>
              </w:rPr>
              <w:t xml:space="preserve"> </w:t>
            </w:r>
            <w:r>
              <w:rPr>
                <w:rFonts w:hint="eastAsia" w:ascii="Times New Roman" w:hAnsi="Times New Roman" w:eastAsia="宋体" w:cs="Times New Roman"/>
                <w:color w:val="000000"/>
                <w:kern w:val="0"/>
                <w:sz w:val="24"/>
                <w:szCs w:val="24"/>
                <w:lang w:val="en-US" w:eastAsia="zh-CN" w:bidi="ar"/>
              </w:rPr>
              <w:t>A收集的污染物</w:t>
            </w:r>
          </w:p>
          <w:p>
            <w:pPr>
              <w:keepNext w:val="0"/>
              <w:keepLines w:val="0"/>
              <w:widowControl/>
              <w:numPr>
                <w:ilvl w:val="0"/>
                <w:numId w:val="0"/>
              </w:numPr>
              <w:suppressLineNumbers w:val="0"/>
              <w:spacing w:line="360" w:lineRule="auto"/>
              <w:ind w:firstLine="480" w:firstLineChars="200"/>
              <w:jc w:val="left"/>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本项目不对收集的废矿物油和生活污水进行任何处置，收集的船舶废矿物油和生活污水分别暂存于油污收集舱/油污收集罐、生活污水收集舱后达到</w:t>
            </w:r>
            <w:r>
              <w:rPr>
                <w:rFonts w:hint="eastAsia" w:cs="Times New Roman"/>
                <w:color w:val="000000"/>
                <w:kern w:val="0"/>
                <w:sz w:val="24"/>
                <w:szCs w:val="24"/>
                <w:lang w:val="en-US" w:eastAsia="zh-CN" w:bidi="ar"/>
              </w:rPr>
              <w:t>收集舱80%</w:t>
            </w:r>
            <w:r>
              <w:rPr>
                <w:rFonts w:hint="eastAsia" w:ascii="Times New Roman" w:hAnsi="Times New Roman" w:eastAsia="宋体" w:cs="Times New Roman"/>
                <w:color w:val="000000"/>
                <w:kern w:val="0"/>
                <w:sz w:val="24"/>
                <w:szCs w:val="24"/>
                <w:lang w:val="en-US" w:eastAsia="zh-CN" w:bidi="ar"/>
              </w:rPr>
              <w:t>的</w:t>
            </w:r>
            <w:r>
              <w:rPr>
                <w:rFonts w:hint="eastAsia" w:cs="Times New Roman"/>
                <w:color w:val="000000"/>
                <w:kern w:val="0"/>
                <w:sz w:val="24"/>
                <w:szCs w:val="24"/>
                <w:lang w:val="en-US" w:eastAsia="zh-CN" w:bidi="ar"/>
              </w:rPr>
              <w:t>容积</w:t>
            </w:r>
            <w:r>
              <w:rPr>
                <w:rFonts w:hint="eastAsia" w:ascii="Times New Roman" w:hAnsi="Times New Roman" w:eastAsia="宋体" w:cs="Times New Roman"/>
                <w:color w:val="000000"/>
                <w:kern w:val="0"/>
                <w:sz w:val="24"/>
                <w:szCs w:val="24"/>
                <w:lang w:val="en-US" w:eastAsia="zh-CN" w:bidi="ar"/>
              </w:rPr>
              <w:t>后交由相应的部门进行处置。</w:t>
            </w:r>
          </w:p>
          <w:p>
            <w:pPr>
              <w:keepNext w:val="0"/>
              <w:keepLines w:val="0"/>
              <w:widowControl/>
              <w:numPr>
                <w:ilvl w:val="0"/>
                <w:numId w:val="0"/>
              </w:numPr>
              <w:suppressLineNumbers w:val="0"/>
              <w:spacing w:line="360" w:lineRule="auto"/>
              <w:ind w:firstLine="480" w:firstLineChars="200"/>
              <w:jc w:val="left"/>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B项目自身产生的污染物</w:t>
            </w:r>
          </w:p>
          <w:p>
            <w:pPr>
              <w:keepNext w:val="0"/>
              <w:keepLines w:val="0"/>
              <w:widowControl/>
              <w:numPr>
                <w:ilvl w:val="0"/>
                <w:numId w:val="0"/>
              </w:numPr>
              <w:suppressLineNumbers w:val="0"/>
              <w:spacing w:line="360" w:lineRule="auto"/>
              <w:ind w:firstLine="480" w:firstLineChars="200"/>
              <w:jc w:val="left"/>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本项目运营期间产生的废水主要为自身产生的生活污水、生活污水舱洗舱废水以及舱底污水。本项目生活污水产生量为</w:t>
            </w:r>
            <w:r>
              <w:rPr>
                <w:rFonts w:hint="eastAsia" w:cs="Times New Roman"/>
                <w:color w:val="000000"/>
                <w:kern w:val="0"/>
                <w:sz w:val="24"/>
                <w:szCs w:val="24"/>
                <w:lang w:val="en-US" w:eastAsia="zh-CN" w:bidi="ar"/>
              </w:rPr>
              <w:t>369.6</w:t>
            </w:r>
            <w:r>
              <w:rPr>
                <w:rFonts w:hint="eastAsia" w:ascii="Times New Roman" w:hAnsi="Times New Roman" w:eastAsia="宋体" w:cs="Times New Roman"/>
                <w:color w:val="000000"/>
                <w:kern w:val="0"/>
                <w:sz w:val="24"/>
                <w:szCs w:val="24"/>
                <w:lang w:val="en-US" w:eastAsia="zh-CN" w:bidi="ar"/>
              </w:rPr>
              <w:t>t/a，其暂存于生活污水收集舱，后续交给葛洲坝水务（湘阴）有限公司处置。本项目机舱洗舱废水为生活污水收集舱洗舱废水。生活污水收集舱洗舱废水后期与生活污水一并处置。</w:t>
            </w:r>
          </w:p>
          <w:p>
            <w:pPr>
              <w:bidi w:val="0"/>
              <w:spacing w:line="360" w:lineRule="auto"/>
              <w:ind w:firstLine="480" w:firstLineChars="200"/>
              <w:rPr>
                <w:rFonts w:hint="default"/>
                <w:sz w:val="24"/>
                <w:szCs w:val="24"/>
                <w:lang w:val="en-US" w:eastAsia="zh-CN"/>
              </w:rPr>
            </w:pPr>
            <w:r>
              <w:rPr>
                <w:rFonts w:hint="default"/>
                <w:sz w:val="24"/>
                <w:szCs w:val="24"/>
                <w:lang w:val="en-US" w:eastAsia="zh-CN"/>
              </w:rPr>
              <w:t>本项目外排废水为自身舱底废水经油水分离器处置后外排的废水。项目舱底废水产生量约为40.9t/a，经油水分离器处置后外排，该部分废水主要污染因子为石油类，类比同类型项目，项目外排废水中石油类浓度为1.39-2.03mg/L。</w:t>
            </w:r>
          </w:p>
          <w:p>
            <w:pPr>
              <w:keepNext w:val="0"/>
              <w:keepLines w:val="0"/>
              <w:widowControl/>
              <w:numPr>
                <w:ilvl w:val="0"/>
                <w:numId w:val="0"/>
              </w:numPr>
              <w:suppressLineNumbers w:val="0"/>
              <w:spacing w:line="360" w:lineRule="auto"/>
              <w:ind w:firstLine="480" w:firstLineChars="200"/>
              <w:jc w:val="left"/>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本项目产生的舱底废水量较小，每周产生量约0.8m</w:t>
            </w:r>
            <w:r>
              <w:rPr>
                <w:rFonts w:hint="eastAsia" w:ascii="Times New Roman" w:hAnsi="Times New Roman" w:eastAsia="宋体" w:cs="Times New Roman"/>
                <w:color w:val="000000"/>
                <w:kern w:val="0"/>
                <w:sz w:val="24"/>
                <w:szCs w:val="24"/>
                <w:vertAlign w:val="superscript"/>
                <w:lang w:val="en-US" w:eastAsia="zh-CN" w:bidi="ar"/>
              </w:rPr>
              <w:t>3</w:t>
            </w:r>
            <w:r>
              <w:rPr>
                <w:rFonts w:hint="eastAsia" w:ascii="Times New Roman" w:hAnsi="Times New Roman" w:eastAsia="宋体" w:cs="Times New Roman"/>
                <w:color w:val="000000"/>
                <w:kern w:val="0"/>
                <w:sz w:val="24"/>
                <w:szCs w:val="24"/>
                <w:lang w:val="en-US" w:eastAsia="zh-CN" w:bidi="ar"/>
              </w:rPr>
              <w:t>，本项目油水分离器 每周运行2小时，油水分离器处置规模</w:t>
            </w:r>
            <w:r>
              <w:rPr>
                <w:rFonts w:hint="eastAsia" w:cs="Times New Roman"/>
                <w:color w:val="000000"/>
                <w:kern w:val="0"/>
                <w:sz w:val="24"/>
                <w:szCs w:val="24"/>
                <w:lang w:val="en-US" w:eastAsia="zh-CN" w:bidi="ar"/>
              </w:rPr>
              <w:t>分别</w:t>
            </w:r>
            <w:r>
              <w:rPr>
                <w:rFonts w:hint="eastAsia" w:ascii="Times New Roman" w:hAnsi="Times New Roman" w:eastAsia="宋体" w:cs="Times New Roman"/>
                <w:color w:val="000000"/>
                <w:kern w:val="0"/>
                <w:sz w:val="24"/>
                <w:szCs w:val="24"/>
                <w:lang w:val="en-US" w:eastAsia="zh-CN" w:bidi="ar"/>
              </w:rPr>
              <w:t>为</w:t>
            </w:r>
            <w:r>
              <w:rPr>
                <w:rFonts w:hint="eastAsia" w:cs="Times New Roman"/>
                <w:color w:val="000000"/>
                <w:kern w:val="0"/>
                <w:sz w:val="24"/>
                <w:szCs w:val="24"/>
                <w:lang w:val="en-US" w:eastAsia="zh-CN" w:bidi="ar"/>
              </w:rPr>
              <w:t>：0.05</w:t>
            </w:r>
            <w:r>
              <w:rPr>
                <w:rFonts w:hint="eastAsia" w:ascii="Times New Roman" w:hAnsi="Times New Roman" w:eastAsia="宋体" w:cs="Times New Roman"/>
                <w:color w:val="000000"/>
                <w:kern w:val="0"/>
                <w:sz w:val="24"/>
                <w:szCs w:val="24"/>
                <w:lang w:val="en-US" w:eastAsia="zh-CN" w:bidi="ar"/>
              </w:rPr>
              <w:t>m</w:t>
            </w:r>
            <w:r>
              <w:rPr>
                <w:rFonts w:hint="eastAsia" w:ascii="Times New Roman" w:hAnsi="Times New Roman" w:eastAsia="宋体" w:cs="Times New Roman"/>
                <w:color w:val="000000"/>
                <w:kern w:val="0"/>
                <w:sz w:val="24"/>
                <w:szCs w:val="24"/>
                <w:vertAlign w:val="superscript"/>
                <w:lang w:val="en-US" w:eastAsia="zh-CN" w:bidi="ar"/>
              </w:rPr>
              <w:t>3</w:t>
            </w:r>
            <w:r>
              <w:rPr>
                <w:rFonts w:hint="eastAsia" w:ascii="Times New Roman" w:hAnsi="Times New Roman" w:eastAsia="宋体" w:cs="Times New Roman"/>
                <w:color w:val="000000"/>
                <w:kern w:val="0"/>
                <w:sz w:val="24"/>
                <w:szCs w:val="24"/>
                <w:lang w:val="en-US" w:eastAsia="zh-CN" w:bidi="ar"/>
              </w:rPr>
              <w:t>/h</w:t>
            </w:r>
            <w:r>
              <w:rPr>
                <w:rFonts w:hint="eastAsia" w:cs="Times New Roman"/>
                <w:color w:val="000000"/>
                <w:kern w:val="0"/>
                <w:sz w:val="24"/>
                <w:szCs w:val="24"/>
                <w:lang w:val="en-US" w:eastAsia="zh-CN" w:bidi="ar"/>
              </w:rPr>
              <w:t>和</w:t>
            </w:r>
            <w:r>
              <w:rPr>
                <w:rFonts w:hint="eastAsia" w:ascii="Times New Roman" w:hAnsi="Times New Roman" w:eastAsia="宋体" w:cs="Times New Roman"/>
                <w:color w:val="000000"/>
                <w:kern w:val="0"/>
                <w:sz w:val="24"/>
                <w:szCs w:val="24"/>
                <w:lang w:val="en-US" w:eastAsia="zh-CN" w:bidi="ar"/>
              </w:rPr>
              <w:t>0.</w:t>
            </w:r>
            <w:r>
              <w:rPr>
                <w:rFonts w:hint="eastAsia" w:cs="Times New Roman"/>
                <w:color w:val="000000"/>
                <w:kern w:val="0"/>
                <w:sz w:val="24"/>
                <w:szCs w:val="24"/>
                <w:lang w:val="en-US" w:eastAsia="zh-CN" w:bidi="ar"/>
              </w:rPr>
              <w:t>3</w:t>
            </w:r>
            <w:r>
              <w:rPr>
                <w:rFonts w:hint="eastAsia" w:ascii="Times New Roman" w:hAnsi="Times New Roman" w:eastAsia="宋体" w:cs="Times New Roman"/>
                <w:color w:val="000000"/>
                <w:kern w:val="0"/>
                <w:sz w:val="24"/>
                <w:szCs w:val="24"/>
                <w:lang w:val="en-US" w:eastAsia="zh-CN" w:bidi="ar"/>
              </w:rPr>
              <w:t>m</w:t>
            </w:r>
            <w:r>
              <w:rPr>
                <w:rFonts w:hint="eastAsia" w:ascii="Times New Roman" w:hAnsi="Times New Roman" w:eastAsia="宋体" w:cs="Times New Roman"/>
                <w:color w:val="000000"/>
                <w:kern w:val="0"/>
                <w:sz w:val="24"/>
                <w:szCs w:val="24"/>
                <w:vertAlign w:val="superscript"/>
                <w:lang w:val="en-US" w:eastAsia="zh-CN" w:bidi="ar"/>
              </w:rPr>
              <w:t>3</w:t>
            </w:r>
            <w:r>
              <w:rPr>
                <w:rFonts w:hint="eastAsia" w:ascii="Times New Roman" w:hAnsi="Times New Roman" w:eastAsia="宋体" w:cs="Times New Roman"/>
                <w:color w:val="000000"/>
                <w:kern w:val="0"/>
                <w:sz w:val="24"/>
                <w:szCs w:val="24"/>
                <w:lang w:val="en-US" w:eastAsia="zh-CN" w:bidi="ar"/>
              </w:rPr>
              <w:t>/h，因此项目油水分离器规模满足含油废水处理要求。根据上文可知，项目废水经油水分离器处置后，石油类可满足《船舶水污染物排放控制标准》（GB 3552-2018）表2中标准要求，本项目外排废水对环境影响较小。</w:t>
            </w:r>
          </w:p>
          <w:p>
            <w:pPr>
              <w:keepNext w:val="0"/>
              <w:keepLines w:val="0"/>
              <w:widowControl/>
              <w:suppressLineNumbers w:val="0"/>
              <w:spacing w:line="360" w:lineRule="auto"/>
              <w:ind w:firstLine="482" w:firstLineChars="200"/>
              <w:jc w:val="left"/>
              <w:rPr>
                <w:rFonts w:hint="eastAsia" w:cs="Times New Roman"/>
                <w:b/>
                <w:bCs/>
                <w:color w:val="000000"/>
                <w:kern w:val="0"/>
                <w:sz w:val="24"/>
                <w:szCs w:val="24"/>
                <w:lang w:val="en-US" w:eastAsia="zh-CN" w:bidi="ar"/>
              </w:rPr>
            </w:pPr>
            <w:r>
              <w:rPr>
                <w:rFonts w:hint="eastAsia" w:cs="Times New Roman"/>
                <w:b/>
                <w:bCs/>
                <w:color w:val="000000"/>
                <w:kern w:val="0"/>
                <w:sz w:val="24"/>
                <w:szCs w:val="24"/>
                <w:lang w:val="en-US" w:eastAsia="zh-CN" w:bidi="ar"/>
              </w:rPr>
              <w:t>油水分离器处理含油废水达标排放有效性分析</w:t>
            </w:r>
          </w:p>
          <w:p>
            <w:pPr>
              <w:keepNext w:val="0"/>
              <w:keepLines w:val="0"/>
              <w:widowControl/>
              <w:suppressLineNumbers w:val="0"/>
              <w:spacing w:line="360" w:lineRule="auto"/>
              <w:ind w:firstLine="480" w:firstLineChars="200"/>
              <w:jc w:val="left"/>
            </w:pPr>
            <w:r>
              <w:rPr>
                <w:rFonts w:hint="eastAsia" w:ascii="宋体" w:hAnsi="宋体" w:eastAsia="宋体" w:cs="宋体"/>
                <w:color w:val="000000"/>
                <w:kern w:val="0"/>
                <w:sz w:val="24"/>
                <w:szCs w:val="24"/>
                <w:lang w:val="en-US" w:eastAsia="zh-CN" w:bidi="ar"/>
              </w:rPr>
              <w:t>船用油水分离器用于处理船舶机舱舱底油污水，装置采用一级斜板重力和聚结分离</w:t>
            </w:r>
            <w:r>
              <w:rPr>
                <w:rFonts w:hint="default" w:ascii="Times New Roman" w:hAnsi="Times New Roman" w:eastAsia="宋体" w:cs="Times New Roman"/>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二级纤维滤器</w:t>
            </w:r>
            <w:r>
              <w:rPr>
                <w:rFonts w:hint="default" w:ascii="Times New Roman" w:hAnsi="Times New Roman" w:eastAsia="宋体" w:cs="Times New Roman"/>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三级超滤膜渗透分离等原理，使含油污的舱底水达到排放标准。其原理为船舶舱底水因柱塞泵的抽吸进入一级分离器，内部为真空负压状态，避免了以往压力状态造成含油舱底水的搅动乳化以致难以分离的问题。柱塞泵排出液经过二级纤维滤器吸附、过滤处理，再进入三级超滤，就可以保证排放液内含油量不致超标。油份浓度计（即</w:t>
            </w:r>
            <w:r>
              <w:rPr>
                <w:rFonts w:hint="default" w:ascii="Times New Roman" w:hAnsi="Times New Roman" w:eastAsia="宋体" w:cs="Times New Roman"/>
                <w:color w:val="000000"/>
                <w:kern w:val="0"/>
                <w:sz w:val="24"/>
                <w:szCs w:val="24"/>
                <w:lang w:val="en-US" w:eastAsia="zh-CN" w:bidi="ar"/>
              </w:rPr>
              <w:t xml:space="preserve">15ppm </w:t>
            </w:r>
            <w:r>
              <w:rPr>
                <w:rFonts w:hint="eastAsia" w:ascii="宋体" w:hAnsi="宋体" w:eastAsia="宋体" w:cs="宋体"/>
                <w:color w:val="000000"/>
                <w:kern w:val="0"/>
                <w:sz w:val="24"/>
                <w:szCs w:val="24"/>
                <w:lang w:val="en-US" w:eastAsia="zh-CN" w:bidi="ar"/>
              </w:rPr>
              <w:t>舱底水报警装置）用来测量排放液的油份浓度，如果发现测量排放液的油份浓度超标，则会自动转向三级处理。排放液的油份浓度超标，油份浓度计报警，则会令排放不合格水气动阀打开，使不合格的水排至舱底而不排向舷外。</w:t>
            </w:r>
          </w:p>
          <w:p>
            <w:pPr>
              <w:keepNext w:val="0"/>
              <w:keepLines w:val="0"/>
              <w:widowControl/>
              <w:numPr>
                <w:ilvl w:val="0"/>
                <w:numId w:val="0"/>
              </w:numPr>
              <w:suppressLineNumbers w:val="0"/>
              <w:spacing w:line="360" w:lineRule="auto"/>
              <w:ind w:firstLine="480" w:firstLineChars="200"/>
              <w:jc w:val="left"/>
              <w:rPr>
                <w:rFonts w:hint="eastAsia" w:cs="Times New Roman"/>
                <w:b w:val="0"/>
                <w:bCs w:val="0"/>
                <w:color w:val="000000"/>
                <w:kern w:val="0"/>
                <w:sz w:val="24"/>
                <w:szCs w:val="24"/>
                <w:lang w:val="en-US" w:eastAsia="zh-CN" w:bidi="ar"/>
              </w:rPr>
            </w:pPr>
            <w:r>
              <w:rPr>
                <w:rFonts w:hint="eastAsia" w:cs="Times New Roman"/>
                <w:b w:val="0"/>
                <w:bCs w:val="0"/>
                <w:color w:val="000000"/>
                <w:kern w:val="0"/>
                <w:sz w:val="24"/>
                <w:szCs w:val="24"/>
                <w:lang w:val="en-US" w:eastAsia="zh-CN" w:bidi="ar"/>
              </w:rPr>
              <w:t>因此，本项目在保证油水分离器正常使用的情况下，船舶产生的含油废水经油水分离器处理后可达到《船舶水污染物排放控制标准》（GB3552-2018），对环境影响在可接纳范围之内。</w:t>
            </w:r>
          </w:p>
          <w:p>
            <w:pPr>
              <w:keepNext w:val="0"/>
              <w:keepLines w:val="0"/>
              <w:widowControl/>
              <w:numPr>
                <w:ilvl w:val="0"/>
                <w:numId w:val="0"/>
              </w:numPr>
              <w:suppressLineNumbers w:val="0"/>
              <w:spacing w:line="360" w:lineRule="auto"/>
              <w:ind w:firstLine="482" w:firstLineChars="200"/>
              <w:jc w:val="left"/>
              <w:rPr>
                <w:rFonts w:hint="eastAsia" w:ascii="Times New Roman" w:hAnsi="Times New Roman" w:eastAsia="宋体" w:cs="Times New Roman"/>
                <w:b/>
                <w:bCs/>
                <w:color w:val="000000"/>
                <w:kern w:val="0"/>
                <w:sz w:val="24"/>
                <w:szCs w:val="24"/>
                <w:lang w:val="en-US" w:eastAsia="zh-CN" w:bidi="ar"/>
              </w:rPr>
            </w:pPr>
            <w:r>
              <w:rPr>
                <w:rFonts w:hint="eastAsia" w:cs="Times New Roman"/>
                <w:b/>
                <w:bCs/>
                <w:color w:val="000000"/>
                <w:kern w:val="0"/>
                <w:sz w:val="24"/>
                <w:szCs w:val="24"/>
                <w:lang w:val="en-US" w:eastAsia="zh-CN" w:bidi="ar"/>
              </w:rPr>
              <w:t>噪声</w:t>
            </w:r>
            <w:r>
              <w:rPr>
                <w:rFonts w:hint="eastAsia" w:ascii="Times New Roman" w:hAnsi="Times New Roman" w:eastAsia="宋体" w:cs="Times New Roman"/>
                <w:b/>
                <w:bCs/>
                <w:color w:val="000000"/>
                <w:kern w:val="0"/>
                <w:sz w:val="24"/>
                <w:szCs w:val="24"/>
                <w:lang w:val="en-US" w:eastAsia="zh-CN" w:bidi="ar"/>
              </w:rPr>
              <w:t>污染治理措施和环境影响分析</w:t>
            </w:r>
          </w:p>
          <w:p>
            <w:pPr>
              <w:keepNext w:val="0"/>
              <w:keepLines w:val="0"/>
              <w:widowControl/>
              <w:numPr>
                <w:ilvl w:val="0"/>
                <w:numId w:val="0"/>
              </w:numPr>
              <w:suppressLineNumbers w:val="0"/>
              <w:spacing w:line="360" w:lineRule="auto"/>
              <w:ind w:firstLine="480" w:firstLineChars="200"/>
              <w:jc w:val="left"/>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本项目主要噪声源为船舶发动机、自吸油泵所产生的噪声，船舶发动机、自吸油泵均设在船舱内部，经船体隔声、距离衰减、绿化带或堤坝阻隔后，基本对航线周边敏感点无影响。</w:t>
            </w:r>
          </w:p>
          <w:p>
            <w:pPr>
              <w:keepNext w:val="0"/>
              <w:keepLines w:val="0"/>
              <w:widowControl/>
              <w:numPr>
                <w:ilvl w:val="0"/>
                <w:numId w:val="0"/>
              </w:numPr>
              <w:suppressLineNumbers w:val="0"/>
              <w:spacing w:line="360" w:lineRule="auto"/>
              <w:ind w:firstLine="480" w:firstLineChars="200"/>
              <w:jc w:val="left"/>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从建设噪声污染排放原则出发，本环评建议采取如下措施：</w:t>
            </w:r>
          </w:p>
          <w:p>
            <w:pPr>
              <w:keepNext w:val="0"/>
              <w:keepLines w:val="0"/>
              <w:widowControl/>
              <w:numPr>
                <w:ilvl w:val="0"/>
                <w:numId w:val="0"/>
              </w:numPr>
              <w:suppressLineNumbers w:val="0"/>
              <w:spacing w:line="360" w:lineRule="auto"/>
              <w:ind w:firstLine="480" w:firstLineChars="200"/>
              <w:jc w:val="left"/>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①夜间不开展航行；</w:t>
            </w:r>
          </w:p>
          <w:p>
            <w:pPr>
              <w:keepNext w:val="0"/>
              <w:keepLines w:val="0"/>
              <w:widowControl/>
              <w:numPr>
                <w:ilvl w:val="0"/>
                <w:numId w:val="0"/>
              </w:numPr>
              <w:suppressLineNumbers w:val="0"/>
              <w:spacing w:line="360" w:lineRule="auto"/>
              <w:ind w:firstLine="480" w:firstLineChars="200"/>
              <w:jc w:val="left"/>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②定期对船舶进行维护保养，杜绝非正常噪声排放；</w:t>
            </w:r>
          </w:p>
          <w:p>
            <w:pPr>
              <w:keepNext w:val="0"/>
              <w:keepLines w:val="0"/>
              <w:widowControl/>
              <w:numPr>
                <w:ilvl w:val="0"/>
                <w:numId w:val="0"/>
              </w:numPr>
              <w:suppressLineNumbers w:val="0"/>
              <w:spacing w:line="360" w:lineRule="auto"/>
              <w:ind w:firstLine="480" w:firstLineChars="200"/>
              <w:jc w:val="left"/>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③对经过较近距离的居民点时，禁止鸣笛，或划定禁鸣区等；</w:t>
            </w:r>
          </w:p>
          <w:p>
            <w:pPr>
              <w:keepNext w:val="0"/>
              <w:keepLines w:val="0"/>
              <w:widowControl/>
              <w:numPr>
                <w:ilvl w:val="0"/>
                <w:numId w:val="0"/>
              </w:numPr>
              <w:suppressLineNumbers w:val="0"/>
              <w:spacing w:line="360" w:lineRule="auto"/>
              <w:ind w:firstLine="480" w:firstLineChars="200"/>
              <w:jc w:val="left"/>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④对主要噪声设备配备减震、隔音措施等。</w:t>
            </w:r>
          </w:p>
          <w:p>
            <w:pPr>
              <w:keepNext w:val="0"/>
              <w:keepLines w:val="0"/>
              <w:widowControl/>
              <w:numPr>
                <w:ilvl w:val="0"/>
                <w:numId w:val="0"/>
              </w:numPr>
              <w:suppressLineNumbers w:val="0"/>
              <w:spacing w:line="360" w:lineRule="auto"/>
              <w:ind w:firstLine="480" w:firstLineChars="200"/>
              <w:jc w:val="left"/>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建设单位在采取如下措施后，基本可消除航行期间噪声对周边环境敏感点的影响。</w:t>
            </w:r>
          </w:p>
          <w:p>
            <w:pPr>
              <w:keepNext w:val="0"/>
              <w:keepLines w:val="0"/>
              <w:widowControl/>
              <w:numPr>
                <w:ilvl w:val="0"/>
                <w:numId w:val="0"/>
              </w:numPr>
              <w:suppressLineNumbers w:val="0"/>
              <w:spacing w:line="360" w:lineRule="auto"/>
              <w:ind w:firstLine="482" w:firstLineChars="200"/>
              <w:jc w:val="left"/>
              <w:rPr>
                <w:rFonts w:hint="eastAsia" w:ascii="Times New Roman" w:hAnsi="Times New Roman" w:eastAsia="宋体" w:cs="Times New Roman"/>
                <w:color w:val="FF0000"/>
                <w:kern w:val="0"/>
                <w:sz w:val="24"/>
                <w:szCs w:val="24"/>
                <w:u w:val="single"/>
                <w:lang w:val="en-US" w:eastAsia="zh-CN" w:bidi="ar"/>
              </w:rPr>
            </w:pPr>
            <w:r>
              <w:rPr>
                <w:rFonts w:hint="eastAsia" w:ascii="Times New Roman" w:hAnsi="Times New Roman" w:eastAsia="宋体" w:cs="Times New Roman"/>
                <w:b/>
                <w:bCs/>
                <w:color w:val="FF0000"/>
                <w:kern w:val="0"/>
                <w:sz w:val="24"/>
                <w:szCs w:val="24"/>
                <w:u w:val="single"/>
                <w:lang w:val="en-US" w:eastAsia="zh-CN" w:bidi="ar"/>
              </w:rPr>
              <w:t>固体废物环境影响分析</w:t>
            </w:r>
            <w:r>
              <w:rPr>
                <w:rFonts w:hint="eastAsia" w:ascii="Times New Roman" w:hAnsi="Times New Roman" w:eastAsia="宋体" w:cs="Times New Roman"/>
                <w:color w:val="FF0000"/>
                <w:kern w:val="0"/>
                <w:sz w:val="24"/>
                <w:szCs w:val="24"/>
                <w:u w:val="single"/>
                <w:lang w:val="en-US" w:eastAsia="zh-CN" w:bidi="ar"/>
              </w:rPr>
              <w:t xml:space="preserve">  </w:t>
            </w:r>
          </w:p>
          <w:p>
            <w:pPr>
              <w:keepNext w:val="0"/>
              <w:keepLines w:val="0"/>
              <w:widowControl/>
              <w:numPr>
                <w:ilvl w:val="0"/>
                <w:numId w:val="0"/>
              </w:numPr>
              <w:suppressLineNumbers w:val="0"/>
              <w:spacing w:line="360" w:lineRule="auto"/>
              <w:ind w:firstLine="480" w:firstLineChars="200"/>
              <w:jc w:val="left"/>
              <w:rPr>
                <w:rFonts w:hint="eastAsia" w:ascii="Times New Roman" w:hAnsi="Times New Roman" w:eastAsia="宋体" w:cs="Times New Roman"/>
                <w:color w:val="FF0000"/>
                <w:kern w:val="0"/>
                <w:sz w:val="24"/>
                <w:szCs w:val="24"/>
                <w:u w:val="single"/>
                <w:lang w:val="en-US" w:eastAsia="zh-CN" w:bidi="ar"/>
              </w:rPr>
            </w:pPr>
            <w:r>
              <w:rPr>
                <w:rFonts w:hint="eastAsia" w:ascii="Times New Roman" w:hAnsi="Times New Roman" w:eastAsia="宋体" w:cs="Times New Roman"/>
                <w:color w:val="FF0000"/>
                <w:kern w:val="0"/>
                <w:sz w:val="24"/>
                <w:szCs w:val="24"/>
                <w:u w:val="single"/>
                <w:lang w:val="en-US" w:eastAsia="zh-CN" w:bidi="ar"/>
              </w:rPr>
              <w:t>①废矿物油</w:t>
            </w:r>
            <w:r>
              <w:rPr>
                <w:rFonts w:hint="eastAsia" w:cs="Times New Roman"/>
                <w:color w:val="FF0000"/>
                <w:kern w:val="0"/>
                <w:sz w:val="24"/>
                <w:szCs w:val="24"/>
                <w:u w:val="single"/>
                <w:lang w:val="en-US" w:eastAsia="zh-CN" w:bidi="ar"/>
              </w:rPr>
              <w:t>（HW08）</w:t>
            </w:r>
          </w:p>
          <w:p>
            <w:pPr>
              <w:keepNext w:val="0"/>
              <w:keepLines w:val="0"/>
              <w:widowControl/>
              <w:numPr>
                <w:ilvl w:val="0"/>
                <w:numId w:val="0"/>
              </w:numPr>
              <w:suppressLineNumbers w:val="0"/>
              <w:spacing w:line="360" w:lineRule="auto"/>
              <w:ind w:firstLine="480" w:firstLineChars="200"/>
              <w:jc w:val="left"/>
              <w:rPr>
                <w:rFonts w:hint="eastAsia" w:ascii="Times New Roman" w:hAnsi="Times New Roman" w:eastAsia="宋体" w:cs="Times New Roman"/>
                <w:color w:val="FF0000"/>
                <w:kern w:val="0"/>
                <w:sz w:val="24"/>
                <w:szCs w:val="24"/>
                <w:u w:val="single"/>
                <w:lang w:val="en-US" w:eastAsia="zh-CN" w:bidi="ar"/>
              </w:rPr>
            </w:pPr>
            <w:r>
              <w:rPr>
                <w:rFonts w:hint="eastAsia" w:ascii="Times New Roman" w:hAnsi="Times New Roman" w:eastAsia="宋体" w:cs="Times New Roman"/>
                <w:color w:val="FF0000"/>
                <w:kern w:val="0"/>
                <w:sz w:val="24"/>
                <w:szCs w:val="24"/>
                <w:u w:val="single"/>
                <w:lang w:val="en-US" w:eastAsia="zh-CN" w:bidi="ar"/>
              </w:rPr>
              <w:t>项目收集的船舶废矿物油为</w:t>
            </w:r>
            <w:r>
              <w:rPr>
                <w:rFonts w:hint="eastAsia" w:cs="Times New Roman"/>
                <w:color w:val="FF0000"/>
                <w:kern w:val="0"/>
                <w:sz w:val="24"/>
                <w:szCs w:val="24"/>
                <w:u w:val="single"/>
                <w:lang w:val="en-US" w:eastAsia="zh-CN" w:bidi="ar"/>
              </w:rPr>
              <w:t>75</w:t>
            </w:r>
            <w:r>
              <w:rPr>
                <w:rFonts w:hint="eastAsia" w:ascii="Times New Roman" w:hAnsi="Times New Roman" w:eastAsia="宋体" w:cs="Times New Roman"/>
                <w:color w:val="FF0000"/>
                <w:kern w:val="0"/>
                <w:sz w:val="24"/>
                <w:szCs w:val="24"/>
                <w:u w:val="single"/>
                <w:lang w:val="en-US" w:eastAsia="zh-CN" w:bidi="ar"/>
              </w:rPr>
              <w:t xml:space="preserve">00t/a，暂存于油污收集舱和油污收集罐内， 交由远大（湖南）再生燃油股份有限公司进行处置。 </w:t>
            </w:r>
          </w:p>
          <w:p>
            <w:pPr>
              <w:keepNext w:val="0"/>
              <w:keepLines w:val="0"/>
              <w:widowControl/>
              <w:numPr>
                <w:ilvl w:val="0"/>
                <w:numId w:val="0"/>
              </w:numPr>
              <w:suppressLineNumbers w:val="0"/>
              <w:spacing w:line="360" w:lineRule="auto"/>
              <w:ind w:firstLine="480" w:firstLineChars="200"/>
              <w:jc w:val="left"/>
              <w:rPr>
                <w:rFonts w:hint="eastAsia" w:ascii="Times New Roman" w:hAnsi="Times New Roman" w:eastAsia="宋体" w:cs="Times New Roman"/>
                <w:color w:val="FF0000"/>
                <w:kern w:val="0"/>
                <w:sz w:val="24"/>
                <w:szCs w:val="24"/>
                <w:u w:val="single"/>
                <w:lang w:val="en-US" w:eastAsia="zh-CN" w:bidi="ar"/>
              </w:rPr>
            </w:pPr>
            <w:r>
              <w:rPr>
                <w:rFonts w:hint="eastAsia" w:ascii="Times New Roman" w:hAnsi="Times New Roman" w:eastAsia="宋体" w:cs="Times New Roman"/>
                <w:color w:val="FF0000"/>
                <w:kern w:val="0"/>
                <w:sz w:val="24"/>
                <w:szCs w:val="24"/>
                <w:u w:val="single"/>
                <w:lang w:val="en-US" w:eastAsia="zh-CN" w:bidi="ar"/>
              </w:rPr>
              <w:t>②生活垃圾</w:t>
            </w:r>
          </w:p>
          <w:p>
            <w:pPr>
              <w:keepNext w:val="0"/>
              <w:keepLines w:val="0"/>
              <w:widowControl/>
              <w:numPr>
                <w:ilvl w:val="0"/>
                <w:numId w:val="0"/>
              </w:numPr>
              <w:suppressLineNumbers w:val="0"/>
              <w:spacing w:line="360" w:lineRule="auto"/>
              <w:ind w:firstLine="480" w:firstLineChars="200"/>
              <w:jc w:val="left"/>
              <w:rPr>
                <w:rFonts w:hint="eastAsia" w:ascii="Times New Roman" w:hAnsi="Times New Roman" w:eastAsia="宋体" w:cs="Times New Roman"/>
                <w:color w:val="FF0000"/>
                <w:kern w:val="0"/>
                <w:sz w:val="24"/>
                <w:szCs w:val="24"/>
                <w:u w:val="single"/>
                <w:lang w:val="en-US" w:eastAsia="zh-CN" w:bidi="ar"/>
              </w:rPr>
            </w:pPr>
            <w:r>
              <w:rPr>
                <w:rFonts w:hint="eastAsia" w:ascii="Times New Roman" w:hAnsi="Times New Roman" w:eastAsia="宋体" w:cs="Times New Roman"/>
                <w:color w:val="FF0000"/>
                <w:kern w:val="0"/>
                <w:sz w:val="24"/>
                <w:szCs w:val="24"/>
                <w:u w:val="single"/>
                <w:lang w:val="en-US" w:eastAsia="zh-CN" w:bidi="ar"/>
              </w:rPr>
              <w:t>项目收集的船舶垃圾为</w:t>
            </w:r>
            <w:r>
              <w:rPr>
                <w:rFonts w:hint="eastAsia" w:cs="Times New Roman"/>
                <w:color w:val="FF0000"/>
                <w:kern w:val="0"/>
                <w:sz w:val="24"/>
                <w:szCs w:val="24"/>
                <w:u w:val="single"/>
                <w:lang w:val="en-US" w:eastAsia="zh-CN" w:bidi="ar"/>
              </w:rPr>
              <w:t>3800</w:t>
            </w:r>
            <w:r>
              <w:rPr>
                <w:rFonts w:hint="eastAsia" w:ascii="Times New Roman" w:hAnsi="Times New Roman" w:eastAsia="宋体" w:cs="Times New Roman"/>
                <w:color w:val="FF0000"/>
                <w:kern w:val="0"/>
                <w:sz w:val="24"/>
                <w:szCs w:val="24"/>
                <w:u w:val="single"/>
                <w:lang w:val="en-US" w:eastAsia="zh-CN" w:bidi="ar"/>
              </w:rPr>
              <w:t xml:space="preserve">t/a，暂存于生活垃圾收集舱内，交由湘阴县环卫服务中心处置。 </w:t>
            </w:r>
          </w:p>
          <w:p>
            <w:pPr>
              <w:keepNext w:val="0"/>
              <w:keepLines w:val="0"/>
              <w:widowControl/>
              <w:numPr>
                <w:ilvl w:val="0"/>
                <w:numId w:val="0"/>
              </w:numPr>
              <w:suppressLineNumbers w:val="0"/>
              <w:spacing w:line="360" w:lineRule="auto"/>
              <w:ind w:firstLine="480" w:firstLineChars="200"/>
              <w:jc w:val="left"/>
              <w:rPr>
                <w:rFonts w:hint="eastAsia" w:cs="Times New Roman"/>
                <w:color w:val="FF0000"/>
                <w:kern w:val="0"/>
                <w:sz w:val="24"/>
                <w:szCs w:val="24"/>
                <w:u w:val="single"/>
                <w:lang w:val="en-US" w:eastAsia="zh-CN" w:bidi="ar"/>
              </w:rPr>
            </w:pPr>
            <w:r>
              <w:rPr>
                <w:rFonts w:hint="eastAsia" w:cs="Times New Roman"/>
                <w:color w:val="FF0000"/>
                <w:kern w:val="0"/>
                <w:sz w:val="24"/>
                <w:szCs w:val="24"/>
                <w:u w:val="single"/>
                <w:lang w:val="en-US" w:eastAsia="zh-CN" w:bidi="ar"/>
              </w:rPr>
              <w:t>③废机油桶（HW49）</w:t>
            </w:r>
          </w:p>
          <w:p>
            <w:pPr>
              <w:keepNext w:val="0"/>
              <w:keepLines w:val="0"/>
              <w:widowControl/>
              <w:numPr>
                <w:ilvl w:val="0"/>
                <w:numId w:val="0"/>
              </w:numPr>
              <w:suppressLineNumbers w:val="0"/>
              <w:spacing w:line="360" w:lineRule="auto"/>
              <w:ind w:firstLine="480" w:firstLineChars="200"/>
              <w:jc w:val="left"/>
              <w:rPr>
                <w:rFonts w:hint="default" w:cs="Times New Roman"/>
                <w:color w:val="FF0000"/>
                <w:kern w:val="0"/>
                <w:sz w:val="24"/>
                <w:szCs w:val="24"/>
                <w:u w:val="single"/>
                <w:lang w:val="en-US" w:eastAsia="zh-CN" w:bidi="ar"/>
              </w:rPr>
            </w:pPr>
            <w:r>
              <w:rPr>
                <w:rFonts w:hint="eastAsia" w:ascii="Times New Roman" w:hAnsi="Times New Roman" w:eastAsia="宋体" w:cs="Times New Roman"/>
                <w:color w:val="FF0000"/>
                <w:kern w:val="0"/>
                <w:sz w:val="24"/>
                <w:szCs w:val="24"/>
                <w:u w:val="single"/>
                <w:lang w:val="en-US" w:eastAsia="zh-CN" w:bidi="ar"/>
              </w:rPr>
              <w:t>项目</w:t>
            </w:r>
            <w:r>
              <w:rPr>
                <w:rFonts w:hint="eastAsia" w:cs="Times New Roman"/>
                <w:color w:val="FF0000"/>
                <w:kern w:val="0"/>
                <w:sz w:val="24"/>
                <w:szCs w:val="24"/>
                <w:u w:val="single"/>
                <w:lang w:val="en-US" w:eastAsia="zh-CN" w:bidi="ar"/>
              </w:rPr>
              <w:t>废机油桶产生量为0.01t/a，暂存于危险废物暂存舱内，定期交由有资质单位进行处置。</w:t>
            </w:r>
          </w:p>
          <w:p>
            <w:pPr>
              <w:keepNext w:val="0"/>
              <w:keepLines w:val="0"/>
              <w:widowControl/>
              <w:numPr>
                <w:ilvl w:val="0"/>
                <w:numId w:val="0"/>
              </w:numPr>
              <w:suppressLineNumbers w:val="0"/>
              <w:spacing w:line="360" w:lineRule="auto"/>
              <w:ind w:firstLine="480" w:firstLineChars="200"/>
              <w:jc w:val="left"/>
              <w:rPr>
                <w:rFonts w:hint="eastAsia" w:cs="Times New Roman"/>
                <w:color w:val="FF0000"/>
                <w:kern w:val="0"/>
                <w:sz w:val="24"/>
                <w:szCs w:val="24"/>
                <w:u w:val="single"/>
                <w:lang w:val="en-US" w:eastAsia="zh-CN" w:bidi="ar"/>
              </w:rPr>
            </w:pPr>
            <w:r>
              <w:rPr>
                <w:rFonts w:hint="eastAsia" w:cs="Times New Roman"/>
                <w:color w:val="FF0000"/>
                <w:kern w:val="0"/>
                <w:sz w:val="24"/>
                <w:szCs w:val="24"/>
                <w:u w:val="single"/>
                <w:lang w:val="en-US" w:eastAsia="zh-CN" w:bidi="ar"/>
              </w:rPr>
              <w:t>④废含油抹布（HW49）</w:t>
            </w:r>
          </w:p>
          <w:p>
            <w:pPr>
              <w:keepNext w:val="0"/>
              <w:keepLines w:val="0"/>
              <w:widowControl/>
              <w:numPr>
                <w:ilvl w:val="0"/>
                <w:numId w:val="0"/>
              </w:numPr>
              <w:suppressLineNumbers w:val="0"/>
              <w:spacing w:line="360" w:lineRule="auto"/>
              <w:ind w:firstLine="480" w:firstLineChars="200"/>
              <w:jc w:val="left"/>
              <w:rPr>
                <w:rFonts w:hint="eastAsia" w:cs="Times New Roman"/>
                <w:color w:val="FF0000"/>
                <w:kern w:val="0"/>
                <w:sz w:val="24"/>
                <w:szCs w:val="24"/>
                <w:u w:val="single"/>
                <w:lang w:val="en-US" w:eastAsia="zh-CN" w:bidi="ar"/>
              </w:rPr>
            </w:pPr>
            <w:r>
              <w:rPr>
                <w:rFonts w:hint="eastAsia" w:ascii="Times New Roman" w:hAnsi="Times New Roman" w:eastAsia="宋体" w:cs="Times New Roman"/>
                <w:color w:val="FF0000"/>
                <w:kern w:val="0"/>
                <w:sz w:val="24"/>
                <w:szCs w:val="24"/>
                <w:u w:val="single"/>
                <w:lang w:val="en-US" w:eastAsia="zh-CN" w:bidi="ar"/>
              </w:rPr>
              <w:t>项目</w:t>
            </w:r>
            <w:r>
              <w:rPr>
                <w:rFonts w:hint="eastAsia" w:cs="Times New Roman"/>
                <w:color w:val="FF0000"/>
                <w:kern w:val="0"/>
                <w:sz w:val="24"/>
                <w:szCs w:val="24"/>
                <w:u w:val="single"/>
                <w:lang w:val="en-US" w:eastAsia="zh-CN" w:bidi="ar"/>
              </w:rPr>
              <w:t>废含油抹布产生量为0.01t/a，暂存于危险废物暂存舱内，定期交由有资质单位进行处置。</w:t>
            </w:r>
          </w:p>
          <w:p>
            <w:pPr>
              <w:keepNext w:val="0"/>
              <w:keepLines w:val="0"/>
              <w:widowControl/>
              <w:numPr>
                <w:ilvl w:val="0"/>
                <w:numId w:val="0"/>
              </w:numPr>
              <w:suppressLineNumbers w:val="0"/>
              <w:spacing w:line="360" w:lineRule="auto"/>
              <w:ind w:firstLine="480" w:firstLineChars="200"/>
              <w:jc w:val="left"/>
              <w:rPr>
                <w:rFonts w:hint="eastAsia" w:cs="Times New Roman"/>
                <w:color w:val="FF0000"/>
                <w:kern w:val="0"/>
                <w:sz w:val="24"/>
                <w:szCs w:val="24"/>
                <w:u w:val="single"/>
                <w:lang w:val="en-US" w:eastAsia="zh-CN" w:bidi="ar"/>
              </w:rPr>
            </w:pPr>
            <w:r>
              <w:rPr>
                <w:rFonts w:hint="eastAsia" w:cs="Times New Roman"/>
                <w:color w:val="FF0000"/>
                <w:kern w:val="0"/>
                <w:sz w:val="24"/>
                <w:szCs w:val="24"/>
                <w:u w:val="single"/>
                <w:lang w:val="en-US" w:eastAsia="zh-CN" w:bidi="ar"/>
              </w:rPr>
              <w:t>⑤废液压油桶（HW49）</w:t>
            </w:r>
          </w:p>
          <w:p>
            <w:pPr>
              <w:keepNext w:val="0"/>
              <w:keepLines w:val="0"/>
              <w:widowControl/>
              <w:numPr>
                <w:ilvl w:val="0"/>
                <w:numId w:val="0"/>
              </w:numPr>
              <w:suppressLineNumbers w:val="0"/>
              <w:spacing w:line="360" w:lineRule="auto"/>
              <w:ind w:firstLine="480" w:firstLineChars="200"/>
              <w:jc w:val="left"/>
              <w:rPr>
                <w:rFonts w:hint="eastAsia" w:cs="Times New Roman"/>
                <w:color w:val="FF0000"/>
                <w:kern w:val="0"/>
                <w:sz w:val="24"/>
                <w:szCs w:val="24"/>
                <w:u w:val="single"/>
                <w:lang w:val="en-US" w:eastAsia="zh-CN" w:bidi="ar"/>
              </w:rPr>
            </w:pPr>
            <w:r>
              <w:rPr>
                <w:rFonts w:hint="eastAsia" w:ascii="Times New Roman" w:hAnsi="Times New Roman" w:eastAsia="宋体" w:cs="Times New Roman"/>
                <w:color w:val="FF0000"/>
                <w:kern w:val="0"/>
                <w:sz w:val="24"/>
                <w:szCs w:val="24"/>
                <w:u w:val="single"/>
                <w:lang w:val="en-US" w:eastAsia="zh-CN" w:bidi="ar"/>
              </w:rPr>
              <w:t>项目</w:t>
            </w:r>
            <w:r>
              <w:rPr>
                <w:rFonts w:hint="eastAsia" w:cs="Times New Roman"/>
                <w:color w:val="FF0000"/>
                <w:kern w:val="0"/>
                <w:sz w:val="24"/>
                <w:szCs w:val="24"/>
                <w:u w:val="single"/>
                <w:lang w:val="en-US" w:eastAsia="zh-CN" w:bidi="ar"/>
              </w:rPr>
              <w:t>废液压油桶产生量为0.01t/a，暂存于危险废物暂存舱内，定期交由有资质单位进行处置。</w:t>
            </w:r>
          </w:p>
          <w:p>
            <w:pPr>
              <w:keepNext w:val="0"/>
              <w:keepLines w:val="0"/>
              <w:widowControl/>
              <w:numPr>
                <w:ilvl w:val="0"/>
                <w:numId w:val="0"/>
              </w:numPr>
              <w:suppressLineNumbers w:val="0"/>
              <w:spacing w:line="360" w:lineRule="auto"/>
              <w:ind w:firstLine="480" w:firstLineChars="200"/>
              <w:jc w:val="left"/>
              <w:rPr>
                <w:rFonts w:hint="eastAsia" w:cs="Times New Roman"/>
                <w:color w:val="FF0000"/>
                <w:kern w:val="0"/>
                <w:sz w:val="24"/>
                <w:szCs w:val="24"/>
                <w:u w:val="single"/>
                <w:lang w:val="en-US" w:eastAsia="zh-CN" w:bidi="ar"/>
              </w:rPr>
            </w:pPr>
            <w:r>
              <w:rPr>
                <w:rFonts w:hint="eastAsia" w:cs="Times New Roman"/>
                <w:color w:val="FF0000"/>
                <w:kern w:val="0"/>
                <w:sz w:val="24"/>
                <w:szCs w:val="24"/>
                <w:u w:val="single"/>
                <w:lang w:val="en-US" w:eastAsia="zh-CN" w:bidi="ar"/>
              </w:rPr>
              <w:t>⑥废油水分离器（HW49）</w:t>
            </w:r>
          </w:p>
          <w:p>
            <w:pPr>
              <w:keepNext w:val="0"/>
              <w:keepLines w:val="0"/>
              <w:widowControl/>
              <w:numPr>
                <w:ilvl w:val="0"/>
                <w:numId w:val="0"/>
              </w:numPr>
              <w:suppressLineNumbers w:val="0"/>
              <w:spacing w:line="360" w:lineRule="auto"/>
              <w:ind w:firstLine="480" w:firstLineChars="200"/>
              <w:jc w:val="left"/>
              <w:rPr>
                <w:rFonts w:hint="default" w:cs="Times New Roman"/>
                <w:color w:val="FF0000"/>
                <w:kern w:val="0"/>
                <w:sz w:val="24"/>
                <w:szCs w:val="24"/>
                <w:u w:val="single"/>
                <w:lang w:val="en-US" w:eastAsia="zh-CN" w:bidi="ar"/>
              </w:rPr>
            </w:pPr>
            <w:r>
              <w:rPr>
                <w:rFonts w:hint="eastAsia" w:cs="Times New Roman"/>
                <w:color w:val="FF0000"/>
                <w:kern w:val="0"/>
                <w:sz w:val="24"/>
                <w:szCs w:val="24"/>
                <w:u w:val="single"/>
                <w:lang w:val="en-US" w:eastAsia="zh-CN" w:bidi="ar"/>
              </w:rPr>
              <w:t>项目废油水分离器产生量为0.01t/a，暂存于危险废物暂存舱内，定期交由有资质单位进行处置。</w:t>
            </w:r>
          </w:p>
          <w:p>
            <w:pPr>
              <w:adjustRightInd w:val="0"/>
              <w:snapToGrid w:val="0"/>
              <w:spacing w:line="360" w:lineRule="auto"/>
              <w:ind w:firstLine="442" w:firstLineChars="200"/>
              <w:rPr>
                <w:rFonts w:hint="default" w:ascii="Times New Roman" w:hAnsi="Times New Roman" w:eastAsia="宋体" w:cs="Times New Roman"/>
                <w:b/>
                <w:bCs w:val="0"/>
                <w:color w:val="FF0000"/>
                <w:spacing w:val="-10"/>
                <w:sz w:val="24"/>
                <w:u w:val="single"/>
              </w:rPr>
            </w:pPr>
            <w:r>
              <w:rPr>
                <w:rFonts w:hint="default" w:ascii="Times New Roman" w:hAnsi="Times New Roman" w:eastAsia="宋体" w:cs="Times New Roman"/>
                <w:b/>
                <w:bCs w:val="0"/>
                <w:color w:val="FF0000"/>
                <w:spacing w:val="-10"/>
                <w:sz w:val="24"/>
                <w:u w:val="single"/>
              </w:rPr>
              <w:t>生活垃圾</w:t>
            </w:r>
            <w:r>
              <w:rPr>
                <w:rFonts w:hint="eastAsia" w:cs="Times New Roman"/>
                <w:b/>
                <w:bCs w:val="0"/>
                <w:color w:val="FF0000"/>
                <w:spacing w:val="-10"/>
                <w:sz w:val="24"/>
                <w:u w:val="single"/>
                <w:lang w:eastAsia="zh-CN"/>
              </w:rPr>
              <w:t>、</w:t>
            </w:r>
            <w:r>
              <w:rPr>
                <w:rFonts w:hint="eastAsia" w:cs="Times New Roman"/>
                <w:b/>
                <w:bCs w:val="0"/>
                <w:color w:val="FF0000"/>
                <w:spacing w:val="-10"/>
                <w:sz w:val="24"/>
                <w:u w:val="single"/>
                <w:lang w:val="en-US" w:eastAsia="zh-CN"/>
              </w:rPr>
              <w:t>生活污水</w:t>
            </w:r>
            <w:r>
              <w:rPr>
                <w:rFonts w:hint="default" w:ascii="Times New Roman" w:hAnsi="Times New Roman" w:eastAsia="宋体" w:cs="Times New Roman"/>
                <w:b/>
                <w:bCs w:val="0"/>
                <w:color w:val="FF0000"/>
                <w:spacing w:val="-10"/>
                <w:sz w:val="24"/>
                <w:u w:val="single"/>
              </w:rPr>
              <w:t>收集管理要求：</w:t>
            </w:r>
          </w:p>
          <w:p>
            <w:pPr>
              <w:adjustRightInd w:val="0"/>
              <w:snapToGrid w:val="0"/>
              <w:spacing w:line="360" w:lineRule="auto"/>
              <w:ind w:firstLine="440" w:firstLineChars="200"/>
              <w:rPr>
                <w:rFonts w:hint="default" w:ascii="Times New Roman" w:hAnsi="Times New Roman" w:eastAsia="宋体" w:cs="Times New Roman"/>
                <w:b w:val="0"/>
                <w:bCs/>
                <w:color w:val="FF0000"/>
                <w:spacing w:val="-10"/>
                <w:sz w:val="24"/>
                <w:u w:val="single"/>
              </w:rPr>
            </w:pPr>
            <w:r>
              <w:rPr>
                <w:rFonts w:hint="default" w:ascii="Times New Roman" w:hAnsi="Times New Roman" w:eastAsia="宋体" w:cs="Times New Roman"/>
                <w:b w:val="0"/>
                <w:bCs/>
                <w:color w:val="FF0000"/>
                <w:spacing w:val="-10"/>
                <w:sz w:val="24"/>
                <w:u w:val="single"/>
              </w:rPr>
              <w:t>船舶生活垃圾</w:t>
            </w:r>
            <w:r>
              <w:rPr>
                <w:rFonts w:hint="eastAsia" w:cs="Times New Roman"/>
                <w:b w:val="0"/>
                <w:bCs/>
                <w:color w:val="FF0000"/>
                <w:spacing w:val="-10"/>
                <w:sz w:val="24"/>
                <w:u w:val="single"/>
                <w:lang w:eastAsia="zh-CN"/>
              </w:rPr>
              <w:t>、</w:t>
            </w:r>
            <w:r>
              <w:rPr>
                <w:rFonts w:hint="eastAsia" w:cs="Times New Roman"/>
                <w:b w:val="0"/>
                <w:bCs/>
                <w:color w:val="FF0000"/>
                <w:spacing w:val="-10"/>
                <w:sz w:val="24"/>
                <w:u w:val="single"/>
                <w:lang w:val="en-US" w:eastAsia="zh-CN"/>
              </w:rPr>
              <w:t>生活污水</w:t>
            </w:r>
            <w:r>
              <w:rPr>
                <w:rFonts w:hint="default" w:ascii="Times New Roman" w:hAnsi="Times New Roman" w:eastAsia="宋体" w:cs="Times New Roman"/>
                <w:b w:val="0"/>
                <w:bCs/>
                <w:color w:val="FF0000"/>
                <w:spacing w:val="-10"/>
                <w:sz w:val="24"/>
                <w:u w:val="single"/>
              </w:rPr>
              <w:t>不得倒入水域，收集桶应设置为带盖、防渗漏，并有明显标志</w:t>
            </w:r>
            <w:r>
              <w:rPr>
                <w:rFonts w:hint="default" w:ascii="Times New Roman" w:hAnsi="Times New Roman" w:eastAsia="宋体" w:cs="Times New Roman"/>
                <w:b w:val="0"/>
                <w:bCs/>
                <w:color w:val="FF0000"/>
                <w:spacing w:val="-10"/>
                <w:sz w:val="24"/>
                <w:u w:val="single"/>
                <w:lang w:eastAsia="zh-CN"/>
              </w:rPr>
              <w:t>，</w:t>
            </w:r>
            <w:r>
              <w:rPr>
                <w:rFonts w:hint="default" w:ascii="Times New Roman" w:hAnsi="Times New Roman" w:eastAsia="宋体" w:cs="Times New Roman"/>
                <w:b w:val="0"/>
                <w:bCs/>
                <w:color w:val="FF0000"/>
                <w:spacing w:val="-10"/>
                <w:sz w:val="24"/>
                <w:u w:val="single"/>
              </w:rPr>
              <w:t>当船舶停靠后泊点时，在指定的</w:t>
            </w:r>
            <w:r>
              <w:rPr>
                <w:rFonts w:hint="eastAsia" w:cs="Times New Roman"/>
                <w:b w:val="0"/>
                <w:bCs/>
                <w:color w:val="FF0000"/>
                <w:spacing w:val="-10"/>
                <w:sz w:val="24"/>
                <w:u w:val="single"/>
                <w:lang w:val="en-US" w:eastAsia="zh-CN"/>
              </w:rPr>
              <w:t>锚地进行收集，在指定的</w:t>
            </w:r>
            <w:r>
              <w:rPr>
                <w:rFonts w:hint="default" w:ascii="Times New Roman" w:hAnsi="Times New Roman" w:eastAsia="宋体" w:cs="Times New Roman"/>
                <w:b w:val="0"/>
                <w:bCs/>
                <w:color w:val="FF0000"/>
                <w:spacing w:val="-10"/>
                <w:sz w:val="24"/>
                <w:u w:val="single"/>
                <w:lang w:val="en-US" w:eastAsia="zh-CN"/>
              </w:rPr>
              <w:t>码头进行转运</w:t>
            </w:r>
            <w:r>
              <w:rPr>
                <w:rFonts w:hint="default" w:ascii="Times New Roman" w:hAnsi="Times New Roman" w:eastAsia="宋体" w:cs="Times New Roman"/>
                <w:b w:val="0"/>
                <w:bCs/>
                <w:color w:val="FF0000"/>
                <w:spacing w:val="-10"/>
                <w:sz w:val="24"/>
                <w:u w:val="single"/>
              </w:rPr>
              <w:t>。</w:t>
            </w:r>
          </w:p>
          <w:p>
            <w:pPr>
              <w:numPr>
                <w:ilvl w:val="0"/>
                <w:numId w:val="0"/>
              </w:numPr>
              <w:adjustRightInd w:val="0"/>
              <w:snapToGrid w:val="0"/>
              <w:spacing w:line="360" w:lineRule="auto"/>
              <w:ind w:firstLine="440" w:firstLineChars="200"/>
              <w:rPr>
                <w:rFonts w:hint="default" w:ascii="Times New Roman" w:hAnsi="Times New Roman" w:eastAsia="宋体" w:cs="Times New Roman"/>
                <w:b w:val="0"/>
                <w:bCs/>
                <w:color w:val="FF0000"/>
                <w:spacing w:val="-10"/>
                <w:sz w:val="24"/>
                <w:u w:val="single"/>
              </w:rPr>
            </w:pPr>
            <w:r>
              <w:rPr>
                <w:rFonts w:hint="default" w:ascii="Times New Roman" w:hAnsi="Times New Roman" w:eastAsia="宋体" w:cs="Times New Roman"/>
                <w:b w:val="0"/>
                <w:bCs/>
                <w:color w:val="FF0000"/>
                <w:spacing w:val="-10"/>
                <w:sz w:val="24"/>
                <w:u w:val="single"/>
              </w:rPr>
              <w:t>船上的任何塑料制品垃圾</w:t>
            </w:r>
            <w:r>
              <w:rPr>
                <w:rFonts w:hint="eastAsia" w:cs="Times New Roman"/>
                <w:b w:val="0"/>
                <w:bCs/>
                <w:color w:val="FF0000"/>
                <w:spacing w:val="-10"/>
                <w:sz w:val="24"/>
                <w:u w:val="single"/>
                <w:lang w:eastAsia="zh-CN"/>
              </w:rPr>
              <w:t>（</w:t>
            </w:r>
            <w:r>
              <w:rPr>
                <w:rFonts w:hint="default" w:ascii="Times New Roman" w:hAnsi="Times New Roman" w:eastAsia="宋体" w:cs="Times New Roman"/>
                <w:b w:val="0"/>
                <w:bCs/>
                <w:color w:val="FF0000"/>
                <w:spacing w:val="-10"/>
                <w:sz w:val="24"/>
                <w:u w:val="single"/>
              </w:rPr>
              <w:t>包括合成纤维绳和渔网，各种包装用塑料纸、绳、 袋、容器、捆扎啤酒罐的塑料环以及存放垃圾的塑料袋等</w:t>
            </w:r>
            <w:r>
              <w:rPr>
                <w:rFonts w:hint="eastAsia" w:cs="Times New Roman"/>
                <w:b w:val="0"/>
                <w:bCs/>
                <w:color w:val="FF0000"/>
                <w:spacing w:val="-10"/>
                <w:sz w:val="24"/>
                <w:u w:val="single"/>
                <w:lang w:eastAsia="zh-CN"/>
              </w:rPr>
              <w:t>）</w:t>
            </w:r>
            <w:r>
              <w:rPr>
                <w:rFonts w:hint="default" w:ascii="Times New Roman" w:hAnsi="Times New Roman" w:eastAsia="宋体" w:cs="Times New Roman"/>
                <w:b w:val="0"/>
                <w:bCs/>
                <w:color w:val="FF0000"/>
                <w:spacing w:val="-10"/>
                <w:sz w:val="24"/>
                <w:u w:val="single"/>
              </w:rPr>
              <w:t>严禁在任何水域投弃，船上应专设盛放此类垃圾的容器。</w:t>
            </w:r>
          </w:p>
          <w:p>
            <w:pPr>
              <w:numPr>
                <w:ilvl w:val="0"/>
                <w:numId w:val="0"/>
              </w:numPr>
              <w:adjustRightInd w:val="0"/>
              <w:snapToGrid w:val="0"/>
              <w:spacing w:line="360" w:lineRule="auto"/>
              <w:ind w:firstLine="440" w:firstLineChars="200"/>
              <w:rPr>
                <w:rFonts w:hint="default" w:ascii="Times New Roman" w:hAnsi="Times New Roman" w:eastAsia="宋体" w:cs="Times New Roman"/>
                <w:b w:val="0"/>
                <w:bCs/>
                <w:color w:val="FF0000"/>
                <w:spacing w:val="-10"/>
                <w:sz w:val="24"/>
                <w:u w:val="single"/>
              </w:rPr>
            </w:pPr>
            <w:r>
              <w:rPr>
                <w:rFonts w:hint="default" w:ascii="Times New Roman" w:hAnsi="Times New Roman" w:eastAsia="宋体" w:cs="Times New Roman"/>
                <w:b w:val="0"/>
                <w:bCs/>
                <w:color w:val="FF0000"/>
                <w:spacing w:val="-10"/>
                <w:sz w:val="24"/>
                <w:u w:val="single"/>
              </w:rPr>
              <w:t>船员如果发现其它船舶违章处理垃圾</w:t>
            </w:r>
            <w:r>
              <w:rPr>
                <w:rFonts w:hint="eastAsia" w:cs="Times New Roman"/>
                <w:b w:val="0"/>
                <w:bCs/>
                <w:color w:val="FF0000"/>
                <w:spacing w:val="-10"/>
                <w:sz w:val="24"/>
                <w:u w:val="single"/>
                <w:lang w:eastAsia="zh-CN"/>
              </w:rPr>
              <w:t>、</w:t>
            </w:r>
            <w:r>
              <w:rPr>
                <w:rFonts w:hint="eastAsia" w:cs="Times New Roman"/>
                <w:b w:val="0"/>
                <w:bCs/>
                <w:color w:val="FF0000"/>
                <w:spacing w:val="-10"/>
                <w:sz w:val="24"/>
                <w:u w:val="single"/>
                <w:lang w:val="en-US" w:eastAsia="zh-CN"/>
              </w:rPr>
              <w:t>污水</w:t>
            </w:r>
            <w:r>
              <w:rPr>
                <w:rFonts w:hint="default" w:ascii="Times New Roman" w:hAnsi="Times New Roman" w:eastAsia="宋体" w:cs="Times New Roman"/>
                <w:b w:val="0"/>
                <w:bCs/>
                <w:color w:val="FF0000"/>
                <w:spacing w:val="-10"/>
                <w:sz w:val="24"/>
                <w:u w:val="single"/>
              </w:rPr>
              <w:t>，或本船垃圾</w:t>
            </w:r>
            <w:r>
              <w:rPr>
                <w:rFonts w:hint="eastAsia" w:cs="Times New Roman"/>
                <w:b w:val="0"/>
                <w:bCs/>
                <w:color w:val="FF0000"/>
                <w:spacing w:val="-10"/>
                <w:sz w:val="24"/>
                <w:u w:val="single"/>
                <w:lang w:eastAsia="zh-CN"/>
              </w:rPr>
              <w:t>、</w:t>
            </w:r>
            <w:r>
              <w:rPr>
                <w:rFonts w:hint="eastAsia" w:cs="Times New Roman"/>
                <w:b w:val="0"/>
                <w:bCs/>
                <w:color w:val="FF0000"/>
                <w:spacing w:val="-10"/>
                <w:sz w:val="24"/>
                <w:u w:val="single"/>
                <w:lang w:val="en-US" w:eastAsia="zh-CN"/>
              </w:rPr>
              <w:t>污水</w:t>
            </w:r>
            <w:r>
              <w:rPr>
                <w:rFonts w:hint="default" w:ascii="Times New Roman" w:hAnsi="Times New Roman" w:eastAsia="宋体" w:cs="Times New Roman"/>
                <w:b w:val="0"/>
                <w:bCs/>
                <w:color w:val="FF0000"/>
                <w:spacing w:val="-10"/>
                <w:sz w:val="24"/>
                <w:u w:val="single"/>
              </w:rPr>
              <w:t>逸漏污染水面，或发现水面污染严重时，应立即报告船长和值班负责人，船长应迅速向当地海事部门报告有关情况。项目产生的生活垃圾</w:t>
            </w:r>
            <w:r>
              <w:rPr>
                <w:rFonts w:hint="eastAsia" w:cs="Times New Roman"/>
                <w:b w:val="0"/>
                <w:bCs/>
                <w:color w:val="FF0000"/>
                <w:spacing w:val="-10"/>
                <w:sz w:val="24"/>
                <w:u w:val="single"/>
                <w:lang w:eastAsia="zh-CN"/>
              </w:rPr>
              <w:t>、</w:t>
            </w:r>
            <w:r>
              <w:rPr>
                <w:rFonts w:hint="eastAsia" w:cs="Times New Roman"/>
                <w:b w:val="0"/>
                <w:bCs/>
                <w:color w:val="FF0000"/>
                <w:spacing w:val="-10"/>
                <w:sz w:val="24"/>
                <w:u w:val="single"/>
                <w:lang w:val="en-US" w:eastAsia="zh-CN"/>
              </w:rPr>
              <w:t>生活污水</w:t>
            </w:r>
            <w:r>
              <w:rPr>
                <w:rFonts w:hint="default" w:ascii="Times New Roman" w:hAnsi="Times New Roman" w:eastAsia="宋体" w:cs="Times New Roman"/>
                <w:b w:val="0"/>
                <w:bCs/>
                <w:color w:val="FF0000"/>
                <w:spacing w:val="-10"/>
                <w:sz w:val="24"/>
                <w:u w:val="single"/>
              </w:rPr>
              <w:t>集中用专用设备收集后，</w:t>
            </w:r>
            <w:r>
              <w:rPr>
                <w:rFonts w:hint="eastAsia" w:cs="Times New Roman"/>
                <w:b w:val="0"/>
                <w:bCs/>
                <w:color w:val="FF0000"/>
                <w:spacing w:val="-10"/>
                <w:sz w:val="24"/>
                <w:u w:val="single"/>
                <w:lang w:val="en-US" w:eastAsia="zh-CN"/>
              </w:rPr>
              <w:t>生活垃圾</w:t>
            </w:r>
            <w:r>
              <w:rPr>
                <w:rFonts w:hint="default" w:ascii="Times New Roman" w:hAnsi="Times New Roman" w:eastAsia="宋体" w:cs="Times New Roman"/>
                <w:b w:val="0"/>
                <w:bCs/>
                <w:color w:val="FF0000"/>
                <w:spacing w:val="-10"/>
                <w:sz w:val="24"/>
                <w:u w:val="single"/>
              </w:rPr>
              <w:t>带上岸交</w:t>
            </w:r>
            <w:r>
              <w:rPr>
                <w:rFonts w:hint="default" w:ascii="Times New Roman" w:hAnsi="Times New Roman" w:eastAsia="宋体" w:cs="Times New Roman"/>
                <w:color w:val="FF0000"/>
                <w:kern w:val="0"/>
                <w:sz w:val="24"/>
                <w:szCs w:val="24"/>
                <w:u w:val="single"/>
                <w:lang w:val="en-US" w:eastAsia="zh-CN" w:bidi="ar"/>
              </w:rPr>
              <w:t>湘阴县环卫服务中心处置</w:t>
            </w:r>
            <w:r>
              <w:rPr>
                <w:rFonts w:hint="default" w:ascii="Times New Roman" w:hAnsi="Times New Roman" w:eastAsia="宋体" w:cs="Times New Roman"/>
                <w:b w:val="0"/>
                <w:bCs/>
                <w:color w:val="FF0000"/>
                <w:spacing w:val="-10"/>
                <w:sz w:val="24"/>
                <w:u w:val="single"/>
              </w:rPr>
              <w:t>，</w:t>
            </w:r>
            <w:r>
              <w:rPr>
                <w:rFonts w:hint="eastAsia" w:cs="Times New Roman"/>
                <w:b w:val="0"/>
                <w:bCs/>
                <w:color w:val="FF0000"/>
                <w:spacing w:val="-10"/>
                <w:sz w:val="24"/>
                <w:u w:val="single"/>
                <w:lang w:val="en-US" w:eastAsia="zh-CN"/>
              </w:rPr>
              <w:t>生活污水交由葛洲坝水务（湘阴）有限公司，均</w:t>
            </w:r>
            <w:r>
              <w:rPr>
                <w:rFonts w:hint="default" w:ascii="Times New Roman" w:hAnsi="Times New Roman" w:eastAsia="宋体" w:cs="Times New Roman"/>
                <w:b w:val="0"/>
                <w:bCs/>
                <w:color w:val="FF0000"/>
                <w:spacing w:val="-10"/>
                <w:sz w:val="24"/>
                <w:u w:val="single"/>
              </w:rPr>
              <w:t>不对外排放，对周边环境无明显影响。</w:t>
            </w:r>
          </w:p>
          <w:p>
            <w:pPr>
              <w:numPr>
                <w:ilvl w:val="0"/>
                <w:numId w:val="0"/>
              </w:numPr>
              <w:adjustRightInd w:val="0"/>
              <w:snapToGrid w:val="0"/>
              <w:spacing w:line="360" w:lineRule="auto"/>
              <w:ind w:firstLine="442" w:firstLineChars="200"/>
              <w:rPr>
                <w:rFonts w:hint="default" w:ascii="Times New Roman" w:hAnsi="Times New Roman" w:eastAsia="宋体" w:cs="Times New Roman"/>
                <w:b/>
                <w:bCs w:val="0"/>
                <w:color w:val="FF0000"/>
                <w:spacing w:val="-10"/>
                <w:sz w:val="24"/>
                <w:u w:val="single"/>
                <w:lang w:val="en-US" w:eastAsia="zh-CN"/>
              </w:rPr>
            </w:pPr>
            <w:r>
              <w:rPr>
                <w:rFonts w:hint="default" w:ascii="Times New Roman" w:hAnsi="Times New Roman" w:eastAsia="宋体" w:cs="Times New Roman"/>
                <w:b/>
                <w:bCs w:val="0"/>
                <w:color w:val="FF0000"/>
                <w:spacing w:val="-10"/>
                <w:sz w:val="24"/>
                <w:u w:val="single"/>
                <w:lang w:val="en-US" w:eastAsia="zh-CN"/>
              </w:rPr>
              <w:t>危险废物管理要求：</w:t>
            </w:r>
          </w:p>
          <w:p>
            <w:pPr>
              <w:numPr>
                <w:ilvl w:val="0"/>
                <w:numId w:val="0"/>
              </w:numPr>
              <w:adjustRightInd w:val="0"/>
              <w:snapToGrid w:val="0"/>
              <w:spacing w:line="360" w:lineRule="auto"/>
              <w:ind w:firstLine="440" w:firstLineChars="200"/>
              <w:rPr>
                <w:rFonts w:hint="default" w:ascii="Times New Roman" w:hAnsi="Times New Roman" w:eastAsia="宋体" w:cs="Times New Roman"/>
                <w:b w:val="0"/>
                <w:bCs/>
                <w:color w:val="FF0000"/>
                <w:spacing w:val="-10"/>
                <w:sz w:val="24"/>
                <w:u w:val="single"/>
                <w:lang w:val="en-US" w:eastAsia="zh-CN"/>
              </w:rPr>
            </w:pPr>
            <w:r>
              <w:rPr>
                <w:rFonts w:hint="eastAsia" w:cs="Times New Roman"/>
                <w:b w:val="0"/>
                <w:bCs/>
                <w:color w:val="FF0000"/>
                <w:spacing w:val="-10"/>
                <w:sz w:val="24"/>
                <w:u w:val="single"/>
                <w:lang w:val="en-US" w:eastAsia="zh-CN"/>
              </w:rPr>
              <w:t>设置危废收集舱，各类危废分类暂存，本项目危险废物暂存场所均按照《危险废物贮存污染控制标准》（ GB18597-2001）及其2013年修改单的规定设置，通过规范设置危废暂存场所，可以保障危险废物暂存过程对周边环境不产生影响。</w:t>
            </w:r>
            <w:r>
              <w:rPr>
                <w:rFonts w:hint="default" w:ascii="Times New Roman" w:hAnsi="Times New Roman" w:eastAsia="宋体" w:cs="Times New Roman"/>
                <w:b w:val="0"/>
                <w:bCs/>
                <w:color w:val="FF0000"/>
                <w:spacing w:val="-10"/>
                <w:sz w:val="24"/>
                <w:u w:val="single"/>
                <w:lang w:val="en-US" w:eastAsia="zh-CN"/>
              </w:rPr>
              <w:t>危险废物统一收集后按照规定的线路在有危废装卸资质的漕溪港斜坡码头进行转运，卸载至专门油罐接收车运输至有资质单位处置，本项目不包括费矿物油的陆上运输、存储和处置。</w:t>
            </w:r>
          </w:p>
          <w:p>
            <w:pPr>
              <w:numPr>
                <w:ilvl w:val="0"/>
                <w:numId w:val="0"/>
              </w:numPr>
              <w:adjustRightInd w:val="0"/>
              <w:snapToGrid w:val="0"/>
              <w:spacing w:line="360" w:lineRule="auto"/>
              <w:ind w:firstLine="440" w:firstLineChars="200"/>
              <w:rPr>
                <w:rFonts w:hint="eastAsia" w:cs="Times New Roman"/>
                <w:b w:val="0"/>
                <w:bCs/>
                <w:color w:val="FF0000"/>
                <w:spacing w:val="-10"/>
                <w:sz w:val="24"/>
                <w:u w:val="single"/>
                <w:lang w:val="en-US" w:eastAsia="zh-CN"/>
              </w:rPr>
            </w:pPr>
            <w:r>
              <w:rPr>
                <w:rFonts w:hint="default" w:ascii="Times New Roman" w:hAnsi="Times New Roman" w:eastAsia="宋体" w:cs="Times New Roman"/>
                <w:b w:val="0"/>
                <w:bCs/>
                <w:color w:val="FF0000"/>
                <w:spacing w:val="-10"/>
                <w:sz w:val="24"/>
                <w:u w:val="single"/>
                <w:lang w:val="en-US" w:eastAsia="zh-CN"/>
              </w:rPr>
              <w:t>本项目危险废物</w:t>
            </w:r>
            <w:r>
              <w:rPr>
                <w:rFonts w:hint="eastAsia" w:cs="Times New Roman"/>
                <w:b w:val="0"/>
                <w:bCs/>
                <w:color w:val="FF0000"/>
                <w:spacing w:val="-10"/>
                <w:sz w:val="24"/>
                <w:u w:val="single"/>
                <w:lang w:val="en-US" w:eastAsia="zh-CN"/>
              </w:rPr>
              <w:t>必须在指定锚地进行收集，</w:t>
            </w:r>
            <w:r>
              <w:rPr>
                <w:rFonts w:hint="default" w:ascii="Times New Roman" w:hAnsi="Times New Roman" w:eastAsia="宋体" w:cs="Times New Roman"/>
                <w:b w:val="0"/>
                <w:bCs/>
                <w:color w:val="FF0000"/>
                <w:spacing w:val="-10"/>
                <w:sz w:val="24"/>
                <w:u w:val="single"/>
                <w:lang w:val="en-US" w:eastAsia="zh-CN"/>
              </w:rPr>
              <w:t>收集过程中应严格按照《危险废物贮存污染控制标准》 （GB18597-2001 ）及其修改单、《危险废物收集 贮存运输技术规范》（HJ2025-2012）、 《水路危险货物运输规则》（交通部令1996年第10号）、《危险废物转移联单管理办法》、JT617以及JT618等文件要求执行，其中有如下要求：</w:t>
            </w:r>
          </w:p>
          <w:p>
            <w:pPr>
              <w:numPr>
                <w:ilvl w:val="0"/>
                <w:numId w:val="0"/>
              </w:numPr>
              <w:adjustRightInd w:val="0"/>
              <w:snapToGrid w:val="0"/>
              <w:spacing w:line="360" w:lineRule="auto"/>
              <w:ind w:firstLine="440" w:firstLineChars="200"/>
              <w:rPr>
                <w:rFonts w:hint="eastAsia" w:cs="Times New Roman"/>
                <w:b w:val="0"/>
                <w:bCs/>
                <w:color w:val="FF0000"/>
                <w:spacing w:val="-10"/>
                <w:sz w:val="24"/>
                <w:u w:val="single"/>
                <w:lang w:val="en-US" w:eastAsia="zh-CN"/>
              </w:rPr>
            </w:pPr>
            <w:r>
              <w:rPr>
                <w:rFonts w:hint="eastAsia" w:cs="Times New Roman"/>
                <w:b w:val="0"/>
                <w:bCs/>
                <w:color w:val="FF0000"/>
                <w:spacing w:val="-10"/>
                <w:sz w:val="24"/>
                <w:u w:val="single"/>
                <w:lang w:val="en-US" w:eastAsia="zh-CN"/>
              </w:rPr>
              <w:t>①危险废物应装入容器内存放，且禁止将不相容的危险废物装入同一容器内；</w:t>
            </w:r>
          </w:p>
          <w:p>
            <w:pPr>
              <w:numPr>
                <w:ilvl w:val="0"/>
                <w:numId w:val="0"/>
              </w:numPr>
              <w:adjustRightInd w:val="0"/>
              <w:snapToGrid w:val="0"/>
              <w:spacing w:line="360" w:lineRule="auto"/>
              <w:ind w:firstLine="440" w:firstLineChars="200"/>
              <w:rPr>
                <w:rFonts w:hint="eastAsia" w:cs="Times New Roman"/>
                <w:b w:val="0"/>
                <w:bCs/>
                <w:color w:val="FF0000"/>
                <w:spacing w:val="-10"/>
                <w:sz w:val="24"/>
                <w:u w:val="single"/>
                <w:lang w:val="en-US" w:eastAsia="zh-CN"/>
              </w:rPr>
            </w:pPr>
            <w:r>
              <w:rPr>
                <w:rFonts w:hint="eastAsia" w:cs="Times New Roman"/>
                <w:b w:val="0"/>
                <w:bCs/>
                <w:color w:val="FF0000"/>
                <w:spacing w:val="-10"/>
                <w:sz w:val="24"/>
                <w:u w:val="single"/>
                <w:lang w:val="en-US" w:eastAsia="zh-CN"/>
              </w:rPr>
              <w:t>②危废暂存场所地面与裙脚采用达到标准要求防渗的材料建造，渗透系数≤10-10cm/s，防渗建筑材料须与危险废物相容；</w:t>
            </w:r>
          </w:p>
          <w:p>
            <w:pPr>
              <w:numPr>
                <w:ilvl w:val="0"/>
                <w:numId w:val="0"/>
              </w:numPr>
              <w:adjustRightInd w:val="0"/>
              <w:snapToGrid w:val="0"/>
              <w:spacing w:line="360" w:lineRule="auto"/>
              <w:ind w:firstLine="440" w:firstLineChars="200"/>
              <w:rPr>
                <w:rFonts w:hint="eastAsia" w:cs="Times New Roman"/>
                <w:b w:val="0"/>
                <w:bCs/>
                <w:color w:val="FF0000"/>
                <w:spacing w:val="-10"/>
                <w:sz w:val="24"/>
                <w:u w:val="single"/>
                <w:lang w:val="en-US" w:eastAsia="zh-CN"/>
              </w:rPr>
            </w:pPr>
            <w:r>
              <w:rPr>
                <w:rFonts w:hint="eastAsia" w:cs="Times New Roman"/>
                <w:b w:val="0"/>
                <w:bCs/>
                <w:color w:val="FF0000"/>
                <w:spacing w:val="-10"/>
                <w:sz w:val="24"/>
                <w:u w:val="single"/>
                <w:lang w:val="en-US" w:eastAsia="zh-CN"/>
              </w:rPr>
              <w:t>③危废暂存场所内设置有安全照明设施和观察窗口，场所四周设置边沟，建造径流疏导系统，同时做到“五防”（防风、防雨、防晒、防盗、防渗漏）要求；</w:t>
            </w:r>
          </w:p>
          <w:p>
            <w:pPr>
              <w:numPr>
                <w:ilvl w:val="0"/>
                <w:numId w:val="0"/>
              </w:numPr>
              <w:adjustRightInd w:val="0"/>
              <w:snapToGrid w:val="0"/>
              <w:spacing w:line="360" w:lineRule="auto"/>
              <w:ind w:firstLine="440" w:firstLineChars="200"/>
              <w:rPr>
                <w:rFonts w:hint="eastAsia" w:cs="Times New Roman"/>
                <w:b w:val="0"/>
                <w:bCs/>
                <w:color w:val="FF0000"/>
                <w:spacing w:val="-10"/>
                <w:sz w:val="24"/>
                <w:u w:val="single"/>
                <w:lang w:val="en-US" w:eastAsia="zh-CN"/>
              </w:rPr>
            </w:pPr>
            <w:r>
              <w:rPr>
                <w:rFonts w:hint="eastAsia" w:cs="Times New Roman"/>
                <w:b w:val="0"/>
                <w:bCs/>
                <w:color w:val="FF0000"/>
                <w:spacing w:val="-10"/>
                <w:sz w:val="24"/>
                <w:u w:val="single"/>
                <w:lang w:val="en-US" w:eastAsia="zh-CN"/>
              </w:rPr>
              <w:t>④盛装危险废物的容器上必须粘贴符合要求的危险废物标签；并设置明显的警示标识和防渗漏、防鼠、防蚊蝇、防蟑螂、防盗以及预防儿童接触等安全措施；</w:t>
            </w:r>
          </w:p>
          <w:p>
            <w:pPr>
              <w:numPr>
                <w:ilvl w:val="0"/>
                <w:numId w:val="0"/>
              </w:numPr>
              <w:adjustRightInd w:val="0"/>
              <w:snapToGrid w:val="0"/>
              <w:spacing w:line="360" w:lineRule="auto"/>
              <w:ind w:firstLine="440" w:firstLineChars="200"/>
              <w:rPr>
                <w:rFonts w:hint="eastAsia" w:cs="Times New Roman"/>
                <w:b w:val="0"/>
                <w:bCs/>
                <w:color w:val="FF0000"/>
                <w:spacing w:val="-10"/>
                <w:sz w:val="24"/>
                <w:u w:val="single"/>
                <w:lang w:val="en-US" w:eastAsia="zh-CN"/>
              </w:rPr>
            </w:pPr>
            <w:r>
              <w:rPr>
                <w:rFonts w:hint="eastAsia" w:cs="Times New Roman"/>
                <w:b w:val="0"/>
                <w:bCs/>
                <w:color w:val="FF0000"/>
                <w:spacing w:val="-10"/>
                <w:sz w:val="24"/>
                <w:u w:val="single"/>
                <w:lang w:val="en-US" w:eastAsia="zh-CN"/>
              </w:rPr>
              <w:t>⑤制定双人双锁管理制度，安排专人进行管理。</w:t>
            </w:r>
          </w:p>
          <w:p>
            <w:pPr>
              <w:numPr>
                <w:ilvl w:val="0"/>
                <w:numId w:val="0"/>
              </w:numPr>
              <w:adjustRightInd w:val="0"/>
              <w:snapToGrid w:val="0"/>
              <w:spacing w:line="360" w:lineRule="auto"/>
              <w:ind w:firstLine="440" w:firstLineChars="200"/>
              <w:rPr>
                <w:rFonts w:hint="default" w:ascii="Times New Roman" w:hAnsi="Times New Roman" w:eastAsia="宋体" w:cs="Times New Roman"/>
                <w:b w:val="0"/>
                <w:bCs/>
                <w:color w:val="FF0000"/>
                <w:spacing w:val="-10"/>
                <w:sz w:val="24"/>
                <w:u w:val="single"/>
                <w:lang w:val="en-US" w:eastAsia="zh-CN"/>
              </w:rPr>
            </w:pPr>
            <w:r>
              <w:rPr>
                <w:rFonts w:hint="eastAsia" w:cs="Times New Roman"/>
                <w:b w:val="0"/>
                <w:bCs/>
                <w:color w:val="FF0000"/>
                <w:spacing w:val="-10"/>
                <w:sz w:val="24"/>
                <w:u w:val="single"/>
                <w:lang w:val="en-US" w:eastAsia="zh-CN"/>
              </w:rPr>
              <w:t>⑥</w:t>
            </w:r>
            <w:r>
              <w:rPr>
                <w:rFonts w:hint="default" w:ascii="Times New Roman" w:hAnsi="Times New Roman" w:eastAsia="宋体" w:cs="Times New Roman"/>
                <w:b w:val="0"/>
                <w:bCs/>
                <w:color w:val="FF0000"/>
                <w:spacing w:val="-10"/>
                <w:sz w:val="24"/>
                <w:u w:val="single"/>
                <w:lang w:val="en-US" w:eastAsia="zh-CN"/>
              </w:rPr>
              <w:t>船舶油仓必须做好基础防渗，防渗层至少2mm 厚高密度聚乙烯，或2mm后的其他人工材料，渗透系数≤10</w:t>
            </w:r>
            <w:r>
              <w:rPr>
                <w:rFonts w:hint="default" w:ascii="Times New Roman" w:hAnsi="Times New Roman" w:eastAsia="宋体" w:cs="Times New Roman"/>
                <w:b w:val="0"/>
                <w:bCs/>
                <w:color w:val="FF0000"/>
                <w:spacing w:val="-10"/>
                <w:sz w:val="24"/>
                <w:u w:val="single"/>
                <w:vertAlign w:val="superscript"/>
                <w:lang w:val="en-US" w:eastAsia="zh-CN"/>
              </w:rPr>
              <w:t>-7</w:t>
            </w:r>
            <w:r>
              <w:rPr>
                <w:rFonts w:hint="default" w:ascii="Times New Roman" w:hAnsi="Times New Roman" w:eastAsia="宋体" w:cs="Times New Roman"/>
                <w:b w:val="0"/>
                <w:bCs/>
                <w:color w:val="FF0000"/>
                <w:spacing w:val="-10"/>
                <w:sz w:val="24"/>
                <w:u w:val="single"/>
                <w:lang w:val="en-US" w:eastAsia="zh-CN"/>
              </w:rPr>
              <w:t>cm/s；同时船上放置足够的吸油毡、围油栏等设施，预防油料泄漏事故的发生。</w:t>
            </w:r>
          </w:p>
          <w:p>
            <w:pPr>
              <w:numPr>
                <w:ilvl w:val="0"/>
                <w:numId w:val="0"/>
              </w:numPr>
              <w:adjustRightInd w:val="0"/>
              <w:snapToGrid w:val="0"/>
              <w:spacing w:line="360" w:lineRule="auto"/>
              <w:ind w:firstLine="440" w:firstLineChars="200"/>
              <w:rPr>
                <w:rFonts w:hint="default" w:ascii="Times New Roman" w:hAnsi="Times New Roman" w:eastAsia="宋体" w:cs="Times New Roman"/>
                <w:b w:val="0"/>
                <w:bCs/>
                <w:color w:val="FF0000"/>
                <w:spacing w:val="-10"/>
                <w:sz w:val="24"/>
                <w:u w:val="single"/>
                <w:lang w:val="en-US" w:eastAsia="zh-CN"/>
              </w:rPr>
            </w:pPr>
            <w:r>
              <w:rPr>
                <w:rFonts w:hint="eastAsia" w:cs="Times New Roman"/>
                <w:b w:val="0"/>
                <w:bCs/>
                <w:color w:val="FF0000"/>
                <w:spacing w:val="-10"/>
                <w:sz w:val="24"/>
                <w:u w:val="single"/>
                <w:lang w:val="en-US" w:eastAsia="zh-CN"/>
              </w:rPr>
              <w:t>⑦</w:t>
            </w:r>
            <w:r>
              <w:rPr>
                <w:rFonts w:hint="default" w:ascii="Times New Roman" w:hAnsi="Times New Roman" w:eastAsia="宋体" w:cs="Times New Roman"/>
                <w:b w:val="0"/>
                <w:bCs/>
                <w:color w:val="FF0000"/>
                <w:spacing w:val="-10"/>
                <w:sz w:val="24"/>
                <w:u w:val="single"/>
                <w:lang w:val="en-US" w:eastAsia="zh-CN"/>
              </w:rPr>
              <w:t>危险废物的油舱表面按《危险废物贮存污染控制标准》（GB18597-2001）及其修改单附录A所示的标签应明确标识出危险废物名称等，并满足《危险货物包装标志》 （GB190-2009）中要求。</w:t>
            </w:r>
          </w:p>
          <w:p>
            <w:pPr>
              <w:numPr>
                <w:ilvl w:val="0"/>
                <w:numId w:val="0"/>
              </w:numPr>
              <w:adjustRightInd w:val="0"/>
              <w:snapToGrid w:val="0"/>
              <w:spacing w:line="360" w:lineRule="auto"/>
              <w:ind w:firstLine="440" w:firstLineChars="200"/>
              <w:rPr>
                <w:rFonts w:hint="default" w:ascii="Times New Roman" w:hAnsi="Times New Roman" w:eastAsia="宋体" w:cs="Times New Roman"/>
                <w:b w:val="0"/>
                <w:bCs/>
                <w:color w:val="FF0000"/>
                <w:spacing w:val="-10"/>
                <w:sz w:val="24"/>
                <w:u w:val="single"/>
                <w:lang w:val="en-US" w:eastAsia="zh-CN"/>
              </w:rPr>
            </w:pPr>
            <w:r>
              <w:rPr>
                <w:rFonts w:hint="eastAsia" w:cs="Times New Roman"/>
                <w:b w:val="0"/>
                <w:bCs/>
                <w:color w:val="FF0000"/>
                <w:spacing w:val="-10"/>
                <w:sz w:val="24"/>
                <w:u w:val="single"/>
                <w:lang w:val="en-US" w:eastAsia="zh-CN"/>
              </w:rPr>
              <w:t>⑧</w:t>
            </w:r>
            <w:r>
              <w:rPr>
                <w:rFonts w:hint="default" w:ascii="Times New Roman" w:hAnsi="Times New Roman" w:eastAsia="宋体" w:cs="Times New Roman"/>
                <w:b w:val="0"/>
                <w:bCs/>
                <w:color w:val="FF0000"/>
                <w:spacing w:val="-10"/>
                <w:sz w:val="24"/>
                <w:u w:val="single"/>
                <w:lang w:val="en-US" w:eastAsia="zh-CN"/>
              </w:rPr>
              <w:t xml:space="preserve">建设单位应建立规范的管理和技术人员培训制度，定期针对管理和技术人员进行培训。培训内容应包括危险废物经营许可证管理、危险废物转移联单管理、危险废物包装和标识、危险废物运输要求、危险废物事故应急方法等。 </w:t>
            </w:r>
          </w:p>
          <w:p>
            <w:pPr>
              <w:numPr>
                <w:ilvl w:val="0"/>
                <w:numId w:val="0"/>
              </w:numPr>
              <w:adjustRightInd w:val="0"/>
              <w:snapToGrid w:val="0"/>
              <w:spacing w:line="360" w:lineRule="auto"/>
              <w:ind w:firstLine="440" w:firstLineChars="200"/>
              <w:rPr>
                <w:rFonts w:hint="default" w:ascii="Times New Roman" w:hAnsi="Times New Roman" w:eastAsia="宋体" w:cs="Times New Roman"/>
                <w:b w:val="0"/>
                <w:bCs/>
                <w:color w:val="FF0000"/>
                <w:spacing w:val="-10"/>
                <w:sz w:val="24"/>
                <w:u w:val="single"/>
                <w:lang w:val="en-US" w:eastAsia="zh-CN"/>
              </w:rPr>
            </w:pPr>
            <w:r>
              <w:rPr>
                <w:rFonts w:hint="eastAsia" w:cs="Times New Roman"/>
                <w:b w:val="0"/>
                <w:bCs/>
                <w:color w:val="FF0000"/>
                <w:spacing w:val="-10"/>
                <w:sz w:val="24"/>
                <w:u w:val="single"/>
                <w:lang w:val="en-US" w:eastAsia="zh-CN"/>
              </w:rPr>
              <w:t>⑨</w:t>
            </w:r>
            <w:r>
              <w:rPr>
                <w:rFonts w:hint="default" w:ascii="Times New Roman" w:hAnsi="Times New Roman" w:eastAsia="宋体" w:cs="Times New Roman"/>
                <w:b w:val="0"/>
                <w:bCs/>
                <w:color w:val="FF0000"/>
                <w:spacing w:val="-10"/>
                <w:sz w:val="24"/>
                <w:u w:val="single"/>
                <w:lang w:val="en-US" w:eastAsia="zh-CN"/>
              </w:rPr>
              <w:t>危险废物转移过程应按《危险废物转移联单管理办法》执行。</w:t>
            </w:r>
          </w:p>
          <w:p>
            <w:pPr>
              <w:numPr>
                <w:ilvl w:val="0"/>
                <w:numId w:val="0"/>
              </w:numPr>
              <w:adjustRightInd w:val="0"/>
              <w:snapToGrid w:val="0"/>
              <w:spacing w:line="360" w:lineRule="auto"/>
              <w:ind w:firstLine="440" w:firstLineChars="200"/>
              <w:rPr>
                <w:rFonts w:hint="default" w:ascii="Times New Roman" w:hAnsi="Times New Roman" w:eastAsia="宋体" w:cs="Times New Roman"/>
                <w:b w:val="0"/>
                <w:bCs/>
                <w:color w:val="FF0000"/>
                <w:spacing w:val="-10"/>
                <w:sz w:val="24"/>
                <w:u w:val="single"/>
                <w:lang w:val="en-US" w:eastAsia="zh-CN"/>
              </w:rPr>
            </w:pPr>
            <w:r>
              <w:rPr>
                <w:rFonts w:hint="eastAsia" w:cs="Times New Roman"/>
                <w:b w:val="0"/>
                <w:bCs/>
                <w:color w:val="FF0000"/>
                <w:spacing w:val="-10"/>
                <w:sz w:val="24"/>
                <w:u w:val="single"/>
                <w:lang w:val="en-US" w:eastAsia="zh-CN"/>
              </w:rPr>
              <w:t>⑩</w:t>
            </w:r>
            <w:r>
              <w:rPr>
                <w:rFonts w:hint="default" w:ascii="Times New Roman" w:hAnsi="Times New Roman" w:eastAsia="宋体" w:cs="Times New Roman"/>
                <w:b w:val="0"/>
                <w:bCs/>
                <w:color w:val="FF0000"/>
                <w:spacing w:val="-10"/>
                <w:sz w:val="24"/>
                <w:u w:val="single"/>
                <w:lang w:val="en-US" w:eastAsia="zh-CN"/>
              </w:rPr>
              <w:t>建设单位应编制应急预案。应急预案编制可参照《危险废物经营单位编制应急预案指南》，在项目收集废矿物油过程中一旦发生船舶翻船、沉船等突发性事故，建设单位应按照编制的应急预案展开组织救援，并立即报告当地负责危险化学品安全监督管理的部门和公安、环保、质检等部门，尽可能控制事态发展，避免造成更大的损 失和环境污染。的事故易发环节应定期组织应急演练。</w:t>
            </w:r>
          </w:p>
          <w:p>
            <w:pPr>
              <w:numPr>
                <w:ilvl w:val="0"/>
                <w:numId w:val="0"/>
              </w:numPr>
              <w:adjustRightInd w:val="0"/>
              <w:snapToGrid w:val="0"/>
              <w:spacing w:line="360" w:lineRule="auto"/>
              <w:ind w:firstLine="440" w:firstLineChars="200"/>
              <w:rPr>
                <w:rFonts w:hint="default" w:ascii="Times New Roman" w:hAnsi="Times New Roman" w:eastAsia="宋体" w:cs="Times New Roman"/>
                <w:b w:val="0"/>
                <w:bCs/>
                <w:color w:val="FF0000"/>
                <w:spacing w:val="-10"/>
                <w:sz w:val="24"/>
                <w:u w:val="single"/>
                <w:lang w:val="en-US" w:eastAsia="zh-CN"/>
              </w:rPr>
            </w:pPr>
            <w:r>
              <w:rPr>
                <w:rFonts w:hint="default" w:ascii="Times New Roman" w:hAnsi="Times New Roman" w:eastAsia="宋体" w:cs="Times New Roman"/>
                <w:b w:val="0"/>
                <w:bCs/>
                <w:color w:val="FF0000"/>
                <w:spacing w:val="-10"/>
                <w:sz w:val="24"/>
                <w:u w:val="single"/>
                <w:lang w:val="en-US" w:eastAsia="zh-CN"/>
              </w:rPr>
              <w:t>⑪项目运营过程中一旦发生意外事故，本项目单位及相关部门应根据风险程度采 取相应措施。</w:t>
            </w:r>
          </w:p>
          <w:p>
            <w:pPr>
              <w:numPr>
                <w:ilvl w:val="0"/>
                <w:numId w:val="0"/>
              </w:numPr>
              <w:adjustRightInd w:val="0"/>
              <w:snapToGrid w:val="0"/>
              <w:spacing w:line="360" w:lineRule="auto"/>
              <w:ind w:firstLine="440" w:firstLineChars="200"/>
              <w:rPr>
                <w:rFonts w:hint="default" w:ascii="Times New Roman" w:hAnsi="Times New Roman" w:eastAsia="宋体" w:cs="Times New Roman"/>
                <w:b w:val="0"/>
                <w:bCs/>
                <w:color w:val="FF0000"/>
                <w:spacing w:val="-10"/>
                <w:sz w:val="24"/>
                <w:u w:val="single"/>
                <w:lang w:val="en-US" w:eastAsia="zh-CN"/>
              </w:rPr>
            </w:pPr>
            <w:r>
              <w:rPr>
                <w:rFonts w:hint="default" w:ascii="Times New Roman" w:hAnsi="Times New Roman" w:eastAsia="宋体" w:cs="Times New Roman"/>
                <w:b w:val="0"/>
                <w:bCs/>
                <w:color w:val="FF0000"/>
                <w:spacing w:val="-10"/>
                <w:sz w:val="24"/>
                <w:u w:val="single"/>
                <w:lang w:val="en-US" w:eastAsia="zh-CN"/>
              </w:rPr>
              <w:t>⑫在危险废物的收集和转运过程中，应采取相应的安全防护和污染防治措施，包 括防火、防泄漏或其他防治污染环境的措施。</w:t>
            </w:r>
          </w:p>
          <w:p>
            <w:pPr>
              <w:numPr>
                <w:ilvl w:val="0"/>
                <w:numId w:val="0"/>
              </w:numPr>
              <w:adjustRightInd w:val="0"/>
              <w:snapToGrid w:val="0"/>
              <w:spacing w:line="360" w:lineRule="auto"/>
              <w:ind w:firstLine="440" w:firstLineChars="200"/>
              <w:rPr>
                <w:rFonts w:hint="default" w:ascii="Times New Roman" w:hAnsi="Times New Roman" w:eastAsia="宋体" w:cs="Times New Roman"/>
                <w:b w:val="0"/>
                <w:bCs/>
                <w:color w:val="FF0000"/>
                <w:spacing w:val="-10"/>
                <w:sz w:val="24"/>
                <w:u w:val="single"/>
                <w:lang w:val="en-US" w:eastAsia="zh-CN"/>
              </w:rPr>
            </w:pPr>
            <w:r>
              <w:rPr>
                <w:rFonts w:hint="default" w:ascii="Times New Roman" w:hAnsi="Times New Roman" w:eastAsia="宋体" w:cs="Times New Roman"/>
                <w:b w:val="0"/>
                <w:bCs/>
                <w:color w:val="FF0000"/>
                <w:spacing w:val="-10"/>
                <w:sz w:val="24"/>
                <w:u w:val="single"/>
                <w:lang w:val="en-US" w:eastAsia="zh-CN"/>
              </w:rPr>
              <w:t>⑬本项目HW08（代码：900-214-08、900-210-08、900-201-08）废矿物油与含矿物油废物属于易燃的危险废物，应按易燃危险品贮存。本项目储存在油舱中，应满足易燃危险品存放要求。项目临时贮存危险废物的油舱应配备相应的消防设施，区域内不准堆置可燃物、不得进行焊接、明火作业、吸烟等，船内敷设的配电线路，需穿金 属管或用非燃硬塑料管保护。</w:t>
            </w:r>
          </w:p>
          <w:p>
            <w:pPr>
              <w:numPr>
                <w:ilvl w:val="0"/>
                <w:numId w:val="0"/>
              </w:numPr>
              <w:adjustRightInd w:val="0"/>
              <w:snapToGrid w:val="0"/>
              <w:spacing w:line="360" w:lineRule="auto"/>
              <w:ind w:firstLine="440" w:firstLineChars="200"/>
              <w:rPr>
                <w:rFonts w:hint="default" w:ascii="Times New Roman" w:hAnsi="Times New Roman" w:eastAsia="宋体" w:cs="Times New Roman"/>
                <w:b w:val="0"/>
                <w:bCs/>
                <w:color w:val="FF0000"/>
                <w:spacing w:val="-10"/>
                <w:sz w:val="24"/>
                <w:u w:val="single"/>
                <w:lang w:val="en-US" w:eastAsia="zh-CN"/>
              </w:rPr>
            </w:pPr>
            <w:r>
              <w:rPr>
                <w:rFonts w:hint="default" w:ascii="Times New Roman" w:hAnsi="Times New Roman" w:eastAsia="宋体" w:cs="Times New Roman"/>
                <w:b w:val="0"/>
                <w:bCs/>
                <w:color w:val="FF0000"/>
                <w:spacing w:val="-10"/>
                <w:sz w:val="24"/>
                <w:u w:val="single"/>
                <w:lang w:val="en-US" w:eastAsia="zh-CN"/>
              </w:rPr>
              <w:t>⑭船舶必须按照国家有关防雷设计安装规范的规定，设置防雷装置，并定期检测， 保证有效。</w:t>
            </w:r>
          </w:p>
          <w:p>
            <w:pPr>
              <w:numPr>
                <w:ilvl w:val="0"/>
                <w:numId w:val="0"/>
              </w:numPr>
              <w:adjustRightInd w:val="0"/>
              <w:snapToGrid w:val="0"/>
              <w:spacing w:line="360" w:lineRule="auto"/>
              <w:ind w:firstLine="440" w:firstLineChars="200"/>
              <w:rPr>
                <w:rFonts w:hint="default" w:ascii="Times New Roman" w:hAnsi="Times New Roman" w:eastAsia="宋体" w:cs="Times New Roman"/>
                <w:b w:val="0"/>
                <w:bCs/>
                <w:color w:val="FF0000"/>
                <w:spacing w:val="-10"/>
                <w:sz w:val="24"/>
                <w:u w:val="single"/>
                <w:lang w:val="en-US" w:eastAsia="zh-CN"/>
              </w:rPr>
            </w:pPr>
            <w:r>
              <w:rPr>
                <w:rFonts w:hint="default" w:ascii="Times New Roman" w:hAnsi="Times New Roman" w:eastAsia="宋体" w:cs="Times New Roman"/>
                <w:b w:val="0"/>
                <w:bCs/>
                <w:color w:val="FF0000"/>
                <w:spacing w:val="-10"/>
                <w:sz w:val="24"/>
                <w:u w:val="single"/>
                <w:lang w:val="en-US" w:eastAsia="zh-CN"/>
              </w:rPr>
              <w:t>⑮载运危险货物的船舶，在航行中要严格遵守避碰规则。停泊、装卸时应悬挂或 显示规定的信号。除指定地点外，严禁吸烟、明火等火源。</w:t>
            </w:r>
          </w:p>
          <w:p>
            <w:pPr>
              <w:numPr>
                <w:ilvl w:val="0"/>
                <w:numId w:val="0"/>
              </w:numPr>
              <w:adjustRightInd w:val="0"/>
              <w:snapToGrid w:val="0"/>
              <w:spacing w:line="360" w:lineRule="auto"/>
              <w:ind w:firstLine="440" w:firstLineChars="200"/>
              <w:rPr>
                <w:rFonts w:hint="default" w:ascii="Times New Roman" w:hAnsi="Times New Roman" w:eastAsia="宋体" w:cs="Times New Roman"/>
                <w:b w:val="0"/>
                <w:bCs/>
                <w:color w:val="FF0000"/>
                <w:spacing w:val="-10"/>
                <w:sz w:val="24"/>
                <w:u w:val="single"/>
                <w:lang w:val="en-US" w:eastAsia="zh-CN"/>
              </w:rPr>
            </w:pPr>
            <w:r>
              <w:rPr>
                <w:rFonts w:hint="default" w:ascii="Times New Roman" w:hAnsi="Times New Roman" w:eastAsia="宋体" w:cs="Times New Roman"/>
                <w:b w:val="0"/>
                <w:bCs/>
                <w:color w:val="FF0000"/>
                <w:spacing w:val="-10"/>
                <w:sz w:val="24"/>
                <w:u w:val="single"/>
                <w:lang w:val="en-US" w:eastAsia="zh-CN"/>
              </w:rPr>
              <w:t>⑯废矿物油的运输转移的单位应获得交通运输部门颁发的危险货物运输资质，还 应执行《危险化学品安全管理条例》有关运输的规定。</w:t>
            </w:r>
          </w:p>
          <w:p>
            <w:pPr>
              <w:numPr>
                <w:ilvl w:val="0"/>
                <w:numId w:val="0"/>
              </w:numPr>
              <w:adjustRightInd w:val="0"/>
              <w:snapToGrid w:val="0"/>
              <w:spacing w:line="360" w:lineRule="auto"/>
              <w:ind w:firstLine="440" w:firstLineChars="200"/>
              <w:rPr>
                <w:rFonts w:hint="default" w:ascii="Times New Roman" w:hAnsi="Times New Roman" w:eastAsia="宋体" w:cs="Times New Roman"/>
                <w:b w:val="0"/>
                <w:bCs/>
                <w:color w:val="FF0000"/>
                <w:spacing w:val="-10"/>
                <w:sz w:val="24"/>
                <w:u w:val="single"/>
                <w:lang w:val="en-US" w:eastAsia="zh-CN"/>
              </w:rPr>
            </w:pPr>
            <w:r>
              <w:rPr>
                <w:rFonts w:hint="default" w:ascii="Times New Roman" w:hAnsi="Times New Roman" w:eastAsia="宋体" w:cs="Times New Roman"/>
                <w:b w:val="0"/>
                <w:bCs/>
                <w:color w:val="FF0000"/>
                <w:spacing w:val="-10"/>
                <w:sz w:val="24"/>
                <w:u w:val="single"/>
                <w:lang w:val="en-US" w:eastAsia="zh-CN"/>
              </w:rPr>
              <w:t>⑰</w:t>
            </w:r>
            <w:r>
              <w:rPr>
                <w:rFonts w:hint="eastAsia" w:cs="Times New Roman"/>
                <w:b w:val="0"/>
                <w:bCs/>
                <w:color w:val="FF0000"/>
                <w:spacing w:val="-10"/>
                <w:sz w:val="24"/>
                <w:u w:val="single"/>
                <w:lang w:val="en-US" w:eastAsia="zh-CN"/>
              </w:rPr>
              <w:t>危险废物</w:t>
            </w:r>
            <w:r>
              <w:rPr>
                <w:rFonts w:hint="default" w:ascii="Times New Roman" w:hAnsi="Times New Roman" w:eastAsia="宋体" w:cs="Times New Roman"/>
                <w:b w:val="0"/>
                <w:bCs/>
                <w:color w:val="FF0000"/>
                <w:spacing w:val="-10"/>
                <w:sz w:val="24"/>
                <w:u w:val="single"/>
                <w:lang w:val="en-US" w:eastAsia="zh-CN"/>
              </w:rPr>
              <w:t>转运前应检查危险废物转移联单，核对品名、数量和标志等，在中海 油码头卸油前应检查转运设备和专用油舱的稳定性、严密性等，确保运输中不会接口破裂、倾倒和溢流，在转运过程中应设专人看护。 采取上述措施后，本项目可得到妥善处理收集到的和自身产生的废矿物油，符合 《危险废物贮存污染控制标准》（GB18597-2001）及其修改单、《危险废物收集贮存运输技术规范》（HJ2025-2012）等相关管理规定，对周围环境不会造成影响。</w:t>
            </w:r>
          </w:p>
          <w:p>
            <w:pPr>
              <w:adjustRightInd w:val="0"/>
              <w:snapToGrid w:val="0"/>
              <w:spacing w:line="360" w:lineRule="auto"/>
              <w:rPr>
                <w:b/>
                <w:color w:val="FF0000"/>
                <w:sz w:val="24"/>
                <w:u w:val="single"/>
              </w:rPr>
            </w:pPr>
            <w:r>
              <w:rPr>
                <w:rFonts w:hint="eastAsia" w:ascii="宋体" w:hAnsi="宋体" w:cs="宋体"/>
                <w:b/>
                <w:color w:val="FF0000"/>
                <w:spacing w:val="-10"/>
                <w:sz w:val="24"/>
                <w:u w:val="single"/>
              </w:rPr>
              <w:t>6、</w:t>
            </w:r>
            <w:r>
              <w:rPr>
                <w:b/>
                <w:color w:val="FF0000"/>
                <w:sz w:val="24"/>
                <w:u w:val="single"/>
              </w:rPr>
              <w:t>环境风险分析</w:t>
            </w:r>
          </w:p>
          <w:p>
            <w:pPr>
              <w:spacing w:line="360" w:lineRule="auto"/>
              <w:rPr>
                <w:b/>
                <w:color w:val="FF0000"/>
                <w:sz w:val="24"/>
                <w:u w:val="single"/>
              </w:rPr>
            </w:pPr>
            <w:r>
              <w:rPr>
                <w:rFonts w:hint="eastAsia"/>
                <w:b/>
                <w:color w:val="FF0000"/>
                <w:sz w:val="24"/>
                <w:u w:val="single"/>
              </w:rPr>
              <w:t>一、风险识别</w:t>
            </w:r>
          </w:p>
          <w:p>
            <w:pPr>
              <w:pStyle w:val="35"/>
              <w:widowControl/>
              <w:spacing w:line="360" w:lineRule="auto"/>
              <w:ind w:firstLine="480"/>
              <w:rPr>
                <w:rFonts w:hAnsi="Times New Roman" w:cs="宋体"/>
                <w:color w:val="FF0000"/>
                <w:kern w:val="2"/>
                <w:sz w:val="24"/>
                <w:u w:val="single"/>
              </w:rPr>
            </w:pPr>
            <w:r>
              <w:rPr>
                <w:rFonts w:hint="eastAsia" w:hAnsi="Times New Roman" w:cs="宋体"/>
                <w:color w:val="FF0000"/>
                <w:kern w:val="2"/>
                <w:sz w:val="24"/>
                <w:u w:val="single"/>
              </w:rPr>
              <w:t>本项目风险来自运营期船舶溢油、船舶生活垃圾及污废水输送管道泄漏、废油泄漏，造成</w:t>
            </w:r>
            <w:r>
              <w:rPr>
                <w:rFonts w:hint="eastAsia" w:hAnsi="Times New Roman" w:cs="宋体"/>
                <w:color w:val="FF0000"/>
                <w:kern w:val="2"/>
                <w:sz w:val="24"/>
                <w:u w:val="single"/>
                <w:lang w:val="en-US" w:eastAsia="zh-CN"/>
              </w:rPr>
              <w:t>收集范围内自然水域</w:t>
            </w:r>
            <w:r>
              <w:rPr>
                <w:rFonts w:hint="eastAsia" w:hAnsi="Times New Roman" w:cs="宋体"/>
                <w:color w:val="FF0000"/>
                <w:kern w:val="2"/>
                <w:sz w:val="24"/>
                <w:u w:val="single"/>
              </w:rPr>
              <w:t>水环境污染。</w:t>
            </w:r>
          </w:p>
          <w:p>
            <w:pPr>
              <w:pStyle w:val="35"/>
              <w:widowControl/>
              <w:numPr>
                <w:ilvl w:val="0"/>
                <w:numId w:val="4"/>
              </w:numPr>
              <w:spacing w:line="360" w:lineRule="auto"/>
              <w:ind w:firstLine="480" w:firstLineChars="0"/>
              <w:rPr>
                <w:rFonts w:hAnsi="Times New Roman" w:cs="宋体"/>
                <w:color w:val="FF0000"/>
                <w:kern w:val="2"/>
                <w:sz w:val="24"/>
                <w:u w:val="single"/>
              </w:rPr>
            </w:pPr>
            <w:r>
              <w:rPr>
                <w:rFonts w:hint="eastAsia" w:hAnsi="Times New Roman" w:cs="宋体"/>
                <w:color w:val="FF0000"/>
                <w:kern w:val="2"/>
                <w:sz w:val="24"/>
                <w:u w:val="single"/>
              </w:rPr>
              <w:t>船舶溢油</w:t>
            </w:r>
          </w:p>
          <w:p>
            <w:pPr>
              <w:pStyle w:val="35"/>
              <w:widowControl/>
              <w:spacing w:line="360" w:lineRule="auto"/>
              <w:ind w:firstLine="480"/>
              <w:rPr>
                <w:rFonts w:hAnsi="Times New Roman" w:cs="宋体"/>
                <w:color w:val="FF0000"/>
                <w:kern w:val="2"/>
                <w:sz w:val="24"/>
                <w:u w:val="single"/>
              </w:rPr>
            </w:pPr>
            <w:r>
              <w:rPr>
                <w:rFonts w:hint="eastAsia" w:hAnsi="Times New Roman" w:cs="宋体"/>
                <w:color w:val="FF0000"/>
                <w:kern w:val="2"/>
                <w:sz w:val="24"/>
                <w:u w:val="single"/>
              </w:rPr>
              <w:t>本项目收集船涉及少量柴油的使用，项目风险主要为进出港船舶、船舶航行过程中发生碰撞使船舶油仓收到损害致使燃料油泄漏，从而对</w:t>
            </w:r>
            <w:r>
              <w:rPr>
                <w:rFonts w:hint="eastAsia" w:hAnsi="Times New Roman" w:cs="宋体"/>
                <w:color w:val="FF0000"/>
                <w:kern w:val="2"/>
                <w:sz w:val="24"/>
                <w:u w:val="single"/>
                <w:lang w:val="en-US" w:eastAsia="zh-CN"/>
              </w:rPr>
              <w:t>收集范围内自然水域</w:t>
            </w:r>
            <w:r>
              <w:rPr>
                <w:rFonts w:hint="eastAsia" w:hAnsi="Times New Roman" w:cs="宋体"/>
                <w:color w:val="FF0000"/>
                <w:kern w:val="2"/>
                <w:sz w:val="24"/>
                <w:u w:val="single"/>
              </w:rPr>
              <w:t>水质以及收集沿线造成污染。</w:t>
            </w:r>
          </w:p>
          <w:p>
            <w:pPr>
              <w:pStyle w:val="35"/>
              <w:widowControl/>
              <w:numPr>
                <w:ilvl w:val="0"/>
                <w:numId w:val="4"/>
              </w:numPr>
              <w:spacing w:line="360" w:lineRule="auto"/>
              <w:ind w:firstLine="480" w:firstLineChars="0"/>
              <w:rPr>
                <w:rFonts w:hAnsi="Times New Roman" w:cs="宋体"/>
                <w:color w:val="FF0000"/>
                <w:kern w:val="2"/>
                <w:sz w:val="24"/>
                <w:u w:val="single"/>
              </w:rPr>
            </w:pPr>
            <w:r>
              <w:rPr>
                <w:rFonts w:hint="eastAsia" w:hAnsi="Times New Roman" w:cs="宋体"/>
                <w:color w:val="FF0000"/>
                <w:kern w:val="2"/>
                <w:sz w:val="24"/>
                <w:u w:val="single"/>
              </w:rPr>
              <w:t>船舶生活垃圾在卸船过程中泄漏</w:t>
            </w:r>
          </w:p>
          <w:p>
            <w:pPr>
              <w:pStyle w:val="35"/>
              <w:widowControl/>
              <w:spacing w:line="360" w:lineRule="auto"/>
              <w:ind w:firstLine="480"/>
              <w:rPr>
                <w:rFonts w:hAnsi="Times New Roman" w:cs="宋体"/>
                <w:color w:val="FF0000"/>
                <w:kern w:val="2"/>
                <w:sz w:val="24"/>
                <w:u w:val="single"/>
              </w:rPr>
            </w:pPr>
            <w:r>
              <w:rPr>
                <w:rFonts w:hint="eastAsia" w:hAnsi="Times New Roman" w:cs="宋体"/>
                <w:color w:val="FF0000"/>
                <w:kern w:val="2"/>
                <w:sz w:val="24"/>
                <w:u w:val="single"/>
              </w:rPr>
              <w:t>本项目收集船在收集船垃圾泊位进行垃圾装卸工作时</w:t>
            </w:r>
            <w:r>
              <w:rPr>
                <w:rFonts w:hint="eastAsia" w:hAnsi="Times New Roman" w:cs="宋体"/>
                <w:color w:val="FF0000"/>
                <w:kern w:val="2"/>
                <w:sz w:val="24"/>
                <w:u w:val="single"/>
                <w:lang w:eastAsia="zh-CN"/>
              </w:rPr>
              <w:t>，</w:t>
            </w:r>
            <w:r>
              <w:rPr>
                <w:rFonts w:hint="eastAsia" w:hAnsi="Times New Roman" w:cs="宋体"/>
                <w:color w:val="FF0000"/>
                <w:kern w:val="2"/>
                <w:sz w:val="24"/>
                <w:u w:val="single"/>
              </w:rPr>
              <w:t>由于操作不当等原因使得垃圾袋破损而遗撒至项目所在</w:t>
            </w:r>
            <w:r>
              <w:rPr>
                <w:rFonts w:hint="eastAsia" w:hAnsi="Times New Roman" w:cs="宋体"/>
                <w:color w:val="FF0000"/>
                <w:kern w:val="2"/>
                <w:sz w:val="24"/>
                <w:u w:val="single"/>
                <w:lang w:val="en-US" w:eastAsia="zh-CN"/>
              </w:rPr>
              <w:t>收集范围内自然水域</w:t>
            </w:r>
            <w:r>
              <w:rPr>
                <w:rFonts w:hint="eastAsia" w:hAnsi="Times New Roman" w:cs="宋体"/>
                <w:color w:val="FF0000"/>
                <w:kern w:val="2"/>
                <w:sz w:val="24"/>
                <w:u w:val="single"/>
              </w:rPr>
              <w:t>，造成该区域水环境的污染。</w:t>
            </w:r>
          </w:p>
          <w:p>
            <w:pPr>
              <w:pStyle w:val="35"/>
              <w:widowControl/>
              <w:numPr>
                <w:ilvl w:val="0"/>
                <w:numId w:val="4"/>
              </w:numPr>
              <w:spacing w:line="360" w:lineRule="auto"/>
              <w:ind w:firstLine="480" w:firstLineChars="0"/>
              <w:rPr>
                <w:rFonts w:hAnsi="Times New Roman" w:cs="宋体"/>
                <w:color w:val="FF0000"/>
                <w:kern w:val="2"/>
                <w:sz w:val="24"/>
                <w:u w:val="single"/>
              </w:rPr>
            </w:pPr>
            <w:r>
              <w:rPr>
                <w:rFonts w:hint="eastAsia" w:hAnsi="Times New Roman" w:cs="宋体"/>
                <w:color w:val="FF0000"/>
                <w:kern w:val="2"/>
                <w:sz w:val="24"/>
                <w:u w:val="single"/>
              </w:rPr>
              <w:t>船舶污废水输送管道泄漏</w:t>
            </w:r>
          </w:p>
          <w:p>
            <w:pPr>
              <w:pStyle w:val="35"/>
              <w:widowControl/>
              <w:spacing w:line="360" w:lineRule="auto"/>
              <w:ind w:firstLine="480"/>
              <w:rPr>
                <w:rFonts w:hAnsi="Times New Roman" w:cs="宋体"/>
                <w:color w:val="FF0000"/>
                <w:kern w:val="2"/>
                <w:sz w:val="24"/>
                <w:u w:val="single"/>
              </w:rPr>
            </w:pPr>
            <w:r>
              <w:rPr>
                <w:rFonts w:hint="eastAsia" w:hAnsi="Times New Roman" w:cs="宋体"/>
                <w:color w:val="FF0000"/>
                <w:kern w:val="2"/>
                <w:sz w:val="24"/>
                <w:u w:val="single"/>
              </w:rPr>
              <w:t>本项目收集船舶在各个码头进行船舶污水的收集过程中，污水输送管道发生损坏后，会导致船舶污水污染附近水域环境。同时</w:t>
            </w:r>
            <w:r>
              <w:rPr>
                <w:rFonts w:hint="eastAsia" w:hAnsi="Times New Roman" w:cs="宋体"/>
                <w:color w:val="FF0000"/>
                <w:kern w:val="2"/>
                <w:sz w:val="24"/>
                <w:u w:val="single"/>
                <w:lang w:val="en-US" w:eastAsia="zh-CN"/>
              </w:rPr>
              <w:t>收集的</w:t>
            </w:r>
            <w:r>
              <w:rPr>
                <w:rFonts w:hint="eastAsia" w:hAnsi="Times New Roman" w:cs="宋体"/>
                <w:color w:val="FF0000"/>
                <w:kern w:val="2"/>
                <w:sz w:val="24"/>
                <w:u w:val="single"/>
              </w:rPr>
              <w:t>船舶生活污水、含油废水</w:t>
            </w:r>
            <w:r>
              <w:rPr>
                <w:rFonts w:hint="eastAsia" w:ascii="Times New Roman" w:hAnsi="Times New Roman" w:eastAsia="宋体" w:cs="宋体"/>
                <w:color w:val="FF0000"/>
                <w:kern w:val="2"/>
                <w:sz w:val="24"/>
                <w:u w:val="single"/>
              </w:rPr>
              <w:t>在</w:t>
            </w:r>
            <w:r>
              <w:rPr>
                <w:rFonts w:hint="eastAsia" w:ascii="Times New Roman" w:hAnsi="Times New Roman" w:eastAsia="宋体" w:cs="宋体"/>
                <w:color w:val="FF0000"/>
                <w:kern w:val="2"/>
                <w:sz w:val="24"/>
                <w:u w:val="single"/>
                <w:lang w:val="en-US" w:eastAsia="zh-CN"/>
              </w:rPr>
              <w:t>传输</w:t>
            </w:r>
            <w:r>
              <w:rPr>
                <w:rFonts w:hint="eastAsia" w:ascii="Times New Roman" w:hAnsi="Times New Roman" w:eastAsia="宋体" w:cs="宋体"/>
                <w:color w:val="FF0000"/>
                <w:kern w:val="2"/>
                <w:sz w:val="24"/>
                <w:u w:val="single"/>
              </w:rPr>
              <w:t>时</w:t>
            </w:r>
            <w:r>
              <w:rPr>
                <w:rFonts w:hint="eastAsia" w:hAnsi="Times New Roman" w:cs="宋体"/>
                <w:color w:val="FF0000"/>
                <w:kern w:val="2"/>
                <w:sz w:val="24"/>
                <w:u w:val="single"/>
              </w:rPr>
              <w:t>，该过程中可能出现输送管道发生泄漏，导致船舶污废水流入项目</w:t>
            </w:r>
            <w:r>
              <w:rPr>
                <w:rFonts w:hint="eastAsia" w:hAnsi="Times New Roman" w:cs="宋体"/>
                <w:color w:val="FF0000"/>
                <w:kern w:val="2"/>
                <w:sz w:val="24"/>
                <w:u w:val="single"/>
                <w:lang w:val="en-US" w:eastAsia="zh-CN"/>
              </w:rPr>
              <w:t>收集范围内自然水域</w:t>
            </w:r>
            <w:r>
              <w:rPr>
                <w:rFonts w:hint="eastAsia" w:hAnsi="Times New Roman" w:cs="宋体"/>
                <w:color w:val="FF0000"/>
                <w:kern w:val="2"/>
                <w:sz w:val="24"/>
                <w:u w:val="single"/>
              </w:rPr>
              <w:t>，污染该区域的水环境。</w:t>
            </w:r>
          </w:p>
          <w:p>
            <w:pPr>
              <w:pStyle w:val="35"/>
              <w:widowControl/>
              <w:numPr>
                <w:ilvl w:val="0"/>
                <w:numId w:val="5"/>
              </w:numPr>
              <w:spacing w:line="360" w:lineRule="auto"/>
              <w:ind w:firstLine="480"/>
              <w:rPr>
                <w:rFonts w:hAnsi="Times New Roman" w:cs="宋体"/>
                <w:color w:val="FF0000"/>
                <w:kern w:val="2"/>
                <w:sz w:val="24"/>
                <w:u w:val="single"/>
              </w:rPr>
            </w:pPr>
            <w:r>
              <w:rPr>
                <w:rFonts w:hint="eastAsia" w:hAnsi="Times New Roman" w:cs="宋体"/>
                <w:color w:val="FF0000"/>
                <w:kern w:val="2"/>
                <w:sz w:val="24"/>
                <w:u w:val="single"/>
              </w:rPr>
              <w:t>废油泄漏</w:t>
            </w:r>
          </w:p>
          <w:p>
            <w:pPr>
              <w:pStyle w:val="35"/>
              <w:widowControl/>
              <w:spacing w:line="360" w:lineRule="auto"/>
              <w:ind w:firstLine="480"/>
              <w:rPr>
                <w:rFonts w:hAnsi="Times New Roman" w:cs="宋体"/>
                <w:color w:val="FF0000"/>
                <w:kern w:val="2"/>
                <w:sz w:val="24"/>
                <w:u w:val="single"/>
              </w:rPr>
            </w:pPr>
            <w:r>
              <w:rPr>
                <w:rFonts w:hint="eastAsia" w:hAnsi="Times New Roman" w:cs="宋体"/>
                <w:color w:val="FF0000"/>
                <w:kern w:val="2"/>
                <w:sz w:val="24"/>
                <w:u w:val="single"/>
              </w:rPr>
              <w:t>本项目废油为可燃物质</w:t>
            </w:r>
            <w:r>
              <w:rPr>
                <w:rFonts w:hint="eastAsia" w:hAnsi="Times New Roman" w:cs="宋体"/>
                <w:color w:val="FF0000"/>
                <w:kern w:val="2"/>
                <w:sz w:val="24"/>
                <w:u w:val="single"/>
                <w:lang w:eastAsia="zh-CN"/>
              </w:rPr>
              <w:t>，</w:t>
            </w:r>
            <w:r>
              <w:rPr>
                <w:rFonts w:hint="eastAsia" w:hAnsi="Times New Roman" w:cs="宋体"/>
                <w:color w:val="FF0000"/>
                <w:kern w:val="2"/>
                <w:sz w:val="24"/>
                <w:u w:val="single"/>
              </w:rPr>
              <w:t>收集于储油罐内。储油罐发生破损或装载不规范时，废油会跑、冒、滴、漏，污染周围地表水、土壤及地下水环境。</w:t>
            </w:r>
          </w:p>
          <w:p>
            <w:pPr>
              <w:spacing w:line="360" w:lineRule="auto"/>
              <w:rPr>
                <w:b/>
                <w:color w:val="FF0000"/>
                <w:sz w:val="24"/>
                <w:u w:val="single"/>
              </w:rPr>
            </w:pPr>
            <w:r>
              <w:rPr>
                <w:rFonts w:hint="eastAsia"/>
                <w:b/>
                <w:color w:val="FF0000"/>
                <w:sz w:val="24"/>
                <w:u w:val="single"/>
              </w:rPr>
              <w:t>二、物质属性</w:t>
            </w:r>
          </w:p>
          <w:p>
            <w:pPr>
              <w:pStyle w:val="5"/>
              <w:widowControl/>
              <w:spacing w:before="0" w:after="0" w:line="360" w:lineRule="auto"/>
              <w:ind w:firstLine="480" w:firstLineChars="200"/>
              <w:rPr>
                <w:rFonts w:cs="宋体"/>
                <w:b/>
                <w:color w:val="FF0000"/>
                <w:sz w:val="24"/>
                <w:u w:val="single"/>
              </w:rPr>
            </w:pPr>
            <w:r>
              <w:rPr>
                <w:rFonts w:hint="eastAsia" w:ascii="Times New Roman" w:hAnsi="Times New Roman" w:eastAsia="宋体" w:cs="宋体"/>
                <w:b w:val="0"/>
                <w:color w:val="FF0000"/>
                <w:sz w:val="24"/>
                <w:szCs w:val="24"/>
                <w:u w:val="single"/>
              </w:rPr>
              <w:t>废机油：是所谓废矿物油，根据国家危险废物环境管理工作手册规定，废矿物油是从石油、煤炭、油页岩中提取和精炼，在开采、加工和使用过程中由于外在因素作用导致改变了原有的物理和化学性能，不能够继续被使用的矿物油。废矿物油特性见下表。</w:t>
            </w:r>
          </w:p>
          <w:p>
            <w:pPr>
              <w:jc w:val="center"/>
              <w:rPr>
                <w:b/>
                <w:color w:val="FF0000"/>
                <w:szCs w:val="21"/>
                <w:u w:val="single"/>
              </w:rPr>
            </w:pPr>
            <w:r>
              <w:rPr>
                <w:rFonts w:hint="eastAsia" w:cs="宋体"/>
                <w:b/>
                <w:color w:val="FF0000"/>
                <w:szCs w:val="21"/>
                <w:u w:val="single"/>
              </w:rPr>
              <w:t>表4-</w:t>
            </w:r>
            <w:r>
              <w:rPr>
                <w:rFonts w:hint="eastAsia" w:cs="宋体"/>
                <w:b/>
                <w:color w:val="FF0000"/>
                <w:szCs w:val="21"/>
                <w:u w:val="single"/>
                <w:lang w:val="en-US" w:eastAsia="zh-CN"/>
              </w:rPr>
              <w:t xml:space="preserve">2  </w:t>
            </w:r>
            <w:r>
              <w:rPr>
                <w:rFonts w:hint="eastAsia" w:cs="宋体"/>
                <w:b/>
                <w:color w:val="FF0000"/>
                <w:szCs w:val="21"/>
                <w:u w:val="single"/>
              </w:rPr>
              <w:t>废矿物油特性</w:t>
            </w:r>
          </w:p>
          <w:tbl>
            <w:tblPr>
              <w:tblStyle w:val="17"/>
              <w:tblW w:w="0" w:type="auto"/>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1818"/>
              <w:gridCol w:w="5981"/>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92" w:hRule="atLeast"/>
              </w:trPr>
              <w:tc>
                <w:tcPr>
                  <w:tcW w:w="1818" w:type="dxa"/>
                  <w:noWrap/>
                  <w:vAlign w:val="center"/>
                </w:tcPr>
                <w:p>
                  <w:pPr>
                    <w:pStyle w:val="14"/>
                    <w:spacing w:before="0" w:beforeAutospacing="0" w:after="0" w:afterAutospacing="0"/>
                    <w:jc w:val="center"/>
                    <w:rPr>
                      <w:color w:val="FF0000"/>
                      <w:kern w:val="2"/>
                      <w:sz w:val="21"/>
                      <w:szCs w:val="21"/>
                      <w:u w:val="single"/>
                    </w:rPr>
                  </w:pPr>
                  <w:r>
                    <w:rPr>
                      <w:rFonts w:hint="eastAsia"/>
                      <w:color w:val="FF0000"/>
                      <w:kern w:val="2"/>
                      <w:sz w:val="21"/>
                      <w:szCs w:val="21"/>
                      <w:u w:val="single"/>
                    </w:rPr>
                    <w:t>废矿物油性状</w:t>
                  </w:r>
                </w:p>
              </w:tc>
              <w:tc>
                <w:tcPr>
                  <w:tcW w:w="5981" w:type="dxa"/>
                  <w:noWrap/>
                  <w:vAlign w:val="center"/>
                </w:tcPr>
                <w:p>
                  <w:pPr>
                    <w:pStyle w:val="14"/>
                    <w:spacing w:before="0" w:beforeAutospacing="0" w:after="0" w:afterAutospacing="0"/>
                    <w:jc w:val="center"/>
                    <w:rPr>
                      <w:color w:val="FF0000"/>
                      <w:kern w:val="2"/>
                      <w:sz w:val="21"/>
                      <w:szCs w:val="21"/>
                      <w:u w:val="single"/>
                    </w:rPr>
                  </w:pPr>
                  <w:r>
                    <w:rPr>
                      <w:rFonts w:hint="eastAsia"/>
                      <w:color w:val="FF0000"/>
                      <w:kern w:val="2"/>
                      <w:sz w:val="21"/>
                      <w:szCs w:val="21"/>
                      <w:u w:val="single"/>
                    </w:rPr>
                    <w:t>稍有粘性的棕色液体</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1818" w:type="dxa"/>
                  <w:noWrap/>
                  <w:vAlign w:val="center"/>
                </w:tcPr>
                <w:p>
                  <w:pPr>
                    <w:pStyle w:val="14"/>
                    <w:spacing w:before="0" w:beforeAutospacing="0" w:after="0" w:afterAutospacing="0"/>
                    <w:jc w:val="center"/>
                    <w:rPr>
                      <w:color w:val="FF0000"/>
                      <w:kern w:val="2"/>
                      <w:sz w:val="21"/>
                      <w:szCs w:val="21"/>
                      <w:u w:val="single"/>
                    </w:rPr>
                  </w:pPr>
                  <w:r>
                    <w:rPr>
                      <w:rFonts w:hint="eastAsia"/>
                      <w:color w:val="FF0000"/>
                      <w:kern w:val="2"/>
                      <w:sz w:val="21"/>
                      <w:szCs w:val="21"/>
                      <w:u w:val="single"/>
                    </w:rPr>
                    <w:t>溶解性</w:t>
                  </w:r>
                </w:p>
              </w:tc>
              <w:tc>
                <w:tcPr>
                  <w:tcW w:w="5981" w:type="dxa"/>
                  <w:noWrap/>
                  <w:vAlign w:val="center"/>
                </w:tcPr>
                <w:p>
                  <w:pPr>
                    <w:pStyle w:val="14"/>
                    <w:spacing w:before="0" w:beforeAutospacing="0" w:after="0" w:afterAutospacing="0"/>
                    <w:jc w:val="center"/>
                    <w:rPr>
                      <w:color w:val="FF0000"/>
                      <w:kern w:val="2"/>
                      <w:sz w:val="21"/>
                      <w:szCs w:val="21"/>
                      <w:u w:val="single"/>
                    </w:rPr>
                  </w:pPr>
                  <w:r>
                    <w:rPr>
                      <w:rFonts w:hint="eastAsia"/>
                      <w:color w:val="FF0000"/>
                      <w:kern w:val="2"/>
                      <w:sz w:val="21"/>
                      <w:szCs w:val="21"/>
                      <w:u w:val="single"/>
                    </w:rPr>
                    <w:t>可混溶于乙醇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1818" w:type="dxa"/>
                  <w:noWrap/>
                  <w:vAlign w:val="center"/>
                </w:tcPr>
                <w:p>
                  <w:pPr>
                    <w:pStyle w:val="14"/>
                    <w:spacing w:before="0" w:beforeAutospacing="0" w:after="0" w:afterAutospacing="0"/>
                    <w:jc w:val="center"/>
                    <w:rPr>
                      <w:color w:val="FF0000"/>
                      <w:kern w:val="2"/>
                      <w:sz w:val="21"/>
                      <w:szCs w:val="21"/>
                      <w:u w:val="single"/>
                    </w:rPr>
                  </w:pPr>
                  <w:r>
                    <w:rPr>
                      <w:rFonts w:hint="eastAsia"/>
                      <w:color w:val="FF0000"/>
                      <w:kern w:val="2"/>
                      <w:sz w:val="21"/>
                      <w:szCs w:val="21"/>
                      <w:u w:val="single"/>
                    </w:rPr>
                    <w:t>熔点（℃）</w:t>
                  </w:r>
                </w:p>
              </w:tc>
              <w:tc>
                <w:tcPr>
                  <w:tcW w:w="5981" w:type="dxa"/>
                  <w:noWrap/>
                  <w:vAlign w:val="center"/>
                </w:tcPr>
                <w:p>
                  <w:pPr>
                    <w:pStyle w:val="14"/>
                    <w:spacing w:before="0" w:beforeAutospacing="0" w:after="0" w:afterAutospacing="0"/>
                    <w:jc w:val="center"/>
                    <w:rPr>
                      <w:color w:val="FF0000"/>
                      <w:kern w:val="2"/>
                      <w:sz w:val="21"/>
                      <w:szCs w:val="21"/>
                      <w:u w:val="single"/>
                    </w:rPr>
                  </w:pPr>
                  <w:r>
                    <w:rPr>
                      <w:rFonts w:hint="eastAsia"/>
                      <w:color w:val="FF0000"/>
                      <w:kern w:val="2"/>
                      <w:sz w:val="21"/>
                      <w:szCs w:val="21"/>
                      <w:u w:val="single"/>
                    </w:rPr>
                    <w:t>~18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1818" w:type="dxa"/>
                  <w:noWrap/>
                  <w:vAlign w:val="center"/>
                </w:tcPr>
                <w:p>
                  <w:pPr>
                    <w:pStyle w:val="14"/>
                    <w:spacing w:before="0" w:beforeAutospacing="0" w:after="0" w:afterAutospacing="0"/>
                    <w:jc w:val="center"/>
                    <w:rPr>
                      <w:color w:val="FF0000"/>
                      <w:kern w:val="2"/>
                      <w:sz w:val="21"/>
                      <w:szCs w:val="21"/>
                      <w:u w:val="single"/>
                    </w:rPr>
                  </w:pPr>
                  <w:r>
                    <w:rPr>
                      <w:rFonts w:hint="eastAsia"/>
                      <w:color w:val="FF0000"/>
                      <w:kern w:val="2"/>
                      <w:sz w:val="21"/>
                      <w:szCs w:val="21"/>
                      <w:u w:val="single"/>
                    </w:rPr>
                    <w:t>沸点（℃）</w:t>
                  </w:r>
                </w:p>
              </w:tc>
              <w:tc>
                <w:tcPr>
                  <w:tcW w:w="5981" w:type="dxa"/>
                  <w:noWrap/>
                  <w:vAlign w:val="center"/>
                </w:tcPr>
                <w:p>
                  <w:pPr>
                    <w:pStyle w:val="14"/>
                    <w:spacing w:before="0" w:beforeAutospacing="0" w:after="0" w:afterAutospacing="0"/>
                    <w:jc w:val="center"/>
                    <w:rPr>
                      <w:color w:val="FF0000"/>
                      <w:kern w:val="2"/>
                      <w:sz w:val="21"/>
                      <w:szCs w:val="21"/>
                      <w:u w:val="single"/>
                    </w:rPr>
                  </w:pPr>
                  <w:r>
                    <w:rPr>
                      <w:rFonts w:hint="eastAsia"/>
                      <w:color w:val="FF0000"/>
                      <w:kern w:val="2"/>
                      <w:sz w:val="21"/>
                      <w:szCs w:val="21"/>
                      <w:u w:val="single"/>
                    </w:rPr>
                    <w:t>282~338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1818" w:type="dxa"/>
                  <w:noWrap/>
                  <w:vAlign w:val="center"/>
                </w:tcPr>
                <w:p>
                  <w:pPr>
                    <w:pStyle w:val="14"/>
                    <w:spacing w:before="0" w:beforeAutospacing="0" w:after="0" w:afterAutospacing="0"/>
                    <w:jc w:val="center"/>
                    <w:rPr>
                      <w:color w:val="FF0000"/>
                      <w:kern w:val="2"/>
                      <w:sz w:val="21"/>
                      <w:szCs w:val="21"/>
                      <w:u w:val="single"/>
                    </w:rPr>
                  </w:pPr>
                  <w:r>
                    <w:rPr>
                      <w:rFonts w:hint="eastAsia"/>
                      <w:color w:val="FF0000"/>
                      <w:kern w:val="2"/>
                      <w:sz w:val="21"/>
                      <w:szCs w:val="21"/>
                      <w:u w:val="single"/>
                    </w:rPr>
                    <w:t>相对密度（水＝1）</w:t>
                  </w:r>
                </w:p>
              </w:tc>
              <w:tc>
                <w:tcPr>
                  <w:tcW w:w="5981" w:type="dxa"/>
                  <w:noWrap/>
                  <w:vAlign w:val="center"/>
                </w:tcPr>
                <w:p>
                  <w:pPr>
                    <w:pStyle w:val="14"/>
                    <w:spacing w:before="0" w:beforeAutospacing="0" w:after="0" w:afterAutospacing="0"/>
                    <w:jc w:val="center"/>
                    <w:rPr>
                      <w:color w:val="FF0000"/>
                      <w:kern w:val="2"/>
                      <w:sz w:val="21"/>
                      <w:szCs w:val="21"/>
                      <w:u w:val="single"/>
                    </w:rPr>
                  </w:pPr>
                  <w:r>
                    <w:rPr>
                      <w:rFonts w:hint="eastAsia"/>
                      <w:color w:val="FF0000"/>
                      <w:kern w:val="2"/>
                      <w:sz w:val="21"/>
                      <w:szCs w:val="21"/>
                      <w:u w:val="single"/>
                    </w:rPr>
                    <w:t>0.87~0.9</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1818" w:type="dxa"/>
                  <w:noWrap/>
                  <w:vAlign w:val="center"/>
                </w:tcPr>
                <w:p>
                  <w:pPr>
                    <w:pStyle w:val="14"/>
                    <w:spacing w:before="0" w:beforeAutospacing="0" w:after="0" w:afterAutospacing="0"/>
                    <w:jc w:val="center"/>
                    <w:rPr>
                      <w:color w:val="FF0000"/>
                      <w:kern w:val="2"/>
                      <w:sz w:val="21"/>
                      <w:szCs w:val="21"/>
                      <w:u w:val="single"/>
                    </w:rPr>
                  </w:pPr>
                  <w:r>
                    <w:rPr>
                      <w:rFonts w:hint="eastAsia"/>
                      <w:color w:val="FF0000"/>
                      <w:kern w:val="2"/>
                      <w:sz w:val="21"/>
                      <w:szCs w:val="21"/>
                      <w:u w:val="single"/>
                    </w:rPr>
                    <w:t>饱和蒸汽压（kPa）</w:t>
                  </w:r>
                </w:p>
              </w:tc>
              <w:tc>
                <w:tcPr>
                  <w:tcW w:w="5981" w:type="dxa"/>
                  <w:noWrap/>
                  <w:vAlign w:val="center"/>
                </w:tcPr>
                <w:p>
                  <w:pPr>
                    <w:pStyle w:val="14"/>
                    <w:spacing w:before="0" w:beforeAutospacing="0" w:after="0" w:afterAutospacing="0"/>
                    <w:jc w:val="center"/>
                    <w:rPr>
                      <w:color w:val="FF0000"/>
                      <w:kern w:val="2"/>
                      <w:sz w:val="21"/>
                      <w:szCs w:val="21"/>
                      <w:u w:val="single"/>
                    </w:rPr>
                  </w:pPr>
                  <w:r>
                    <w:rPr>
                      <w:rFonts w:hint="eastAsia"/>
                      <w:color w:val="FF0000"/>
                      <w:kern w:val="2"/>
                      <w:sz w:val="21"/>
                      <w:szCs w:val="21"/>
                      <w:u w:val="single"/>
                    </w:rPr>
                    <w:t>0.67（25℃，纯品）</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1818" w:type="dxa"/>
                  <w:noWrap/>
                  <w:vAlign w:val="center"/>
                </w:tcPr>
                <w:p>
                  <w:pPr>
                    <w:pStyle w:val="14"/>
                    <w:spacing w:before="0" w:beforeAutospacing="0" w:after="0" w:afterAutospacing="0"/>
                    <w:jc w:val="center"/>
                    <w:rPr>
                      <w:color w:val="FF0000"/>
                      <w:kern w:val="2"/>
                      <w:sz w:val="21"/>
                      <w:szCs w:val="21"/>
                      <w:u w:val="single"/>
                    </w:rPr>
                  </w:pPr>
                  <w:r>
                    <w:rPr>
                      <w:rFonts w:hint="eastAsia"/>
                      <w:color w:val="FF0000"/>
                      <w:kern w:val="2"/>
                      <w:sz w:val="21"/>
                      <w:szCs w:val="21"/>
                      <w:u w:val="single"/>
                    </w:rPr>
                    <w:t>燃烧性</w:t>
                  </w:r>
                </w:p>
              </w:tc>
              <w:tc>
                <w:tcPr>
                  <w:tcW w:w="5981" w:type="dxa"/>
                  <w:noWrap/>
                  <w:vAlign w:val="center"/>
                </w:tcPr>
                <w:p>
                  <w:pPr>
                    <w:pStyle w:val="14"/>
                    <w:spacing w:before="0" w:beforeAutospacing="0" w:after="0" w:afterAutospacing="0"/>
                    <w:jc w:val="center"/>
                    <w:rPr>
                      <w:color w:val="FF0000"/>
                      <w:kern w:val="2"/>
                      <w:sz w:val="21"/>
                      <w:szCs w:val="21"/>
                      <w:u w:val="single"/>
                    </w:rPr>
                  </w:pPr>
                  <w:r>
                    <w:rPr>
                      <w:rFonts w:hint="eastAsia"/>
                      <w:color w:val="FF0000"/>
                      <w:kern w:val="2"/>
                      <w:sz w:val="21"/>
                      <w:szCs w:val="21"/>
                      <w:u w:val="single"/>
                    </w:rPr>
                    <w:t>不燃</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1818" w:type="dxa"/>
                  <w:noWrap/>
                  <w:vAlign w:val="center"/>
                </w:tcPr>
                <w:p>
                  <w:pPr>
                    <w:pStyle w:val="14"/>
                    <w:spacing w:before="0" w:beforeAutospacing="0" w:after="0" w:afterAutospacing="0"/>
                    <w:jc w:val="center"/>
                    <w:rPr>
                      <w:color w:val="FF0000"/>
                      <w:kern w:val="2"/>
                      <w:sz w:val="21"/>
                      <w:szCs w:val="21"/>
                      <w:u w:val="single"/>
                    </w:rPr>
                  </w:pPr>
                  <w:r>
                    <w:rPr>
                      <w:rFonts w:hint="eastAsia"/>
                      <w:color w:val="FF0000"/>
                      <w:kern w:val="2"/>
                      <w:sz w:val="21"/>
                      <w:szCs w:val="21"/>
                      <w:u w:val="single"/>
                    </w:rPr>
                    <w:t>燃烧分解产物</w:t>
                  </w:r>
                </w:p>
              </w:tc>
              <w:tc>
                <w:tcPr>
                  <w:tcW w:w="5981" w:type="dxa"/>
                  <w:noWrap/>
                  <w:vAlign w:val="center"/>
                </w:tcPr>
                <w:p>
                  <w:pPr>
                    <w:pStyle w:val="14"/>
                    <w:spacing w:before="0" w:beforeAutospacing="0" w:after="0" w:afterAutospacing="0"/>
                    <w:jc w:val="center"/>
                    <w:rPr>
                      <w:color w:val="FF0000"/>
                      <w:kern w:val="2"/>
                      <w:sz w:val="21"/>
                      <w:szCs w:val="21"/>
                      <w:u w:val="single"/>
                    </w:rPr>
                  </w:pPr>
                  <w:r>
                    <w:rPr>
                      <w:rFonts w:hint="eastAsia"/>
                      <w:color w:val="FF0000"/>
                      <w:kern w:val="2"/>
                      <w:sz w:val="21"/>
                      <w:szCs w:val="21"/>
                      <w:u w:val="single"/>
                    </w:rPr>
                    <w:t>一氧化碳、二氧化碳</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1818" w:type="dxa"/>
                  <w:noWrap/>
                  <w:vAlign w:val="center"/>
                </w:tcPr>
                <w:p>
                  <w:pPr>
                    <w:pStyle w:val="14"/>
                    <w:spacing w:before="0" w:beforeAutospacing="0" w:after="0" w:afterAutospacing="0"/>
                    <w:jc w:val="center"/>
                    <w:rPr>
                      <w:color w:val="FF0000"/>
                      <w:kern w:val="2"/>
                      <w:sz w:val="21"/>
                      <w:szCs w:val="21"/>
                      <w:u w:val="single"/>
                    </w:rPr>
                  </w:pPr>
                  <w:r>
                    <w:rPr>
                      <w:rFonts w:hint="eastAsia"/>
                      <w:color w:val="FF0000"/>
                      <w:kern w:val="2"/>
                      <w:sz w:val="21"/>
                      <w:szCs w:val="21"/>
                      <w:u w:val="single"/>
                    </w:rPr>
                    <w:t>闪点（℃）</w:t>
                  </w:r>
                </w:p>
              </w:tc>
              <w:tc>
                <w:tcPr>
                  <w:tcW w:w="5981" w:type="dxa"/>
                  <w:noWrap/>
                  <w:vAlign w:val="center"/>
                </w:tcPr>
                <w:p>
                  <w:pPr>
                    <w:pStyle w:val="14"/>
                    <w:spacing w:before="0" w:beforeAutospacing="0" w:after="0" w:afterAutospacing="0"/>
                    <w:jc w:val="center"/>
                    <w:rPr>
                      <w:color w:val="FF0000"/>
                      <w:kern w:val="2"/>
                      <w:sz w:val="21"/>
                      <w:szCs w:val="21"/>
                      <w:u w:val="single"/>
                    </w:rPr>
                  </w:pPr>
                  <w:r>
                    <w:rPr>
                      <w:rFonts w:hint="eastAsia"/>
                      <w:color w:val="FF0000"/>
                      <w:kern w:val="2"/>
                      <w:sz w:val="21"/>
                      <w:szCs w:val="21"/>
                      <w:u w:val="single"/>
                    </w:rPr>
                    <w:t>55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1818" w:type="dxa"/>
                  <w:noWrap/>
                  <w:vAlign w:val="center"/>
                </w:tcPr>
                <w:p>
                  <w:pPr>
                    <w:pStyle w:val="14"/>
                    <w:spacing w:before="0" w:beforeAutospacing="0" w:after="0" w:afterAutospacing="0"/>
                    <w:jc w:val="center"/>
                    <w:rPr>
                      <w:color w:val="FF0000"/>
                      <w:kern w:val="2"/>
                      <w:sz w:val="21"/>
                      <w:szCs w:val="21"/>
                      <w:u w:val="single"/>
                    </w:rPr>
                  </w:pPr>
                  <w:r>
                    <w:rPr>
                      <w:rFonts w:hint="eastAsia"/>
                      <w:color w:val="FF0000"/>
                      <w:kern w:val="2"/>
                      <w:sz w:val="21"/>
                      <w:szCs w:val="21"/>
                      <w:u w:val="single"/>
                    </w:rPr>
                    <w:t>聚合危害</w:t>
                  </w:r>
                </w:p>
              </w:tc>
              <w:tc>
                <w:tcPr>
                  <w:tcW w:w="5981" w:type="dxa"/>
                  <w:noWrap/>
                  <w:vAlign w:val="center"/>
                </w:tcPr>
                <w:p>
                  <w:pPr>
                    <w:pStyle w:val="14"/>
                    <w:spacing w:before="0" w:beforeAutospacing="0" w:after="0" w:afterAutospacing="0"/>
                    <w:jc w:val="center"/>
                    <w:rPr>
                      <w:color w:val="FF0000"/>
                      <w:kern w:val="2"/>
                      <w:sz w:val="21"/>
                      <w:szCs w:val="21"/>
                      <w:u w:val="single"/>
                    </w:rPr>
                  </w:pPr>
                  <w:r>
                    <w:rPr>
                      <w:rFonts w:hint="eastAsia"/>
                      <w:color w:val="FF0000"/>
                      <w:kern w:val="2"/>
                      <w:sz w:val="21"/>
                      <w:szCs w:val="21"/>
                      <w:u w:val="single"/>
                    </w:rPr>
                    <w:t>不聚合</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546" w:hRule="atLeast"/>
              </w:trPr>
              <w:tc>
                <w:tcPr>
                  <w:tcW w:w="1818" w:type="dxa"/>
                  <w:noWrap/>
                  <w:vAlign w:val="center"/>
                </w:tcPr>
                <w:p>
                  <w:pPr>
                    <w:pStyle w:val="14"/>
                    <w:spacing w:before="0" w:beforeAutospacing="0" w:after="0" w:afterAutospacing="0"/>
                    <w:jc w:val="center"/>
                    <w:rPr>
                      <w:color w:val="FF0000"/>
                      <w:kern w:val="2"/>
                      <w:sz w:val="21"/>
                      <w:szCs w:val="21"/>
                      <w:u w:val="single"/>
                    </w:rPr>
                  </w:pPr>
                  <w:r>
                    <w:rPr>
                      <w:rFonts w:hint="eastAsia"/>
                      <w:color w:val="FF0000"/>
                      <w:kern w:val="2"/>
                      <w:sz w:val="21"/>
                      <w:szCs w:val="21"/>
                      <w:u w:val="single"/>
                    </w:rPr>
                    <w:t>危险特性</w:t>
                  </w:r>
                </w:p>
              </w:tc>
              <w:tc>
                <w:tcPr>
                  <w:tcW w:w="5981" w:type="dxa"/>
                  <w:noWrap/>
                  <w:vAlign w:val="center"/>
                </w:tcPr>
                <w:p>
                  <w:pPr>
                    <w:pStyle w:val="14"/>
                    <w:spacing w:before="0" w:beforeAutospacing="0" w:after="0" w:afterAutospacing="0"/>
                    <w:jc w:val="center"/>
                    <w:rPr>
                      <w:color w:val="FF0000"/>
                      <w:kern w:val="2"/>
                      <w:sz w:val="21"/>
                      <w:szCs w:val="21"/>
                      <w:u w:val="single"/>
                    </w:rPr>
                  </w:pPr>
                  <w:r>
                    <w:rPr>
                      <w:rFonts w:hint="eastAsia"/>
                      <w:color w:val="FF0000"/>
                      <w:kern w:val="2"/>
                      <w:sz w:val="21"/>
                      <w:szCs w:val="21"/>
                      <w:u w:val="single"/>
                    </w:rPr>
                    <w:t>遇明火、高热或与氧化剂接触，有引起燃烧爆炸的危险。若遇高热，容器内压增大，有开裂和爆炸的危险。</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809" w:hRule="atLeast"/>
              </w:trPr>
              <w:tc>
                <w:tcPr>
                  <w:tcW w:w="1818" w:type="dxa"/>
                  <w:noWrap/>
                  <w:vAlign w:val="center"/>
                </w:tcPr>
                <w:p>
                  <w:pPr>
                    <w:pStyle w:val="14"/>
                    <w:spacing w:before="0" w:beforeAutospacing="0" w:after="0" w:afterAutospacing="0"/>
                    <w:jc w:val="center"/>
                    <w:rPr>
                      <w:color w:val="FF0000"/>
                      <w:kern w:val="2"/>
                      <w:sz w:val="21"/>
                      <w:szCs w:val="21"/>
                      <w:u w:val="single"/>
                    </w:rPr>
                  </w:pPr>
                  <w:r>
                    <w:rPr>
                      <w:rFonts w:hint="eastAsia"/>
                      <w:color w:val="FF0000"/>
                      <w:kern w:val="2"/>
                      <w:sz w:val="21"/>
                      <w:szCs w:val="21"/>
                      <w:u w:val="single"/>
                    </w:rPr>
                    <w:t>灭火方法</w:t>
                  </w:r>
                </w:p>
              </w:tc>
              <w:tc>
                <w:tcPr>
                  <w:tcW w:w="5981" w:type="dxa"/>
                  <w:noWrap/>
                  <w:vAlign w:val="center"/>
                </w:tcPr>
                <w:p>
                  <w:pPr>
                    <w:pStyle w:val="14"/>
                    <w:spacing w:before="0" w:beforeAutospacing="0" w:after="0" w:afterAutospacing="0"/>
                    <w:jc w:val="center"/>
                    <w:rPr>
                      <w:color w:val="FF0000"/>
                      <w:kern w:val="2"/>
                      <w:sz w:val="21"/>
                      <w:szCs w:val="21"/>
                      <w:u w:val="single"/>
                    </w:rPr>
                  </w:pPr>
                  <w:r>
                    <w:rPr>
                      <w:rFonts w:hint="eastAsia"/>
                      <w:color w:val="FF0000"/>
                      <w:kern w:val="2"/>
                      <w:sz w:val="21"/>
                      <w:szCs w:val="21"/>
                      <w:u w:val="single"/>
                    </w:rPr>
                    <w:t>消防人员必须佩戴防毒面具、穿全身消防服，在上风向灭火。尽可能将容器从火场移至空旷处。喷水保持火场容器冷却，直至灭火结束。在火场中的容器若已变色或从安全泄压装置中产生声音，必须马上撤离。</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trPr>
              <w:tc>
                <w:tcPr>
                  <w:tcW w:w="1818" w:type="dxa"/>
                  <w:noWrap/>
                  <w:vAlign w:val="center"/>
                </w:tcPr>
                <w:p>
                  <w:pPr>
                    <w:pStyle w:val="14"/>
                    <w:spacing w:before="0" w:beforeAutospacing="0" w:after="0" w:afterAutospacing="0"/>
                    <w:jc w:val="center"/>
                    <w:rPr>
                      <w:color w:val="FF0000"/>
                      <w:kern w:val="2"/>
                      <w:sz w:val="21"/>
                      <w:szCs w:val="21"/>
                      <w:u w:val="single"/>
                    </w:rPr>
                  </w:pPr>
                  <w:r>
                    <w:rPr>
                      <w:rFonts w:hint="eastAsia"/>
                      <w:color w:val="FF0000"/>
                      <w:kern w:val="2"/>
                      <w:sz w:val="21"/>
                      <w:szCs w:val="21"/>
                      <w:u w:val="single"/>
                    </w:rPr>
                    <w:t>贮存方法</w:t>
                  </w:r>
                </w:p>
              </w:tc>
              <w:tc>
                <w:tcPr>
                  <w:tcW w:w="5981" w:type="dxa"/>
                  <w:noWrap/>
                  <w:vAlign w:val="center"/>
                </w:tcPr>
                <w:p>
                  <w:pPr>
                    <w:pStyle w:val="14"/>
                    <w:spacing w:before="0" w:beforeAutospacing="0" w:after="0" w:afterAutospacing="0"/>
                    <w:jc w:val="center"/>
                    <w:rPr>
                      <w:color w:val="FF0000"/>
                      <w:kern w:val="2"/>
                      <w:sz w:val="21"/>
                      <w:szCs w:val="21"/>
                      <w:u w:val="single"/>
                    </w:rPr>
                  </w:pPr>
                  <w:r>
                    <w:rPr>
                      <w:rFonts w:hint="eastAsia"/>
                      <w:color w:val="FF0000"/>
                      <w:kern w:val="2"/>
                      <w:sz w:val="21"/>
                      <w:szCs w:val="21"/>
                      <w:u w:val="single"/>
                    </w:rPr>
                    <w:t>储存于阴凉、通风的库房内，远离火种、热源，应与氧化剂、卤素分开存放，切忌混储。采用防爆型照明、通风设施；禁止使用易产生火花的机械设备和工具。储区应备有泄漏应急处理设备工具和合适的收容材料。</w:t>
                  </w:r>
                </w:p>
              </w:tc>
            </w:tr>
          </w:tbl>
          <w:p>
            <w:pPr>
              <w:jc w:val="center"/>
              <w:rPr>
                <w:b/>
                <w:color w:val="FF0000"/>
                <w:szCs w:val="21"/>
                <w:u w:val="single"/>
              </w:rPr>
            </w:pPr>
            <w:r>
              <w:rPr>
                <w:rFonts w:hint="eastAsia" w:cs="宋体"/>
                <w:b/>
                <w:color w:val="FF0000"/>
                <w:szCs w:val="21"/>
                <w:u w:val="single"/>
              </w:rPr>
              <w:t>表4-</w:t>
            </w:r>
            <w:r>
              <w:rPr>
                <w:rFonts w:hint="eastAsia" w:cs="宋体"/>
                <w:b/>
                <w:color w:val="FF0000"/>
                <w:szCs w:val="21"/>
                <w:u w:val="single"/>
                <w:lang w:val="en-US" w:eastAsia="zh-CN"/>
              </w:rPr>
              <w:t xml:space="preserve">3  </w:t>
            </w:r>
            <w:r>
              <w:rPr>
                <w:rFonts w:hint="eastAsia" w:cs="宋体"/>
                <w:b/>
                <w:color w:val="FF0000"/>
                <w:szCs w:val="21"/>
                <w:u w:val="single"/>
              </w:rPr>
              <w:t>柴油特性</w:t>
            </w:r>
          </w:p>
          <w:tbl>
            <w:tblPr>
              <w:tblStyle w:val="17"/>
              <w:tblW w:w="7659"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1785"/>
              <w:gridCol w:w="5874"/>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5" w:hRule="atLeast"/>
                <w:jc w:val="center"/>
              </w:trPr>
              <w:tc>
                <w:tcPr>
                  <w:tcW w:w="1785" w:type="dxa"/>
                  <w:noWrap/>
                  <w:vAlign w:val="center"/>
                </w:tcPr>
                <w:p>
                  <w:pPr>
                    <w:jc w:val="center"/>
                    <w:rPr>
                      <w:color w:val="FF0000"/>
                      <w:szCs w:val="21"/>
                      <w:u w:val="single"/>
                    </w:rPr>
                  </w:pPr>
                  <w:r>
                    <w:rPr>
                      <w:color w:val="FF0000"/>
                      <w:szCs w:val="21"/>
                      <w:u w:val="single"/>
                    </w:rPr>
                    <w:t>柴油</w:t>
                  </w:r>
                  <w:r>
                    <w:rPr>
                      <w:rFonts w:hint="eastAsia"/>
                      <w:color w:val="FF0000"/>
                      <w:szCs w:val="21"/>
                      <w:u w:val="single"/>
                    </w:rPr>
                    <w:t>形状</w:t>
                  </w:r>
                </w:p>
              </w:tc>
              <w:tc>
                <w:tcPr>
                  <w:tcW w:w="5874" w:type="dxa"/>
                  <w:noWrap/>
                  <w:vAlign w:val="center"/>
                </w:tcPr>
                <w:p>
                  <w:pPr>
                    <w:jc w:val="center"/>
                    <w:rPr>
                      <w:color w:val="FF0000"/>
                      <w:szCs w:val="21"/>
                      <w:u w:val="single"/>
                    </w:rPr>
                  </w:pPr>
                  <w:r>
                    <w:rPr>
                      <w:color w:val="FF0000"/>
                      <w:szCs w:val="21"/>
                      <w:u w:val="single"/>
                    </w:rPr>
                    <w:t>稍有粘性的棕色液体</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68" w:hRule="atLeast"/>
                <w:jc w:val="center"/>
              </w:trPr>
              <w:tc>
                <w:tcPr>
                  <w:tcW w:w="1785" w:type="dxa"/>
                  <w:noWrap/>
                  <w:vAlign w:val="center"/>
                </w:tcPr>
                <w:p>
                  <w:pPr>
                    <w:jc w:val="center"/>
                    <w:rPr>
                      <w:color w:val="FF0000"/>
                      <w:szCs w:val="21"/>
                      <w:u w:val="single"/>
                    </w:rPr>
                  </w:pPr>
                  <w:r>
                    <w:rPr>
                      <w:color w:val="FF0000"/>
                      <w:szCs w:val="21"/>
                      <w:u w:val="single"/>
                    </w:rPr>
                    <w:t>溶解性</w:t>
                  </w:r>
                </w:p>
              </w:tc>
              <w:tc>
                <w:tcPr>
                  <w:tcW w:w="5874" w:type="dxa"/>
                  <w:noWrap/>
                  <w:vAlign w:val="center"/>
                </w:tcPr>
                <w:p>
                  <w:pPr>
                    <w:jc w:val="center"/>
                    <w:rPr>
                      <w:color w:val="FF0000"/>
                      <w:szCs w:val="21"/>
                      <w:u w:val="single"/>
                    </w:rPr>
                  </w:pPr>
                  <w:r>
                    <w:rPr>
                      <w:color w:val="FF0000"/>
                      <w:szCs w:val="21"/>
                      <w:u w:val="single"/>
                    </w:rPr>
                    <w:t>不溶于水，能与多种有机溶剂相混溶</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68" w:hRule="atLeast"/>
                <w:jc w:val="center"/>
              </w:trPr>
              <w:tc>
                <w:tcPr>
                  <w:tcW w:w="1785" w:type="dxa"/>
                  <w:noWrap/>
                  <w:vAlign w:val="center"/>
                </w:tcPr>
                <w:p>
                  <w:pPr>
                    <w:jc w:val="center"/>
                    <w:rPr>
                      <w:color w:val="FF0000"/>
                      <w:szCs w:val="21"/>
                      <w:u w:val="single"/>
                    </w:rPr>
                  </w:pPr>
                  <w:r>
                    <w:rPr>
                      <w:color w:val="FF0000"/>
                      <w:szCs w:val="21"/>
                      <w:u w:val="single"/>
                    </w:rPr>
                    <w:t>熔点（℃）</w:t>
                  </w:r>
                </w:p>
              </w:tc>
              <w:tc>
                <w:tcPr>
                  <w:tcW w:w="5874" w:type="dxa"/>
                  <w:noWrap/>
                  <w:vAlign w:val="center"/>
                </w:tcPr>
                <w:p>
                  <w:pPr>
                    <w:jc w:val="center"/>
                    <w:rPr>
                      <w:color w:val="FF0000"/>
                      <w:szCs w:val="21"/>
                      <w:u w:val="single"/>
                    </w:rPr>
                  </w:pPr>
                  <w:r>
                    <w:rPr>
                      <w:color w:val="FF0000"/>
                      <w:szCs w:val="21"/>
                      <w:u w:val="single"/>
                    </w:rPr>
                    <w:t>~18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68" w:hRule="atLeast"/>
                <w:jc w:val="center"/>
              </w:trPr>
              <w:tc>
                <w:tcPr>
                  <w:tcW w:w="1785" w:type="dxa"/>
                  <w:noWrap/>
                  <w:vAlign w:val="center"/>
                </w:tcPr>
                <w:p>
                  <w:pPr>
                    <w:jc w:val="center"/>
                    <w:rPr>
                      <w:color w:val="FF0000"/>
                      <w:szCs w:val="21"/>
                      <w:u w:val="single"/>
                    </w:rPr>
                  </w:pPr>
                  <w:r>
                    <w:rPr>
                      <w:color w:val="FF0000"/>
                      <w:szCs w:val="21"/>
                      <w:u w:val="single"/>
                    </w:rPr>
                    <w:t>沸点（℃）</w:t>
                  </w:r>
                </w:p>
              </w:tc>
              <w:tc>
                <w:tcPr>
                  <w:tcW w:w="5874" w:type="dxa"/>
                  <w:noWrap/>
                  <w:vAlign w:val="center"/>
                </w:tcPr>
                <w:p>
                  <w:pPr>
                    <w:jc w:val="center"/>
                    <w:rPr>
                      <w:color w:val="FF0000"/>
                      <w:szCs w:val="21"/>
                      <w:u w:val="single"/>
                    </w:rPr>
                  </w:pPr>
                  <w:r>
                    <w:rPr>
                      <w:color w:val="FF0000"/>
                      <w:szCs w:val="21"/>
                      <w:u w:val="single"/>
                    </w:rPr>
                    <w:t>282～338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68" w:hRule="atLeast"/>
                <w:jc w:val="center"/>
              </w:trPr>
              <w:tc>
                <w:tcPr>
                  <w:tcW w:w="1785" w:type="dxa"/>
                  <w:noWrap/>
                  <w:vAlign w:val="center"/>
                </w:tcPr>
                <w:p>
                  <w:pPr>
                    <w:jc w:val="center"/>
                    <w:rPr>
                      <w:color w:val="FF0000"/>
                      <w:szCs w:val="21"/>
                      <w:u w:val="single"/>
                    </w:rPr>
                  </w:pPr>
                  <w:r>
                    <w:rPr>
                      <w:color w:val="FF0000"/>
                      <w:szCs w:val="21"/>
                      <w:u w:val="single"/>
                    </w:rPr>
                    <w:t>相对密度（水＝1）</w:t>
                  </w:r>
                </w:p>
              </w:tc>
              <w:tc>
                <w:tcPr>
                  <w:tcW w:w="5874" w:type="dxa"/>
                  <w:noWrap/>
                  <w:vAlign w:val="center"/>
                </w:tcPr>
                <w:p>
                  <w:pPr>
                    <w:jc w:val="center"/>
                    <w:rPr>
                      <w:color w:val="FF0000"/>
                      <w:szCs w:val="21"/>
                      <w:u w:val="single"/>
                    </w:rPr>
                  </w:pPr>
                  <w:r>
                    <w:rPr>
                      <w:color w:val="FF0000"/>
                      <w:szCs w:val="21"/>
                      <w:u w:val="single"/>
                    </w:rPr>
                    <w:t>0.87～0.90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68" w:hRule="atLeast"/>
                <w:jc w:val="center"/>
              </w:trPr>
              <w:tc>
                <w:tcPr>
                  <w:tcW w:w="1785" w:type="dxa"/>
                  <w:noWrap/>
                  <w:vAlign w:val="center"/>
                </w:tcPr>
                <w:p>
                  <w:pPr>
                    <w:jc w:val="center"/>
                    <w:rPr>
                      <w:color w:val="FF0000"/>
                      <w:szCs w:val="21"/>
                      <w:u w:val="single"/>
                    </w:rPr>
                  </w:pPr>
                  <w:r>
                    <w:rPr>
                      <w:color w:val="FF0000"/>
                      <w:szCs w:val="21"/>
                      <w:u w:val="single"/>
                    </w:rPr>
                    <w:t>燃烧性</w:t>
                  </w:r>
                </w:p>
              </w:tc>
              <w:tc>
                <w:tcPr>
                  <w:tcW w:w="5874" w:type="dxa"/>
                  <w:noWrap/>
                  <w:vAlign w:val="center"/>
                </w:tcPr>
                <w:p>
                  <w:pPr>
                    <w:jc w:val="center"/>
                    <w:rPr>
                      <w:color w:val="FF0000"/>
                      <w:szCs w:val="21"/>
                      <w:u w:val="single"/>
                    </w:rPr>
                  </w:pPr>
                  <w:r>
                    <w:rPr>
                      <w:color w:val="FF0000"/>
                      <w:szCs w:val="21"/>
                      <w:u w:val="single"/>
                    </w:rPr>
                    <w:t>易燃</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68" w:hRule="atLeast"/>
                <w:jc w:val="center"/>
              </w:trPr>
              <w:tc>
                <w:tcPr>
                  <w:tcW w:w="1785" w:type="dxa"/>
                  <w:noWrap/>
                  <w:vAlign w:val="center"/>
                </w:tcPr>
                <w:p>
                  <w:pPr>
                    <w:jc w:val="center"/>
                    <w:rPr>
                      <w:color w:val="FF0000"/>
                      <w:szCs w:val="21"/>
                      <w:u w:val="single"/>
                    </w:rPr>
                  </w:pPr>
                  <w:r>
                    <w:rPr>
                      <w:color w:val="FF0000"/>
                      <w:szCs w:val="21"/>
                      <w:u w:val="single"/>
                    </w:rPr>
                    <w:t>燃烧分解产物</w:t>
                  </w:r>
                </w:p>
              </w:tc>
              <w:tc>
                <w:tcPr>
                  <w:tcW w:w="5874" w:type="dxa"/>
                  <w:noWrap/>
                  <w:vAlign w:val="center"/>
                </w:tcPr>
                <w:p>
                  <w:pPr>
                    <w:jc w:val="center"/>
                    <w:rPr>
                      <w:color w:val="FF0000"/>
                      <w:szCs w:val="21"/>
                      <w:u w:val="single"/>
                    </w:rPr>
                  </w:pPr>
                  <w:r>
                    <w:rPr>
                      <w:color w:val="FF0000"/>
                      <w:szCs w:val="21"/>
                      <w:u w:val="single"/>
                    </w:rPr>
                    <w:t>一氧化碳、二氧化碳</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68" w:hRule="atLeast"/>
                <w:jc w:val="center"/>
              </w:trPr>
              <w:tc>
                <w:tcPr>
                  <w:tcW w:w="1785" w:type="dxa"/>
                  <w:noWrap/>
                  <w:vAlign w:val="center"/>
                </w:tcPr>
                <w:p>
                  <w:pPr>
                    <w:jc w:val="center"/>
                    <w:rPr>
                      <w:color w:val="FF0000"/>
                      <w:szCs w:val="21"/>
                      <w:u w:val="single"/>
                    </w:rPr>
                  </w:pPr>
                  <w:r>
                    <w:rPr>
                      <w:color w:val="FF0000"/>
                      <w:szCs w:val="21"/>
                      <w:u w:val="single"/>
                    </w:rPr>
                    <w:t>闪点（℃）</w:t>
                  </w:r>
                </w:p>
              </w:tc>
              <w:tc>
                <w:tcPr>
                  <w:tcW w:w="5874" w:type="dxa"/>
                  <w:noWrap/>
                  <w:vAlign w:val="center"/>
                </w:tcPr>
                <w:p>
                  <w:pPr>
                    <w:jc w:val="center"/>
                    <w:rPr>
                      <w:color w:val="FF0000"/>
                      <w:szCs w:val="21"/>
                      <w:u w:val="single"/>
                    </w:rPr>
                  </w:pPr>
                  <w:r>
                    <w:rPr>
                      <w:rFonts w:hint="eastAsia"/>
                      <w:color w:val="FF0000"/>
                      <w:szCs w:val="21"/>
                      <w:u w:val="single"/>
                    </w:rPr>
                    <w:t>38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68" w:hRule="atLeast"/>
                <w:jc w:val="center"/>
              </w:trPr>
              <w:tc>
                <w:tcPr>
                  <w:tcW w:w="1785" w:type="dxa"/>
                  <w:noWrap/>
                  <w:vAlign w:val="center"/>
                </w:tcPr>
                <w:p>
                  <w:pPr>
                    <w:jc w:val="center"/>
                    <w:rPr>
                      <w:color w:val="FF0000"/>
                      <w:szCs w:val="21"/>
                      <w:u w:val="single"/>
                    </w:rPr>
                  </w:pPr>
                  <w:r>
                    <w:rPr>
                      <w:color w:val="FF0000"/>
                      <w:szCs w:val="21"/>
                      <w:u w:val="single"/>
                    </w:rPr>
                    <w:t>聚合危害</w:t>
                  </w:r>
                </w:p>
              </w:tc>
              <w:tc>
                <w:tcPr>
                  <w:tcW w:w="5874" w:type="dxa"/>
                  <w:noWrap/>
                  <w:vAlign w:val="center"/>
                </w:tcPr>
                <w:p>
                  <w:pPr>
                    <w:jc w:val="center"/>
                    <w:rPr>
                      <w:color w:val="FF0000"/>
                      <w:szCs w:val="21"/>
                      <w:u w:val="single"/>
                    </w:rPr>
                  </w:pPr>
                  <w:r>
                    <w:rPr>
                      <w:color w:val="FF0000"/>
                      <w:szCs w:val="21"/>
                      <w:u w:val="single"/>
                    </w:rPr>
                    <w:t>不聚合</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507" w:hRule="atLeast"/>
                <w:jc w:val="center"/>
              </w:trPr>
              <w:tc>
                <w:tcPr>
                  <w:tcW w:w="1785" w:type="dxa"/>
                  <w:noWrap/>
                  <w:vAlign w:val="center"/>
                </w:tcPr>
                <w:p>
                  <w:pPr>
                    <w:jc w:val="center"/>
                    <w:rPr>
                      <w:color w:val="FF0000"/>
                      <w:szCs w:val="21"/>
                      <w:u w:val="single"/>
                    </w:rPr>
                  </w:pPr>
                  <w:r>
                    <w:rPr>
                      <w:color w:val="FF0000"/>
                      <w:szCs w:val="21"/>
                      <w:u w:val="single"/>
                    </w:rPr>
                    <w:t>危险特性</w:t>
                  </w:r>
                </w:p>
              </w:tc>
              <w:tc>
                <w:tcPr>
                  <w:tcW w:w="5874" w:type="dxa"/>
                  <w:noWrap/>
                  <w:vAlign w:val="center"/>
                </w:tcPr>
                <w:p>
                  <w:pPr>
                    <w:jc w:val="center"/>
                    <w:rPr>
                      <w:color w:val="FF0000"/>
                      <w:szCs w:val="21"/>
                      <w:u w:val="single"/>
                    </w:rPr>
                  </w:pPr>
                  <w:r>
                    <w:rPr>
                      <w:color w:val="FF0000"/>
                      <w:szCs w:val="21"/>
                      <w:u w:val="single"/>
                    </w:rPr>
                    <w:t>遇明火、高热，有引起燃烧爆炸的危险。若遇高热，容器内压增大，有开裂和爆炸的危险。</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761" w:hRule="atLeast"/>
                <w:jc w:val="center"/>
              </w:trPr>
              <w:tc>
                <w:tcPr>
                  <w:tcW w:w="1785" w:type="dxa"/>
                  <w:noWrap/>
                  <w:vAlign w:val="center"/>
                </w:tcPr>
                <w:p>
                  <w:pPr>
                    <w:jc w:val="center"/>
                    <w:rPr>
                      <w:color w:val="FF0000"/>
                      <w:szCs w:val="21"/>
                      <w:u w:val="single"/>
                    </w:rPr>
                  </w:pPr>
                  <w:r>
                    <w:rPr>
                      <w:color w:val="FF0000"/>
                      <w:szCs w:val="21"/>
                      <w:u w:val="single"/>
                    </w:rPr>
                    <w:t>灭火方法</w:t>
                  </w:r>
                </w:p>
              </w:tc>
              <w:tc>
                <w:tcPr>
                  <w:tcW w:w="5874" w:type="dxa"/>
                  <w:noWrap/>
                  <w:vAlign w:val="center"/>
                </w:tcPr>
                <w:p>
                  <w:pPr>
                    <w:jc w:val="center"/>
                    <w:rPr>
                      <w:color w:val="FF0000"/>
                      <w:szCs w:val="21"/>
                      <w:u w:val="single"/>
                    </w:rPr>
                  </w:pPr>
                  <w:r>
                    <w:rPr>
                      <w:color w:val="FF0000"/>
                      <w:szCs w:val="21"/>
                      <w:u w:val="single"/>
                    </w:rPr>
                    <w:t>消防人员须戴防毒面具，穿全身消防服，在上风向灭火。尽可能将容器从火场移至空旷处。喷水保持火场容器冷却，直至灭火结束。处在火场中的容器若已变色或从安全泄压装置中产生声音，必须马上撤离。</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785" w:hRule="atLeast"/>
                <w:jc w:val="center"/>
              </w:trPr>
              <w:tc>
                <w:tcPr>
                  <w:tcW w:w="1785" w:type="dxa"/>
                  <w:noWrap/>
                  <w:vAlign w:val="center"/>
                </w:tcPr>
                <w:p>
                  <w:pPr>
                    <w:jc w:val="center"/>
                    <w:rPr>
                      <w:color w:val="FF0000"/>
                      <w:szCs w:val="21"/>
                      <w:u w:val="single"/>
                    </w:rPr>
                  </w:pPr>
                  <w:r>
                    <w:rPr>
                      <w:color w:val="FF0000"/>
                      <w:szCs w:val="21"/>
                      <w:u w:val="single"/>
                    </w:rPr>
                    <w:t>贮存方法</w:t>
                  </w:r>
                </w:p>
              </w:tc>
              <w:tc>
                <w:tcPr>
                  <w:tcW w:w="5874" w:type="dxa"/>
                  <w:noWrap/>
                  <w:vAlign w:val="center"/>
                </w:tcPr>
                <w:p>
                  <w:pPr>
                    <w:jc w:val="center"/>
                    <w:rPr>
                      <w:color w:val="FF0000"/>
                      <w:szCs w:val="21"/>
                      <w:u w:val="single"/>
                    </w:rPr>
                  </w:pPr>
                  <w:r>
                    <w:rPr>
                      <w:color w:val="FF0000"/>
                      <w:szCs w:val="21"/>
                      <w:u w:val="single"/>
                    </w:rPr>
                    <w:t>储存于阴凉、通风的库房。远离火种、热源。应与氧化剂、卤素分开存放，切忌混储。采用防爆型照明、通风设施。禁止使用易产生火花的机械设备和工具。储区应备有泄漏应急处理设备和合适的收容材料。</w:t>
                  </w:r>
                </w:p>
              </w:tc>
            </w:tr>
          </w:tbl>
          <w:p>
            <w:pPr>
              <w:spacing w:line="360" w:lineRule="auto"/>
              <w:rPr>
                <w:rFonts w:hint="default" w:ascii="Times New Roman" w:hAnsi="Times New Roman" w:eastAsia="宋体" w:cs="Times New Roman"/>
                <w:b/>
                <w:color w:val="FF0000"/>
                <w:sz w:val="24"/>
                <w:u w:val="single"/>
              </w:rPr>
            </w:pPr>
            <w:r>
              <w:rPr>
                <w:rFonts w:hint="default" w:ascii="Times New Roman" w:hAnsi="Times New Roman" w:eastAsia="宋体" w:cs="Times New Roman"/>
                <w:b/>
                <w:color w:val="FF0000"/>
                <w:sz w:val="24"/>
                <w:u w:val="single"/>
              </w:rPr>
              <w:t>三、风险评价等级</w:t>
            </w:r>
          </w:p>
          <w:p>
            <w:pPr>
              <w:autoSpaceDE w:val="0"/>
              <w:autoSpaceDN w:val="0"/>
              <w:spacing w:line="360" w:lineRule="auto"/>
              <w:ind w:firstLine="480"/>
              <w:rPr>
                <w:rFonts w:hint="default" w:ascii="Times New Roman" w:hAnsi="Times New Roman" w:eastAsia="宋体" w:cs="Times New Roman"/>
                <w:color w:val="FF0000"/>
                <w:sz w:val="24"/>
                <w:szCs w:val="24"/>
                <w:u w:val="single"/>
              </w:rPr>
            </w:pPr>
            <w:r>
              <w:rPr>
                <w:rFonts w:hint="default" w:ascii="Times New Roman" w:hAnsi="Times New Roman" w:eastAsia="宋体" w:cs="Times New Roman"/>
                <w:color w:val="FF0000"/>
                <w:sz w:val="24"/>
                <w:szCs w:val="24"/>
                <w:u w:val="single"/>
              </w:rPr>
              <w:t>根据HJ169-2018《建设项目环境风险评价技术导则》、《危险化学品重大危险源辨识》</w:t>
            </w:r>
            <w:r>
              <w:rPr>
                <w:rFonts w:hint="eastAsia" w:cs="Times New Roman"/>
                <w:color w:val="FF0000"/>
                <w:sz w:val="24"/>
                <w:szCs w:val="24"/>
                <w:u w:val="single"/>
                <w:lang w:eastAsia="zh-CN"/>
              </w:rPr>
              <w:t>（</w:t>
            </w:r>
            <w:r>
              <w:rPr>
                <w:rFonts w:hint="default" w:ascii="Times New Roman" w:hAnsi="Times New Roman" w:eastAsia="宋体" w:cs="Times New Roman"/>
                <w:color w:val="FF0000"/>
                <w:sz w:val="24"/>
                <w:szCs w:val="24"/>
                <w:u w:val="single"/>
              </w:rPr>
              <w:t>GB18218-2018</w:t>
            </w:r>
            <w:r>
              <w:rPr>
                <w:rFonts w:hint="eastAsia" w:cs="Times New Roman"/>
                <w:color w:val="FF0000"/>
                <w:sz w:val="24"/>
                <w:szCs w:val="24"/>
                <w:u w:val="single"/>
                <w:lang w:eastAsia="zh-CN"/>
              </w:rPr>
              <w:t>）</w:t>
            </w:r>
            <w:r>
              <w:rPr>
                <w:rFonts w:hint="default" w:ascii="Times New Roman" w:hAnsi="Times New Roman" w:eastAsia="宋体" w:cs="Times New Roman"/>
                <w:color w:val="FF0000"/>
                <w:sz w:val="24"/>
                <w:szCs w:val="24"/>
                <w:u w:val="single"/>
              </w:rPr>
              <w:t>，生产、加工、运输、使用或贮存危险性物质，且危险性物质的数量等于或超过临界量的功能单元，构成重大危险源。本项目</w:t>
            </w:r>
            <w:r>
              <w:rPr>
                <w:rFonts w:hint="default" w:ascii="Times New Roman" w:hAnsi="Times New Roman" w:eastAsia="宋体" w:cs="Times New Roman"/>
                <w:bCs/>
                <w:color w:val="FF0000"/>
                <w:sz w:val="24"/>
                <w:szCs w:val="24"/>
                <w:u w:val="single"/>
              </w:rPr>
              <w:t>重大危险源辨识下表。</w:t>
            </w:r>
          </w:p>
          <w:p>
            <w:pPr>
              <w:jc w:val="center"/>
              <w:rPr>
                <w:rFonts w:hint="default" w:ascii="Times New Roman" w:hAnsi="Times New Roman" w:eastAsia="宋体" w:cs="Times New Roman"/>
                <w:b/>
                <w:color w:val="FF0000"/>
                <w:sz w:val="24"/>
                <w:u w:val="single"/>
              </w:rPr>
            </w:pPr>
            <w:r>
              <w:rPr>
                <w:rFonts w:hint="default" w:ascii="Times New Roman" w:hAnsi="Times New Roman" w:eastAsia="宋体" w:cs="Times New Roman"/>
                <w:b/>
                <w:color w:val="FF0000"/>
                <w:sz w:val="24"/>
                <w:u w:val="single"/>
              </w:rPr>
              <w:t>表4-</w:t>
            </w:r>
            <w:r>
              <w:rPr>
                <w:rFonts w:hint="default" w:ascii="Times New Roman" w:hAnsi="Times New Roman" w:eastAsia="宋体" w:cs="Times New Roman"/>
                <w:b/>
                <w:color w:val="FF0000"/>
                <w:sz w:val="24"/>
                <w:u w:val="single"/>
                <w:lang w:val="en-US" w:eastAsia="zh-CN"/>
              </w:rPr>
              <w:t xml:space="preserve">4  </w:t>
            </w:r>
            <w:r>
              <w:rPr>
                <w:rFonts w:hint="default" w:ascii="Times New Roman" w:hAnsi="Times New Roman" w:eastAsia="宋体" w:cs="Times New Roman"/>
                <w:b/>
                <w:color w:val="FF0000"/>
                <w:sz w:val="24"/>
                <w:u w:val="single"/>
              </w:rPr>
              <w:t>重大危险源辨识一览表</w:t>
            </w:r>
          </w:p>
          <w:tbl>
            <w:tblPr>
              <w:tblStyle w:val="17"/>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69"/>
              <w:gridCol w:w="2010"/>
              <w:gridCol w:w="1749"/>
              <w:gridCol w:w="859"/>
              <w:gridCol w:w="221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969" w:type="dxa"/>
                  <w:noWrap/>
                  <w:vAlign w:val="center"/>
                </w:tcPr>
                <w:p>
                  <w:pPr>
                    <w:jc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rPr>
                    <w:t>名称</w:t>
                  </w:r>
                </w:p>
              </w:tc>
              <w:tc>
                <w:tcPr>
                  <w:tcW w:w="2010" w:type="dxa"/>
                  <w:noWrap/>
                  <w:vAlign w:val="center"/>
                </w:tcPr>
                <w:p>
                  <w:pPr>
                    <w:jc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rPr>
                    <w:t>最大存储数量qi（t）</w:t>
                  </w:r>
                </w:p>
              </w:tc>
              <w:tc>
                <w:tcPr>
                  <w:tcW w:w="1749" w:type="dxa"/>
                  <w:noWrap/>
                  <w:vAlign w:val="center"/>
                </w:tcPr>
                <w:p>
                  <w:pPr>
                    <w:jc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rPr>
                    <w:t>临界量Qi*（t）</w:t>
                  </w:r>
                </w:p>
              </w:tc>
              <w:tc>
                <w:tcPr>
                  <w:tcW w:w="859" w:type="dxa"/>
                  <w:noWrap/>
                  <w:vAlign w:val="center"/>
                </w:tcPr>
                <w:p>
                  <w:pPr>
                    <w:jc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rPr>
                    <w:t>qi/Qi</w:t>
                  </w:r>
                </w:p>
              </w:tc>
              <w:tc>
                <w:tcPr>
                  <w:tcW w:w="2211" w:type="dxa"/>
                  <w:noWrap/>
                  <w:vAlign w:val="center"/>
                </w:tcPr>
                <w:p>
                  <w:pPr>
                    <w:jc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rPr>
                    <w:t>是否构成重大危险源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1" w:hRule="atLeast"/>
              </w:trPr>
              <w:tc>
                <w:tcPr>
                  <w:tcW w:w="969" w:type="dxa"/>
                  <w:noWrap/>
                  <w:vAlign w:val="center"/>
                </w:tcPr>
                <w:p>
                  <w:pPr>
                    <w:jc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rPr>
                    <w:t>废机油</w:t>
                  </w:r>
                </w:p>
              </w:tc>
              <w:tc>
                <w:tcPr>
                  <w:tcW w:w="2010" w:type="dxa"/>
                  <w:noWrap/>
                  <w:vAlign w:val="center"/>
                </w:tcPr>
                <w:p>
                  <w:pPr>
                    <w:jc w:val="center"/>
                    <w:rPr>
                      <w:rFonts w:hint="default" w:ascii="Times New Roman" w:hAnsi="Times New Roman" w:eastAsia="宋体" w:cs="Times New Roman"/>
                      <w:color w:val="FF0000"/>
                      <w:szCs w:val="21"/>
                      <w:u w:val="single"/>
                      <w:lang w:val="en-US" w:eastAsia="zh-CN"/>
                    </w:rPr>
                  </w:pPr>
                  <w:r>
                    <w:rPr>
                      <w:rFonts w:hint="default" w:ascii="Times New Roman" w:hAnsi="Times New Roman" w:eastAsia="宋体" w:cs="Times New Roman"/>
                      <w:color w:val="FF0000"/>
                      <w:szCs w:val="21"/>
                      <w:u w:val="single"/>
                      <w:lang w:val="en-US" w:eastAsia="zh-CN"/>
                    </w:rPr>
                    <w:t>335</w:t>
                  </w:r>
                </w:p>
              </w:tc>
              <w:tc>
                <w:tcPr>
                  <w:tcW w:w="1749" w:type="dxa"/>
                  <w:noWrap/>
                  <w:vAlign w:val="center"/>
                </w:tcPr>
                <w:p>
                  <w:pPr>
                    <w:jc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rPr>
                    <w:t>2500</w:t>
                  </w:r>
                </w:p>
              </w:tc>
              <w:tc>
                <w:tcPr>
                  <w:tcW w:w="859" w:type="dxa"/>
                  <w:noWrap/>
                  <w:vAlign w:val="center"/>
                </w:tcPr>
                <w:p>
                  <w:pPr>
                    <w:jc w:val="center"/>
                    <w:rPr>
                      <w:rFonts w:hint="default" w:ascii="Times New Roman" w:hAnsi="Times New Roman" w:eastAsia="宋体" w:cs="Times New Roman"/>
                      <w:color w:val="FF0000"/>
                      <w:szCs w:val="21"/>
                      <w:u w:val="single"/>
                      <w:lang w:val="en-US" w:eastAsia="zh-CN"/>
                    </w:rPr>
                  </w:pPr>
                  <w:r>
                    <w:rPr>
                      <w:rFonts w:hint="default" w:ascii="Times New Roman" w:hAnsi="Times New Roman" w:eastAsia="宋体" w:cs="Times New Roman"/>
                      <w:color w:val="FF0000"/>
                      <w:szCs w:val="21"/>
                      <w:u w:val="single"/>
                    </w:rPr>
                    <w:t>0.</w:t>
                  </w:r>
                  <w:r>
                    <w:rPr>
                      <w:rFonts w:hint="default" w:ascii="Times New Roman" w:hAnsi="Times New Roman" w:eastAsia="宋体" w:cs="Times New Roman"/>
                      <w:color w:val="FF0000"/>
                      <w:szCs w:val="21"/>
                      <w:u w:val="single"/>
                      <w:lang w:val="en-US" w:eastAsia="zh-CN"/>
                    </w:rPr>
                    <w:t>134</w:t>
                  </w:r>
                </w:p>
              </w:tc>
              <w:tc>
                <w:tcPr>
                  <w:tcW w:w="2211" w:type="dxa"/>
                  <w:noWrap/>
                  <w:vAlign w:val="center"/>
                </w:tcPr>
                <w:p>
                  <w:pPr>
                    <w:jc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rP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69" w:type="dxa"/>
                  <w:noWrap/>
                  <w:vAlign w:val="center"/>
                </w:tcPr>
                <w:p>
                  <w:pPr>
                    <w:jc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rPr>
                    <w:t>柴油</w:t>
                  </w:r>
                </w:p>
              </w:tc>
              <w:tc>
                <w:tcPr>
                  <w:tcW w:w="2010" w:type="dxa"/>
                  <w:noWrap/>
                  <w:vAlign w:val="center"/>
                </w:tcPr>
                <w:p>
                  <w:pPr>
                    <w:jc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rPr>
                    <w:t>3</w:t>
                  </w:r>
                </w:p>
              </w:tc>
              <w:tc>
                <w:tcPr>
                  <w:tcW w:w="1749" w:type="dxa"/>
                  <w:noWrap/>
                  <w:vAlign w:val="center"/>
                </w:tcPr>
                <w:p>
                  <w:pPr>
                    <w:jc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rPr>
                    <w:t>2500</w:t>
                  </w:r>
                </w:p>
              </w:tc>
              <w:tc>
                <w:tcPr>
                  <w:tcW w:w="859" w:type="dxa"/>
                  <w:noWrap/>
                  <w:vAlign w:val="center"/>
                </w:tcPr>
                <w:p>
                  <w:pPr>
                    <w:jc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rPr>
                    <w:t>0.0012</w:t>
                  </w:r>
                </w:p>
              </w:tc>
              <w:tc>
                <w:tcPr>
                  <w:tcW w:w="2211" w:type="dxa"/>
                  <w:noWrap/>
                  <w:vAlign w:val="center"/>
                </w:tcPr>
                <w:p>
                  <w:pPr>
                    <w:jc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rPr>
                    <w:t>否</w:t>
                  </w:r>
                </w:p>
              </w:tc>
            </w:tr>
          </w:tbl>
          <w:p>
            <w:pPr>
              <w:spacing w:line="360" w:lineRule="auto"/>
              <w:ind w:firstLine="480" w:firstLineChars="200"/>
              <w:rPr>
                <w:rFonts w:hint="default" w:ascii="Times New Roman" w:hAnsi="Times New Roman" w:eastAsia="宋体" w:cs="Times New Roman"/>
                <w:color w:val="FF0000"/>
                <w:sz w:val="24"/>
                <w:szCs w:val="24"/>
                <w:u w:val="single"/>
              </w:rPr>
            </w:pPr>
            <w:r>
              <w:rPr>
                <w:rFonts w:hint="default" w:ascii="Times New Roman" w:hAnsi="Times New Roman" w:eastAsia="宋体" w:cs="Times New Roman"/>
                <w:color w:val="FF0000"/>
                <w:sz w:val="24"/>
                <w:u w:val="single"/>
              </w:rPr>
              <w:t>本项目的风险评价为非重大危险源的爆炸危险性物质，风险评价工作只需简要分析。</w:t>
            </w:r>
            <w:bookmarkStart w:id="13" w:name="_Toc130374530"/>
          </w:p>
          <w:bookmarkEnd w:id="13"/>
          <w:p>
            <w:pPr>
              <w:spacing w:line="360" w:lineRule="auto"/>
              <w:rPr>
                <w:rFonts w:hint="default" w:ascii="Times New Roman" w:hAnsi="Times New Roman" w:eastAsia="宋体" w:cs="Times New Roman"/>
                <w:b/>
                <w:color w:val="FF0000"/>
                <w:sz w:val="24"/>
                <w:u w:val="single"/>
              </w:rPr>
            </w:pPr>
            <w:r>
              <w:rPr>
                <w:rFonts w:hint="default" w:ascii="Times New Roman" w:hAnsi="Times New Roman" w:eastAsia="宋体" w:cs="Times New Roman"/>
                <w:b/>
                <w:color w:val="FF0000"/>
                <w:sz w:val="24"/>
                <w:u w:val="single"/>
              </w:rPr>
              <w:t>四、源项分析</w:t>
            </w:r>
          </w:p>
          <w:p>
            <w:pPr>
              <w:pStyle w:val="35"/>
              <w:widowControl/>
              <w:spacing w:line="360" w:lineRule="auto"/>
              <w:ind w:firstLine="0" w:firstLineChars="0"/>
              <w:rPr>
                <w:rFonts w:hint="default" w:ascii="Times New Roman" w:hAnsi="Times New Roman" w:eastAsia="宋体" w:cs="Times New Roman"/>
                <w:color w:val="FF0000"/>
                <w:kern w:val="2"/>
                <w:sz w:val="24"/>
                <w:u w:val="single"/>
              </w:rPr>
            </w:pPr>
            <w:r>
              <w:rPr>
                <w:rFonts w:hint="default" w:ascii="Times New Roman" w:hAnsi="Times New Roman" w:eastAsia="宋体" w:cs="Times New Roman"/>
                <w:color w:val="FF0000"/>
                <w:kern w:val="2"/>
                <w:sz w:val="24"/>
                <w:u w:val="single"/>
              </w:rPr>
              <w:t>（1）船舶溢油事故影响</w:t>
            </w:r>
          </w:p>
          <w:p>
            <w:pPr>
              <w:pStyle w:val="35"/>
              <w:widowControl/>
              <w:spacing w:line="360" w:lineRule="auto"/>
              <w:ind w:firstLine="480"/>
              <w:rPr>
                <w:rFonts w:hint="default" w:ascii="Times New Roman" w:hAnsi="Times New Roman" w:eastAsia="宋体" w:cs="Times New Roman"/>
                <w:color w:val="FF0000"/>
                <w:kern w:val="2"/>
                <w:sz w:val="24"/>
                <w:u w:val="single"/>
              </w:rPr>
            </w:pPr>
            <w:r>
              <w:rPr>
                <w:rFonts w:hint="default" w:ascii="Times New Roman" w:hAnsi="Times New Roman" w:eastAsia="宋体" w:cs="Times New Roman"/>
                <w:color w:val="FF0000"/>
                <w:kern w:val="2"/>
                <w:sz w:val="24"/>
                <w:u w:val="single"/>
              </w:rPr>
              <w:t>本项目环境风险主要来源于船舶碰撞等突发性事故的油箱破裂带来的事故溢油。国内外发生较大事故的统计数据表明</w:t>
            </w:r>
            <w:r>
              <w:rPr>
                <w:rFonts w:hint="default" w:ascii="Times New Roman" w:hAnsi="Times New Roman" w:eastAsia="宋体" w:cs="Times New Roman"/>
                <w:color w:val="FF0000"/>
                <w:kern w:val="2"/>
                <w:sz w:val="24"/>
                <w:u w:val="single"/>
                <w:lang w:eastAsia="zh-CN"/>
              </w:rPr>
              <w:t>，</w:t>
            </w:r>
            <w:r>
              <w:rPr>
                <w:rFonts w:hint="default" w:ascii="Times New Roman" w:hAnsi="Times New Roman" w:eastAsia="宋体" w:cs="Times New Roman"/>
                <w:color w:val="FF0000"/>
                <w:kern w:val="2"/>
                <w:sz w:val="24"/>
                <w:u w:val="single"/>
              </w:rPr>
              <w:t>突发性事故溢油有一定的风险概率。对某一个项目的风险概率分析，由于受客观条件和不稳定因素的影响，目前尚无成熟的计算方法，而多采用统计数据资料进行分析。</w:t>
            </w:r>
          </w:p>
          <w:p>
            <w:pPr>
              <w:pStyle w:val="35"/>
              <w:widowControl/>
              <w:spacing w:line="360" w:lineRule="auto"/>
              <w:ind w:firstLine="480"/>
              <w:rPr>
                <w:rFonts w:hint="default" w:ascii="Times New Roman" w:hAnsi="Times New Roman" w:eastAsia="宋体" w:cs="Times New Roman"/>
                <w:color w:val="FF0000"/>
                <w:kern w:val="2"/>
                <w:sz w:val="24"/>
                <w:u w:val="single"/>
              </w:rPr>
            </w:pPr>
            <w:r>
              <w:rPr>
                <w:rFonts w:hint="default" w:ascii="Times New Roman" w:hAnsi="Times New Roman" w:eastAsia="宋体" w:cs="Times New Roman"/>
                <w:color w:val="FF0000"/>
                <w:kern w:val="2"/>
                <w:sz w:val="24"/>
                <w:u w:val="single"/>
              </w:rPr>
              <w:t>根据我国近16年</w:t>
            </w:r>
            <w:r>
              <w:rPr>
                <w:rFonts w:hint="eastAsia" w:hAnsi="Times New Roman" w:cs="Times New Roman"/>
                <w:color w:val="FF0000"/>
                <w:kern w:val="2"/>
                <w:sz w:val="24"/>
                <w:u w:val="single"/>
                <w:lang w:eastAsia="zh-CN"/>
              </w:rPr>
              <w:t>（</w:t>
            </w:r>
            <w:r>
              <w:rPr>
                <w:rFonts w:hint="default" w:ascii="Times New Roman" w:hAnsi="Times New Roman" w:eastAsia="宋体" w:cs="Times New Roman"/>
                <w:color w:val="FF0000"/>
                <w:kern w:val="2"/>
                <w:sz w:val="24"/>
                <w:u w:val="single"/>
              </w:rPr>
              <w:t xml:space="preserve"> 1987-2002年</w:t>
            </w:r>
            <w:r>
              <w:rPr>
                <w:rFonts w:hint="eastAsia" w:hAnsi="Times New Roman" w:cs="Times New Roman"/>
                <w:color w:val="FF0000"/>
                <w:kern w:val="2"/>
                <w:sz w:val="24"/>
                <w:u w:val="single"/>
                <w:lang w:eastAsia="zh-CN"/>
              </w:rPr>
              <w:t>）</w:t>
            </w:r>
            <w:r>
              <w:rPr>
                <w:rFonts w:hint="default" w:ascii="Times New Roman" w:hAnsi="Times New Roman" w:eastAsia="宋体" w:cs="Times New Roman"/>
                <w:color w:val="FF0000"/>
                <w:kern w:val="2"/>
                <w:sz w:val="24"/>
                <w:u w:val="single"/>
              </w:rPr>
              <w:t>的船舶、码头溢油的统计资料，溢油量多数为10t以下（占97%</w:t>
            </w:r>
            <w:r>
              <w:rPr>
                <w:rFonts w:hint="eastAsia" w:hAnsi="Times New Roman" w:cs="Times New Roman"/>
                <w:color w:val="FF0000"/>
                <w:kern w:val="2"/>
                <w:sz w:val="24"/>
                <w:u w:val="single"/>
                <w:lang w:eastAsia="zh-CN"/>
              </w:rPr>
              <w:t>）</w:t>
            </w:r>
            <w:r>
              <w:rPr>
                <w:rFonts w:hint="default" w:ascii="Times New Roman" w:hAnsi="Times New Roman" w:eastAsia="宋体" w:cs="Times New Roman"/>
                <w:color w:val="FF0000"/>
                <w:kern w:val="2"/>
                <w:sz w:val="24"/>
                <w:u w:val="single"/>
                <w:lang w:eastAsia="zh-CN"/>
              </w:rPr>
              <w:t>；</w:t>
            </w:r>
            <w:r>
              <w:rPr>
                <w:rFonts w:hint="default" w:ascii="Times New Roman" w:hAnsi="Times New Roman" w:eastAsia="宋体" w:cs="Times New Roman"/>
                <w:color w:val="FF0000"/>
                <w:kern w:val="2"/>
                <w:sz w:val="24"/>
                <w:u w:val="single"/>
              </w:rPr>
              <w:t>10t以上占3%。考虑到项目性质</w:t>
            </w:r>
            <w:r>
              <w:rPr>
                <w:rFonts w:hint="default" w:ascii="Times New Roman" w:hAnsi="Times New Roman" w:eastAsia="宋体" w:cs="Times New Roman"/>
                <w:color w:val="FF0000"/>
                <w:kern w:val="2"/>
                <w:sz w:val="24"/>
                <w:u w:val="single"/>
                <w:lang w:eastAsia="zh-CN"/>
              </w:rPr>
              <w:t>：</w:t>
            </w:r>
            <w:r>
              <w:rPr>
                <w:rFonts w:hint="default" w:ascii="Times New Roman" w:hAnsi="Times New Roman" w:eastAsia="宋体" w:cs="Times New Roman"/>
                <w:color w:val="FF0000"/>
                <w:kern w:val="2"/>
                <w:sz w:val="24"/>
                <w:u w:val="single"/>
              </w:rPr>
              <w:t>平时主要为收集船舶的靠泊（船型较小</w:t>
            </w:r>
            <w:r>
              <w:rPr>
                <w:rFonts w:hint="eastAsia" w:hAnsi="Times New Roman" w:cs="Times New Roman"/>
                <w:color w:val="FF0000"/>
                <w:kern w:val="2"/>
                <w:sz w:val="24"/>
                <w:u w:val="single"/>
                <w:lang w:eastAsia="zh-CN"/>
              </w:rPr>
              <w:t>）</w:t>
            </w:r>
            <w:r>
              <w:rPr>
                <w:rFonts w:hint="default" w:ascii="Times New Roman" w:hAnsi="Times New Roman" w:eastAsia="宋体" w:cs="Times New Roman"/>
                <w:color w:val="FF0000"/>
                <w:kern w:val="2"/>
                <w:sz w:val="24"/>
                <w:u w:val="single"/>
              </w:rPr>
              <w:t>，不涉及大型运输船舶停靠。因此，本项目选取1t作为风险源强。预测计算时取最大溢油量为1t，溢油形式按突发性瞬间点源排放。</w:t>
            </w:r>
            <w:r>
              <w:rPr>
                <w:rFonts w:hint="default" w:ascii="Times New Roman" w:hAnsi="Times New Roman" w:eastAsia="宋体" w:cs="Times New Roman"/>
                <w:color w:val="FF0000"/>
                <w:kern w:val="2"/>
                <w:sz w:val="24"/>
                <w:u w:val="single"/>
              </w:rPr>
              <w:br w:type="textWrapping"/>
            </w:r>
            <w:r>
              <w:rPr>
                <w:rFonts w:hint="default" w:ascii="Times New Roman" w:hAnsi="Times New Roman" w:eastAsia="宋体" w:cs="Times New Roman"/>
                <w:color w:val="FF0000"/>
                <w:kern w:val="2"/>
                <w:sz w:val="24"/>
                <w:u w:val="single"/>
              </w:rPr>
              <w:t xml:space="preserve">  1）事故风险预测</w:t>
            </w:r>
          </w:p>
          <w:p>
            <w:pPr>
              <w:pStyle w:val="35"/>
              <w:widowControl/>
              <w:numPr>
                <w:ilvl w:val="0"/>
                <w:numId w:val="6"/>
              </w:numPr>
              <w:spacing w:line="360" w:lineRule="auto"/>
              <w:ind w:firstLine="480"/>
              <w:rPr>
                <w:rFonts w:hint="default" w:ascii="Times New Roman" w:hAnsi="Times New Roman" w:eastAsia="宋体" w:cs="Times New Roman"/>
                <w:color w:val="FF0000"/>
                <w:kern w:val="2"/>
                <w:sz w:val="24"/>
                <w:u w:val="single"/>
              </w:rPr>
            </w:pPr>
            <w:r>
              <w:rPr>
                <w:rFonts w:hint="default" w:ascii="Times New Roman" w:hAnsi="Times New Roman" w:eastAsia="宋体" w:cs="Times New Roman"/>
                <w:color w:val="FF0000"/>
                <w:kern w:val="2"/>
                <w:sz w:val="24"/>
                <w:u w:val="single"/>
              </w:rPr>
              <w:t>物料性质</w:t>
            </w:r>
          </w:p>
          <w:p>
            <w:pPr>
              <w:pStyle w:val="35"/>
              <w:widowControl/>
              <w:spacing w:line="360" w:lineRule="auto"/>
              <w:ind w:firstLine="480"/>
              <w:rPr>
                <w:rFonts w:hint="default" w:ascii="Times New Roman" w:hAnsi="Times New Roman" w:eastAsia="宋体" w:cs="Times New Roman"/>
                <w:color w:val="FF0000"/>
                <w:kern w:val="2"/>
                <w:sz w:val="24"/>
                <w:u w:val="single"/>
              </w:rPr>
            </w:pPr>
            <w:r>
              <w:rPr>
                <w:rFonts w:hint="default" w:ascii="Times New Roman" w:hAnsi="Times New Roman" w:eastAsia="宋体" w:cs="Times New Roman"/>
                <w:color w:val="FF0000"/>
                <w:kern w:val="2"/>
                <w:sz w:val="24"/>
                <w:u w:val="single"/>
              </w:rPr>
              <w:t>柴油在常温下为液体，微溶于水，可呈膜状浮于水面。</w:t>
            </w:r>
          </w:p>
          <w:p>
            <w:pPr>
              <w:pStyle w:val="35"/>
              <w:widowControl/>
              <w:numPr>
                <w:ilvl w:val="0"/>
                <w:numId w:val="6"/>
              </w:numPr>
              <w:spacing w:line="360" w:lineRule="auto"/>
              <w:ind w:firstLine="480"/>
              <w:rPr>
                <w:rFonts w:hint="default" w:ascii="Times New Roman" w:hAnsi="Times New Roman" w:eastAsia="宋体" w:cs="Times New Roman"/>
                <w:color w:val="FF0000"/>
                <w:kern w:val="2"/>
                <w:sz w:val="24"/>
                <w:u w:val="single"/>
              </w:rPr>
            </w:pPr>
            <w:r>
              <w:rPr>
                <w:rFonts w:hint="default" w:ascii="Times New Roman" w:hAnsi="Times New Roman" w:eastAsia="宋体" w:cs="Times New Roman"/>
                <w:color w:val="FF0000"/>
                <w:kern w:val="2"/>
                <w:sz w:val="24"/>
                <w:u w:val="single"/>
              </w:rPr>
              <w:t>预测模式及水文参数</w:t>
            </w:r>
          </w:p>
          <w:p>
            <w:pPr>
              <w:pStyle w:val="35"/>
              <w:widowControl/>
              <w:spacing w:line="360" w:lineRule="auto"/>
              <w:ind w:firstLine="480"/>
              <w:jc w:val="center"/>
              <w:rPr>
                <w:rFonts w:hint="default" w:ascii="Times New Roman" w:hAnsi="Times New Roman" w:eastAsia="宋体" w:cs="Times New Roman"/>
                <w:color w:val="FF0000"/>
                <w:kern w:val="2"/>
                <w:sz w:val="24"/>
                <w:u w:val="single"/>
              </w:rPr>
            </w:pPr>
            <w:r>
              <w:rPr>
                <w:rFonts w:hint="default" w:ascii="Times New Roman" w:hAnsi="Times New Roman" w:eastAsia="宋体" w:cs="Times New Roman"/>
                <w:color w:val="FF0000"/>
                <w:kern w:val="2"/>
                <w:sz w:val="24"/>
                <w:u w:val="single"/>
              </w:rPr>
              <w:t>按照突发事故溢油的油膜计算采用Blokker公式。假设油膜在无风条件下呈圆形扩展，采用下式：</w:t>
            </w:r>
            <w:r>
              <w:rPr>
                <w:rFonts w:hint="default" w:ascii="Times New Roman" w:hAnsi="Times New Roman" w:eastAsia="宋体" w:cs="Times New Roman"/>
                <w:color w:val="FF0000"/>
                <w:kern w:val="2"/>
                <w:sz w:val="24"/>
                <w:u w:val="single"/>
              </w:rPr>
              <w:br w:type="textWrapping"/>
            </w:r>
            <w:r>
              <w:rPr>
                <w:rFonts w:hint="default" w:ascii="Times New Roman" w:hAnsi="Times New Roman" w:eastAsia="宋体" w:cs="Times New Roman"/>
                <w:color w:val="FF0000"/>
                <w:kern w:val="2"/>
                <w:sz w:val="24"/>
                <w:u w:val="single"/>
              </w:rPr>
              <w:drawing>
                <wp:inline distT="0" distB="0" distL="114300" distR="114300">
                  <wp:extent cx="2333625" cy="619125"/>
                  <wp:effectExtent l="0" t="0" r="9525" b="9525"/>
                  <wp:docPr id="72" name="图片 72" descr="16375079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1637507952(1)"/>
                          <pic:cNvPicPr>
                            <a:picLocks noChangeAspect="1"/>
                          </pic:cNvPicPr>
                        </pic:nvPicPr>
                        <pic:blipFill>
                          <a:blip r:embed="rId16"/>
                          <a:stretch>
                            <a:fillRect/>
                          </a:stretch>
                        </pic:blipFill>
                        <pic:spPr>
                          <a:xfrm>
                            <a:off x="0" y="0"/>
                            <a:ext cx="2333625" cy="619125"/>
                          </a:xfrm>
                          <a:prstGeom prst="rect">
                            <a:avLst/>
                          </a:prstGeom>
                        </pic:spPr>
                      </pic:pic>
                    </a:graphicData>
                  </a:graphic>
                </wp:inline>
              </w:drawing>
            </w:r>
          </w:p>
          <w:p>
            <w:pPr>
              <w:pStyle w:val="35"/>
              <w:widowControl/>
              <w:spacing w:line="360" w:lineRule="auto"/>
              <w:ind w:firstLine="0" w:firstLineChars="0"/>
              <w:rPr>
                <w:rFonts w:hint="default" w:ascii="Times New Roman" w:hAnsi="Times New Roman" w:eastAsia="宋体" w:cs="Times New Roman"/>
                <w:color w:val="FF0000"/>
                <w:kern w:val="2"/>
                <w:sz w:val="24"/>
                <w:u w:val="single"/>
              </w:rPr>
            </w:pPr>
            <w:r>
              <w:rPr>
                <w:rFonts w:hint="default" w:ascii="Times New Roman" w:hAnsi="Times New Roman" w:eastAsia="宋体" w:cs="Times New Roman"/>
                <w:color w:val="FF0000"/>
                <w:u w:val="single"/>
              </w:rPr>
              <w:drawing>
                <wp:inline distT="0" distB="0" distL="114300" distR="114300">
                  <wp:extent cx="5042535" cy="4345305"/>
                  <wp:effectExtent l="0" t="0" r="5715" b="17145"/>
                  <wp:docPr id="7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6"/>
                          <pic:cNvPicPr>
                            <a:picLocks noChangeAspect="1"/>
                          </pic:cNvPicPr>
                        </pic:nvPicPr>
                        <pic:blipFill>
                          <a:blip r:embed="rId17"/>
                          <a:stretch>
                            <a:fillRect/>
                          </a:stretch>
                        </pic:blipFill>
                        <pic:spPr>
                          <a:xfrm>
                            <a:off x="0" y="0"/>
                            <a:ext cx="5042535" cy="4345305"/>
                          </a:xfrm>
                          <a:prstGeom prst="rect">
                            <a:avLst/>
                          </a:prstGeom>
                          <a:noFill/>
                          <a:ln>
                            <a:noFill/>
                          </a:ln>
                        </pic:spPr>
                      </pic:pic>
                    </a:graphicData>
                  </a:graphic>
                </wp:inline>
              </w:drawing>
            </w:r>
          </w:p>
          <w:p>
            <w:pPr>
              <w:pStyle w:val="36"/>
              <w:spacing w:line="465" w:lineRule="exact"/>
              <w:ind w:firstLine="460"/>
              <w:jc w:val="left"/>
              <w:rPr>
                <w:rFonts w:hint="default" w:ascii="Times New Roman" w:hAnsi="Times New Roman" w:eastAsia="宋体" w:cs="Times New Roman"/>
                <w:color w:val="FF0000"/>
                <w:u w:val="single"/>
              </w:rPr>
            </w:pPr>
            <w:r>
              <w:rPr>
                <w:rFonts w:hint="default" w:ascii="Times New Roman" w:hAnsi="Times New Roman" w:eastAsia="宋体" w:cs="Times New Roman"/>
                <w:color w:val="FF0000"/>
                <w:sz w:val="20"/>
                <w:u w:val="single"/>
              </w:rPr>
              <w:t>3</w:t>
            </w:r>
            <w:r>
              <w:rPr>
                <w:rFonts w:hint="default" w:ascii="Times New Roman" w:hAnsi="Times New Roman" w:eastAsia="宋体" w:cs="Times New Roman"/>
                <w:color w:val="FF0000"/>
                <w:sz w:val="24"/>
                <w:szCs w:val="24"/>
                <w:u w:val="single"/>
              </w:rPr>
              <w:t>、预测结果</w:t>
            </w:r>
          </w:p>
          <w:p>
            <w:pPr>
              <w:pStyle w:val="36"/>
              <w:spacing w:after="220" w:line="465" w:lineRule="exact"/>
              <w:ind w:firstLine="460"/>
              <w:jc w:val="left"/>
              <w:rPr>
                <w:rFonts w:hint="default" w:ascii="Times New Roman" w:hAnsi="Times New Roman" w:eastAsia="宋体" w:cs="Times New Roman"/>
                <w:color w:val="FF0000"/>
                <w:u w:val="single"/>
              </w:rPr>
            </w:pPr>
            <w:r>
              <w:rPr>
                <w:rFonts w:hint="default" w:ascii="Times New Roman" w:hAnsi="Times New Roman" w:eastAsia="宋体" w:cs="Times New Roman"/>
                <w:color w:val="FF0000"/>
                <w:sz w:val="24"/>
                <w:szCs w:val="24"/>
                <w:u w:val="single"/>
              </w:rPr>
              <w:t>本项目发生溢油事故时的油膜的漂移扩散预测结果如下表所示。</w:t>
            </w:r>
          </w:p>
          <w:p>
            <w:pPr>
              <w:pStyle w:val="36"/>
              <w:spacing w:after="120" w:line="240" w:lineRule="auto"/>
              <w:ind w:firstLine="0"/>
              <w:jc w:val="center"/>
              <w:rPr>
                <w:rFonts w:hint="default" w:ascii="Times New Roman" w:hAnsi="Times New Roman" w:eastAsia="宋体" w:cs="Times New Roman"/>
                <w:color w:val="FF0000"/>
                <w:u w:val="single"/>
              </w:rPr>
            </w:pPr>
            <w:r>
              <w:rPr>
                <w:rFonts w:hint="default" w:ascii="Times New Roman" w:hAnsi="Times New Roman" w:eastAsia="宋体" w:cs="Times New Roman"/>
                <w:b/>
                <w:bCs/>
                <w:color w:val="FF0000"/>
                <w:sz w:val="24"/>
                <w:szCs w:val="24"/>
                <w:u w:val="single"/>
              </w:rPr>
              <w:t>表</w:t>
            </w:r>
            <w:r>
              <w:rPr>
                <w:rFonts w:hint="default" w:ascii="Times New Roman" w:hAnsi="Times New Roman" w:eastAsia="宋体" w:cs="Times New Roman"/>
                <w:color w:val="FF0000"/>
                <w:sz w:val="24"/>
                <w:szCs w:val="24"/>
                <w:u w:val="single"/>
                <w:lang w:val="en-US" w:eastAsia="zh-CN" w:bidi="en-US"/>
              </w:rPr>
              <w:t>4</w:t>
            </w:r>
            <w:r>
              <w:rPr>
                <w:rFonts w:hint="default" w:ascii="Times New Roman" w:hAnsi="Times New Roman" w:eastAsia="宋体" w:cs="Times New Roman"/>
                <w:color w:val="FF0000"/>
                <w:sz w:val="24"/>
                <w:szCs w:val="24"/>
                <w:u w:val="single"/>
                <w:lang w:val="en-US" w:eastAsia="en-US" w:bidi="en-US"/>
              </w:rPr>
              <w:t>-</w:t>
            </w:r>
            <w:r>
              <w:rPr>
                <w:rFonts w:hint="eastAsia" w:ascii="Times New Roman" w:hAnsi="Times New Roman" w:eastAsia="宋体" w:cs="Times New Roman"/>
                <w:color w:val="FF0000"/>
                <w:sz w:val="24"/>
                <w:szCs w:val="24"/>
                <w:u w:val="single"/>
                <w:lang w:val="en-US" w:eastAsia="zh-CN" w:bidi="en-US"/>
              </w:rPr>
              <w:t xml:space="preserve">5  </w:t>
            </w:r>
            <w:r>
              <w:rPr>
                <w:rFonts w:hint="default" w:ascii="Times New Roman" w:hAnsi="Times New Roman" w:eastAsia="宋体" w:cs="Times New Roman"/>
                <w:b/>
                <w:bCs/>
                <w:color w:val="FF0000"/>
                <w:sz w:val="24"/>
                <w:szCs w:val="24"/>
                <w:u w:val="single"/>
              </w:rPr>
              <w:t>柴油泄漏事故时油膜凝扩散预测结果</w:t>
            </w:r>
          </w:p>
          <w:tbl>
            <w:tblPr>
              <w:tblStyle w:val="1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 w:type="dxa"/>
                <w:bottom w:w="0" w:type="dxa"/>
                <w:right w:w="10" w:type="dxa"/>
              </w:tblCellMar>
            </w:tblPr>
            <w:tblGrid>
              <w:gridCol w:w="1580"/>
              <w:gridCol w:w="1580"/>
              <w:gridCol w:w="1580"/>
              <w:gridCol w:w="1565"/>
              <w:gridCol w:w="159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335" w:hRule="exact"/>
                <w:jc w:val="center"/>
              </w:trPr>
              <w:tc>
                <w:tcPr>
                  <w:tcW w:w="1580" w:type="dxa"/>
                  <w:vMerge w:val="restart"/>
                  <w:tcBorders>
                    <w:tl2br w:val="nil"/>
                    <w:tr2bl w:val="nil"/>
                  </w:tcBorders>
                  <w:shd w:val="clear" w:color="auto" w:fill="FFFFFF"/>
                </w:tcPr>
                <w:p>
                  <w:pPr>
                    <w:pStyle w:val="37"/>
                    <w:spacing w:line="240" w:lineRule="exact"/>
                    <w:ind w:firstLine="0"/>
                    <w:jc w:val="center"/>
                    <w:rPr>
                      <w:rFonts w:hint="eastAsia" w:ascii="Times New Roman" w:hAnsi="Times New Roman" w:eastAsia="宋体" w:cs="Times New Roman"/>
                      <w:color w:val="FF0000"/>
                      <w:szCs w:val="21"/>
                      <w:u w:val="single"/>
                      <w:lang w:eastAsia="zh-CN"/>
                    </w:rPr>
                  </w:pPr>
                  <w:r>
                    <w:rPr>
                      <w:rFonts w:hint="default" w:ascii="Times New Roman" w:hAnsi="Times New Roman" w:eastAsia="宋体" w:cs="Times New Roman"/>
                      <w:color w:val="FF0000"/>
                      <w:szCs w:val="21"/>
                      <w:u w:val="single"/>
                    </w:rPr>
                    <w:t xml:space="preserve">持续时间 </w:t>
                  </w:r>
                  <w:r>
                    <w:rPr>
                      <w:rFonts w:hint="eastAsia" w:ascii="Times New Roman" w:hAnsi="Times New Roman" w:cs="Times New Roman"/>
                      <w:color w:val="FF0000"/>
                      <w:szCs w:val="21"/>
                      <w:u w:val="single"/>
                      <w:lang w:val="en-US" w:eastAsia="zh-CN" w:bidi="en-US"/>
                    </w:rPr>
                    <w:t>（</w:t>
                  </w:r>
                  <w:r>
                    <w:rPr>
                      <w:rFonts w:hint="default" w:ascii="Times New Roman" w:hAnsi="Times New Roman" w:eastAsia="宋体" w:cs="Times New Roman"/>
                      <w:color w:val="FF0000"/>
                      <w:szCs w:val="21"/>
                      <w:u w:val="single"/>
                      <w:lang w:val="en-US" w:eastAsia="en-US" w:bidi="en-US"/>
                    </w:rPr>
                    <w:t>min</w:t>
                  </w:r>
                  <w:r>
                    <w:rPr>
                      <w:rFonts w:hint="eastAsia" w:ascii="Times New Roman" w:hAnsi="Times New Roman" w:cs="Times New Roman"/>
                      <w:color w:val="FF0000"/>
                      <w:szCs w:val="21"/>
                      <w:u w:val="single"/>
                      <w:lang w:val="en-US" w:eastAsia="zh-CN" w:bidi="en-US"/>
                    </w:rPr>
                    <w:t>）</w:t>
                  </w:r>
                </w:p>
              </w:tc>
              <w:tc>
                <w:tcPr>
                  <w:tcW w:w="1580" w:type="dxa"/>
                  <w:vMerge w:val="restart"/>
                  <w:tcBorders>
                    <w:tl2br w:val="nil"/>
                    <w:tr2bl w:val="nil"/>
                  </w:tcBorders>
                  <w:shd w:val="clear" w:color="auto" w:fill="FFFFFF"/>
                </w:tcPr>
                <w:p>
                  <w:pPr>
                    <w:pStyle w:val="37"/>
                    <w:spacing w:line="240" w:lineRule="exact"/>
                    <w:ind w:firstLine="0"/>
                    <w:jc w:val="center"/>
                    <w:rPr>
                      <w:rFonts w:hint="eastAsia" w:ascii="Times New Roman" w:hAnsi="Times New Roman" w:eastAsia="宋体" w:cs="Times New Roman"/>
                      <w:color w:val="FF0000"/>
                      <w:szCs w:val="21"/>
                      <w:u w:val="single"/>
                      <w:lang w:eastAsia="zh-CN"/>
                    </w:rPr>
                  </w:pPr>
                  <w:r>
                    <w:rPr>
                      <w:rFonts w:hint="default" w:ascii="Times New Roman" w:hAnsi="Times New Roman" w:eastAsia="宋体" w:cs="Times New Roman"/>
                      <w:color w:val="FF0000"/>
                      <w:szCs w:val="21"/>
                      <w:u w:val="single"/>
                    </w:rPr>
                    <w:t xml:space="preserve">扩散面积 </w:t>
                  </w:r>
                  <w:r>
                    <w:rPr>
                      <w:rFonts w:hint="eastAsia" w:ascii="Times New Roman" w:hAnsi="Times New Roman" w:cs="Times New Roman"/>
                      <w:color w:val="FF0000"/>
                      <w:szCs w:val="21"/>
                      <w:u w:val="single"/>
                      <w:lang w:val="en-US" w:eastAsia="zh-CN" w:bidi="en-US"/>
                    </w:rPr>
                    <w:t>（</w:t>
                  </w:r>
                  <w:r>
                    <w:rPr>
                      <w:rFonts w:hint="default" w:ascii="Times New Roman" w:hAnsi="Times New Roman" w:eastAsia="宋体" w:cs="Times New Roman"/>
                      <w:color w:val="FF0000"/>
                      <w:szCs w:val="21"/>
                      <w:u w:val="single"/>
                      <w:lang w:val="en-US" w:eastAsia="en-US" w:bidi="en-US"/>
                    </w:rPr>
                    <w:t xml:space="preserve">hm </w:t>
                  </w:r>
                  <w:r>
                    <w:rPr>
                      <w:rFonts w:hint="eastAsia" w:ascii="Times New Roman" w:hAnsi="Times New Roman" w:cs="Times New Roman"/>
                      <w:color w:val="FF0000"/>
                      <w:szCs w:val="21"/>
                      <w:u w:val="single"/>
                      <w:lang w:eastAsia="zh-CN"/>
                    </w:rPr>
                    <w:t>）</w:t>
                  </w:r>
                </w:p>
              </w:tc>
              <w:tc>
                <w:tcPr>
                  <w:tcW w:w="1580" w:type="dxa"/>
                  <w:vMerge w:val="restart"/>
                  <w:tcBorders>
                    <w:tl2br w:val="nil"/>
                    <w:tr2bl w:val="nil"/>
                  </w:tcBorders>
                  <w:shd w:val="clear" w:color="auto" w:fill="FFFFFF"/>
                  <w:vAlign w:val="center"/>
                </w:tcPr>
                <w:p>
                  <w:pPr>
                    <w:pStyle w:val="37"/>
                    <w:spacing w:line="240" w:lineRule="auto"/>
                    <w:ind w:firstLine="0"/>
                    <w:jc w:val="center"/>
                    <w:rPr>
                      <w:rFonts w:hint="eastAsia" w:ascii="Times New Roman" w:hAnsi="Times New Roman" w:eastAsia="宋体" w:cs="Times New Roman"/>
                      <w:color w:val="FF0000"/>
                      <w:szCs w:val="21"/>
                      <w:u w:val="single"/>
                      <w:lang w:eastAsia="zh-CN"/>
                    </w:rPr>
                  </w:pPr>
                  <w:r>
                    <w:rPr>
                      <w:rFonts w:hint="default" w:ascii="Times New Roman" w:hAnsi="Times New Roman" w:eastAsia="宋体" w:cs="Times New Roman"/>
                      <w:color w:val="FF0000"/>
                      <w:szCs w:val="21"/>
                      <w:u w:val="single"/>
                    </w:rPr>
                    <w:t>厚度</w:t>
                  </w:r>
                  <w:r>
                    <w:rPr>
                      <w:rFonts w:hint="eastAsia" w:ascii="Times New Roman" w:hAnsi="Times New Roman" w:cs="Times New Roman"/>
                      <w:color w:val="FF0000"/>
                      <w:szCs w:val="21"/>
                      <w:u w:val="single"/>
                      <w:lang w:val="en-US" w:eastAsia="zh-CN" w:bidi="en-US"/>
                    </w:rPr>
                    <w:t>（</w:t>
                  </w:r>
                  <w:r>
                    <w:rPr>
                      <w:rFonts w:hint="default" w:ascii="Times New Roman" w:hAnsi="Times New Roman" w:eastAsia="宋体" w:cs="Times New Roman"/>
                      <w:color w:val="FF0000"/>
                      <w:szCs w:val="21"/>
                      <w:u w:val="single"/>
                      <w:lang w:val="en-US" w:eastAsia="en-US" w:bidi="en-US"/>
                    </w:rPr>
                    <w:t>um</w:t>
                  </w:r>
                  <w:r>
                    <w:rPr>
                      <w:rFonts w:hint="eastAsia" w:ascii="Times New Roman" w:hAnsi="Times New Roman" w:cs="Times New Roman"/>
                      <w:color w:val="FF0000"/>
                      <w:szCs w:val="21"/>
                      <w:u w:val="single"/>
                      <w:lang w:val="en-US" w:eastAsia="zh-CN" w:bidi="en-US"/>
                    </w:rPr>
                    <w:t>）</w:t>
                  </w:r>
                </w:p>
              </w:tc>
              <w:tc>
                <w:tcPr>
                  <w:tcW w:w="3160" w:type="dxa"/>
                  <w:gridSpan w:val="2"/>
                  <w:tcBorders>
                    <w:tl2br w:val="nil"/>
                    <w:tr2bl w:val="nil"/>
                  </w:tcBorders>
                  <w:shd w:val="clear" w:color="auto" w:fill="FFFFFF"/>
                </w:tcPr>
                <w:p>
                  <w:pPr>
                    <w:pStyle w:val="37"/>
                    <w:spacing w:line="240" w:lineRule="auto"/>
                    <w:ind w:firstLine="0"/>
                    <w:jc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rPr>
                    <w:t>表面膜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277" w:hRule="exact"/>
                <w:jc w:val="center"/>
              </w:trPr>
              <w:tc>
                <w:tcPr>
                  <w:tcW w:w="1580" w:type="dxa"/>
                  <w:vMerge w:val="continue"/>
                  <w:tcBorders>
                    <w:tl2br w:val="nil"/>
                    <w:tr2bl w:val="nil"/>
                  </w:tcBorders>
                  <w:shd w:val="clear" w:color="auto" w:fill="FFFFFF"/>
                </w:tcPr>
                <w:p>
                  <w:pPr>
                    <w:rPr>
                      <w:rFonts w:hint="default" w:ascii="Times New Roman" w:hAnsi="Times New Roman" w:eastAsia="宋体" w:cs="Times New Roman"/>
                      <w:color w:val="FF0000"/>
                      <w:szCs w:val="21"/>
                      <w:u w:val="single"/>
                    </w:rPr>
                  </w:pPr>
                </w:p>
              </w:tc>
              <w:tc>
                <w:tcPr>
                  <w:tcW w:w="1580" w:type="dxa"/>
                  <w:vMerge w:val="continue"/>
                  <w:tcBorders>
                    <w:tl2br w:val="nil"/>
                    <w:tr2bl w:val="nil"/>
                  </w:tcBorders>
                  <w:shd w:val="clear" w:color="auto" w:fill="FFFFFF"/>
                </w:tcPr>
                <w:p>
                  <w:pPr>
                    <w:rPr>
                      <w:rFonts w:hint="default" w:ascii="Times New Roman" w:hAnsi="Times New Roman" w:eastAsia="宋体" w:cs="Times New Roman"/>
                      <w:color w:val="FF0000"/>
                      <w:szCs w:val="21"/>
                      <w:u w:val="single"/>
                    </w:rPr>
                  </w:pPr>
                </w:p>
              </w:tc>
              <w:tc>
                <w:tcPr>
                  <w:tcW w:w="1580" w:type="dxa"/>
                  <w:vMerge w:val="continue"/>
                  <w:tcBorders>
                    <w:tl2br w:val="nil"/>
                    <w:tr2bl w:val="nil"/>
                  </w:tcBorders>
                  <w:shd w:val="clear" w:color="auto" w:fill="FFFFFF"/>
                  <w:vAlign w:val="center"/>
                </w:tcPr>
                <w:p>
                  <w:pPr>
                    <w:rPr>
                      <w:rFonts w:hint="default" w:ascii="Times New Roman" w:hAnsi="Times New Roman" w:eastAsia="宋体" w:cs="Times New Roman"/>
                      <w:color w:val="FF0000"/>
                      <w:szCs w:val="21"/>
                      <w:u w:val="single"/>
                    </w:rPr>
                  </w:pPr>
                </w:p>
              </w:tc>
              <w:tc>
                <w:tcPr>
                  <w:tcW w:w="1565" w:type="dxa"/>
                  <w:tcBorders>
                    <w:tl2br w:val="nil"/>
                    <w:tr2bl w:val="nil"/>
                  </w:tcBorders>
                  <w:shd w:val="clear" w:color="auto" w:fill="FFFFFF"/>
                </w:tcPr>
                <w:p>
                  <w:pPr>
                    <w:pStyle w:val="37"/>
                    <w:spacing w:line="240" w:lineRule="auto"/>
                    <w:ind w:firstLine="0"/>
                    <w:jc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rPr>
                    <w:t>长度</w:t>
                  </w:r>
                </w:p>
              </w:tc>
              <w:tc>
                <w:tcPr>
                  <w:tcW w:w="1595" w:type="dxa"/>
                  <w:tcBorders>
                    <w:tl2br w:val="nil"/>
                    <w:tr2bl w:val="nil"/>
                  </w:tcBorders>
                  <w:shd w:val="clear" w:color="auto" w:fill="FFFFFF"/>
                </w:tcPr>
                <w:p>
                  <w:pPr>
                    <w:pStyle w:val="37"/>
                    <w:spacing w:line="240" w:lineRule="auto"/>
                    <w:ind w:firstLine="0"/>
                    <w:jc w:val="center"/>
                    <w:rPr>
                      <w:rFonts w:hint="eastAsia" w:ascii="Times New Roman" w:hAnsi="Times New Roman" w:eastAsia="宋体" w:cs="Times New Roman"/>
                      <w:color w:val="FF0000"/>
                      <w:szCs w:val="21"/>
                      <w:u w:val="single"/>
                      <w:lang w:eastAsia="zh-CN"/>
                    </w:rPr>
                  </w:pPr>
                  <w:r>
                    <w:rPr>
                      <w:rFonts w:hint="default" w:ascii="Times New Roman" w:hAnsi="Times New Roman" w:eastAsia="宋体" w:cs="Times New Roman"/>
                      <w:color w:val="FF0000"/>
                      <w:szCs w:val="21"/>
                      <w:u w:val="single"/>
                    </w:rPr>
                    <w:t>流动距离</w:t>
                  </w:r>
                  <w:r>
                    <w:rPr>
                      <w:rFonts w:hint="eastAsia" w:ascii="Times New Roman" w:hAnsi="Times New Roman" w:cs="Times New Roman"/>
                      <w:color w:val="FF0000"/>
                      <w:szCs w:val="21"/>
                      <w:u w:val="single"/>
                      <w:lang w:val="en-US" w:eastAsia="zh-CN" w:bidi="en-US"/>
                    </w:rPr>
                    <w:t>（</w:t>
                  </w:r>
                  <w:r>
                    <w:rPr>
                      <w:rFonts w:hint="default" w:ascii="Times New Roman" w:hAnsi="Times New Roman" w:eastAsia="宋体" w:cs="Times New Roman"/>
                      <w:color w:val="FF0000"/>
                      <w:szCs w:val="21"/>
                      <w:u w:val="single"/>
                      <w:lang w:val="en-US" w:eastAsia="en-US" w:bidi="en-US"/>
                    </w:rPr>
                    <w:t>km</w:t>
                  </w:r>
                  <w:r>
                    <w:rPr>
                      <w:rFonts w:hint="eastAsia" w:ascii="Times New Roman" w:hAnsi="Times New Roman" w:cs="Times New Roman"/>
                      <w:color w:val="FF0000"/>
                      <w:szCs w:val="21"/>
                      <w:u w:val="single"/>
                      <w:lang w:val="en-US" w:eastAsia="zh-CN" w:bidi="en-US"/>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335" w:hRule="exact"/>
                <w:jc w:val="center"/>
              </w:trPr>
              <w:tc>
                <w:tcPr>
                  <w:tcW w:w="1580" w:type="dxa"/>
                  <w:tcBorders>
                    <w:tl2br w:val="nil"/>
                    <w:tr2bl w:val="nil"/>
                  </w:tcBorders>
                  <w:shd w:val="clear" w:color="auto" w:fill="FFFFFF"/>
                  <w:vAlign w:val="center"/>
                </w:tcPr>
                <w:p>
                  <w:pPr>
                    <w:pStyle w:val="37"/>
                    <w:spacing w:line="240" w:lineRule="auto"/>
                    <w:ind w:firstLine="0"/>
                    <w:jc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rPr>
                    <w:t>0</w:t>
                  </w:r>
                </w:p>
              </w:tc>
              <w:tc>
                <w:tcPr>
                  <w:tcW w:w="1580" w:type="dxa"/>
                  <w:tcBorders>
                    <w:tl2br w:val="nil"/>
                    <w:tr2bl w:val="nil"/>
                  </w:tcBorders>
                  <w:shd w:val="clear" w:color="auto" w:fill="FFFFFF"/>
                  <w:vAlign w:val="center"/>
                </w:tcPr>
                <w:p>
                  <w:pPr>
                    <w:pStyle w:val="37"/>
                    <w:spacing w:line="240" w:lineRule="auto"/>
                    <w:ind w:firstLine="0"/>
                    <w:jc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lang w:val="en-US" w:eastAsia="en-US" w:bidi="en-US"/>
                    </w:rPr>
                    <w:t>0.08</w:t>
                  </w:r>
                </w:p>
              </w:tc>
              <w:tc>
                <w:tcPr>
                  <w:tcW w:w="1580" w:type="dxa"/>
                  <w:tcBorders>
                    <w:tl2br w:val="nil"/>
                    <w:tr2bl w:val="nil"/>
                  </w:tcBorders>
                  <w:shd w:val="clear" w:color="auto" w:fill="FFFFFF"/>
                  <w:vAlign w:val="center"/>
                </w:tcPr>
                <w:p>
                  <w:pPr>
                    <w:pStyle w:val="37"/>
                    <w:spacing w:line="240" w:lineRule="auto"/>
                    <w:ind w:firstLine="0"/>
                    <w:jc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rPr>
                    <w:t>/</w:t>
                  </w:r>
                </w:p>
              </w:tc>
              <w:tc>
                <w:tcPr>
                  <w:tcW w:w="1565" w:type="dxa"/>
                  <w:tcBorders>
                    <w:tl2br w:val="nil"/>
                    <w:tr2bl w:val="nil"/>
                  </w:tcBorders>
                  <w:shd w:val="clear" w:color="auto" w:fill="FFFFFF"/>
                  <w:vAlign w:val="center"/>
                </w:tcPr>
                <w:p>
                  <w:pPr>
                    <w:pStyle w:val="37"/>
                    <w:spacing w:line="240" w:lineRule="auto"/>
                    <w:ind w:firstLine="0"/>
                    <w:jc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rPr>
                    <w:t>10</w:t>
                  </w:r>
                </w:p>
              </w:tc>
              <w:tc>
                <w:tcPr>
                  <w:tcW w:w="1595" w:type="dxa"/>
                  <w:tcBorders>
                    <w:tl2br w:val="nil"/>
                    <w:tr2bl w:val="nil"/>
                  </w:tcBorders>
                  <w:shd w:val="clear" w:color="auto" w:fill="FFFFFF"/>
                  <w:vAlign w:val="center"/>
                </w:tcPr>
                <w:p>
                  <w:pPr>
                    <w:pStyle w:val="37"/>
                    <w:spacing w:line="240" w:lineRule="auto"/>
                    <w:ind w:firstLine="0"/>
                    <w:jc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349" w:hRule="exact"/>
                <w:jc w:val="center"/>
              </w:trPr>
              <w:tc>
                <w:tcPr>
                  <w:tcW w:w="1580" w:type="dxa"/>
                  <w:tcBorders>
                    <w:tl2br w:val="nil"/>
                    <w:tr2bl w:val="nil"/>
                  </w:tcBorders>
                  <w:shd w:val="clear" w:color="auto" w:fill="FFFFFF"/>
                </w:tcPr>
                <w:p>
                  <w:pPr>
                    <w:pStyle w:val="37"/>
                    <w:spacing w:line="240" w:lineRule="auto"/>
                    <w:ind w:firstLine="0"/>
                    <w:jc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rPr>
                    <w:t>5</w:t>
                  </w:r>
                </w:p>
              </w:tc>
              <w:tc>
                <w:tcPr>
                  <w:tcW w:w="1580" w:type="dxa"/>
                  <w:tcBorders>
                    <w:tl2br w:val="nil"/>
                    <w:tr2bl w:val="nil"/>
                  </w:tcBorders>
                  <w:shd w:val="clear" w:color="auto" w:fill="FFFFFF"/>
                </w:tcPr>
                <w:p>
                  <w:pPr>
                    <w:pStyle w:val="37"/>
                    <w:spacing w:line="240" w:lineRule="auto"/>
                    <w:ind w:firstLine="0"/>
                    <w:jc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lang w:val="en-US" w:eastAsia="en-US" w:bidi="en-US"/>
                    </w:rPr>
                    <w:t>0.154</w:t>
                  </w:r>
                </w:p>
              </w:tc>
              <w:tc>
                <w:tcPr>
                  <w:tcW w:w="1580" w:type="dxa"/>
                  <w:tcBorders>
                    <w:tl2br w:val="nil"/>
                    <w:tr2bl w:val="nil"/>
                  </w:tcBorders>
                  <w:shd w:val="clear" w:color="auto" w:fill="FFFFFF"/>
                </w:tcPr>
                <w:p>
                  <w:pPr>
                    <w:pStyle w:val="37"/>
                    <w:spacing w:line="240" w:lineRule="auto"/>
                    <w:ind w:firstLine="0"/>
                    <w:jc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lang w:val="en-US" w:eastAsia="en-US" w:bidi="en-US"/>
                    </w:rPr>
                    <w:t>0.086</w:t>
                  </w:r>
                </w:p>
              </w:tc>
              <w:tc>
                <w:tcPr>
                  <w:tcW w:w="1565" w:type="dxa"/>
                  <w:tcBorders>
                    <w:tl2br w:val="nil"/>
                    <w:tr2bl w:val="nil"/>
                  </w:tcBorders>
                  <w:shd w:val="clear" w:color="auto" w:fill="FFFFFF"/>
                </w:tcPr>
                <w:p>
                  <w:pPr>
                    <w:pStyle w:val="37"/>
                    <w:spacing w:line="240" w:lineRule="auto"/>
                    <w:ind w:firstLine="0"/>
                    <w:jc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lang w:val="en-US" w:eastAsia="en-US" w:bidi="en-US"/>
                    </w:rPr>
                    <w:t>44.3</w:t>
                  </w:r>
                </w:p>
              </w:tc>
              <w:tc>
                <w:tcPr>
                  <w:tcW w:w="1595" w:type="dxa"/>
                  <w:tcBorders>
                    <w:tl2br w:val="nil"/>
                    <w:tr2bl w:val="nil"/>
                  </w:tcBorders>
                  <w:shd w:val="clear" w:color="auto" w:fill="FFFFFF"/>
                </w:tcPr>
                <w:p>
                  <w:pPr>
                    <w:pStyle w:val="37"/>
                    <w:spacing w:line="240" w:lineRule="auto"/>
                    <w:ind w:firstLine="600"/>
                    <w:jc w:val="left"/>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lang w:val="en-US" w:eastAsia="en-US" w:bidi="en-US"/>
                    </w:rPr>
                    <w:t>0.81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335" w:hRule="exact"/>
                <w:jc w:val="center"/>
              </w:trPr>
              <w:tc>
                <w:tcPr>
                  <w:tcW w:w="1580" w:type="dxa"/>
                  <w:tcBorders>
                    <w:tl2br w:val="nil"/>
                    <w:tr2bl w:val="nil"/>
                  </w:tcBorders>
                  <w:shd w:val="clear" w:color="auto" w:fill="FFFFFF"/>
                </w:tcPr>
                <w:p>
                  <w:pPr>
                    <w:pStyle w:val="37"/>
                    <w:spacing w:line="240" w:lineRule="auto"/>
                    <w:ind w:firstLine="680"/>
                    <w:jc w:val="left"/>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rPr>
                    <w:t>10</w:t>
                  </w:r>
                </w:p>
              </w:tc>
              <w:tc>
                <w:tcPr>
                  <w:tcW w:w="1580" w:type="dxa"/>
                  <w:tcBorders>
                    <w:tl2br w:val="nil"/>
                    <w:tr2bl w:val="nil"/>
                  </w:tcBorders>
                  <w:shd w:val="clear" w:color="auto" w:fill="FFFFFF"/>
                </w:tcPr>
                <w:p>
                  <w:pPr>
                    <w:pStyle w:val="37"/>
                    <w:spacing w:line="240" w:lineRule="auto"/>
                    <w:ind w:firstLine="0"/>
                    <w:jc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lang w:val="en-US" w:eastAsia="en-US" w:bidi="en-US"/>
                    </w:rPr>
                    <w:t>0.244</w:t>
                  </w:r>
                </w:p>
              </w:tc>
              <w:tc>
                <w:tcPr>
                  <w:tcW w:w="1580" w:type="dxa"/>
                  <w:tcBorders>
                    <w:tl2br w:val="nil"/>
                    <w:tr2bl w:val="nil"/>
                  </w:tcBorders>
                  <w:shd w:val="clear" w:color="auto" w:fill="FFFFFF"/>
                </w:tcPr>
                <w:p>
                  <w:pPr>
                    <w:pStyle w:val="37"/>
                    <w:spacing w:line="240" w:lineRule="auto"/>
                    <w:ind w:firstLine="0"/>
                    <w:jc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lang w:val="en-US" w:eastAsia="en-US" w:bidi="en-US"/>
                    </w:rPr>
                    <w:t>0.054</w:t>
                  </w:r>
                </w:p>
              </w:tc>
              <w:tc>
                <w:tcPr>
                  <w:tcW w:w="1565" w:type="dxa"/>
                  <w:tcBorders>
                    <w:tl2br w:val="nil"/>
                    <w:tr2bl w:val="nil"/>
                  </w:tcBorders>
                  <w:shd w:val="clear" w:color="auto" w:fill="FFFFFF"/>
                </w:tcPr>
                <w:p>
                  <w:pPr>
                    <w:pStyle w:val="37"/>
                    <w:spacing w:line="240" w:lineRule="auto"/>
                    <w:ind w:firstLine="540"/>
                    <w:jc w:val="left"/>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lang w:val="en-US" w:eastAsia="en-US" w:bidi="en-US"/>
                    </w:rPr>
                    <w:t>55.7</w:t>
                  </w:r>
                </w:p>
              </w:tc>
              <w:tc>
                <w:tcPr>
                  <w:tcW w:w="1595" w:type="dxa"/>
                  <w:tcBorders>
                    <w:tl2br w:val="nil"/>
                    <w:tr2bl w:val="nil"/>
                  </w:tcBorders>
                  <w:shd w:val="clear" w:color="auto" w:fill="FFFFFF"/>
                </w:tcPr>
                <w:p>
                  <w:pPr>
                    <w:pStyle w:val="37"/>
                    <w:spacing w:line="240" w:lineRule="auto"/>
                    <w:ind w:firstLine="0"/>
                    <w:jc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lang w:val="en-US" w:eastAsia="en-US" w:bidi="en-US"/>
                    </w:rPr>
                    <w:t>1.62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335" w:hRule="exact"/>
                <w:jc w:val="center"/>
              </w:trPr>
              <w:tc>
                <w:tcPr>
                  <w:tcW w:w="1580" w:type="dxa"/>
                  <w:tcBorders>
                    <w:tl2br w:val="nil"/>
                    <w:tr2bl w:val="nil"/>
                  </w:tcBorders>
                  <w:shd w:val="clear" w:color="auto" w:fill="FFFFFF"/>
                </w:tcPr>
                <w:p>
                  <w:pPr>
                    <w:pStyle w:val="37"/>
                    <w:spacing w:line="240" w:lineRule="auto"/>
                    <w:ind w:firstLine="680"/>
                    <w:jc w:val="left"/>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rPr>
                    <w:t>20</w:t>
                  </w:r>
                </w:p>
              </w:tc>
              <w:tc>
                <w:tcPr>
                  <w:tcW w:w="1580" w:type="dxa"/>
                  <w:tcBorders>
                    <w:tl2br w:val="nil"/>
                    <w:tr2bl w:val="nil"/>
                  </w:tcBorders>
                  <w:shd w:val="clear" w:color="auto" w:fill="FFFFFF"/>
                </w:tcPr>
                <w:p>
                  <w:pPr>
                    <w:pStyle w:val="37"/>
                    <w:spacing w:line="240" w:lineRule="auto"/>
                    <w:ind w:firstLine="0"/>
                    <w:jc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lang w:val="en-US" w:eastAsia="en-US" w:bidi="en-US"/>
                    </w:rPr>
                    <w:t>0.386</w:t>
                  </w:r>
                </w:p>
              </w:tc>
              <w:tc>
                <w:tcPr>
                  <w:tcW w:w="1580" w:type="dxa"/>
                  <w:tcBorders>
                    <w:tl2br w:val="nil"/>
                    <w:tr2bl w:val="nil"/>
                  </w:tcBorders>
                  <w:shd w:val="clear" w:color="auto" w:fill="FFFFFF"/>
                </w:tcPr>
                <w:p>
                  <w:pPr>
                    <w:pStyle w:val="37"/>
                    <w:spacing w:line="240" w:lineRule="auto"/>
                    <w:ind w:firstLine="0"/>
                    <w:jc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lang w:val="en-US" w:eastAsia="en-US" w:bidi="en-US"/>
                    </w:rPr>
                    <w:t>0.034</w:t>
                  </w:r>
                </w:p>
              </w:tc>
              <w:tc>
                <w:tcPr>
                  <w:tcW w:w="1565" w:type="dxa"/>
                  <w:tcBorders>
                    <w:tl2br w:val="nil"/>
                    <w:tr2bl w:val="nil"/>
                  </w:tcBorders>
                  <w:shd w:val="clear" w:color="auto" w:fill="FFFFFF"/>
                </w:tcPr>
                <w:p>
                  <w:pPr>
                    <w:pStyle w:val="37"/>
                    <w:spacing w:line="240" w:lineRule="auto"/>
                    <w:ind w:firstLine="540"/>
                    <w:jc w:val="left"/>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lang w:val="en-US" w:eastAsia="en-US" w:bidi="en-US"/>
                    </w:rPr>
                    <w:t>70.1</w:t>
                  </w:r>
                </w:p>
              </w:tc>
              <w:tc>
                <w:tcPr>
                  <w:tcW w:w="1595" w:type="dxa"/>
                  <w:tcBorders>
                    <w:tl2br w:val="nil"/>
                    <w:tr2bl w:val="nil"/>
                  </w:tcBorders>
                  <w:shd w:val="clear" w:color="auto" w:fill="FFFFFF"/>
                </w:tcPr>
                <w:p>
                  <w:pPr>
                    <w:pStyle w:val="37"/>
                    <w:spacing w:line="240" w:lineRule="auto"/>
                    <w:ind w:firstLine="0"/>
                    <w:jc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lang w:val="en-US" w:eastAsia="en-US" w:bidi="en-US"/>
                    </w:rPr>
                    <w:t>3.24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349" w:hRule="exact"/>
                <w:jc w:val="center"/>
              </w:trPr>
              <w:tc>
                <w:tcPr>
                  <w:tcW w:w="1580" w:type="dxa"/>
                  <w:tcBorders>
                    <w:tl2br w:val="nil"/>
                    <w:tr2bl w:val="nil"/>
                  </w:tcBorders>
                  <w:shd w:val="clear" w:color="auto" w:fill="FFFFFF"/>
                </w:tcPr>
                <w:p>
                  <w:pPr>
                    <w:pStyle w:val="37"/>
                    <w:spacing w:line="240" w:lineRule="auto"/>
                    <w:ind w:firstLine="680"/>
                    <w:jc w:val="left"/>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rPr>
                    <w:t>30</w:t>
                  </w:r>
                </w:p>
              </w:tc>
              <w:tc>
                <w:tcPr>
                  <w:tcW w:w="1580" w:type="dxa"/>
                  <w:tcBorders>
                    <w:tl2br w:val="nil"/>
                    <w:tr2bl w:val="nil"/>
                  </w:tcBorders>
                  <w:shd w:val="clear" w:color="auto" w:fill="FFFFFF"/>
                </w:tcPr>
                <w:p>
                  <w:pPr>
                    <w:pStyle w:val="37"/>
                    <w:spacing w:line="240" w:lineRule="auto"/>
                    <w:ind w:firstLine="0"/>
                    <w:jc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lang w:val="en-US" w:eastAsia="en-US" w:bidi="en-US"/>
                    </w:rPr>
                    <w:t>0.505</w:t>
                  </w:r>
                </w:p>
              </w:tc>
              <w:tc>
                <w:tcPr>
                  <w:tcW w:w="1580" w:type="dxa"/>
                  <w:tcBorders>
                    <w:tl2br w:val="nil"/>
                    <w:tr2bl w:val="nil"/>
                  </w:tcBorders>
                  <w:shd w:val="clear" w:color="auto" w:fill="FFFFFF"/>
                </w:tcPr>
                <w:p>
                  <w:pPr>
                    <w:pStyle w:val="37"/>
                    <w:spacing w:line="240" w:lineRule="auto"/>
                    <w:ind w:firstLine="0"/>
                    <w:jc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lang w:val="en-US" w:eastAsia="en-US" w:bidi="en-US"/>
                    </w:rPr>
                    <w:t>0.026</w:t>
                  </w:r>
                </w:p>
              </w:tc>
              <w:tc>
                <w:tcPr>
                  <w:tcW w:w="1565" w:type="dxa"/>
                  <w:tcBorders>
                    <w:tl2br w:val="nil"/>
                    <w:tr2bl w:val="nil"/>
                  </w:tcBorders>
                  <w:shd w:val="clear" w:color="auto" w:fill="FFFFFF"/>
                </w:tcPr>
                <w:p>
                  <w:pPr>
                    <w:pStyle w:val="37"/>
                    <w:spacing w:line="240" w:lineRule="auto"/>
                    <w:ind w:firstLine="540"/>
                    <w:jc w:val="left"/>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lang w:val="en-US" w:eastAsia="en-US" w:bidi="en-US"/>
                    </w:rPr>
                    <w:t>80.2</w:t>
                  </w:r>
                </w:p>
              </w:tc>
              <w:tc>
                <w:tcPr>
                  <w:tcW w:w="1595" w:type="dxa"/>
                  <w:tcBorders>
                    <w:tl2br w:val="nil"/>
                    <w:tr2bl w:val="nil"/>
                  </w:tcBorders>
                  <w:shd w:val="clear" w:color="auto" w:fill="FFFFFF"/>
                </w:tcPr>
                <w:p>
                  <w:pPr>
                    <w:pStyle w:val="37"/>
                    <w:spacing w:line="240" w:lineRule="auto"/>
                    <w:ind w:firstLine="0"/>
                    <w:jc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lang w:val="en-US" w:eastAsia="en-US" w:bidi="en-US"/>
                    </w:rPr>
                    <w:t>4.86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335" w:hRule="exact"/>
                <w:jc w:val="center"/>
              </w:trPr>
              <w:tc>
                <w:tcPr>
                  <w:tcW w:w="1580" w:type="dxa"/>
                  <w:tcBorders>
                    <w:tl2br w:val="nil"/>
                    <w:tr2bl w:val="nil"/>
                  </w:tcBorders>
                  <w:shd w:val="clear" w:color="auto" w:fill="FFFFFF"/>
                </w:tcPr>
                <w:p>
                  <w:pPr>
                    <w:pStyle w:val="37"/>
                    <w:spacing w:line="240" w:lineRule="auto"/>
                    <w:ind w:firstLine="680"/>
                    <w:jc w:val="left"/>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rPr>
                    <w:t>40</w:t>
                  </w:r>
                </w:p>
              </w:tc>
              <w:tc>
                <w:tcPr>
                  <w:tcW w:w="1580" w:type="dxa"/>
                  <w:tcBorders>
                    <w:tl2br w:val="nil"/>
                    <w:tr2bl w:val="nil"/>
                  </w:tcBorders>
                  <w:shd w:val="clear" w:color="auto" w:fill="FFFFFF"/>
                </w:tcPr>
                <w:p>
                  <w:pPr>
                    <w:pStyle w:val="37"/>
                    <w:spacing w:line="240" w:lineRule="auto"/>
                    <w:ind w:firstLine="0"/>
                    <w:jc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lang w:val="en-US" w:eastAsia="en-US" w:bidi="en-US"/>
                    </w:rPr>
                    <w:t>0.612</w:t>
                  </w:r>
                </w:p>
              </w:tc>
              <w:tc>
                <w:tcPr>
                  <w:tcW w:w="1580" w:type="dxa"/>
                  <w:tcBorders>
                    <w:tl2br w:val="nil"/>
                    <w:tr2bl w:val="nil"/>
                  </w:tcBorders>
                  <w:shd w:val="clear" w:color="auto" w:fill="FFFFFF"/>
                </w:tcPr>
                <w:p>
                  <w:pPr>
                    <w:pStyle w:val="37"/>
                    <w:spacing w:line="240" w:lineRule="auto"/>
                    <w:ind w:firstLine="0"/>
                    <w:jc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lang w:val="en-US" w:eastAsia="en-US" w:bidi="en-US"/>
                    </w:rPr>
                    <w:t>0.021</w:t>
                  </w:r>
                </w:p>
              </w:tc>
              <w:tc>
                <w:tcPr>
                  <w:tcW w:w="1565" w:type="dxa"/>
                  <w:tcBorders>
                    <w:tl2br w:val="nil"/>
                    <w:tr2bl w:val="nil"/>
                  </w:tcBorders>
                  <w:shd w:val="clear" w:color="auto" w:fill="FFFFFF"/>
                </w:tcPr>
                <w:p>
                  <w:pPr>
                    <w:pStyle w:val="37"/>
                    <w:spacing w:line="240" w:lineRule="auto"/>
                    <w:ind w:firstLine="0"/>
                    <w:jc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lang w:val="en-US" w:eastAsia="en-US" w:bidi="en-US"/>
                    </w:rPr>
                    <w:t>88.3</w:t>
                  </w:r>
                </w:p>
              </w:tc>
              <w:tc>
                <w:tcPr>
                  <w:tcW w:w="1595" w:type="dxa"/>
                  <w:tcBorders>
                    <w:tl2br w:val="nil"/>
                    <w:tr2bl w:val="nil"/>
                  </w:tcBorders>
                  <w:shd w:val="clear" w:color="auto" w:fill="FFFFFF"/>
                </w:tcPr>
                <w:p>
                  <w:pPr>
                    <w:pStyle w:val="37"/>
                    <w:spacing w:line="240" w:lineRule="auto"/>
                    <w:ind w:firstLine="600"/>
                    <w:jc w:val="left"/>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lang w:val="en-US" w:eastAsia="en-US" w:bidi="en-US"/>
                    </w:rPr>
                    <w:t>6.48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335" w:hRule="exact"/>
                <w:jc w:val="center"/>
              </w:trPr>
              <w:tc>
                <w:tcPr>
                  <w:tcW w:w="1580" w:type="dxa"/>
                  <w:tcBorders>
                    <w:tl2br w:val="nil"/>
                    <w:tr2bl w:val="nil"/>
                  </w:tcBorders>
                  <w:shd w:val="clear" w:color="auto" w:fill="FFFFFF"/>
                </w:tcPr>
                <w:p>
                  <w:pPr>
                    <w:pStyle w:val="37"/>
                    <w:spacing w:line="240" w:lineRule="auto"/>
                    <w:ind w:firstLine="680"/>
                    <w:jc w:val="left"/>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rPr>
                    <w:t>50</w:t>
                  </w:r>
                </w:p>
              </w:tc>
              <w:tc>
                <w:tcPr>
                  <w:tcW w:w="1580" w:type="dxa"/>
                  <w:tcBorders>
                    <w:tl2br w:val="nil"/>
                    <w:tr2bl w:val="nil"/>
                  </w:tcBorders>
                  <w:shd w:val="clear" w:color="auto" w:fill="FFFFFF"/>
                </w:tcPr>
                <w:p>
                  <w:pPr>
                    <w:pStyle w:val="37"/>
                    <w:spacing w:line="240" w:lineRule="auto"/>
                    <w:ind w:firstLine="0"/>
                    <w:jc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lang w:val="en-US" w:eastAsia="en-US" w:bidi="en-US"/>
                    </w:rPr>
                    <w:t>0.710</w:t>
                  </w:r>
                </w:p>
              </w:tc>
              <w:tc>
                <w:tcPr>
                  <w:tcW w:w="1580" w:type="dxa"/>
                  <w:tcBorders>
                    <w:tl2br w:val="nil"/>
                    <w:tr2bl w:val="nil"/>
                  </w:tcBorders>
                  <w:shd w:val="clear" w:color="auto" w:fill="FFFFFF"/>
                </w:tcPr>
                <w:p>
                  <w:pPr>
                    <w:pStyle w:val="37"/>
                    <w:spacing w:line="240" w:lineRule="auto"/>
                    <w:ind w:firstLine="0"/>
                    <w:jc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lang w:val="en-US" w:eastAsia="en-US" w:bidi="en-US"/>
                    </w:rPr>
                    <w:t>0.018</w:t>
                  </w:r>
                </w:p>
              </w:tc>
              <w:tc>
                <w:tcPr>
                  <w:tcW w:w="1565" w:type="dxa"/>
                  <w:tcBorders>
                    <w:tl2br w:val="nil"/>
                    <w:tr2bl w:val="nil"/>
                  </w:tcBorders>
                  <w:shd w:val="clear" w:color="auto" w:fill="FFFFFF"/>
                </w:tcPr>
                <w:p>
                  <w:pPr>
                    <w:pStyle w:val="37"/>
                    <w:spacing w:line="240" w:lineRule="auto"/>
                    <w:ind w:firstLine="540"/>
                    <w:jc w:val="left"/>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lang w:val="en-US" w:eastAsia="en-US" w:bidi="en-US"/>
                    </w:rPr>
                    <w:t>95.1</w:t>
                  </w:r>
                </w:p>
              </w:tc>
              <w:tc>
                <w:tcPr>
                  <w:tcW w:w="1595" w:type="dxa"/>
                  <w:tcBorders>
                    <w:tl2br w:val="nil"/>
                    <w:tr2bl w:val="nil"/>
                  </w:tcBorders>
                  <w:shd w:val="clear" w:color="auto" w:fill="FFFFFF"/>
                </w:tcPr>
                <w:p>
                  <w:pPr>
                    <w:pStyle w:val="37"/>
                    <w:spacing w:line="240" w:lineRule="auto"/>
                    <w:ind w:firstLine="600"/>
                    <w:jc w:val="left"/>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lang w:val="en-US" w:eastAsia="en-US" w:bidi="en-US"/>
                    </w:rPr>
                    <w:t>8.1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373" w:hRule="exact"/>
                <w:jc w:val="center"/>
              </w:trPr>
              <w:tc>
                <w:tcPr>
                  <w:tcW w:w="1580" w:type="dxa"/>
                  <w:tcBorders>
                    <w:tl2br w:val="nil"/>
                    <w:tr2bl w:val="nil"/>
                  </w:tcBorders>
                  <w:shd w:val="clear" w:color="auto" w:fill="FFFFFF"/>
                </w:tcPr>
                <w:p>
                  <w:pPr>
                    <w:pStyle w:val="37"/>
                    <w:spacing w:line="240" w:lineRule="auto"/>
                    <w:ind w:firstLine="680"/>
                    <w:jc w:val="left"/>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rPr>
                    <w:t>60</w:t>
                  </w:r>
                </w:p>
              </w:tc>
              <w:tc>
                <w:tcPr>
                  <w:tcW w:w="1580" w:type="dxa"/>
                  <w:tcBorders>
                    <w:tl2br w:val="nil"/>
                    <w:tr2bl w:val="nil"/>
                  </w:tcBorders>
                  <w:shd w:val="clear" w:color="auto" w:fill="FFFFFF"/>
                </w:tcPr>
                <w:p>
                  <w:pPr>
                    <w:pStyle w:val="37"/>
                    <w:spacing w:line="240" w:lineRule="auto"/>
                    <w:ind w:firstLine="0"/>
                    <w:jc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lang w:val="en-US" w:eastAsia="en-US" w:bidi="en-US"/>
                    </w:rPr>
                    <w:t>0.802</w:t>
                  </w:r>
                </w:p>
              </w:tc>
              <w:tc>
                <w:tcPr>
                  <w:tcW w:w="1580" w:type="dxa"/>
                  <w:tcBorders>
                    <w:tl2br w:val="nil"/>
                    <w:tr2bl w:val="nil"/>
                  </w:tcBorders>
                  <w:shd w:val="clear" w:color="auto" w:fill="FFFFFF"/>
                </w:tcPr>
                <w:p>
                  <w:pPr>
                    <w:pStyle w:val="37"/>
                    <w:spacing w:line="240" w:lineRule="auto"/>
                    <w:ind w:firstLine="0"/>
                    <w:jc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lang w:val="en-US" w:eastAsia="en-US" w:bidi="en-US"/>
                    </w:rPr>
                    <w:t>0.016</w:t>
                  </w:r>
                </w:p>
              </w:tc>
              <w:tc>
                <w:tcPr>
                  <w:tcW w:w="1565" w:type="dxa"/>
                  <w:tcBorders>
                    <w:tl2br w:val="nil"/>
                    <w:tr2bl w:val="nil"/>
                  </w:tcBorders>
                  <w:shd w:val="clear" w:color="auto" w:fill="FFFFFF"/>
                </w:tcPr>
                <w:p>
                  <w:pPr>
                    <w:pStyle w:val="37"/>
                    <w:spacing w:line="240" w:lineRule="auto"/>
                    <w:ind w:firstLine="0"/>
                    <w:jc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lang w:val="en-US" w:eastAsia="en-US" w:bidi="en-US"/>
                    </w:rPr>
                    <w:t>101.1</w:t>
                  </w:r>
                </w:p>
              </w:tc>
              <w:tc>
                <w:tcPr>
                  <w:tcW w:w="1595" w:type="dxa"/>
                  <w:tcBorders>
                    <w:tl2br w:val="nil"/>
                    <w:tr2bl w:val="nil"/>
                  </w:tcBorders>
                  <w:shd w:val="clear" w:color="auto" w:fill="FFFFFF"/>
                </w:tcPr>
                <w:p>
                  <w:pPr>
                    <w:pStyle w:val="37"/>
                    <w:spacing w:line="240" w:lineRule="auto"/>
                    <w:ind w:firstLine="600"/>
                    <w:jc w:val="left"/>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lang w:val="en-US" w:eastAsia="en-US" w:bidi="en-US"/>
                    </w:rPr>
                    <w:t>9.72</w:t>
                  </w:r>
                </w:p>
              </w:tc>
            </w:tr>
          </w:tbl>
          <w:p>
            <w:pPr>
              <w:pStyle w:val="38"/>
              <w:spacing w:line="469" w:lineRule="exact"/>
              <w:ind w:firstLine="460"/>
              <w:rPr>
                <w:rFonts w:hint="default" w:ascii="Times New Roman" w:hAnsi="Times New Roman" w:eastAsia="宋体" w:cs="Times New Roman"/>
                <w:color w:val="FF0000"/>
                <w:sz w:val="24"/>
                <w:szCs w:val="24"/>
                <w:u w:val="single"/>
                <w:lang w:eastAsia="zh-CN"/>
              </w:rPr>
            </w:pPr>
            <w:r>
              <w:rPr>
                <w:rFonts w:hint="default" w:ascii="Times New Roman" w:hAnsi="Times New Roman" w:eastAsia="宋体" w:cs="Times New Roman"/>
                <w:color w:val="FF0000"/>
                <w:sz w:val="24"/>
                <w:szCs w:val="24"/>
                <w:u w:val="single"/>
              </w:rPr>
              <w:t>由上表可知，泄漏</w:t>
            </w:r>
            <w:r>
              <w:rPr>
                <w:rFonts w:hint="default" w:ascii="Times New Roman" w:hAnsi="Times New Roman" w:eastAsia="宋体" w:cs="Times New Roman"/>
                <w:color w:val="FF0000"/>
                <w:sz w:val="24"/>
                <w:szCs w:val="24"/>
                <w:u w:val="single"/>
                <w:lang w:val="en-US" w:eastAsia="en-US" w:bidi="en-US"/>
              </w:rPr>
              <w:t>0.5h</w:t>
            </w:r>
            <w:r>
              <w:rPr>
                <w:rFonts w:hint="default" w:ascii="Times New Roman" w:hAnsi="Times New Roman" w:eastAsia="宋体" w:cs="Times New Roman"/>
                <w:color w:val="FF0000"/>
                <w:sz w:val="24"/>
                <w:szCs w:val="24"/>
                <w:u w:val="single"/>
              </w:rPr>
              <w:t>后，扩散面积</w:t>
            </w:r>
            <w:r>
              <w:rPr>
                <w:rFonts w:hint="default" w:ascii="Times New Roman" w:hAnsi="Times New Roman" w:eastAsia="宋体" w:cs="Times New Roman"/>
                <w:color w:val="FF0000"/>
                <w:sz w:val="24"/>
                <w:szCs w:val="24"/>
                <w:u w:val="single"/>
                <w:lang w:val="en-US" w:eastAsia="en-US" w:bidi="en-US"/>
              </w:rPr>
              <w:t>0.505hm</w:t>
            </w:r>
            <w:r>
              <w:rPr>
                <w:rFonts w:hint="default" w:ascii="Times New Roman" w:hAnsi="Times New Roman" w:eastAsia="宋体" w:cs="Times New Roman"/>
                <w:color w:val="FF0000"/>
                <w:sz w:val="24"/>
                <w:szCs w:val="24"/>
                <w:u w:val="single"/>
                <w:lang w:val="en-US" w:eastAsia="zh-CN" w:bidi="en-US"/>
              </w:rPr>
              <w:t>，</w:t>
            </w:r>
            <w:r>
              <w:rPr>
                <w:rFonts w:hint="default" w:ascii="Times New Roman" w:hAnsi="Times New Roman" w:eastAsia="宋体" w:cs="Times New Roman"/>
                <w:color w:val="FF0000"/>
                <w:sz w:val="24"/>
                <w:szCs w:val="24"/>
                <w:u w:val="single"/>
              </w:rPr>
              <w:t>厚度</w:t>
            </w:r>
            <w:r>
              <w:rPr>
                <w:rFonts w:hint="default" w:ascii="Times New Roman" w:hAnsi="Times New Roman" w:eastAsia="宋体" w:cs="Times New Roman"/>
                <w:color w:val="FF0000"/>
                <w:sz w:val="24"/>
                <w:szCs w:val="24"/>
                <w:u w:val="single"/>
                <w:lang w:val="en-US" w:eastAsia="en-US" w:bidi="en-US"/>
              </w:rPr>
              <w:t>0.026um</w:t>
            </w:r>
            <w:r>
              <w:rPr>
                <w:rFonts w:hint="default" w:ascii="Times New Roman" w:hAnsi="Times New Roman" w:eastAsia="宋体" w:cs="Times New Roman"/>
                <w:color w:val="FF0000"/>
                <w:sz w:val="24"/>
                <w:szCs w:val="24"/>
                <w:u w:val="single"/>
                <w:lang w:val="en-US" w:eastAsia="zh-CN" w:bidi="en-US"/>
              </w:rPr>
              <w:t>，</w:t>
            </w:r>
            <w:r>
              <w:rPr>
                <w:rFonts w:hint="default" w:ascii="Times New Roman" w:hAnsi="Times New Roman" w:eastAsia="宋体" w:cs="Times New Roman"/>
                <w:color w:val="FF0000"/>
                <w:sz w:val="24"/>
                <w:szCs w:val="24"/>
                <w:u w:val="single"/>
              </w:rPr>
              <w:t>表面膜长 度</w:t>
            </w:r>
            <w:r>
              <w:rPr>
                <w:rFonts w:hint="default" w:ascii="Times New Roman" w:hAnsi="Times New Roman" w:eastAsia="宋体" w:cs="Times New Roman"/>
                <w:color w:val="FF0000"/>
                <w:sz w:val="24"/>
                <w:szCs w:val="24"/>
                <w:u w:val="single"/>
                <w:lang w:val="en-US" w:eastAsia="en-US" w:bidi="en-US"/>
              </w:rPr>
              <w:t>80.2m</w:t>
            </w:r>
            <w:r>
              <w:rPr>
                <w:rFonts w:hint="default" w:ascii="Times New Roman" w:hAnsi="Times New Roman" w:eastAsia="宋体" w:cs="Times New Roman"/>
                <w:color w:val="FF0000"/>
                <w:sz w:val="24"/>
                <w:szCs w:val="24"/>
                <w:u w:val="single"/>
                <w:lang w:val="en-US" w:eastAsia="zh-CN" w:bidi="en-US"/>
              </w:rPr>
              <w:t>，</w:t>
            </w:r>
            <w:r>
              <w:rPr>
                <w:rFonts w:hint="default" w:ascii="Times New Roman" w:hAnsi="Times New Roman" w:eastAsia="宋体" w:cs="Times New Roman"/>
                <w:color w:val="FF0000"/>
                <w:sz w:val="24"/>
                <w:szCs w:val="24"/>
                <w:u w:val="single"/>
              </w:rPr>
              <w:t>流动距离</w:t>
            </w:r>
            <w:r>
              <w:rPr>
                <w:rFonts w:hint="default" w:ascii="Times New Roman" w:hAnsi="Times New Roman" w:eastAsia="宋体" w:cs="Times New Roman"/>
                <w:color w:val="FF0000"/>
                <w:sz w:val="24"/>
                <w:szCs w:val="24"/>
                <w:u w:val="single"/>
                <w:lang w:val="en-US" w:eastAsia="en-US" w:bidi="en-US"/>
              </w:rPr>
              <w:t>4.86km。</w:t>
            </w:r>
            <w:r>
              <w:rPr>
                <w:rFonts w:hint="default" w:ascii="Times New Roman" w:hAnsi="Times New Roman" w:eastAsia="宋体" w:cs="Times New Roman"/>
                <w:color w:val="FF0000"/>
                <w:sz w:val="24"/>
                <w:szCs w:val="24"/>
                <w:u w:val="single"/>
              </w:rPr>
              <w:t>泄漏</w:t>
            </w:r>
            <w:r>
              <w:rPr>
                <w:rFonts w:hint="default" w:ascii="Times New Roman" w:hAnsi="Times New Roman" w:eastAsia="宋体" w:cs="Times New Roman"/>
                <w:color w:val="FF0000"/>
                <w:sz w:val="24"/>
                <w:szCs w:val="24"/>
                <w:u w:val="single"/>
                <w:lang w:val="en-US" w:eastAsia="en-US" w:bidi="en-US"/>
              </w:rPr>
              <w:t>lh</w:t>
            </w:r>
            <w:r>
              <w:rPr>
                <w:rFonts w:hint="default" w:ascii="Times New Roman" w:hAnsi="Times New Roman" w:eastAsia="宋体" w:cs="Times New Roman"/>
                <w:color w:val="FF0000"/>
                <w:sz w:val="24"/>
                <w:szCs w:val="24"/>
                <w:u w:val="single"/>
              </w:rPr>
              <w:t>后，扩散面积</w:t>
            </w:r>
            <w:r>
              <w:rPr>
                <w:rFonts w:hint="default" w:ascii="Times New Roman" w:hAnsi="Times New Roman" w:eastAsia="宋体" w:cs="Times New Roman"/>
                <w:color w:val="FF0000"/>
                <w:sz w:val="24"/>
                <w:szCs w:val="24"/>
                <w:u w:val="single"/>
                <w:lang w:val="en-US" w:eastAsia="en-US" w:bidi="en-US"/>
              </w:rPr>
              <w:t>0.802hm</w:t>
            </w:r>
            <w:r>
              <w:rPr>
                <w:rFonts w:hint="default" w:ascii="Times New Roman" w:hAnsi="Times New Roman" w:eastAsia="宋体" w:cs="Times New Roman"/>
                <w:color w:val="FF0000"/>
                <w:sz w:val="24"/>
                <w:szCs w:val="24"/>
                <w:u w:val="single"/>
                <w:vertAlign w:val="superscript"/>
                <w:lang w:val="en-US" w:eastAsia="en-US" w:bidi="en-US"/>
              </w:rPr>
              <w:t>2</w:t>
            </w:r>
            <w:r>
              <w:rPr>
                <w:rFonts w:hint="default" w:ascii="Times New Roman" w:hAnsi="Times New Roman" w:eastAsia="宋体" w:cs="Times New Roman"/>
                <w:color w:val="FF0000"/>
                <w:sz w:val="24"/>
                <w:szCs w:val="24"/>
                <w:u w:val="single"/>
                <w:lang w:val="en-US" w:eastAsia="zh-CN" w:bidi="en-US"/>
              </w:rPr>
              <w:t>，</w:t>
            </w:r>
            <w:r>
              <w:rPr>
                <w:rFonts w:hint="default" w:ascii="Times New Roman" w:hAnsi="Times New Roman" w:eastAsia="宋体" w:cs="Times New Roman"/>
                <w:color w:val="FF0000"/>
                <w:sz w:val="24"/>
                <w:szCs w:val="24"/>
                <w:u w:val="single"/>
              </w:rPr>
              <w:t>厚度</w:t>
            </w:r>
            <w:r>
              <w:rPr>
                <w:rFonts w:hint="default" w:ascii="Times New Roman" w:hAnsi="Times New Roman" w:eastAsia="宋体" w:cs="Times New Roman"/>
                <w:color w:val="FF0000"/>
                <w:sz w:val="24"/>
                <w:szCs w:val="24"/>
                <w:u w:val="single"/>
                <w:lang w:val="en-US" w:eastAsia="en-US" w:bidi="en-US"/>
              </w:rPr>
              <w:t>0.016um</w:t>
            </w:r>
            <w:r>
              <w:rPr>
                <w:rFonts w:hint="default" w:ascii="Times New Roman" w:hAnsi="Times New Roman" w:eastAsia="宋体" w:cs="Times New Roman"/>
                <w:color w:val="FF0000"/>
                <w:sz w:val="24"/>
                <w:szCs w:val="24"/>
                <w:u w:val="single"/>
                <w:lang w:val="en-US" w:eastAsia="zh-CN" w:bidi="en-US"/>
              </w:rPr>
              <w:t>，</w:t>
            </w:r>
            <w:r>
              <w:rPr>
                <w:rFonts w:hint="default" w:ascii="Times New Roman" w:hAnsi="Times New Roman" w:eastAsia="宋体" w:cs="Times New Roman"/>
                <w:color w:val="FF0000"/>
                <w:sz w:val="24"/>
                <w:szCs w:val="24"/>
                <w:u w:val="single"/>
                <w:lang w:val="en-US" w:eastAsia="en-US" w:bidi="en-US"/>
              </w:rPr>
              <w:t xml:space="preserve"> </w:t>
            </w:r>
            <w:r>
              <w:rPr>
                <w:rFonts w:hint="default" w:ascii="Times New Roman" w:hAnsi="Times New Roman" w:eastAsia="宋体" w:cs="Times New Roman"/>
                <w:color w:val="FF0000"/>
                <w:sz w:val="24"/>
                <w:szCs w:val="24"/>
                <w:u w:val="single"/>
              </w:rPr>
              <w:t>表面膜长度</w:t>
            </w:r>
            <w:r>
              <w:rPr>
                <w:rFonts w:hint="default" w:ascii="Times New Roman" w:hAnsi="Times New Roman" w:eastAsia="宋体" w:cs="Times New Roman"/>
                <w:color w:val="FF0000"/>
                <w:sz w:val="24"/>
                <w:szCs w:val="24"/>
                <w:u w:val="single"/>
                <w:lang w:val="en-US" w:eastAsia="en-US" w:bidi="en-US"/>
              </w:rPr>
              <w:t>101.1m</w:t>
            </w:r>
            <w:r>
              <w:rPr>
                <w:rFonts w:hint="default" w:ascii="Times New Roman" w:hAnsi="Times New Roman" w:eastAsia="宋体" w:cs="Times New Roman"/>
                <w:color w:val="FF0000"/>
                <w:sz w:val="24"/>
                <w:szCs w:val="24"/>
                <w:u w:val="single"/>
                <w:lang w:val="en-US" w:eastAsia="zh-CN" w:bidi="en-US"/>
              </w:rPr>
              <w:t>，</w:t>
            </w:r>
            <w:r>
              <w:rPr>
                <w:rFonts w:hint="default" w:ascii="Times New Roman" w:hAnsi="Times New Roman" w:eastAsia="宋体" w:cs="Times New Roman"/>
                <w:color w:val="FF0000"/>
                <w:sz w:val="24"/>
                <w:szCs w:val="24"/>
                <w:u w:val="single"/>
              </w:rPr>
              <w:t>流动距离</w:t>
            </w:r>
            <w:r>
              <w:rPr>
                <w:rFonts w:hint="default" w:ascii="Times New Roman" w:hAnsi="Times New Roman" w:eastAsia="宋体" w:cs="Times New Roman"/>
                <w:color w:val="FF0000"/>
                <w:sz w:val="24"/>
                <w:szCs w:val="24"/>
                <w:u w:val="single"/>
                <w:lang w:val="en-US" w:eastAsia="en-US" w:bidi="en-US"/>
              </w:rPr>
              <w:t>9.72km</w:t>
            </w:r>
            <w:r>
              <w:rPr>
                <w:rFonts w:hint="default" w:ascii="Times New Roman" w:hAnsi="Times New Roman" w:eastAsia="宋体" w:cs="Times New Roman"/>
                <w:color w:val="FF0000"/>
                <w:sz w:val="24"/>
                <w:szCs w:val="24"/>
                <w:u w:val="single"/>
                <w:lang w:val="en-US" w:eastAsia="zh-CN" w:bidi="en-US"/>
              </w:rPr>
              <w:t>。</w:t>
            </w:r>
          </w:p>
          <w:p>
            <w:pPr>
              <w:pStyle w:val="36"/>
              <w:spacing w:line="469" w:lineRule="exact"/>
              <w:ind w:firstLine="460"/>
              <w:rPr>
                <w:rFonts w:hint="default" w:ascii="Times New Roman" w:hAnsi="Times New Roman" w:eastAsia="宋体" w:cs="Times New Roman"/>
                <w:color w:val="FF0000"/>
                <w:u w:val="single"/>
              </w:rPr>
            </w:pPr>
            <w:r>
              <w:rPr>
                <w:rFonts w:hint="default" w:ascii="Times New Roman" w:hAnsi="Times New Roman" w:eastAsia="宋体" w:cs="Times New Roman"/>
                <w:color w:val="FF0000"/>
                <w:sz w:val="24"/>
                <w:szCs w:val="24"/>
                <w:u w:val="single"/>
              </w:rPr>
              <w:t>建设项目一旦发生事故溢油，应及时在事故发生点周围布设围栏，围栏布置的范围可根据扩散范围确定，将溢油事故污染控制在围栏包围的水域范围内。同时启动应急预案，釆用收油机进行溢油回收，消除水面残液，可最大限度地控制 油膜向下游漂移，最大程度减少溢油对下游敏感点的影响。在溢油后喷洒溢油分散剂，消除对水面的石油类污染。</w:t>
            </w:r>
          </w:p>
          <w:p>
            <w:pPr>
              <w:pStyle w:val="36"/>
              <w:spacing w:after="160" w:line="469" w:lineRule="exact"/>
              <w:ind w:firstLine="460"/>
              <w:rPr>
                <w:rFonts w:hint="default" w:ascii="Times New Roman" w:hAnsi="Times New Roman" w:eastAsia="宋体" w:cs="Times New Roman"/>
                <w:color w:val="FF0000"/>
                <w:u w:val="single"/>
              </w:rPr>
            </w:pPr>
            <w:r>
              <w:rPr>
                <w:rFonts w:hint="default" w:ascii="Times New Roman" w:hAnsi="Times New Roman" w:eastAsia="宋体" w:cs="Times New Roman"/>
                <w:color w:val="FF0000"/>
                <w:sz w:val="24"/>
                <w:szCs w:val="24"/>
                <w:u w:val="single"/>
              </w:rPr>
              <w:t>本项目本身不涉及油类的运输和储存，仅是收集船舶航行动力所需携带的燃料油，其数量较少，发生事故时油膜扩散的范围较小，对航道的水环境质量影响也较小，比较容易被控制。</w:t>
            </w:r>
          </w:p>
          <w:p>
            <w:pPr>
              <w:pStyle w:val="35"/>
              <w:widowControl/>
              <w:spacing w:line="360" w:lineRule="auto"/>
              <w:ind w:left="630" w:firstLine="0" w:firstLineChars="0"/>
              <w:rPr>
                <w:rFonts w:hint="default" w:ascii="Times New Roman" w:hAnsi="Times New Roman" w:eastAsia="宋体" w:cs="Times New Roman"/>
                <w:color w:val="FF0000"/>
                <w:kern w:val="2"/>
                <w:sz w:val="24"/>
                <w:u w:val="single"/>
              </w:rPr>
            </w:pPr>
            <w:r>
              <w:rPr>
                <w:rFonts w:hint="default" w:ascii="Times New Roman" w:hAnsi="Times New Roman" w:eastAsia="宋体" w:cs="Times New Roman"/>
                <w:color w:val="FF0000"/>
                <w:kern w:val="2"/>
                <w:sz w:val="24"/>
                <w:u w:val="single"/>
              </w:rPr>
              <w:t>2）对水生生物的影响</w:t>
            </w:r>
          </w:p>
          <w:p>
            <w:pPr>
              <w:pStyle w:val="35"/>
              <w:widowControl/>
              <w:spacing w:line="360" w:lineRule="auto"/>
              <w:ind w:left="479" w:leftChars="228" w:firstLine="0" w:firstLineChars="0"/>
              <w:rPr>
                <w:rFonts w:hint="default" w:ascii="Times New Roman" w:hAnsi="Times New Roman" w:eastAsia="宋体" w:cs="Times New Roman"/>
                <w:color w:val="FF0000"/>
                <w:kern w:val="2"/>
                <w:sz w:val="24"/>
                <w:u w:val="single"/>
              </w:rPr>
            </w:pPr>
            <w:r>
              <w:rPr>
                <w:rFonts w:hint="default" w:ascii="Times New Roman" w:hAnsi="Times New Roman" w:eastAsia="宋体" w:cs="Times New Roman"/>
                <w:color w:val="FF0000"/>
                <w:kern w:val="2"/>
                <w:sz w:val="24"/>
                <w:u w:val="single"/>
              </w:rPr>
              <w:t>燃料油的泄漏将会对江河水域的水生生物产生一定影响，主要表现为：</w:t>
            </w:r>
          </w:p>
          <w:p>
            <w:pPr>
              <w:pStyle w:val="35"/>
              <w:widowControl/>
              <w:spacing w:line="360" w:lineRule="auto"/>
              <w:ind w:firstLine="480"/>
              <w:rPr>
                <w:rFonts w:hint="default" w:ascii="Times New Roman" w:hAnsi="Times New Roman" w:eastAsia="宋体" w:cs="Times New Roman"/>
                <w:color w:val="FF0000"/>
                <w:kern w:val="2"/>
                <w:sz w:val="24"/>
                <w:u w:val="single"/>
              </w:rPr>
            </w:pPr>
            <w:r>
              <w:rPr>
                <w:rFonts w:hint="default" w:ascii="Times New Roman" w:hAnsi="Times New Roman" w:eastAsia="宋体" w:cs="Times New Roman"/>
                <w:color w:val="FF0000"/>
                <w:kern w:val="2"/>
                <w:sz w:val="24"/>
                <w:u w:val="single"/>
              </w:rPr>
              <w:t>①河面连片的油膜使水体的阳光投射率下降，降低浮游植物的光合作用，从而影响水域的初级生产力，同时干扰浮游动物的昼夜垂直迁移。</w:t>
            </w:r>
          </w:p>
          <w:p>
            <w:pPr>
              <w:pStyle w:val="35"/>
              <w:widowControl/>
              <w:spacing w:line="360" w:lineRule="auto"/>
              <w:ind w:firstLine="480"/>
              <w:rPr>
                <w:rFonts w:hint="default" w:ascii="Times New Roman" w:hAnsi="Times New Roman" w:eastAsia="宋体" w:cs="Times New Roman"/>
                <w:color w:val="FF0000"/>
                <w:kern w:val="2"/>
                <w:sz w:val="24"/>
                <w:u w:val="single"/>
              </w:rPr>
            </w:pPr>
            <w:r>
              <w:rPr>
                <w:rFonts w:hint="default" w:ascii="Times New Roman" w:hAnsi="Times New Roman" w:eastAsia="宋体" w:cs="Times New Roman"/>
                <w:color w:val="FF0000"/>
                <w:kern w:val="2"/>
                <w:sz w:val="24"/>
                <w:u w:val="single"/>
              </w:rPr>
              <w:t>②油污染能伤害水生生物的化学感应器，干扰、破坏生物的趋化性，使其感应系统发生紊乱。</w:t>
            </w:r>
          </w:p>
          <w:p>
            <w:pPr>
              <w:pStyle w:val="35"/>
              <w:widowControl/>
              <w:spacing w:line="360" w:lineRule="auto"/>
              <w:ind w:firstLine="480"/>
              <w:rPr>
                <w:rFonts w:hint="default" w:ascii="Times New Roman" w:hAnsi="Times New Roman" w:eastAsia="宋体" w:cs="Times New Roman"/>
                <w:color w:val="FF0000"/>
                <w:kern w:val="2"/>
                <w:sz w:val="24"/>
                <w:u w:val="single"/>
              </w:rPr>
            </w:pPr>
            <w:r>
              <w:rPr>
                <w:rFonts w:hint="default" w:ascii="Times New Roman" w:hAnsi="Times New Roman" w:eastAsia="宋体" w:cs="Times New Roman"/>
                <w:color w:val="FF0000"/>
                <w:kern w:val="2"/>
                <w:sz w:val="24"/>
                <w:u w:val="single"/>
              </w:rPr>
              <w:t>③溶解和分散在水体中的油类较易侵入水生生物的上皮细胞</w:t>
            </w:r>
            <w:r>
              <w:rPr>
                <w:rFonts w:hint="default" w:ascii="Times New Roman" w:hAnsi="Times New Roman" w:eastAsia="宋体" w:cs="Times New Roman"/>
                <w:color w:val="FF0000"/>
                <w:kern w:val="2"/>
                <w:sz w:val="24"/>
                <w:u w:val="single"/>
                <w:lang w:eastAsia="zh-CN"/>
              </w:rPr>
              <w:t>，</w:t>
            </w:r>
            <w:r>
              <w:rPr>
                <w:rFonts w:hint="default" w:ascii="Times New Roman" w:hAnsi="Times New Roman" w:eastAsia="宋体" w:cs="Times New Roman"/>
                <w:color w:val="FF0000"/>
                <w:kern w:val="2"/>
                <w:sz w:val="24"/>
                <w:u w:val="single"/>
              </w:rPr>
              <w:t>破坏动植物的细胞质膜和线粒体膜，损害生物的酶系统和蛋白质结构，导致基础代谢活动出现障碍，引起生物种类异常。</w:t>
            </w:r>
          </w:p>
          <w:p>
            <w:pPr>
              <w:pStyle w:val="35"/>
              <w:widowControl/>
              <w:spacing w:line="360" w:lineRule="auto"/>
              <w:ind w:firstLine="480"/>
              <w:rPr>
                <w:rFonts w:hint="default" w:ascii="Times New Roman" w:hAnsi="Times New Roman" w:eastAsia="宋体" w:cs="Times New Roman"/>
                <w:color w:val="FF0000"/>
                <w:kern w:val="2"/>
                <w:sz w:val="24"/>
                <w:u w:val="single"/>
              </w:rPr>
            </w:pPr>
            <w:r>
              <w:rPr>
                <w:rFonts w:hint="default" w:ascii="Times New Roman" w:hAnsi="Times New Roman" w:eastAsia="宋体" w:cs="Times New Roman"/>
                <w:color w:val="FF0000"/>
                <w:kern w:val="2"/>
                <w:sz w:val="24"/>
                <w:u w:val="single"/>
              </w:rPr>
              <w:t>④不同种类生物对油污染的敏感性有很大差异，水体受油污染后，对油污染抵抗性差的生物数量将大量减少或消失，而一些嗜油菌落和好油生物将大量繁殖和生长，从而改变原有的结构种类，引起生态平衡失调。</w:t>
            </w:r>
          </w:p>
          <w:p>
            <w:pPr>
              <w:pStyle w:val="35"/>
              <w:widowControl/>
              <w:spacing w:line="360" w:lineRule="auto"/>
              <w:ind w:firstLine="480"/>
              <w:rPr>
                <w:rFonts w:hint="default" w:ascii="Times New Roman" w:hAnsi="Times New Roman" w:eastAsia="宋体" w:cs="Times New Roman"/>
                <w:color w:val="FF0000"/>
                <w:kern w:val="2"/>
                <w:sz w:val="24"/>
                <w:u w:val="single"/>
              </w:rPr>
            </w:pPr>
            <w:r>
              <w:rPr>
                <w:rFonts w:hint="default" w:ascii="Times New Roman" w:hAnsi="Times New Roman" w:eastAsia="宋体" w:cs="Times New Roman"/>
                <w:color w:val="FF0000"/>
                <w:kern w:val="2"/>
                <w:sz w:val="24"/>
                <w:u w:val="single"/>
              </w:rPr>
              <w:t>根据国内外许多毒性实验结果表明，作为鱼、虾类饵料基础的浮游植物，对各类油类的耐受能力都很低，一般浮游植物石油急性中毒致死浓度为 0.1~10.0mg/L，对于更敏感的种类，油浓度低于0.1mg/L时，也会妨碍细胞的分裂和生长速率。浮游动物石油急性中毒致死浓度范围一般为0.1~15mg/L，而且通过不同浓度的石油类环境对桡足类幼体的影响实验表明，永久性</w:t>
            </w:r>
            <w:r>
              <w:rPr>
                <w:rFonts w:hint="eastAsia" w:hAnsi="Times New Roman" w:cs="Times New Roman"/>
                <w:color w:val="FF0000"/>
                <w:kern w:val="2"/>
                <w:sz w:val="24"/>
                <w:u w:val="single"/>
                <w:lang w:eastAsia="zh-CN"/>
              </w:rPr>
              <w:t>（</w:t>
            </w:r>
            <w:r>
              <w:rPr>
                <w:rFonts w:hint="default" w:ascii="Times New Roman" w:hAnsi="Times New Roman" w:eastAsia="宋体" w:cs="Times New Roman"/>
                <w:color w:val="FF0000"/>
                <w:kern w:val="2"/>
                <w:sz w:val="24"/>
                <w:u w:val="single"/>
              </w:rPr>
              <w:t>终生性</w:t>
            </w:r>
            <w:r>
              <w:rPr>
                <w:rFonts w:hint="eastAsia" w:hAnsi="Times New Roman" w:cs="Times New Roman"/>
                <w:color w:val="FF0000"/>
                <w:kern w:val="2"/>
                <w:sz w:val="24"/>
                <w:u w:val="single"/>
                <w:lang w:eastAsia="zh-CN"/>
              </w:rPr>
              <w:t>）</w:t>
            </w:r>
            <w:r>
              <w:rPr>
                <w:rFonts w:hint="default" w:ascii="Times New Roman" w:hAnsi="Times New Roman" w:eastAsia="宋体" w:cs="Times New Roman"/>
                <w:color w:val="FF0000"/>
                <w:kern w:val="2"/>
                <w:sz w:val="24"/>
                <w:u w:val="single"/>
              </w:rPr>
              <w:t>浮游动物幼体的敏感性大于阶段性（临时性）的底栖生物幼体，而它们各自的幼体敏感性又大于成体。</w:t>
            </w:r>
          </w:p>
          <w:p>
            <w:pPr>
              <w:pStyle w:val="35"/>
              <w:widowControl/>
              <w:spacing w:line="360" w:lineRule="auto"/>
              <w:ind w:firstLine="480"/>
              <w:rPr>
                <w:rFonts w:hint="default" w:ascii="Times New Roman" w:hAnsi="Times New Roman" w:eastAsia="宋体" w:cs="Times New Roman"/>
                <w:color w:val="FF0000"/>
                <w:kern w:val="2"/>
                <w:sz w:val="24"/>
                <w:u w:val="single"/>
              </w:rPr>
            </w:pPr>
            <w:r>
              <w:rPr>
                <w:rFonts w:hint="default" w:ascii="Times New Roman" w:hAnsi="Times New Roman" w:eastAsia="宋体" w:cs="Times New Roman"/>
                <w:color w:val="FF0000"/>
                <w:kern w:val="2"/>
                <w:sz w:val="24"/>
                <w:u w:val="single"/>
              </w:rPr>
              <w:t>因此，一旦发生溢油风险事故后将引起流经河段内鱼类的急性中毒，油类在鱼体内的蓄积残留可能会对鱼的致突变性产生较大的负面影响。由于水体复氧作用的停止，对水体中浮游生物及浮游植物也会产生一定的影响；而随着浮游生物的死亡，将导致鱼类饵料来源的逐步减少。因此必须严格落实相应的风险防范措施，一旦发生溢油事故后及时启动溢油事故应急预案，以避免溢油风险事故对下游水域造成污染。</w:t>
            </w:r>
          </w:p>
          <w:p>
            <w:pPr>
              <w:pStyle w:val="35"/>
              <w:widowControl/>
              <w:spacing w:line="360" w:lineRule="auto"/>
              <w:ind w:firstLine="480"/>
              <w:rPr>
                <w:rFonts w:hint="default" w:ascii="Times New Roman" w:hAnsi="Times New Roman" w:eastAsia="宋体" w:cs="Times New Roman"/>
                <w:color w:val="FF0000"/>
                <w:kern w:val="2"/>
                <w:sz w:val="24"/>
                <w:u w:val="single"/>
              </w:rPr>
            </w:pPr>
            <w:r>
              <w:rPr>
                <w:rFonts w:hint="default" w:ascii="Times New Roman" w:hAnsi="Times New Roman" w:eastAsia="宋体" w:cs="Times New Roman"/>
                <w:color w:val="FF0000"/>
                <w:kern w:val="2"/>
                <w:sz w:val="24"/>
                <w:u w:val="single"/>
              </w:rPr>
              <w:t>（2）船舶垃圾泄漏的影响分析</w:t>
            </w:r>
          </w:p>
          <w:p>
            <w:pPr>
              <w:pStyle w:val="35"/>
              <w:widowControl/>
              <w:spacing w:line="360" w:lineRule="auto"/>
              <w:ind w:firstLine="480"/>
              <w:rPr>
                <w:rFonts w:hint="default" w:ascii="Times New Roman" w:hAnsi="Times New Roman" w:eastAsia="宋体" w:cs="Times New Roman"/>
                <w:color w:val="FF0000"/>
                <w:kern w:val="2"/>
                <w:sz w:val="24"/>
                <w:u w:val="single"/>
              </w:rPr>
            </w:pPr>
            <w:r>
              <w:rPr>
                <w:rFonts w:hint="default" w:ascii="Times New Roman" w:hAnsi="Times New Roman" w:eastAsia="宋体" w:cs="Times New Roman"/>
                <w:color w:val="FF0000"/>
                <w:kern w:val="2"/>
                <w:sz w:val="24"/>
                <w:u w:val="single"/>
              </w:rPr>
              <w:t>船舶垃圾在转运过程中，由于操作不当等原因，卸船过程中生活垃圾袋破碎，导致生活垃圾洒落于所在区域水域中甚至漂散至下游水域，污染水环境。</w:t>
            </w:r>
          </w:p>
          <w:p>
            <w:pPr>
              <w:pStyle w:val="35"/>
              <w:widowControl/>
              <w:spacing w:line="360" w:lineRule="auto"/>
              <w:ind w:firstLine="480"/>
              <w:rPr>
                <w:rFonts w:hint="default" w:ascii="Times New Roman" w:hAnsi="Times New Roman" w:eastAsia="宋体" w:cs="Times New Roman"/>
                <w:color w:val="FF0000"/>
                <w:kern w:val="2"/>
                <w:sz w:val="24"/>
                <w:u w:val="single"/>
              </w:rPr>
            </w:pPr>
            <w:r>
              <w:rPr>
                <w:rFonts w:hint="default" w:ascii="Times New Roman" w:hAnsi="Times New Roman" w:eastAsia="宋体" w:cs="Times New Roman"/>
                <w:color w:val="FF0000"/>
                <w:kern w:val="2"/>
                <w:sz w:val="24"/>
                <w:u w:val="single"/>
              </w:rPr>
              <w:t>（3）船舶污废水输送管道泄漏影响分析</w:t>
            </w:r>
          </w:p>
          <w:p>
            <w:pPr>
              <w:pStyle w:val="35"/>
              <w:widowControl/>
              <w:spacing w:line="360" w:lineRule="auto"/>
              <w:ind w:firstLine="480"/>
              <w:rPr>
                <w:rFonts w:hint="default" w:ascii="Times New Roman" w:hAnsi="Times New Roman" w:eastAsia="宋体" w:cs="Times New Roman"/>
                <w:color w:val="FF0000"/>
                <w:kern w:val="2"/>
                <w:sz w:val="24"/>
                <w:u w:val="single"/>
              </w:rPr>
            </w:pPr>
            <w:r>
              <w:rPr>
                <w:rFonts w:hint="default" w:ascii="Times New Roman" w:hAnsi="Times New Roman" w:eastAsia="宋体" w:cs="Times New Roman"/>
                <w:color w:val="FF0000"/>
                <w:kern w:val="2"/>
                <w:sz w:val="24"/>
                <w:u w:val="single"/>
              </w:rPr>
              <w:t>船舶污废水输送管道泄漏是指船舶生活污水和含油废水在收集、卸污过程中由于输送管道发生损坏导致在无处理措施情况下泄漏，直接进入水体中。船舶污废水输送管道泄漏与管道检修管理、操作人员技术熟练程度、港区机械设备先进和自动化水平等因素均有关，但目前尚无法估计此类事故发生的概率。</w:t>
            </w:r>
          </w:p>
          <w:p>
            <w:pPr>
              <w:pStyle w:val="35"/>
              <w:widowControl/>
              <w:spacing w:line="360" w:lineRule="auto"/>
              <w:ind w:firstLine="480"/>
              <w:rPr>
                <w:rFonts w:hint="default" w:ascii="Times New Roman" w:hAnsi="Times New Roman" w:eastAsia="宋体" w:cs="Times New Roman"/>
                <w:color w:val="FF0000"/>
                <w:kern w:val="2"/>
                <w:sz w:val="24"/>
                <w:u w:val="single"/>
              </w:rPr>
            </w:pPr>
            <w:r>
              <w:rPr>
                <w:rFonts w:hint="default" w:ascii="Times New Roman" w:hAnsi="Times New Roman" w:eastAsia="宋体" w:cs="Times New Roman"/>
                <w:color w:val="FF0000"/>
                <w:kern w:val="2"/>
                <w:sz w:val="24"/>
                <w:u w:val="single"/>
              </w:rPr>
              <w:t>船舶污废水泄漏排入</w:t>
            </w:r>
            <w:r>
              <w:rPr>
                <w:rFonts w:hint="default" w:ascii="Times New Roman" w:hAnsi="Times New Roman" w:eastAsia="宋体" w:cs="Times New Roman"/>
                <w:color w:val="FF0000"/>
                <w:kern w:val="2"/>
                <w:sz w:val="24"/>
                <w:u w:val="single"/>
                <w:lang w:val="en-US" w:eastAsia="zh-CN"/>
              </w:rPr>
              <w:t>收集范围内自然水域</w:t>
            </w:r>
            <w:r>
              <w:rPr>
                <w:rFonts w:hint="default" w:ascii="Times New Roman" w:hAnsi="Times New Roman" w:eastAsia="宋体" w:cs="Times New Roman"/>
                <w:color w:val="FF0000"/>
                <w:kern w:val="2"/>
                <w:sz w:val="24"/>
                <w:u w:val="single"/>
              </w:rPr>
              <w:t>中，会导致水中氮、磷的含量增加，使藻类等水生植物生长过多，对水生生态环境造成不利影响</w:t>
            </w:r>
            <w:r>
              <w:rPr>
                <w:rFonts w:hint="default" w:ascii="Times New Roman" w:hAnsi="Times New Roman" w:eastAsia="宋体" w:cs="Times New Roman"/>
                <w:color w:val="FF0000"/>
                <w:kern w:val="2"/>
                <w:sz w:val="24"/>
                <w:u w:val="single"/>
                <w:lang w:eastAsia="zh-CN"/>
              </w:rPr>
              <w:t>，</w:t>
            </w:r>
            <w:r>
              <w:rPr>
                <w:rFonts w:hint="default" w:ascii="Times New Roman" w:hAnsi="Times New Roman" w:eastAsia="宋体" w:cs="Times New Roman"/>
                <w:color w:val="FF0000"/>
                <w:kern w:val="2"/>
                <w:sz w:val="24"/>
                <w:u w:val="single"/>
              </w:rPr>
              <w:t>因此作业区要做好相关管理工作，及时检修管道、转运机械以及配套设备等，防止该类事故造成对水环境的影响。</w:t>
            </w:r>
          </w:p>
          <w:p>
            <w:pPr>
              <w:spacing w:line="360" w:lineRule="auto"/>
              <w:rPr>
                <w:rFonts w:hint="default" w:ascii="Times New Roman" w:hAnsi="Times New Roman" w:eastAsia="宋体" w:cs="Times New Roman"/>
                <w:b/>
                <w:color w:val="FF0000"/>
                <w:sz w:val="24"/>
                <w:u w:val="single"/>
              </w:rPr>
            </w:pPr>
            <w:r>
              <w:rPr>
                <w:rFonts w:hint="default" w:ascii="Times New Roman" w:hAnsi="Times New Roman" w:eastAsia="宋体" w:cs="Times New Roman"/>
                <w:b/>
                <w:color w:val="FF0000"/>
                <w:sz w:val="24"/>
                <w:u w:val="single"/>
              </w:rPr>
              <w:t>五、风险防范措施</w:t>
            </w:r>
          </w:p>
          <w:p>
            <w:pPr>
              <w:pStyle w:val="14"/>
              <w:spacing w:before="0" w:beforeAutospacing="0" w:after="0" w:afterAutospacing="0" w:line="360" w:lineRule="auto"/>
              <w:ind w:firstLine="480" w:firstLineChars="200"/>
              <w:jc w:val="both"/>
              <w:rPr>
                <w:rFonts w:hint="default" w:ascii="Times New Roman" w:hAnsi="Times New Roman" w:eastAsia="宋体" w:cs="Times New Roman"/>
                <w:color w:val="FF0000"/>
                <w:kern w:val="2"/>
                <w:u w:val="single"/>
              </w:rPr>
            </w:pPr>
            <w:r>
              <w:rPr>
                <w:rFonts w:hint="default" w:ascii="Times New Roman" w:hAnsi="Times New Roman" w:eastAsia="宋体" w:cs="Times New Roman"/>
                <w:color w:val="FF0000"/>
                <w:kern w:val="2"/>
                <w:u w:val="single"/>
              </w:rPr>
              <w:t>（1）溢油事故风险防范措施</w:t>
            </w:r>
          </w:p>
          <w:p>
            <w:pPr>
              <w:pStyle w:val="14"/>
              <w:spacing w:before="0" w:beforeAutospacing="0" w:after="0" w:afterAutospacing="0" w:line="360" w:lineRule="auto"/>
              <w:ind w:firstLine="480" w:firstLineChars="200"/>
              <w:jc w:val="both"/>
              <w:rPr>
                <w:rFonts w:hint="default" w:ascii="Times New Roman" w:hAnsi="Times New Roman" w:eastAsia="宋体" w:cs="Times New Roman"/>
                <w:color w:val="FF0000"/>
                <w:kern w:val="2"/>
                <w:u w:val="single"/>
              </w:rPr>
            </w:pPr>
            <w:r>
              <w:rPr>
                <w:rFonts w:hint="default" w:ascii="Times New Roman" w:hAnsi="Times New Roman" w:eastAsia="宋体" w:cs="Times New Roman"/>
                <w:color w:val="FF0000"/>
                <w:kern w:val="2"/>
                <w:u w:val="single"/>
              </w:rPr>
              <w:t>①制定严格的作业制度和操作规程，杜绝事故发生；</w:t>
            </w:r>
          </w:p>
          <w:p>
            <w:pPr>
              <w:pStyle w:val="14"/>
              <w:spacing w:before="0" w:beforeAutospacing="0" w:after="0" w:afterAutospacing="0" w:line="360" w:lineRule="auto"/>
              <w:ind w:firstLine="480" w:firstLineChars="200"/>
              <w:jc w:val="both"/>
              <w:rPr>
                <w:rFonts w:hint="default" w:ascii="Times New Roman" w:hAnsi="Times New Roman" w:eastAsia="宋体" w:cs="Times New Roman"/>
                <w:color w:val="FF0000"/>
                <w:kern w:val="2"/>
                <w:u w:val="single"/>
              </w:rPr>
            </w:pPr>
            <w:r>
              <w:rPr>
                <w:rFonts w:hint="default" w:ascii="Times New Roman" w:hAnsi="Times New Roman" w:eastAsia="宋体" w:cs="Times New Roman"/>
                <w:color w:val="FF0000"/>
                <w:kern w:val="2"/>
                <w:u w:val="single"/>
              </w:rPr>
              <w:t>②合理安排船舶航行时间，提前采取避让措施。</w:t>
            </w:r>
          </w:p>
          <w:p>
            <w:pPr>
              <w:pStyle w:val="14"/>
              <w:spacing w:before="0" w:beforeAutospacing="0" w:after="0" w:afterAutospacing="0" w:line="360" w:lineRule="auto"/>
              <w:ind w:firstLine="480" w:firstLineChars="200"/>
              <w:jc w:val="both"/>
              <w:rPr>
                <w:rFonts w:hint="default" w:ascii="Times New Roman" w:hAnsi="Times New Roman" w:eastAsia="宋体" w:cs="Times New Roman"/>
                <w:color w:val="FF0000"/>
                <w:kern w:val="2"/>
                <w:u w:val="single"/>
              </w:rPr>
            </w:pPr>
            <w:r>
              <w:rPr>
                <w:rFonts w:hint="default" w:ascii="Times New Roman" w:hAnsi="Times New Roman" w:eastAsia="宋体" w:cs="Times New Roman"/>
                <w:color w:val="FF0000"/>
                <w:kern w:val="2"/>
                <w:u w:val="single"/>
              </w:rPr>
              <w:t>③收集船舶必须按照交通部信号管理规定显示信号</w:t>
            </w:r>
            <w:r>
              <w:rPr>
                <w:rFonts w:hint="default" w:ascii="Times New Roman" w:hAnsi="Times New Roman" w:eastAsia="宋体" w:cs="Times New Roman"/>
                <w:color w:val="FF0000"/>
                <w:kern w:val="2"/>
                <w:u w:val="single"/>
                <w:lang w:eastAsia="zh-CN"/>
              </w:rPr>
              <w:t>，</w:t>
            </w:r>
            <w:r>
              <w:rPr>
                <w:rFonts w:hint="default" w:ascii="Times New Roman" w:hAnsi="Times New Roman" w:eastAsia="宋体" w:cs="Times New Roman"/>
                <w:color w:val="FF0000"/>
                <w:kern w:val="2"/>
                <w:u w:val="single"/>
              </w:rPr>
              <w:t>建设单位应加强船舶的安全调度管理；</w:t>
            </w:r>
          </w:p>
          <w:p>
            <w:pPr>
              <w:pStyle w:val="14"/>
              <w:spacing w:before="0" w:beforeAutospacing="0" w:after="0" w:afterAutospacing="0" w:line="360" w:lineRule="auto"/>
              <w:ind w:left="479" w:leftChars="228"/>
              <w:jc w:val="both"/>
              <w:rPr>
                <w:rFonts w:hint="default" w:ascii="Times New Roman" w:hAnsi="Times New Roman" w:eastAsia="宋体" w:cs="Times New Roman"/>
                <w:color w:val="FF0000"/>
                <w:kern w:val="2"/>
                <w:u w:val="single"/>
                <w:lang w:eastAsia="zh-CN"/>
              </w:rPr>
            </w:pPr>
            <w:r>
              <w:rPr>
                <w:rFonts w:hint="default" w:ascii="Times New Roman" w:hAnsi="Times New Roman" w:eastAsia="宋体" w:cs="Times New Roman"/>
                <w:color w:val="FF0000"/>
                <w:kern w:val="2"/>
                <w:u w:val="single"/>
              </w:rPr>
              <w:t>④当发生应急事件时，应立即采取必要的措施，同时向有关单位报告</w:t>
            </w:r>
            <w:r>
              <w:rPr>
                <w:rFonts w:hint="default" w:ascii="Times New Roman" w:hAnsi="Times New Roman" w:eastAsia="宋体" w:cs="Times New Roman"/>
                <w:color w:val="FF0000"/>
                <w:kern w:val="2"/>
                <w:u w:val="single"/>
                <w:lang w:eastAsia="zh-CN"/>
              </w:rPr>
              <w:t>；</w:t>
            </w:r>
          </w:p>
          <w:p>
            <w:pPr>
              <w:pStyle w:val="14"/>
              <w:spacing w:before="0" w:beforeAutospacing="0" w:after="0" w:afterAutospacing="0" w:line="360" w:lineRule="auto"/>
              <w:ind w:left="479" w:leftChars="228"/>
              <w:jc w:val="both"/>
              <w:rPr>
                <w:rFonts w:hint="default" w:ascii="Times New Roman" w:hAnsi="Times New Roman" w:eastAsia="宋体" w:cs="Times New Roman"/>
                <w:color w:val="FF0000"/>
                <w:kern w:val="2"/>
                <w:u w:val="single"/>
              </w:rPr>
            </w:pPr>
            <w:r>
              <w:rPr>
                <w:rFonts w:hint="default" w:ascii="Times New Roman" w:hAnsi="Times New Roman" w:eastAsia="宋体" w:cs="Times New Roman"/>
                <w:color w:val="FF0000"/>
                <w:kern w:val="2"/>
                <w:u w:val="single"/>
              </w:rPr>
              <w:t>⑤通过中央控制室监视船舶进出港过程</w:t>
            </w:r>
            <w:r>
              <w:rPr>
                <w:rFonts w:hint="default" w:ascii="Times New Roman" w:hAnsi="Times New Roman" w:eastAsia="宋体" w:cs="Times New Roman"/>
                <w:color w:val="FF0000"/>
                <w:kern w:val="2"/>
                <w:u w:val="single"/>
                <w:lang w:eastAsia="zh-CN"/>
              </w:rPr>
              <w:t>，</w:t>
            </w:r>
            <w:r>
              <w:rPr>
                <w:rFonts w:hint="default" w:ascii="Times New Roman" w:hAnsi="Times New Roman" w:eastAsia="宋体" w:cs="Times New Roman"/>
                <w:color w:val="FF0000"/>
                <w:kern w:val="2"/>
                <w:u w:val="single"/>
              </w:rPr>
              <w:t>提早发现可能出现的事故隐患。⑥定期维护污水处理设施，避免造成事故性废水排放。</w:t>
            </w:r>
          </w:p>
          <w:p>
            <w:pPr>
              <w:pStyle w:val="14"/>
              <w:spacing w:before="0" w:beforeAutospacing="0" w:after="0" w:afterAutospacing="0" w:line="360" w:lineRule="auto"/>
              <w:ind w:firstLine="480" w:firstLineChars="200"/>
              <w:jc w:val="both"/>
              <w:rPr>
                <w:rFonts w:hint="default" w:ascii="Times New Roman" w:hAnsi="Times New Roman" w:eastAsia="宋体" w:cs="Times New Roman"/>
                <w:color w:val="FF0000"/>
                <w:kern w:val="2"/>
                <w:u w:val="single"/>
              </w:rPr>
            </w:pPr>
            <w:r>
              <w:rPr>
                <w:rFonts w:hint="default" w:ascii="Times New Roman" w:hAnsi="Times New Roman" w:eastAsia="宋体" w:cs="Times New Roman"/>
                <w:color w:val="FF0000"/>
                <w:kern w:val="2"/>
                <w:u w:val="single"/>
              </w:rPr>
              <w:t>⑦按照《港口码头溢油应急设备配备要求》</w:t>
            </w:r>
            <w:r>
              <w:rPr>
                <w:rFonts w:hint="eastAsia" w:ascii="Times New Roman" w:hAnsi="Times New Roman" w:cs="Times New Roman"/>
                <w:color w:val="FF0000"/>
                <w:kern w:val="2"/>
                <w:u w:val="single"/>
                <w:lang w:eastAsia="zh-CN"/>
              </w:rPr>
              <w:t>（</w:t>
            </w:r>
            <w:r>
              <w:rPr>
                <w:rFonts w:hint="default" w:ascii="Times New Roman" w:hAnsi="Times New Roman" w:eastAsia="宋体" w:cs="Times New Roman"/>
                <w:color w:val="FF0000"/>
                <w:kern w:val="2"/>
                <w:u w:val="single"/>
              </w:rPr>
              <w:t>JT/T451-2009）的要求配备应急设备，如下表所示。</w:t>
            </w:r>
          </w:p>
          <w:p>
            <w:pPr>
              <w:pStyle w:val="36"/>
              <w:spacing w:after="120" w:line="240" w:lineRule="auto"/>
              <w:ind w:firstLine="0"/>
              <w:jc w:val="center"/>
              <w:rPr>
                <w:rFonts w:hint="default" w:ascii="Times New Roman" w:hAnsi="Times New Roman" w:eastAsia="宋体" w:cs="Times New Roman"/>
                <w:color w:val="FF0000"/>
                <w:szCs w:val="21"/>
                <w:u w:val="single"/>
                <w:lang w:val="en-US" w:eastAsia="zh-CN"/>
              </w:rPr>
            </w:pPr>
            <w:r>
              <w:rPr>
                <w:rFonts w:hint="default" w:ascii="Times New Roman" w:hAnsi="Times New Roman" w:eastAsia="宋体" w:cs="Times New Roman"/>
                <w:b/>
                <w:bCs/>
                <w:color w:val="FF0000"/>
                <w:szCs w:val="21"/>
                <w:u w:val="single"/>
              </w:rPr>
              <w:t>表</w:t>
            </w:r>
            <w:r>
              <w:rPr>
                <w:rFonts w:hint="default" w:ascii="Times New Roman" w:hAnsi="Times New Roman" w:eastAsia="宋体" w:cs="Times New Roman"/>
                <w:b/>
                <w:bCs/>
                <w:color w:val="FF0000"/>
                <w:szCs w:val="21"/>
                <w:u w:val="single"/>
                <w:lang w:val="en-US" w:eastAsia="zh-CN"/>
              </w:rPr>
              <w:t>4-</w:t>
            </w:r>
            <w:r>
              <w:rPr>
                <w:rFonts w:hint="eastAsia" w:ascii="Times New Roman" w:hAnsi="Times New Roman" w:eastAsia="宋体" w:cs="Times New Roman"/>
                <w:b/>
                <w:bCs/>
                <w:color w:val="FF0000"/>
                <w:szCs w:val="21"/>
                <w:u w:val="single"/>
                <w:lang w:val="en-US" w:eastAsia="zh-CN"/>
              </w:rPr>
              <w:t>6</w:t>
            </w:r>
            <w:r>
              <w:rPr>
                <w:rFonts w:hint="default" w:ascii="Times New Roman" w:hAnsi="Times New Roman" w:eastAsia="宋体" w:cs="Times New Roman"/>
                <w:b/>
                <w:bCs/>
                <w:color w:val="FF0000"/>
                <w:szCs w:val="21"/>
                <w:u w:val="single"/>
                <w:lang w:val="en-US" w:eastAsia="zh-CN"/>
              </w:rPr>
              <w:t xml:space="preserve">  企业应急物资一览表</w:t>
            </w:r>
          </w:p>
          <w:tbl>
            <w:tblPr>
              <w:tblStyle w:val="1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 w:type="dxa"/>
                <w:bottom w:w="0" w:type="dxa"/>
                <w:right w:w="10" w:type="dxa"/>
              </w:tblCellMar>
            </w:tblPr>
            <w:tblGrid>
              <w:gridCol w:w="1864"/>
              <w:gridCol w:w="1317"/>
              <w:gridCol w:w="1696"/>
              <w:gridCol w:w="1443"/>
              <w:gridCol w:w="145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354" w:hRule="exact"/>
                <w:jc w:val="center"/>
              </w:trPr>
              <w:tc>
                <w:tcPr>
                  <w:tcW w:w="1864" w:type="dxa"/>
                  <w:tcBorders>
                    <w:tl2br w:val="nil"/>
                    <w:tr2bl w:val="nil"/>
                  </w:tcBorders>
                  <w:shd w:val="clear" w:color="auto" w:fill="FFFFFF"/>
                </w:tcPr>
                <w:p>
                  <w:pPr>
                    <w:pStyle w:val="39"/>
                    <w:ind w:firstLine="0" w:firstLineChars="0"/>
                    <w:jc w:val="center"/>
                    <w:rPr>
                      <w:rFonts w:hint="default" w:ascii="Times New Roman" w:hAnsi="Times New Roman" w:eastAsia="宋体" w:cs="Times New Roman"/>
                      <w:b/>
                      <w:bCs/>
                      <w:color w:val="FF0000"/>
                      <w:sz w:val="21"/>
                      <w:szCs w:val="21"/>
                      <w:u w:val="single"/>
                    </w:rPr>
                  </w:pPr>
                  <w:r>
                    <w:rPr>
                      <w:rFonts w:hint="default" w:ascii="Times New Roman" w:hAnsi="Times New Roman" w:eastAsia="宋体" w:cs="Times New Roman"/>
                      <w:b/>
                      <w:bCs/>
                      <w:color w:val="FF0000"/>
                      <w:sz w:val="21"/>
                      <w:szCs w:val="21"/>
                      <w:u w:val="single"/>
                    </w:rPr>
                    <w:t>设备名称</w:t>
                  </w:r>
                </w:p>
              </w:tc>
              <w:tc>
                <w:tcPr>
                  <w:tcW w:w="1317" w:type="dxa"/>
                  <w:tcBorders>
                    <w:tl2br w:val="nil"/>
                    <w:tr2bl w:val="nil"/>
                  </w:tcBorders>
                  <w:shd w:val="clear" w:color="auto" w:fill="FFFFFF"/>
                </w:tcPr>
                <w:p>
                  <w:pPr>
                    <w:pStyle w:val="39"/>
                    <w:ind w:firstLine="0" w:firstLineChars="0"/>
                    <w:jc w:val="center"/>
                    <w:rPr>
                      <w:rFonts w:hint="default" w:ascii="Times New Roman" w:hAnsi="Times New Roman" w:eastAsia="宋体" w:cs="Times New Roman"/>
                      <w:b/>
                      <w:bCs/>
                      <w:color w:val="FF0000"/>
                      <w:sz w:val="21"/>
                      <w:szCs w:val="21"/>
                      <w:u w:val="single"/>
                    </w:rPr>
                  </w:pPr>
                  <w:r>
                    <w:rPr>
                      <w:rFonts w:hint="default" w:ascii="Times New Roman" w:hAnsi="Times New Roman" w:eastAsia="宋体" w:cs="Times New Roman"/>
                      <w:b/>
                      <w:bCs/>
                      <w:color w:val="FF0000"/>
                      <w:sz w:val="21"/>
                      <w:szCs w:val="21"/>
                      <w:u w:val="single"/>
                    </w:rPr>
                    <w:t>设备规格</w:t>
                  </w:r>
                </w:p>
              </w:tc>
              <w:tc>
                <w:tcPr>
                  <w:tcW w:w="1696" w:type="dxa"/>
                  <w:tcBorders>
                    <w:tl2br w:val="nil"/>
                    <w:tr2bl w:val="nil"/>
                  </w:tcBorders>
                  <w:shd w:val="clear" w:color="auto" w:fill="FFFFFF"/>
                </w:tcPr>
                <w:p>
                  <w:pPr>
                    <w:pStyle w:val="39"/>
                    <w:ind w:firstLine="0" w:firstLineChars="0"/>
                    <w:jc w:val="center"/>
                    <w:rPr>
                      <w:rFonts w:hint="default" w:ascii="Times New Roman" w:hAnsi="Times New Roman" w:eastAsia="宋体" w:cs="Times New Roman"/>
                      <w:b/>
                      <w:bCs/>
                      <w:color w:val="FF0000"/>
                      <w:sz w:val="21"/>
                      <w:szCs w:val="21"/>
                      <w:u w:val="single"/>
                    </w:rPr>
                  </w:pPr>
                  <w:r>
                    <w:rPr>
                      <w:rFonts w:hint="default" w:ascii="Times New Roman" w:hAnsi="Times New Roman" w:eastAsia="宋体" w:cs="Times New Roman"/>
                      <w:b/>
                      <w:bCs/>
                      <w:color w:val="FF0000"/>
                      <w:sz w:val="21"/>
                      <w:szCs w:val="21"/>
                      <w:u w:val="single"/>
                    </w:rPr>
                    <w:t>单位</w:t>
                  </w:r>
                </w:p>
              </w:tc>
              <w:tc>
                <w:tcPr>
                  <w:tcW w:w="1443" w:type="dxa"/>
                  <w:tcBorders>
                    <w:tl2br w:val="nil"/>
                    <w:tr2bl w:val="nil"/>
                  </w:tcBorders>
                  <w:shd w:val="clear" w:color="auto" w:fill="FFFFFF"/>
                </w:tcPr>
                <w:p>
                  <w:pPr>
                    <w:pStyle w:val="39"/>
                    <w:ind w:firstLine="0" w:firstLineChars="0"/>
                    <w:jc w:val="center"/>
                    <w:rPr>
                      <w:rFonts w:hint="default" w:ascii="Times New Roman" w:hAnsi="Times New Roman" w:eastAsia="宋体" w:cs="Times New Roman"/>
                      <w:b/>
                      <w:bCs/>
                      <w:color w:val="FF0000"/>
                      <w:sz w:val="21"/>
                      <w:szCs w:val="21"/>
                      <w:u w:val="single"/>
                    </w:rPr>
                  </w:pPr>
                  <w:r>
                    <w:rPr>
                      <w:rFonts w:hint="default" w:ascii="Times New Roman" w:hAnsi="Times New Roman" w:eastAsia="宋体" w:cs="Times New Roman"/>
                      <w:b/>
                      <w:bCs/>
                      <w:color w:val="FF0000"/>
                      <w:sz w:val="21"/>
                      <w:szCs w:val="21"/>
                      <w:u w:val="single"/>
                    </w:rPr>
                    <w:t>设备数量</w:t>
                  </w:r>
                </w:p>
              </w:tc>
              <w:tc>
                <w:tcPr>
                  <w:tcW w:w="1457" w:type="dxa"/>
                  <w:tcBorders>
                    <w:tl2br w:val="nil"/>
                    <w:tr2bl w:val="nil"/>
                  </w:tcBorders>
                  <w:shd w:val="clear" w:color="auto" w:fill="FFFFFF"/>
                </w:tcPr>
                <w:p>
                  <w:pPr>
                    <w:pStyle w:val="39"/>
                    <w:ind w:firstLine="0" w:firstLineChars="0"/>
                    <w:jc w:val="center"/>
                    <w:rPr>
                      <w:rFonts w:hint="default" w:ascii="Times New Roman" w:hAnsi="Times New Roman" w:eastAsia="宋体" w:cs="Times New Roman"/>
                      <w:b/>
                      <w:bCs/>
                      <w:color w:val="FF0000"/>
                      <w:sz w:val="21"/>
                      <w:szCs w:val="21"/>
                      <w:u w:val="single"/>
                    </w:rPr>
                  </w:pPr>
                  <w:r>
                    <w:rPr>
                      <w:rFonts w:hint="default" w:ascii="Times New Roman" w:hAnsi="Times New Roman" w:eastAsia="宋体" w:cs="Times New Roman"/>
                      <w:b/>
                      <w:bCs/>
                      <w:color w:val="FF0000"/>
                      <w:sz w:val="21"/>
                      <w:szCs w:val="21"/>
                      <w:u w:val="single"/>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340" w:hRule="exact"/>
                <w:jc w:val="center"/>
              </w:trPr>
              <w:tc>
                <w:tcPr>
                  <w:tcW w:w="1864" w:type="dxa"/>
                  <w:tcBorders>
                    <w:tl2br w:val="nil"/>
                    <w:tr2bl w:val="nil"/>
                  </w:tcBorders>
                  <w:shd w:val="clear" w:color="auto" w:fill="FFFFFF"/>
                  <w:vAlign w:val="center"/>
                </w:tcPr>
                <w:p>
                  <w:pPr>
                    <w:autoSpaceDN w:val="0"/>
                    <w:jc w:val="center"/>
                    <w:textAlignment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rPr>
                    <w:t>围油栏</w:t>
                  </w:r>
                </w:p>
              </w:tc>
              <w:tc>
                <w:tcPr>
                  <w:tcW w:w="1317" w:type="dxa"/>
                  <w:tcBorders>
                    <w:tl2br w:val="nil"/>
                    <w:tr2bl w:val="nil"/>
                  </w:tcBorders>
                  <w:shd w:val="clear" w:color="auto" w:fill="FFFFFF"/>
                  <w:vAlign w:val="center"/>
                </w:tcPr>
                <w:p>
                  <w:pPr>
                    <w:autoSpaceDN w:val="0"/>
                    <w:jc w:val="center"/>
                    <w:textAlignment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rPr>
                    <w:t>PVC浮子式</w:t>
                  </w:r>
                </w:p>
              </w:tc>
              <w:tc>
                <w:tcPr>
                  <w:tcW w:w="1696" w:type="dxa"/>
                  <w:tcBorders>
                    <w:tl2br w:val="nil"/>
                    <w:tr2bl w:val="nil"/>
                  </w:tcBorders>
                  <w:shd w:val="clear" w:color="auto" w:fill="FFFFFF"/>
                  <w:vAlign w:val="center"/>
                </w:tcPr>
                <w:p>
                  <w:pPr>
                    <w:autoSpaceDN w:val="0"/>
                    <w:jc w:val="center"/>
                    <w:textAlignment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rPr>
                    <w:t>m</w:t>
                  </w:r>
                </w:p>
              </w:tc>
              <w:tc>
                <w:tcPr>
                  <w:tcW w:w="1443" w:type="dxa"/>
                  <w:tcBorders>
                    <w:tl2br w:val="nil"/>
                    <w:tr2bl w:val="nil"/>
                  </w:tcBorders>
                  <w:shd w:val="clear" w:color="auto" w:fill="FFFFFF"/>
                </w:tcPr>
                <w:p>
                  <w:pPr>
                    <w:pStyle w:val="39"/>
                    <w:ind w:firstLine="0" w:firstLineChars="0"/>
                    <w:jc w:val="center"/>
                    <w:rPr>
                      <w:rFonts w:hint="default" w:ascii="Times New Roman" w:hAnsi="Times New Roman" w:eastAsia="宋体" w:cs="Times New Roman"/>
                      <w:color w:val="FF0000"/>
                      <w:sz w:val="21"/>
                      <w:szCs w:val="21"/>
                      <w:u w:val="single"/>
                    </w:rPr>
                  </w:pPr>
                  <w:r>
                    <w:rPr>
                      <w:rFonts w:hint="default" w:ascii="Times New Roman" w:hAnsi="Times New Roman" w:eastAsia="宋体" w:cs="Times New Roman"/>
                      <w:color w:val="FF0000"/>
                      <w:sz w:val="21"/>
                      <w:szCs w:val="21"/>
                      <w:u w:val="single"/>
                    </w:rPr>
                    <w:t>800</w:t>
                  </w:r>
                </w:p>
              </w:tc>
              <w:tc>
                <w:tcPr>
                  <w:tcW w:w="1457" w:type="dxa"/>
                  <w:tcBorders>
                    <w:tl2br w:val="nil"/>
                    <w:tr2bl w:val="nil"/>
                  </w:tcBorders>
                  <w:shd w:val="clear" w:color="auto" w:fill="FFFFFF"/>
                </w:tcPr>
                <w:p>
                  <w:pPr>
                    <w:pStyle w:val="39"/>
                    <w:ind w:firstLine="420"/>
                    <w:jc w:val="center"/>
                    <w:rPr>
                      <w:rFonts w:hint="default" w:ascii="Times New Roman" w:hAnsi="Times New Roman" w:eastAsia="宋体" w:cs="Times New Roman"/>
                      <w:color w:val="FF0000"/>
                      <w:sz w:val="21"/>
                      <w:szCs w:val="21"/>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354" w:hRule="exact"/>
                <w:jc w:val="center"/>
              </w:trPr>
              <w:tc>
                <w:tcPr>
                  <w:tcW w:w="1864" w:type="dxa"/>
                  <w:tcBorders>
                    <w:tl2br w:val="nil"/>
                    <w:tr2bl w:val="nil"/>
                  </w:tcBorders>
                  <w:shd w:val="clear" w:color="auto" w:fill="FFFFFF"/>
                  <w:vAlign w:val="center"/>
                </w:tcPr>
                <w:p>
                  <w:pPr>
                    <w:autoSpaceDN w:val="0"/>
                    <w:jc w:val="center"/>
                    <w:textAlignment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rPr>
                    <w:t>吸油棉</w:t>
                  </w:r>
                </w:p>
              </w:tc>
              <w:tc>
                <w:tcPr>
                  <w:tcW w:w="1317" w:type="dxa"/>
                  <w:tcBorders>
                    <w:tl2br w:val="nil"/>
                    <w:tr2bl w:val="nil"/>
                  </w:tcBorders>
                  <w:shd w:val="clear" w:color="auto" w:fill="FFFFFF"/>
                  <w:vAlign w:val="center"/>
                </w:tcPr>
                <w:p>
                  <w:pPr>
                    <w:autoSpaceDN w:val="0"/>
                    <w:jc w:val="center"/>
                    <w:textAlignment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rPr>
                    <w:t>/</w:t>
                  </w:r>
                </w:p>
              </w:tc>
              <w:tc>
                <w:tcPr>
                  <w:tcW w:w="1696" w:type="dxa"/>
                  <w:tcBorders>
                    <w:tl2br w:val="nil"/>
                    <w:tr2bl w:val="nil"/>
                  </w:tcBorders>
                  <w:shd w:val="clear" w:color="auto" w:fill="FFFFFF"/>
                  <w:vAlign w:val="center"/>
                </w:tcPr>
                <w:p>
                  <w:pPr>
                    <w:autoSpaceDN w:val="0"/>
                    <w:jc w:val="center"/>
                    <w:textAlignment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rPr>
                    <w:t>m</w:t>
                  </w:r>
                </w:p>
              </w:tc>
              <w:tc>
                <w:tcPr>
                  <w:tcW w:w="1443" w:type="dxa"/>
                  <w:tcBorders>
                    <w:tl2br w:val="nil"/>
                    <w:tr2bl w:val="nil"/>
                  </w:tcBorders>
                  <w:shd w:val="clear" w:color="auto" w:fill="FFFFFF"/>
                </w:tcPr>
                <w:p>
                  <w:pPr>
                    <w:pStyle w:val="39"/>
                    <w:ind w:firstLine="0" w:firstLineChars="0"/>
                    <w:jc w:val="center"/>
                    <w:rPr>
                      <w:rFonts w:hint="default" w:ascii="Times New Roman" w:hAnsi="Times New Roman" w:eastAsia="宋体" w:cs="Times New Roman"/>
                      <w:color w:val="FF0000"/>
                      <w:sz w:val="21"/>
                      <w:szCs w:val="21"/>
                      <w:u w:val="single"/>
                    </w:rPr>
                  </w:pPr>
                  <w:r>
                    <w:rPr>
                      <w:rFonts w:hint="default" w:ascii="Times New Roman" w:hAnsi="Times New Roman" w:eastAsia="宋体" w:cs="Times New Roman"/>
                      <w:color w:val="FF0000"/>
                      <w:sz w:val="21"/>
                      <w:szCs w:val="21"/>
                      <w:u w:val="single"/>
                    </w:rPr>
                    <w:t>500</w:t>
                  </w:r>
                </w:p>
              </w:tc>
              <w:tc>
                <w:tcPr>
                  <w:tcW w:w="1457" w:type="dxa"/>
                  <w:tcBorders>
                    <w:tl2br w:val="nil"/>
                    <w:tr2bl w:val="nil"/>
                  </w:tcBorders>
                  <w:shd w:val="clear" w:color="auto" w:fill="FFFFFF"/>
                </w:tcPr>
                <w:p>
                  <w:pPr>
                    <w:pStyle w:val="39"/>
                    <w:ind w:firstLine="420"/>
                    <w:jc w:val="center"/>
                    <w:rPr>
                      <w:rFonts w:hint="default" w:ascii="Times New Roman" w:hAnsi="Times New Roman" w:eastAsia="宋体" w:cs="Times New Roman"/>
                      <w:color w:val="FF0000"/>
                      <w:sz w:val="21"/>
                      <w:szCs w:val="21"/>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354" w:hRule="exact"/>
                <w:jc w:val="center"/>
              </w:trPr>
              <w:tc>
                <w:tcPr>
                  <w:tcW w:w="1864" w:type="dxa"/>
                  <w:tcBorders>
                    <w:tl2br w:val="nil"/>
                    <w:tr2bl w:val="nil"/>
                  </w:tcBorders>
                  <w:shd w:val="clear" w:color="auto" w:fill="FFFFFF"/>
                  <w:vAlign w:val="center"/>
                </w:tcPr>
                <w:p>
                  <w:pPr>
                    <w:autoSpaceDN w:val="0"/>
                    <w:jc w:val="center"/>
                    <w:textAlignment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rPr>
                    <w:t>吸油索</w:t>
                  </w:r>
                </w:p>
              </w:tc>
              <w:tc>
                <w:tcPr>
                  <w:tcW w:w="1317" w:type="dxa"/>
                  <w:tcBorders>
                    <w:tl2br w:val="nil"/>
                    <w:tr2bl w:val="nil"/>
                  </w:tcBorders>
                  <w:shd w:val="clear" w:color="auto" w:fill="FFFFFF"/>
                  <w:vAlign w:val="center"/>
                </w:tcPr>
                <w:p>
                  <w:pPr>
                    <w:autoSpaceDN w:val="0"/>
                    <w:jc w:val="center"/>
                    <w:textAlignment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rPr>
                    <w:t>/</w:t>
                  </w:r>
                </w:p>
              </w:tc>
              <w:tc>
                <w:tcPr>
                  <w:tcW w:w="1696" w:type="dxa"/>
                  <w:tcBorders>
                    <w:tl2br w:val="nil"/>
                    <w:tr2bl w:val="nil"/>
                  </w:tcBorders>
                  <w:shd w:val="clear" w:color="auto" w:fill="FFFFFF"/>
                  <w:vAlign w:val="center"/>
                </w:tcPr>
                <w:p>
                  <w:pPr>
                    <w:autoSpaceDN w:val="0"/>
                    <w:jc w:val="center"/>
                    <w:textAlignment w:val="center"/>
                    <w:rPr>
                      <w:rFonts w:hint="default" w:ascii="Times New Roman" w:hAnsi="Times New Roman" w:eastAsia="宋体" w:cs="Times New Roman"/>
                      <w:color w:val="FF0000"/>
                      <w:szCs w:val="21"/>
                      <w:u w:val="single"/>
                    </w:rPr>
                  </w:pPr>
                  <w:r>
                    <w:rPr>
                      <w:rFonts w:hint="default" w:ascii="Times New Roman" w:hAnsi="Times New Roman" w:eastAsia="宋体" w:cs="Times New Roman"/>
                      <w:color w:val="FF0000"/>
                      <w:szCs w:val="21"/>
                      <w:u w:val="single"/>
                    </w:rPr>
                    <w:t>m</w:t>
                  </w:r>
                </w:p>
              </w:tc>
              <w:tc>
                <w:tcPr>
                  <w:tcW w:w="1443" w:type="dxa"/>
                  <w:tcBorders>
                    <w:tl2br w:val="nil"/>
                    <w:tr2bl w:val="nil"/>
                  </w:tcBorders>
                  <w:shd w:val="clear" w:color="auto" w:fill="FFFFFF"/>
                </w:tcPr>
                <w:p>
                  <w:pPr>
                    <w:pStyle w:val="39"/>
                    <w:ind w:firstLine="0" w:firstLineChars="0"/>
                    <w:jc w:val="center"/>
                    <w:rPr>
                      <w:rFonts w:hint="default" w:ascii="Times New Roman" w:hAnsi="Times New Roman" w:eastAsia="宋体" w:cs="Times New Roman"/>
                      <w:color w:val="FF0000"/>
                      <w:sz w:val="21"/>
                      <w:szCs w:val="21"/>
                      <w:u w:val="single"/>
                    </w:rPr>
                  </w:pPr>
                  <w:r>
                    <w:rPr>
                      <w:rFonts w:hint="default" w:ascii="Times New Roman" w:hAnsi="Times New Roman" w:eastAsia="宋体" w:cs="Times New Roman"/>
                      <w:color w:val="FF0000"/>
                      <w:sz w:val="21"/>
                      <w:szCs w:val="21"/>
                      <w:u w:val="single"/>
                    </w:rPr>
                    <w:t>300</w:t>
                  </w:r>
                </w:p>
              </w:tc>
              <w:tc>
                <w:tcPr>
                  <w:tcW w:w="1457" w:type="dxa"/>
                  <w:tcBorders>
                    <w:tl2br w:val="nil"/>
                    <w:tr2bl w:val="nil"/>
                  </w:tcBorders>
                  <w:shd w:val="clear" w:color="auto" w:fill="FFFFFF"/>
                </w:tcPr>
                <w:p>
                  <w:pPr>
                    <w:pStyle w:val="39"/>
                    <w:ind w:firstLine="420"/>
                    <w:jc w:val="center"/>
                    <w:rPr>
                      <w:rFonts w:hint="default" w:ascii="Times New Roman" w:hAnsi="Times New Roman" w:eastAsia="宋体" w:cs="Times New Roman"/>
                      <w:color w:val="FF0000"/>
                      <w:sz w:val="21"/>
                      <w:szCs w:val="21"/>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363" w:hRule="exact"/>
                <w:jc w:val="center"/>
              </w:trPr>
              <w:tc>
                <w:tcPr>
                  <w:tcW w:w="1864" w:type="dxa"/>
                  <w:tcBorders>
                    <w:tl2br w:val="nil"/>
                    <w:tr2bl w:val="nil"/>
                  </w:tcBorders>
                  <w:shd w:val="clear" w:color="auto" w:fill="FFFFFF"/>
                </w:tcPr>
                <w:p>
                  <w:pPr>
                    <w:pStyle w:val="39"/>
                    <w:ind w:firstLine="0" w:firstLineChars="0"/>
                    <w:jc w:val="center"/>
                    <w:rPr>
                      <w:rFonts w:hint="default" w:ascii="Times New Roman" w:hAnsi="Times New Roman" w:eastAsia="宋体" w:cs="Times New Roman"/>
                      <w:color w:val="FF0000"/>
                      <w:sz w:val="21"/>
                      <w:szCs w:val="21"/>
                      <w:u w:val="single"/>
                    </w:rPr>
                  </w:pPr>
                  <w:r>
                    <w:rPr>
                      <w:rFonts w:hint="default" w:ascii="Times New Roman" w:hAnsi="Times New Roman" w:eastAsia="宋体" w:cs="Times New Roman"/>
                      <w:color w:val="FF0000"/>
                      <w:sz w:val="21"/>
                      <w:szCs w:val="21"/>
                      <w:u w:val="single"/>
                    </w:rPr>
                    <w:t>通讯设备等</w:t>
                  </w:r>
                </w:p>
              </w:tc>
              <w:tc>
                <w:tcPr>
                  <w:tcW w:w="1317" w:type="dxa"/>
                  <w:tcBorders>
                    <w:tl2br w:val="nil"/>
                    <w:tr2bl w:val="nil"/>
                  </w:tcBorders>
                  <w:shd w:val="clear" w:color="auto" w:fill="FFFFFF"/>
                </w:tcPr>
                <w:p>
                  <w:pPr>
                    <w:pStyle w:val="39"/>
                    <w:ind w:firstLine="0" w:firstLineChars="0"/>
                    <w:jc w:val="center"/>
                    <w:rPr>
                      <w:rFonts w:hint="default" w:ascii="Times New Roman" w:hAnsi="Times New Roman" w:eastAsia="宋体" w:cs="Times New Roman"/>
                      <w:color w:val="FF0000"/>
                      <w:sz w:val="21"/>
                      <w:szCs w:val="21"/>
                      <w:u w:val="single"/>
                    </w:rPr>
                  </w:pPr>
                  <w:r>
                    <w:rPr>
                      <w:rFonts w:hint="default" w:ascii="Times New Roman" w:hAnsi="Times New Roman" w:eastAsia="宋体" w:cs="Times New Roman"/>
                      <w:color w:val="FF0000"/>
                      <w:sz w:val="21"/>
                      <w:szCs w:val="21"/>
                      <w:u w:val="single"/>
                    </w:rPr>
                    <w:t>/</w:t>
                  </w:r>
                </w:p>
              </w:tc>
              <w:tc>
                <w:tcPr>
                  <w:tcW w:w="1696" w:type="dxa"/>
                  <w:tcBorders>
                    <w:tl2br w:val="nil"/>
                    <w:tr2bl w:val="nil"/>
                  </w:tcBorders>
                  <w:shd w:val="clear" w:color="auto" w:fill="FFFFFF"/>
                </w:tcPr>
                <w:p>
                  <w:pPr>
                    <w:pStyle w:val="39"/>
                    <w:ind w:firstLine="0" w:firstLineChars="0"/>
                    <w:jc w:val="center"/>
                    <w:rPr>
                      <w:rFonts w:hint="default" w:ascii="Times New Roman" w:hAnsi="Times New Roman" w:eastAsia="宋体" w:cs="Times New Roman"/>
                      <w:color w:val="FF0000"/>
                      <w:sz w:val="21"/>
                      <w:szCs w:val="21"/>
                      <w:u w:val="single"/>
                    </w:rPr>
                  </w:pPr>
                  <w:r>
                    <w:rPr>
                      <w:rFonts w:hint="default" w:ascii="Times New Roman" w:hAnsi="Times New Roman" w:eastAsia="宋体" w:cs="Times New Roman"/>
                      <w:color w:val="FF0000"/>
                      <w:sz w:val="21"/>
                      <w:szCs w:val="21"/>
                      <w:u w:val="single"/>
                    </w:rPr>
                    <w:t>套</w:t>
                  </w:r>
                </w:p>
              </w:tc>
              <w:tc>
                <w:tcPr>
                  <w:tcW w:w="1443" w:type="dxa"/>
                  <w:tcBorders>
                    <w:tl2br w:val="nil"/>
                    <w:tr2bl w:val="nil"/>
                  </w:tcBorders>
                  <w:shd w:val="clear" w:color="auto" w:fill="FFFFFF"/>
                </w:tcPr>
                <w:p>
                  <w:pPr>
                    <w:pStyle w:val="39"/>
                    <w:ind w:firstLine="0" w:firstLineChars="0"/>
                    <w:jc w:val="center"/>
                    <w:rPr>
                      <w:rFonts w:hint="default" w:ascii="Times New Roman" w:hAnsi="Times New Roman" w:eastAsia="宋体" w:cs="Times New Roman"/>
                      <w:color w:val="FF0000"/>
                      <w:sz w:val="21"/>
                      <w:szCs w:val="21"/>
                      <w:u w:val="single"/>
                    </w:rPr>
                  </w:pPr>
                  <w:r>
                    <w:rPr>
                      <w:rFonts w:hint="default" w:ascii="Times New Roman" w:hAnsi="Times New Roman" w:eastAsia="宋体" w:cs="Times New Roman"/>
                      <w:color w:val="FF0000"/>
                      <w:sz w:val="21"/>
                      <w:szCs w:val="21"/>
                      <w:u w:val="single"/>
                    </w:rPr>
                    <w:t>1</w:t>
                  </w:r>
                </w:p>
              </w:tc>
              <w:tc>
                <w:tcPr>
                  <w:tcW w:w="1457" w:type="dxa"/>
                  <w:tcBorders>
                    <w:tl2br w:val="nil"/>
                    <w:tr2bl w:val="nil"/>
                  </w:tcBorders>
                  <w:shd w:val="clear" w:color="auto" w:fill="FFFFFF"/>
                </w:tcPr>
                <w:p>
                  <w:pPr>
                    <w:pStyle w:val="39"/>
                    <w:ind w:firstLine="420"/>
                    <w:jc w:val="center"/>
                    <w:rPr>
                      <w:rFonts w:hint="default" w:ascii="Times New Roman" w:hAnsi="Times New Roman" w:eastAsia="宋体" w:cs="Times New Roman"/>
                      <w:color w:val="FF0000"/>
                      <w:sz w:val="21"/>
                      <w:szCs w:val="21"/>
                      <w:u w:val="single"/>
                    </w:rPr>
                  </w:pPr>
                </w:p>
              </w:tc>
            </w:tr>
          </w:tbl>
          <w:p>
            <w:pPr>
              <w:pStyle w:val="36"/>
              <w:spacing w:line="360" w:lineRule="auto"/>
              <w:ind w:firstLine="460"/>
              <w:rPr>
                <w:rFonts w:hint="default" w:ascii="Times New Roman" w:hAnsi="Times New Roman" w:eastAsia="宋体" w:cs="Times New Roman"/>
                <w:color w:val="FF0000"/>
                <w:sz w:val="24"/>
                <w:szCs w:val="24"/>
                <w:u w:val="single"/>
              </w:rPr>
            </w:pPr>
            <w:r>
              <w:rPr>
                <w:rFonts w:hint="default" w:ascii="Times New Roman" w:hAnsi="Times New Roman" w:eastAsia="宋体" w:cs="Times New Roman"/>
                <w:color w:val="FF0000"/>
                <w:sz w:val="24"/>
                <w:szCs w:val="24"/>
                <w:u w:val="single"/>
              </w:rPr>
              <w:t>项目在发生溢油事故时，应及时通知下游企事业单位做好停止取水的应急准备</w:t>
            </w:r>
            <w:r>
              <w:rPr>
                <w:rFonts w:hint="default" w:ascii="Times New Roman" w:hAnsi="Times New Roman" w:eastAsia="宋体" w:cs="Times New Roman"/>
                <w:color w:val="FF0000"/>
                <w:sz w:val="24"/>
                <w:szCs w:val="24"/>
                <w:u w:val="single"/>
                <w:lang w:eastAsia="zh-CN"/>
              </w:rPr>
              <w:t>，</w:t>
            </w:r>
            <w:r>
              <w:rPr>
                <w:rFonts w:hint="default" w:ascii="Times New Roman" w:hAnsi="Times New Roman" w:eastAsia="宋体" w:cs="Times New Roman"/>
                <w:color w:val="FF0000"/>
                <w:sz w:val="24"/>
                <w:szCs w:val="24"/>
                <w:u w:val="single"/>
              </w:rPr>
              <w:t>并在溢油点下游设置应急监测断面。此外，及时在事故发生点周围布设围栏</w:t>
            </w:r>
            <w:r>
              <w:rPr>
                <w:rFonts w:hint="default" w:ascii="Times New Roman" w:hAnsi="Times New Roman" w:eastAsia="宋体" w:cs="Times New Roman"/>
                <w:color w:val="FF0000"/>
                <w:sz w:val="24"/>
                <w:szCs w:val="24"/>
                <w:u w:val="single"/>
                <w:lang w:eastAsia="zh-CN"/>
              </w:rPr>
              <w:t>，</w:t>
            </w:r>
            <w:r>
              <w:rPr>
                <w:rFonts w:hint="default" w:ascii="Times New Roman" w:hAnsi="Times New Roman" w:eastAsia="宋体" w:cs="Times New Roman"/>
                <w:color w:val="FF0000"/>
                <w:sz w:val="24"/>
                <w:szCs w:val="24"/>
                <w:u w:val="single"/>
              </w:rPr>
              <w:t xml:space="preserve"> 围栏布置的范围可根据扩展范围确定</w:t>
            </w:r>
            <w:r>
              <w:rPr>
                <w:rFonts w:hint="default" w:ascii="Times New Roman" w:hAnsi="Times New Roman" w:eastAsia="宋体" w:cs="Times New Roman"/>
                <w:color w:val="FF0000"/>
                <w:sz w:val="24"/>
                <w:szCs w:val="24"/>
                <w:u w:val="single"/>
                <w:lang w:eastAsia="zh-CN"/>
              </w:rPr>
              <w:t>，</w:t>
            </w:r>
            <w:r>
              <w:rPr>
                <w:rFonts w:hint="default" w:ascii="Times New Roman" w:hAnsi="Times New Roman" w:eastAsia="宋体" w:cs="Times New Roman"/>
                <w:color w:val="FF0000"/>
                <w:sz w:val="24"/>
                <w:szCs w:val="24"/>
                <w:u w:val="single"/>
              </w:rPr>
              <w:t>将溢油事故污染控制在围栏包围的水域范围内。同时启动应急预案，釆用收油机进行溢油回收，消除水面残液，可最大限度地控制油膜向下游漂移，最大程度减少溢油对下游的影响，在溢油后及时喷洒 溢油分散剂，消除对水面的石油类污染。</w:t>
            </w:r>
          </w:p>
          <w:p>
            <w:pPr>
              <w:bidi w:val="0"/>
              <w:spacing w:line="360" w:lineRule="auto"/>
              <w:ind w:firstLine="480" w:firstLineChars="200"/>
              <w:rPr>
                <w:rFonts w:hint="eastAsia" w:cs="Times New Roman"/>
                <w:color w:val="FF0000"/>
                <w:sz w:val="24"/>
                <w:szCs w:val="24"/>
                <w:u w:val="single"/>
                <w:lang w:val="en-US" w:eastAsia="zh-CN"/>
              </w:rPr>
            </w:pPr>
            <w:r>
              <w:rPr>
                <w:rFonts w:hint="eastAsia" w:cs="Times New Roman"/>
                <w:color w:val="FF0000"/>
                <w:sz w:val="24"/>
                <w:szCs w:val="24"/>
                <w:u w:val="single"/>
                <w:lang w:val="en-US" w:eastAsia="zh-CN"/>
              </w:rPr>
              <w:t>若在作业码头发生溢油事故溢油，作业码头应急指挥部接到溢油报告后迅速收集相关信息。根据收集到的信息确定应急反应等级。</w:t>
            </w:r>
          </w:p>
          <w:p>
            <w:pPr>
              <w:bidi w:val="0"/>
              <w:spacing w:line="360" w:lineRule="auto"/>
              <w:ind w:firstLine="480" w:firstLineChars="200"/>
              <w:rPr>
                <w:rFonts w:hint="eastAsia" w:cs="Times New Roman"/>
                <w:color w:val="FF0000"/>
                <w:sz w:val="24"/>
                <w:szCs w:val="24"/>
                <w:u w:val="single"/>
                <w:lang w:val="en-US" w:eastAsia="zh-CN"/>
              </w:rPr>
            </w:pPr>
            <w:r>
              <w:rPr>
                <w:rFonts w:hint="eastAsia" w:cs="Times New Roman"/>
                <w:color w:val="FF0000"/>
                <w:sz w:val="24"/>
                <w:szCs w:val="24"/>
                <w:u w:val="single"/>
                <w:lang w:val="en-US" w:eastAsia="zh-CN"/>
              </w:rPr>
              <w:t>根据溢油源的类型、规模、溢出地点、溢出油的种类、溢油扩散方向等，考虑采取如下相应的防治措施，其中对非持久性的油类：</w:t>
            </w:r>
          </w:p>
          <w:p>
            <w:pPr>
              <w:bidi w:val="0"/>
              <w:spacing w:line="360" w:lineRule="auto"/>
              <w:ind w:firstLine="480" w:firstLineChars="200"/>
              <w:rPr>
                <w:rFonts w:hint="eastAsia" w:cs="Times New Roman"/>
                <w:color w:val="FF0000"/>
                <w:sz w:val="24"/>
                <w:szCs w:val="24"/>
                <w:u w:val="single"/>
                <w:lang w:val="en-US" w:eastAsia="zh-CN"/>
              </w:rPr>
            </w:pPr>
            <w:r>
              <w:rPr>
                <w:rFonts w:hint="eastAsia" w:cs="Times New Roman"/>
                <w:color w:val="FF0000"/>
                <w:sz w:val="24"/>
                <w:szCs w:val="24"/>
                <w:u w:val="single"/>
                <w:lang w:val="en-US" w:eastAsia="zh-CN"/>
              </w:rPr>
              <w:t>a）因为这种油经过一定的时间，大部分都会挥发掉，一般不大可能采取回收方式。为防止其向附近的敏感区域扩散，可视情况利用油围栏、吸油材料等进行围控和清除。经海事部门批准，可使用消油剂（沉降剂、分散剂）。</w:t>
            </w:r>
          </w:p>
          <w:p>
            <w:pPr>
              <w:bidi w:val="0"/>
              <w:spacing w:line="360" w:lineRule="auto"/>
              <w:ind w:firstLine="480" w:firstLineChars="200"/>
              <w:rPr>
                <w:rFonts w:hint="eastAsia" w:cs="Times New Roman"/>
                <w:color w:val="FF0000"/>
                <w:sz w:val="24"/>
                <w:szCs w:val="24"/>
                <w:u w:val="single"/>
                <w:lang w:val="en-US" w:eastAsia="zh-CN"/>
              </w:rPr>
            </w:pPr>
            <w:r>
              <w:rPr>
                <w:rFonts w:hint="eastAsia" w:cs="Times New Roman"/>
                <w:color w:val="FF0000"/>
                <w:sz w:val="24"/>
                <w:szCs w:val="24"/>
                <w:u w:val="single"/>
                <w:lang w:val="en-US" w:eastAsia="zh-CN"/>
              </w:rPr>
              <w:t>b）严格控制消油剂的使用，要根据溢油的物理和化学性质、溢油量、溢油地点及周围环境情况等，</w:t>
            </w:r>
          </w:p>
          <w:p>
            <w:pPr>
              <w:bidi w:val="0"/>
              <w:spacing w:line="360" w:lineRule="auto"/>
              <w:ind w:firstLine="480" w:firstLineChars="200"/>
              <w:rPr>
                <w:rFonts w:hint="eastAsia" w:cs="Times New Roman"/>
                <w:color w:val="FF0000"/>
                <w:sz w:val="24"/>
                <w:szCs w:val="24"/>
                <w:u w:val="single"/>
                <w:lang w:val="en-US" w:eastAsia="zh-CN"/>
              </w:rPr>
            </w:pPr>
            <w:r>
              <w:rPr>
                <w:rFonts w:hint="eastAsia" w:cs="Times New Roman"/>
                <w:color w:val="FF0000"/>
                <w:sz w:val="24"/>
                <w:szCs w:val="24"/>
                <w:u w:val="single"/>
                <w:lang w:val="en-US" w:eastAsia="zh-CN"/>
              </w:rPr>
              <w:t>权衡利弊后决定是否使用。</w:t>
            </w:r>
          </w:p>
          <w:p>
            <w:pPr>
              <w:bidi w:val="0"/>
              <w:spacing w:line="360" w:lineRule="auto"/>
              <w:ind w:firstLine="480" w:firstLineChars="200"/>
              <w:rPr>
                <w:rFonts w:hint="eastAsia" w:cs="Times New Roman"/>
                <w:color w:val="FF0000"/>
                <w:sz w:val="24"/>
                <w:szCs w:val="24"/>
                <w:u w:val="single"/>
                <w:lang w:val="en-US" w:eastAsia="zh-CN"/>
              </w:rPr>
            </w:pPr>
            <w:r>
              <w:rPr>
                <w:rFonts w:hint="eastAsia" w:cs="Times New Roman"/>
                <w:color w:val="FF0000"/>
                <w:sz w:val="24"/>
                <w:szCs w:val="24"/>
                <w:u w:val="single"/>
                <w:lang w:val="en-US" w:eastAsia="zh-CN"/>
              </w:rPr>
              <w:t>c）若经预测和实际观察，溢油总的趋向是向海外扩散时，应采取严格监视溢油动向的措施。对持久性油类</w:t>
            </w:r>
          </w:p>
          <w:p>
            <w:pPr>
              <w:bidi w:val="0"/>
              <w:spacing w:line="360" w:lineRule="auto"/>
              <w:ind w:firstLine="480" w:firstLineChars="200"/>
              <w:rPr>
                <w:rFonts w:hint="eastAsia" w:cs="Times New Roman"/>
                <w:color w:val="FF0000"/>
                <w:sz w:val="24"/>
                <w:szCs w:val="24"/>
                <w:u w:val="single"/>
                <w:lang w:val="en-US" w:eastAsia="zh-CN"/>
              </w:rPr>
            </w:pPr>
            <w:r>
              <w:rPr>
                <w:rFonts w:hint="eastAsia" w:cs="Times New Roman"/>
                <w:color w:val="FF0000"/>
                <w:sz w:val="24"/>
                <w:szCs w:val="24"/>
                <w:u w:val="single"/>
                <w:lang w:val="en-US" w:eastAsia="zh-CN"/>
              </w:rPr>
              <w:t>d）在可能的情况下，应尽量采取物理方式进行回收。可使用回收船、撇油器、油拖网、油拖把、吸油材料以及人工捞取等方法。</w:t>
            </w:r>
          </w:p>
          <w:p>
            <w:pPr>
              <w:bidi w:val="0"/>
              <w:spacing w:line="360" w:lineRule="auto"/>
              <w:ind w:firstLine="480" w:firstLineChars="200"/>
              <w:rPr>
                <w:rFonts w:hint="eastAsia" w:cs="Times New Roman"/>
                <w:color w:val="FF0000"/>
                <w:sz w:val="24"/>
                <w:szCs w:val="24"/>
                <w:u w:val="single"/>
                <w:lang w:val="en-US" w:eastAsia="zh-CN"/>
              </w:rPr>
            </w:pPr>
            <w:r>
              <w:rPr>
                <w:rFonts w:hint="eastAsia" w:cs="Times New Roman"/>
                <w:color w:val="FF0000"/>
                <w:sz w:val="24"/>
                <w:szCs w:val="24"/>
                <w:u w:val="single"/>
                <w:lang w:val="en-US" w:eastAsia="zh-CN"/>
              </w:rPr>
              <w:t>e）回收的废油、含油废水和岸上清理出来的油污废弃物等，应考虑其运输、储存、处理和处置方法。</w:t>
            </w:r>
          </w:p>
          <w:p>
            <w:pPr>
              <w:bidi w:val="0"/>
              <w:spacing w:line="360" w:lineRule="auto"/>
              <w:ind w:firstLine="480" w:firstLineChars="200"/>
              <w:rPr>
                <w:rFonts w:hint="eastAsia" w:cs="Times New Roman"/>
                <w:color w:val="FF0000"/>
                <w:sz w:val="24"/>
                <w:szCs w:val="24"/>
                <w:u w:val="single"/>
                <w:lang w:val="en-US" w:eastAsia="zh-CN"/>
              </w:rPr>
            </w:pPr>
            <w:r>
              <w:rPr>
                <w:rFonts w:hint="eastAsia" w:cs="Times New Roman"/>
                <w:color w:val="FF0000"/>
                <w:sz w:val="24"/>
                <w:szCs w:val="24"/>
                <w:u w:val="single"/>
                <w:lang w:val="en-US" w:eastAsia="zh-CN"/>
              </w:rPr>
              <w:t>f）受溢油污染的岸线，油污清除后还要进行恢复。 策划并执行清除作业。指定人员作好相关记录。适时发布终止作业的命令和解除警报。</w:t>
            </w:r>
          </w:p>
          <w:p>
            <w:pPr>
              <w:bidi w:val="0"/>
              <w:spacing w:line="360" w:lineRule="auto"/>
              <w:ind w:firstLine="480" w:firstLineChars="200"/>
              <w:rPr>
                <w:rFonts w:hint="default" w:ascii="Times New Roman" w:hAnsi="Times New Roman" w:eastAsia="宋体" w:cs="Times New Roman"/>
                <w:color w:val="FF0000"/>
                <w:sz w:val="24"/>
                <w:szCs w:val="24"/>
                <w:u w:val="single"/>
                <w:lang w:val="en-US" w:eastAsia="zh-CN"/>
              </w:rPr>
            </w:pPr>
            <w:r>
              <w:rPr>
                <w:rFonts w:hint="eastAsia" w:cs="Times New Roman"/>
                <w:color w:val="FF0000"/>
                <w:sz w:val="24"/>
                <w:szCs w:val="24"/>
                <w:u w:val="single"/>
                <w:lang w:val="en-US" w:eastAsia="zh-CN"/>
              </w:rPr>
              <w:t>对重（特）大溢油事件，除按以上方式处理外，还应：根据实际情况决定是否请求区域性援助。</w:t>
            </w:r>
          </w:p>
          <w:p>
            <w:pPr>
              <w:bidi w:val="0"/>
              <w:spacing w:line="360" w:lineRule="auto"/>
              <w:ind w:firstLine="480" w:firstLineChars="200"/>
              <w:rPr>
                <w:rFonts w:hint="default" w:ascii="Times New Roman" w:hAnsi="Times New Roman" w:eastAsia="宋体" w:cs="Times New Roman"/>
                <w:color w:val="FF0000"/>
                <w:sz w:val="24"/>
                <w:szCs w:val="24"/>
                <w:u w:val="single"/>
              </w:rPr>
            </w:pPr>
            <w:r>
              <w:rPr>
                <w:rFonts w:hint="default" w:ascii="Times New Roman" w:hAnsi="Times New Roman" w:eastAsia="宋体" w:cs="Times New Roman"/>
                <w:color w:val="FF0000"/>
                <w:sz w:val="24"/>
                <w:szCs w:val="24"/>
                <w:u w:val="single"/>
                <w:lang w:eastAsia="zh-CN"/>
              </w:rPr>
              <w:t>（</w:t>
            </w:r>
            <w:r>
              <w:rPr>
                <w:rFonts w:hint="default" w:ascii="Times New Roman" w:hAnsi="Times New Roman" w:eastAsia="宋体" w:cs="Times New Roman"/>
                <w:color w:val="FF0000"/>
                <w:sz w:val="24"/>
                <w:szCs w:val="24"/>
                <w:u w:val="single"/>
                <w:lang w:val="en-US" w:eastAsia="zh-CN"/>
              </w:rPr>
              <w:t>2</w:t>
            </w:r>
            <w:r>
              <w:rPr>
                <w:rFonts w:hint="default" w:ascii="Times New Roman" w:hAnsi="Times New Roman" w:eastAsia="宋体" w:cs="Times New Roman"/>
                <w:color w:val="FF0000"/>
                <w:sz w:val="24"/>
                <w:szCs w:val="24"/>
                <w:u w:val="single"/>
                <w:lang w:eastAsia="zh-CN"/>
              </w:rPr>
              <w:t>）</w:t>
            </w:r>
            <w:r>
              <w:rPr>
                <w:rFonts w:hint="default" w:ascii="Times New Roman" w:hAnsi="Times New Roman" w:eastAsia="宋体" w:cs="Times New Roman"/>
                <w:color w:val="FF0000"/>
                <w:sz w:val="24"/>
                <w:szCs w:val="24"/>
                <w:u w:val="single"/>
              </w:rPr>
              <w:t>船舶生活垃圾泄漏风险防范措施</w:t>
            </w:r>
          </w:p>
          <w:p>
            <w:pPr>
              <w:bidi w:val="0"/>
              <w:spacing w:line="360" w:lineRule="auto"/>
              <w:ind w:firstLine="480" w:firstLineChars="200"/>
              <w:rPr>
                <w:rFonts w:hint="default" w:ascii="Times New Roman" w:hAnsi="Times New Roman" w:eastAsia="宋体" w:cs="Times New Roman"/>
                <w:color w:val="FF0000"/>
                <w:sz w:val="24"/>
                <w:szCs w:val="24"/>
                <w:u w:val="single"/>
              </w:rPr>
            </w:pPr>
            <w:r>
              <w:rPr>
                <w:rFonts w:hint="default" w:ascii="Times New Roman" w:hAnsi="Times New Roman" w:eastAsia="宋体" w:cs="Times New Roman"/>
                <w:color w:val="FF0000"/>
                <w:sz w:val="24"/>
                <w:szCs w:val="24"/>
                <w:u w:val="single"/>
              </w:rPr>
              <w:t>为防止船舶生活垃圾在转运过程中撤落，收集船釆用钢制垃圾箱盛装垃圾袋。利用蹇船上的浮式起重机将整个钢制垃圾箱吊转至斜坡道上垃圾转运箱内， 再利用绞车提升至斜坡道顶端</w:t>
            </w:r>
            <w:r>
              <w:rPr>
                <w:rFonts w:hint="default" w:ascii="Times New Roman" w:hAnsi="Times New Roman" w:eastAsia="宋体" w:cs="Times New Roman"/>
                <w:color w:val="FF0000"/>
                <w:sz w:val="24"/>
                <w:szCs w:val="24"/>
                <w:u w:val="single"/>
                <w:lang w:eastAsia="zh-CN"/>
              </w:rPr>
              <w:t>，</w:t>
            </w:r>
            <w:r>
              <w:rPr>
                <w:rFonts w:hint="default" w:ascii="Times New Roman" w:hAnsi="Times New Roman" w:eastAsia="宋体" w:cs="Times New Roman"/>
                <w:color w:val="FF0000"/>
                <w:sz w:val="24"/>
                <w:szCs w:val="24"/>
                <w:u w:val="single"/>
              </w:rPr>
              <w:t>通过在陆域平台上的轮胎起重机整个吊至陆域平 台垃圾压缩车旁。整个吊装过程垃圾均位于防渗、防漏的钢制垃圾箱内，不易撤落垃圾至作业区水域。</w:t>
            </w:r>
          </w:p>
          <w:p>
            <w:pPr>
              <w:pStyle w:val="39"/>
              <w:ind w:firstLine="480"/>
              <w:rPr>
                <w:rFonts w:hint="default" w:ascii="Times New Roman" w:hAnsi="Times New Roman" w:eastAsia="宋体" w:cs="Times New Roman"/>
                <w:color w:val="FF0000"/>
                <w:u w:val="single"/>
              </w:rPr>
            </w:pPr>
            <w:r>
              <w:rPr>
                <w:rFonts w:hint="default" w:ascii="Times New Roman" w:hAnsi="Times New Roman" w:eastAsia="宋体" w:cs="Times New Roman"/>
                <w:color w:val="FF0000"/>
                <w:szCs w:val="24"/>
                <w:u w:val="single"/>
              </w:rPr>
              <w:t>环评要求对架空斜坡道两侧铺设密目网</w:t>
            </w:r>
            <w:r>
              <w:rPr>
                <w:rFonts w:hint="default" w:ascii="Times New Roman" w:hAnsi="Times New Roman" w:eastAsia="宋体" w:cs="Times New Roman"/>
                <w:color w:val="FF0000"/>
                <w:szCs w:val="24"/>
                <w:u w:val="single"/>
                <w:lang w:eastAsia="zh-CN"/>
              </w:rPr>
              <w:t>，</w:t>
            </w:r>
            <w:r>
              <w:rPr>
                <w:rFonts w:hint="default" w:ascii="Times New Roman" w:hAnsi="Times New Roman" w:eastAsia="宋体" w:cs="Times New Roman"/>
                <w:color w:val="FF0000"/>
                <w:szCs w:val="24"/>
                <w:u w:val="single"/>
              </w:rPr>
              <w:t>及时清理洒落垃圾</w:t>
            </w:r>
            <w:r>
              <w:rPr>
                <w:rFonts w:hint="default" w:ascii="Times New Roman" w:hAnsi="Times New Roman" w:eastAsia="宋体" w:cs="Times New Roman"/>
                <w:color w:val="FF0000"/>
                <w:szCs w:val="24"/>
                <w:u w:val="single"/>
                <w:lang w:eastAsia="zh-CN"/>
              </w:rPr>
              <w:t>；</w:t>
            </w:r>
            <w:r>
              <w:rPr>
                <w:rFonts w:hint="default" w:ascii="Times New Roman" w:hAnsi="Times New Roman" w:eastAsia="宋体" w:cs="Times New Roman"/>
                <w:color w:val="FF0000"/>
                <w:szCs w:val="24"/>
                <w:u w:val="single"/>
              </w:rPr>
              <w:t>在水位抬升前</w:t>
            </w:r>
            <w:r>
              <w:rPr>
                <w:rFonts w:hint="default" w:ascii="Times New Roman" w:hAnsi="Times New Roman" w:eastAsia="宋体" w:cs="Times New Roman"/>
                <w:color w:val="FF0000"/>
                <w:szCs w:val="24"/>
                <w:u w:val="single"/>
                <w:lang w:eastAsia="zh-CN"/>
              </w:rPr>
              <w:t>，</w:t>
            </w:r>
            <w:r>
              <w:rPr>
                <w:rFonts w:hint="default" w:ascii="Times New Roman" w:hAnsi="Times New Roman" w:eastAsia="宋体" w:cs="Times New Roman"/>
                <w:color w:val="FF0000"/>
                <w:szCs w:val="24"/>
                <w:u w:val="single"/>
              </w:rPr>
              <w:t>及时对即将淹没的斜坡道垃圾装卸作业区进行清理。一旦发生船舶生活垃圾在卸船过程中发生遗撤，密目网会拦截住垃圾，阻止其进入水域甚至漂散至更远水域区域。在釆取防治措施和加强工作人员操作培训后，事故发生</w:t>
            </w:r>
            <w:r>
              <w:rPr>
                <w:rFonts w:hint="default" w:ascii="Times New Roman" w:hAnsi="Times New Roman" w:eastAsia="宋体" w:cs="Times New Roman"/>
                <w:color w:val="FF0000"/>
                <w:u w:val="single"/>
              </w:rPr>
              <w:t>的可能性较小，且对水环境的影响较小。</w:t>
            </w:r>
          </w:p>
          <w:p>
            <w:pPr>
              <w:pStyle w:val="39"/>
              <w:numPr>
                <w:ilvl w:val="0"/>
                <w:numId w:val="0"/>
              </w:numPr>
              <w:ind w:leftChars="228"/>
              <w:rPr>
                <w:rFonts w:hint="default" w:ascii="Times New Roman" w:hAnsi="Times New Roman" w:eastAsia="宋体" w:cs="Times New Roman"/>
                <w:color w:val="FF0000"/>
                <w:u w:val="single"/>
              </w:rPr>
            </w:pPr>
            <w:r>
              <w:rPr>
                <w:rFonts w:hint="default" w:ascii="Times New Roman" w:hAnsi="Times New Roman" w:eastAsia="宋体" w:cs="Times New Roman"/>
                <w:color w:val="FF0000"/>
                <w:u w:val="single"/>
                <w:lang w:eastAsia="zh-CN"/>
              </w:rPr>
              <w:t>（</w:t>
            </w:r>
            <w:r>
              <w:rPr>
                <w:rFonts w:hint="default" w:ascii="Times New Roman" w:hAnsi="Times New Roman" w:eastAsia="宋体" w:cs="Times New Roman"/>
                <w:color w:val="FF0000"/>
                <w:u w:val="single"/>
                <w:lang w:val="en-US" w:eastAsia="zh-CN"/>
              </w:rPr>
              <w:t>3</w:t>
            </w:r>
            <w:r>
              <w:rPr>
                <w:rFonts w:hint="default" w:ascii="Times New Roman" w:hAnsi="Times New Roman" w:eastAsia="宋体" w:cs="Times New Roman"/>
                <w:color w:val="FF0000"/>
                <w:u w:val="single"/>
                <w:lang w:eastAsia="zh-CN"/>
              </w:rPr>
              <w:t>）</w:t>
            </w:r>
            <w:r>
              <w:rPr>
                <w:rFonts w:hint="default" w:ascii="Times New Roman" w:hAnsi="Times New Roman" w:eastAsia="宋体" w:cs="Times New Roman"/>
                <w:color w:val="FF0000"/>
                <w:u w:val="single"/>
              </w:rPr>
              <w:t>船舶生活垃圾泄漏风险防范措施</w:t>
            </w:r>
          </w:p>
          <w:p>
            <w:pPr>
              <w:pStyle w:val="39"/>
              <w:ind w:firstLine="480"/>
              <w:rPr>
                <w:rFonts w:hint="default" w:ascii="Times New Roman" w:hAnsi="Times New Roman" w:eastAsia="宋体" w:cs="Times New Roman"/>
                <w:color w:val="FF0000"/>
                <w:u w:val="single"/>
              </w:rPr>
            </w:pPr>
            <w:r>
              <w:rPr>
                <w:rFonts w:hint="default" w:ascii="Times New Roman" w:hAnsi="Times New Roman" w:eastAsia="宋体" w:cs="Times New Roman"/>
                <w:color w:val="FF0000"/>
                <w:u w:val="single"/>
              </w:rPr>
              <w:t>为了防止船舶生活垃圾在转运过程中撒落</w:t>
            </w:r>
            <w:r>
              <w:rPr>
                <w:rFonts w:hint="default" w:ascii="Times New Roman" w:hAnsi="Times New Roman" w:eastAsia="宋体" w:cs="Times New Roman"/>
                <w:color w:val="FF0000"/>
                <w:u w:val="single"/>
                <w:lang w:eastAsia="zh-CN"/>
              </w:rPr>
              <w:t>，</w:t>
            </w:r>
            <w:r>
              <w:rPr>
                <w:rFonts w:hint="default" w:ascii="Times New Roman" w:hAnsi="Times New Roman" w:eastAsia="宋体" w:cs="Times New Roman"/>
                <w:color w:val="FF0000"/>
                <w:u w:val="single"/>
              </w:rPr>
              <w:t>收集船采用钢制垃圾箱盛装垃圾袋。利用起重机将整个钢制垃圾箱吊转至斜坡道上垃圾转运箱内，再利用绞车提升至斜坡道顶端</w:t>
            </w:r>
            <w:r>
              <w:rPr>
                <w:rFonts w:hint="default" w:ascii="Times New Roman" w:hAnsi="Times New Roman" w:eastAsia="宋体" w:cs="Times New Roman"/>
                <w:color w:val="FF0000"/>
                <w:u w:val="single"/>
                <w:lang w:eastAsia="zh-CN"/>
              </w:rPr>
              <w:t>，</w:t>
            </w:r>
            <w:r>
              <w:rPr>
                <w:rFonts w:hint="default" w:ascii="Times New Roman" w:hAnsi="Times New Roman" w:eastAsia="宋体" w:cs="Times New Roman"/>
                <w:color w:val="FF0000"/>
                <w:u w:val="single"/>
              </w:rPr>
              <w:t>通过在陆域平台上的轮胎起重机整个吊至陆域平台垃圾压缩车旁。整个吊装过程垃圾均位于防渗、防漏的钢制垃圾箱内，不易撒落垃圾至作业区水域。</w:t>
            </w:r>
          </w:p>
          <w:p>
            <w:pPr>
              <w:spacing w:line="360" w:lineRule="auto"/>
              <w:ind w:firstLine="480" w:firstLineChars="200"/>
              <w:rPr>
                <w:rFonts w:hint="default" w:ascii="Times New Roman" w:hAnsi="Times New Roman" w:eastAsia="宋体" w:cs="Times New Roman"/>
                <w:color w:val="FF0000"/>
                <w:sz w:val="24"/>
                <w:szCs w:val="24"/>
                <w:u w:val="single"/>
              </w:rPr>
            </w:pPr>
            <w:r>
              <w:rPr>
                <w:rFonts w:hint="default" w:ascii="Times New Roman" w:hAnsi="Times New Roman" w:eastAsia="宋体" w:cs="Times New Roman"/>
                <w:color w:val="FF0000"/>
                <w:sz w:val="24"/>
                <w:szCs w:val="24"/>
                <w:u w:val="single"/>
              </w:rPr>
              <w:t>环评要求对架空斜坡道两侧铺设密目网，及时清理洒落垃圾</w:t>
            </w:r>
            <w:r>
              <w:rPr>
                <w:rFonts w:hint="default" w:ascii="Times New Roman" w:hAnsi="Times New Roman" w:eastAsia="宋体" w:cs="Times New Roman"/>
                <w:color w:val="FF0000"/>
                <w:sz w:val="24"/>
                <w:szCs w:val="24"/>
                <w:u w:val="single"/>
                <w:lang w:eastAsia="zh-CN"/>
              </w:rPr>
              <w:t>；</w:t>
            </w:r>
            <w:r>
              <w:rPr>
                <w:rFonts w:hint="default" w:ascii="Times New Roman" w:hAnsi="Times New Roman" w:eastAsia="宋体" w:cs="Times New Roman"/>
                <w:color w:val="FF0000"/>
                <w:sz w:val="24"/>
                <w:szCs w:val="24"/>
                <w:u w:val="single"/>
              </w:rPr>
              <w:t>在水位抬升前，及时对即将淹没的斜坡道垃圾装卸作业区进行清理。一旦发生船舶生活垃圾在卸船过程中发生遗撒，密目网会拦截住垃圾，阻止其进入水域甚至漂散至更远水域区域。在采取防治措施和加强工作人员操作培训后，事故发生的可能性较小，且对水环境的影响较小。</w:t>
            </w:r>
          </w:p>
          <w:p>
            <w:pPr>
              <w:spacing w:line="360" w:lineRule="auto"/>
              <w:ind w:firstLine="480" w:firstLineChars="200"/>
              <w:rPr>
                <w:rFonts w:hint="default" w:ascii="Times New Roman" w:hAnsi="Times New Roman" w:eastAsia="宋体" w:cs="Times New Roman"/>
                <w:color w:val="FF0000"/>
                <w:sz w:val="24"/>
                <w:szCs w:val="24"/>
                <w:u w:val="single"/>
              </w:rPr>
            </w:pPr>
            <w:r>
              <w:rPr>
                <w:rFonts w:hint="default" w:ascii="Times New Roman" w:hAnsi="Times New Roman" w:eastAsia="宋体" w:cs="Times New Roman"/>
                <w:color w:val="FF0000"/>
                <w:sz w:val="24"/>
                <w:szCs w:val="24"/>
                <w:u w:val="single"/>
              </w:rPr>
              <w:t>（</w:t>
            </w:r>
            <w:r>
              <w:rPr>
                <w:rFonts w:hint="default" w:ascii="Times New Roman" w:hAnsi="Times New Roman" w:eastAsia="宋体" w:cs="Times New Roman"/>
                <w:color w:val="FF0000"/>
                <w:sz w:val="24"/>
                <w:szCs w:val="24"/>
                <w:u w:val="single"/>
                <w:lang w:val="en-US" w:eastAsia="zh-CN"/>
              </w:rPr>
              <w:t>4</w:t>
            </w:r>
            <w:r>
              <w:rPr>
                <w:rFonts w:hint="default" w:ascii="Times New Roman" w:hAnsi="Times New Roman" w:eastAsia="宋体" w:cs="Times New Roman"/>
                <w:color w:val="FF0000"/>
                <w:sz w:val="24"/>
                <w:szCs w:val="24"/>
                <w:u w:val="single"/>
              </w:rPr>
              <w:t>）船舶污废水管道发生泄漏风险防范措施</w:t>
            </w:r>
          </w:p>
          <w:p>
            <w:pPr>
              <w:pStyle w:val="9"/>
              <w:spacing w:line="360" w:lineRule="auto"/>
              <w:ind w:firstLine="480" w:firstLineChars="200"/>
              <w:rPr>
                <w:rFonts w:hint="default" w:ascii="Times New Roman" w:hAnsi="Times New Roman" w:eastAsia="宋体" w:cs="Times New Roman"/>
                <w:color w:val="FF0000"/>
                <w:sz w:val="24"/>
                <w:szCs w:val="24"/>
                <w:u w:val="single"/>
              </w:rPr>
            </w:pPr>
            <w:r>
              <w:rPr>
                <w:rFonts w:hint="default" w:ascii="Times New Roman" w:hAnsi="Times New Roman" w:eastAsia="宋体" w:cs="Times New Roman"/>
                <w:color w:val="FF0000"/>
                <w:sz w:val="24"/>
                <w:szCs w:val="24"/>
                <w:u w:val="single"/>
              </w:rPr>
              <w:t>为了减少本项目船舶污废水输送管道泄漏的风险﹐船舶污废水与斜坡道专用管道对接或拆卸时，在斜坡道专用管道法兰下方设置托盘﹔在水位抬升前，及时对即将淹没的斜坡道进行清理</w:t>
            </w:r>
            <w:r>
              <w:rPr>
                <w:rFonts w:hint="default" w:ascii="Times New Roman" w:hAnsi="Times New Roman" w:eastAsia="宋体" w:cs="Times New Roman"/>
                <w:color w:val="FF0000"/>
                <w:sz w:val="24"/>
                <w:szCs w:val="24"/>
                <w:u w:val="single"/>
                <w:lang w:eastAsia="zh-CN"/>
              </w:rPr>
              <w:t>；</w:t>
            </w:r>
            <w:r>
              <w:rPr>
                <w:rFonts w:hint="default" w:ascii="Times New Roman" w:hAnsi="Times New Roman" w:eastAsia="宋体" w:cs="Times New Roman"/>
                <w:color w:val="FF0000"/>
                <w:sz w:val="24"/>
                <w:szCs w:val="24"/>
                <w:u w:val="single"/>
              </w:rPr>
              <w:t>一旦发生此类事故，启动船舶污废水泄漏应急预案，工作人员应立马排查输送管道泄漏点，及时对泄漏点进行阻塞、抢救，并立即将泄漏的污废水用围栏收集，将泄漏物收集上岸进行合理有效地处理。</w:t>
            </w:r>
          </w:p>
          <w:p>
            <w:pPr>
              <w:pStyle w:val="9"/>
              <w:spacing w:line="360" w:lineRule="auto"/>
              <w:ind w:firstLine="480" w:firstLineChars="200"/>
              <w:rPr>
                <w:rFonts w:hint="default" w:ascii="Times New Roman" w:hAnsi="Times New Roman" w:eastAsia="宋体" w:cs="Times New Roman"/>
                <w:color w:val="FF0000"/>
                <w:sz w:val="24"/>
                <w:szCs w:val="24"/>
                <w:u w:val="single"/>
              </w:rPr>
            </w:pPr>
            <w:r>
              <w:rPr>
                <w:rFonts w:hint="default" w:ascii="Times New Roman" w:hAnsi="Times New Roman" w:eastAsia="宋体" w:cs="Times New Roman"/>
                <w:color w:val="FF0000"/>
                <w:sz w:val="24"/>
                <w:szCs w:val="24"/>
                <w:u w:val="single"/>
              </w:rPr>
              <w:t>（</w:t>
            </w:r>
            <w:r>
              <w:rPr>
                <w:rFonts w:hint="default" w:ascii="Times New Roman" w:hAnsi="Times New Roman" w:eastAsia="宋体" w:cs="Times New Roman"/>
                <w:color w:val="FF0000"/>
                <w:sz w:val="24"/>
                <w:szCs w:val="24"/>
                <w:u w:val="single"/>
                <w:lang w:val="en-US" w:eastAsia="zh-CN"/>
              </w:rPr>
              <w:t>5</w:t>
            </w:r>
            <w:r>
              <w:rPr>
                <w:rFonts w:hint="default" w:ascii="Times New Roman" w:hAnsi="Times New Roman" w:eastAsia="宋体" w:cs="Times New Roman"/>
                <w:color w:val="FF0000"/>
                <w:sz w:val="24"/>
                <w:szCs w:val="24"/>
                <w:u w:val="single"/>
              </w:rPr>
              <w:t>）水生保护动植物的风险防范措施</w:t>
            </w:r>
          </w:p>
          <w:p>
            <w:pPr>
              <w:numPr>
                <w:ilvl w:val="0"/>
                <w:numId w:val="0"/>
              </w:numPr>
              <w:bidi w:val="0"/>
              <w:spacing w:line="360" w:lineRule="auto"/>
              <w:ind w:firstLine="480" w:firstLineChars="200"/>
              <w:rPr>
                <w:rFonts w:hint="default" w:ascii="Times New Roman" w:hAnsi="Times New Roman" w:eastAsia="宋体" w:cs="Times New Roman"/>
                <w:color w:val="FF0000"/>
                <w:sz w:val="24"/>
                <w:szCs w:val="24"/>
                <w:u w:val="single"/>
              </w:rPr>
            </w:pPr>
            <w:r>
              <w:rPr>
                <w:rFonts w:hint="default" w:ascii="Times New Roman" w:hAnsi="Times New Roman" w:eastAsia="宋体" w:cs="Times New Roman"/>
                <w:color w:val="FF0000"/>
                <w:sz w:val="24"/>
                <w:szCs w:val="24"/>
                <w:u w:val="single"/>
                <w:lang w:val="en-US" w:eastAsia="zh-CN"/>
              </w:rPr>
              <w:t>1</w:t>
            </w:r>
            <w:r>
              <w:rPr>
                <w:rFonts w:hint="default" w:ascii="Times New Roman" w:hAnsi="Times New Roman" w:eastAsia="宋体" w:cs="Times New Roman"/>
                <w:color w:val="FF0000"/>
                <w:sz w:val="24"/>
                <w:szCs w:val="24"/>
                <w:u w:val="single"/>
                <w:lang w:eastAsia="zh-CN"/>
              </w:rPr>
              <w:t>）</w:t>
            </w:r>
            <w:r>
              <w:rPr>
                <w:rFonts w:hint="default" w:ascii="Times New Roman" w:hAnsi="Times New Roman" w:eastAsia="宋体" w:cs="Times New Roman"/>
                <w:color w:val="FF0000"/>
                <w:sz w:val="24"/>
                <w:szCs w:val="24"/>
                <w:u w:val="single"/>
              </w:rPr>
              <w:t>制定并落实水生动物紧急救护预案</w:t>
            </w:r>
          </w:p>
          <w:p>
            <w:pPr>
              <w:numPr>
                <w:ilvl w:val="0"/>
                <w:numId w:val="0"/>
              </w:numPr>
              <w:bidi w:val="0"/>
              <w:spacing w:line="360" w:lineRule="auto"/>
              <w:ind w:firstLine="480" w:firstLineChars="200"/>
              <w:rPr>
                <w:rFonts w:hint="default" w:ascii="Times New Roman" w:hAnsi="Times New Roman" w:eastAsia="宋体" w:cs="Times New Roman"/>
                <w:color w:val="FF0000"/>
                <w:sz w:val="24"/>
                <w:szCs w:val="24"/>
                <w:u w:val="single"/>
              </w:rPr>
            </w:pPr>
            <w:r>
              <w:rPr>
                <w:rFonts w:hint="default" w:ascii="Times New Roman" w:hAnsi="Times New Roman" w:eastAsia="宋体" w:cs="Times New Roman"/>
                <w:color w:val="FF0000"/>
                <w:sz w:val="24"/>
                <w:szCs w:val="24"/>
                <w:u w:val="single"/>
              </w:rPr>
              <w:t>营运过程中，若发生直接伤害珍稀特有鱼类及其它保护水生动物的事件，施工方应及时向保护区管理部门报告，以便采取有效措施，对受伤珍稀特有鱼类进行救治救护，受伤珍稀特有鱼类鱼体恢复后，视具体情况确定被救护的鱼类在救护中心迁地保护，还是放回保护区水域。施工方应配备必要的救护设备，如</w:t>
            </w:r>
            <w:r>
              <w:rPr>
                <w:rFonts w:hint="default" w:ascii="Times New Roman" w:hAnsi="Times New Roman" w:eastAsia="宋体" w:cs="Times New Roman"/>
                <w:color w:val="FF0000"/>
                <w:sz w:val="24"/>
                <w:szCs w:val="24"/>
                <w:u w:val="single"/>
                <w:lang w:eastAsia="zh-CN"/>
              </w:rPr>
              <w:t>：</w:t>
            </w:r>
            <w:r>
              <w:rPr>
                <w:rFonts w:hint="default" w:ascii="Times New Roman" w:hAnsi="Times New Roman" w:eastAsia="宋体" w:cs="Times New Roman"/>
                <w:color w:val="FF0000"/>
                <w:sz w:val="24"/>
                <w:szCs w:val="24"/>
                <w:u w:val="single"/>
              </w:rPr>
              <w:t>运输设备、增氧设备、药品等医疗卫生设备和各种网具等。</w:t>
            </w:r>
          </w:p>
          <w:p>
            <w:pPr>
              <w:numPr>
                <w:ilvl w:val="0"/>
                <w:numId w:val="0"/>
              </w:numPr>
              <w:bidi w:val="0"/>
              <w:spacing w:line="360" w:lineRule="auto"/>
              <w:ind w:firstLine="480" w:firstLineChars="200"/>
              <w:rPr>
                <w:rFonts w:hint="default" w:ascii="Times New Roman" w:hAnsi="Times New Roman" w:eastAsia="宋体" w:cs="Times New Roman"/>
                <w:color w:val="FF0000"/>
                <w:sz w:val="24"/>
                <w:szCs w:val="24"/>
                <w:u w:val="single"/>
              </w:rPr>
            </w:pPr>
            <w:r>
              <w:rPr>
                <w:rFonts w:hint="default" w:ascii="Times New Roman" w:hAnsi="Times New Roman" w:eastAsia="宋体" w:cs="Times New Roman"/>
                <w:color w:val="FF0000"/>
                <w:sz w:val="24"/>
                <w:szCs w:val="24"/>
                <w:u w:val="single"/>
                <w:lang w:val="en-US" w:eastAsia="zh-CN"/>
              </w:rPr>
              <w:t>2）</w:t>
            </w:r>
            <w:r>
              <w:rPr>
                <w:rFonts w:hint="default" w:ascii="Times New Roman" w:hAnsi="Times New Roman" w:eastAsia="宋体" w:cs="Times New Roman"/>
                <w:color w:val="FF0000"/>
                <w:sz w:val="24"/>
                <w:szCs w:val="24"/>
                <w:u w:val="single"/>
              </w:rPr>
              <w:t>建立事故报告制度在开展水生动物救护的同时，应及时向各级渔政、生环部门报告备案，报告的内容应主要包括发生水生动物意外伤害事故的位置、动物种类、受伤情况、救护措施等。</w:t>
            </w:r>
          </w:p>
          <w:p>
            <w:pPr>
              <w:adjustRightInd w:val="0"/>
              <w:snapToGrid w:val="0"/>
              <w:spacing w:line="360" w:lineRule="auto"/>
              <w:rPr>
                <w:b/>
                <w:bCs/>
                <w:color w:val="FF0000"/>
                <w:sz w:val="24"/>
                <w:u w:val="single"/>
              </w:rPr>
            </w:pPr>
            <w:r>
              <w:rPr>
                <w:rFonts w:hint="eastAsia"/>
                <w:b/>
                <w:bCs/>
                <w:color w:val="FF0000"/>
                <w:sz w:val="24"/>
                <w:u w:val="single"/>
              </w:rPr>
              <w:t>7、环境管理及监测计划</w:t>
            </w:r>
          </w:p>
          <w:p>
            <w:pPr>
              <w:widowControl/>
              <w:spacing w:line="360" w:lineRule="auto"/>
              <w:ind w:firstLine="470" w:firstLineChars="196"/>
              <w:jc w:val="left"/>
              <w:rPr>
                <w:color w:val="FF0000"/>
                <w:sz w:val="24"/>
                <w:szCs w:val="24"/>
                <w:u w:val="single"/>
              </w:rPr>
            </w:pPr>
            <w:r>
              <w:rPr>
                <w:rFonts w:hint="eastAsia"/>
                <w:color w:val="FF0000"/>
                <w:sz w:val="24"/>
                <w:szCs w:val="24"/>
                <w:u w:val="single"/>
              </w:rPr>
              <w:t>一、</w:t>
            </w:r>
            <w:r>
              <w:rPr>
                <w:color w:val="FF0000"/>
                <w:sz w:val="24"/>
                <w:szCs w:val="24"/>
                <w:u w:val="single"/>
              </w:rPr>
              <w:t>环境管理</w:t>
            </w:r>
          </w:p>
          <w:p>
            <w:pPr>
              <w:spacing w:line="360" w:lineRule="auto"/>
              <w:ind w:firstLine="456" w:firstLineChars="200"/>
              <w:rPr>
                <w:color w:val="FF0000"/>
                <w:spacing w:val="-6"/>
                <w:sz w:val="24"/>
                <w:u w:val="single"/>
              </w:rPr>
            </w:pPr>
            <w:r>
              <w:rPr>
                <w:rFonts w:hint="eastAsia"/>
                <w:color w:val="FF0000"/>
                <w:spacing w:val="-6"/>
                <w:sz w:val="24"/>
                <w:u w:val="single"/>
              </w:rPr>
              <w:t>（1）环境管理建议</w:t>
            </w:r>
          </w:p>
          <w:p>
            <w:pPr>
              <w:spacing w:line="360" w:lineRule="auto"/>
              <w:ind w:firstLine="480" w:firstLineChars="200"/>
              <w:rPr>
                <w:color w:val="FF0000"/>
                <w:sz w:val="24"/>
                <w:u w:val="single"/>
              </w:rPr>
            </w:pPr>
            <w:r>
              <w:rPr>
                <w:rFonts w:hint="eastAsia"/>
                <w:color w:val="FF0000"/>
                <w:sz w:val="24"/>
                <w:u w:val="single"/>
              </w:rPr>
              <w:t>根据《中华人民共和国环境保护法》，建设单位必须把环境保护工作纳入计划，建立环境保护责任制度，采取有效措施防止生产建设或其它活动中产生的污染危害及对生态环境的破坏。本项目营运期，有废气、废水、固体废物、噪声产生，必须加强环境管理，建议该项目在物业管理机构中设置环保专职人员，具体负责该项目的环境管理工作，其主要职责是：</w:t>
            </w:r>
          </w:p>
          <w:p>
            <w:pPr>
              <w:spacing w:line="360" w:lineRule="auto"/>
              <w:ind w:firstLine="480" w:firstLineChars="200"/>
              <w:rPr>
                <w:color w:val="FF0000"/>
                <w:sz w:val="24"/>
                <w:u w:val="single"/>
              </w:rPr>
            </w:pPr>
            <w:r>
              <w:rPr>
                <w:color w:val="FF0000"/>
                <w:sz w:val="24"/>
                <w:u w:val="single"/>
              </w:rPr>
              <w:t xml:space="preserve">A </w:t>
            </w:r>
            <w:r>
              <w:rPr>
                <w:rFonts w:hint="eastAsia"/>
                <w:color w:val="FF0000"/>
                <w:sz w:val="24"/>
                <w:u w:val="single"/>
              </w:rPr>
              <w:t>贯彻执行环境保护法规和标准；</w:t>
            </w:r>
          </w:p>
          <w:p>
            <w:pPr>
              <w:spacing w:line="360" w:lineRule="auto"/>
              <w:ind w:firstLine="480" w:firstLineChars="200"/>
              <w:rPr>
                <w:color w:val="FF0000"/>
                <w:sz w:val="24"/>
                <w:u w:val="single"/>
              </w:rPr>
            </w:pPr>
            <w:r>
              <w:rPr>
                <w:color w:val="FF0000"/>
                <w:sz w:val="24"/>
                <w:u w:val="single"/>
              </w:rPr>
              <w:t xml:space="preserve">B </w:t>
            </w:r>
            <w:r>
              <w:rPr>
                <w:rFonts w:hint="eastAsia"/>
                <w:color w:val="FF0000"/>
                <w:sz w:val="24"/>
                <w:u w:val="single"/>
              </w:rPr>
              <w:t>组织制定本单位的环保规章制度，并监督执行；</w:t>
            </w:r>
          </w:p>
          <w:p>
            <w:pPr>
              <w:spacing w:line="360" w:lineRule="auto"/>
              <w:ind w:firstLine="480" w:firstLineChars="200"/>
              <w:rPr>
                <w:color w:val="FF0000"/>
                <w:sz w:val="24"/>
                <w:u w:val="single"/>
              </w:rPr>
            </w:pPr>
            <w:r>
              <w:rPr>
                <w:color w:val="FF0000"/>
                <w:sz w:val="24"/>
                <w:u w:val="single"/>
              </w:rPr>
              <w:t xml:space="preserve">C  </w:t>
            </w:r>
            <w:r>
              <w:rPr>
                <w:rFonts w:hint="eastAsia"/>
                <w:color w:val="FF0000"/>
                <w:sz w:val="24"/>
                <w:u w:val="single"/>
              </w:rPr>
              <w:t>开展环境保护教育和培训，增强管理人员的环保意识；</w:t>
            </w:r>
          </w:p>
          <w:p>
            <w:pPr>
              <w:spacing w:line="360" w:lineRule="auto"/>
              <w:ind w:firstLine="480" w:firstLineChars="200"/>
              <w:rPr>
                <w:color w:val="FF0000"/>
                <w:sz w:val="24"/>
                <w:u w:val="single"/>
              </w:rPr>
            </w:pPr>
            <w:r>
              <w:rPr>
                <w:color w:val="FF0000"/>
                <w:sz w:val="24"/>
                <w:u w:val="single"/>
              </w:rPr>
              <w:t>D</w:t>
            </w:r>
            <w:r>
              <w:rPr>
                <w:rFonts w:hint="eastAsia"/>
                <w:color w:val="FF0000"/>
                <w:sz w:val="24"/>
                <w:u w:val="single"/>
              </w:rPr>
              <w:t>保证各环境保护治理设施的正常运行，并负责污染事故的应急处理；</w:t>
            </w:r>
          </w:p>
          <w:p>
            <w:pPr>
              <w:spacing w:line="360" w:lineRule="auto"/>
              <w:ind w:firstLine="480" w:firstLineChars="200"/>
              <w:rPr>
                <w:color w:val="FF0000"/>
                <w:sz w:val="24"/>
                <w:u w:val="single"/>
              </w:rPr>
            </w:pPr>
            <w:r>
              <w:rPr>
                <w:color w:val="FF0000"/>
                <w:sz w:val="24"/>
                <w:u w:val="single"/>
              </w:rPr>
              <w:t xml:space="preserve">E </w:t>
            </w:r>
            <w:r>
              <w:rPr>
                <w:rFonts w:hint="eastAsia"/>
                <w:color w:val="FF0000"/>
                <w:sz w:val="24"/>
                <w:u w:val="single"/>
              </w:rPr>
              <w:t>建立环境保护档案数据；</w:t>
            </w:r>
          </w:p>
          <w:p>
            <w:pPr>
              <w:spacing w:line="360" w:lineRule="auto"/>
              <w:ind w:firstLine="480" w:firstLineChars="200"/>
              <w:rPr>
                <w:color w:val="FF0000"/>
                <w:sz w:val="24"/>
                <w:u w:val="single"/>
              </w:rPr>
            </w:pPr>
            <w:r>
              <w:rPr>
                <w:color w:val="FF0000"/>
                <w:sz w:val="24"/>
                <w:u w:val="single"/>
              </w:rPr>
              <w:t xml:space="preserve">F </w:t>
            </w:r>
            <w:r>
              <w:rPr>
                <w:rFonts w:hint="eastAsia"/>
                <w:color w:val="FF0000"/>
                <w:sz w:val="24"/>
                <w:u w:val="single"/>
              </w:rPr>
              <w:t>接受环保部门指导工作和监督、管理。</w:t>
            </w:r>
          </w:p>
          <w:p>
            <w:pPr>
              <w:spacing w:line="360" w:lineRule="auto"/>
              <w:ind w:firstLine="480" w:firstLineChars="200"/>
              <w:rPr>
                <w:color w:val="FF0000"/>
                <w:sz w:val="24"/>
                <w:u w:val="single"/>
              </w:rPr>
            </w:pPr>
            <w:r>
              <w:rPr>
                <w:rFonts w:hint="eastAsia"/>
                <w:color w:val="FF0000"/>
                <w:sz w:val="24"/>
                <w:u w:val="single"/>
              </w:rPr>
              <w:t>（2）营运期环境管理计划</w:t>
            </w:r>
          </w:p>
          <w:p>
            <w:pPr>
              <w:spacing w:line="360" w:lineRule="auto"/>
              <w:ind w:firstLine="480" w:firstLineChars="200"/>
              <w:rPr>
                <w:color w:val="FF0000"/>
                <w:sz w:val="24"/>
                <w:u w:val="single"/>
              </w:rPr>
            </w:pPr>
            <w:r>
              <w:rPr>
                <w:rFonts w:hint="eastAsia" w:ascii="宋体" w:hAnsi="宋体"/>
                <w:color w:val="FF0000"/>
                <w:sz w:val="24"/>
                <w:u w:val="single"/>
              </w:rPr>
              <w:t>①编制突发环境事件应急预案，</w:t>
            </w:r>
            <w:r>
              <w:rPr>
                <w:rFonts w:hint="eastAsia"/>
                <w:color w:val="FF0000"/>
                <w:sz w:val="24"/>
                <w:u w:val="single"/>
              </w:rPr>
              <w:t>设立环境管理机构，配备专职环保管理人员，建立健全的环境管理制度。</w:t>
            </w:r>
          </w:p>
          <w:p>
            <w:pPr>
              <w:spacing w:line="360" w:lineRule="auto"/>
              <w:ind w:firstLine="480" w:firstLineChars="200"/>
              <w:rPr>
                <w:color w:val="FF0000"/>
                <w:sz w:val="24"/>
                <w:u w:val="single"/>
              </w:rPr>
            </w:pPr>
            <w:r>
              <w:rPr>
                <w:rFonts w:hint="eastAsia" w:ascii="宋体" w:hAnsi="宋体"/>
                <w:color w:val="FF0000"/>
                <w:sz w:val="24"/>
                <w:u w:val="single"/>
              </w:rPr>
              <w:t>②</w:t>
            </w:r>
            <w:r>
              <w:rPr>
                <w:rFonts w:hint="eastAsia"/>
                <w:color w:val="FF0000"/>
                <w:sz w:val="24"/>
                <w:u w:val="single"/>
              </w:rPr>
              <w:t>做好环保设施的管理和维护工作，定期检查各设备运行情况，确保设备正常运行，确保污染物达标排放，杜绝污染事故发生。</w:t>
            </w:r>
          </w:p>
          <w:p>
            <w:pPr>
              <w:spacing w:line="360" w:lineRule="auto"/>
              <w:ind w:firstLine="480" w:firstLineChars="200"/>
              <w:rPr>
                <w:color w:val="FF0000"/>
                <w:sz w:val="24"/>
                <w:u w:val="single"/>
              </w:rPr>
            </w:pPr>
            <w:r>
              <w:rPr>
                <w:rFonts w:hint="eastAsia" w:ascii="宋体" w:hAnsi="宋体"/>
                <w:color w:val="FF0000"/>
                <w:sz w:val="24"/>
                <w:u w:val="single"/>
              </w:rPr>
              <w:t>③</w:t>
            </w:r>
            <w:r>
              <w:rPr>
                <w:rFonts w:hint="eastAsia"/>
                <w:color w:val="FF0000"/>
                <w:sz w:val="24"/>
                <w:u w:val="single"/>
              </w:rPr>
              <w:t>制定运营期的环境监测计划，定期对污染物排放情况进行监测，并做好监测报告的存档备查工作，监测发现问题应立即整改。</w:t>
            </w:r>
          </w:p>
          <w:p>
            <w:pPr>
              <w:spacing w:line="360" w:lineRule="auto"/>
              <w:ind w:firstLine="480" w:firstLineChars="200"/>
              <w:rPr>
                <w:color w:val="FF0000"/>
                <w:sz w:val="24"/>
                <w:u w:val="single"/>
              </w:rPr>
            </w:pPr>
            <w:r>
              <w:rPr>
                <w:rFonts w:hint="eastAsia" w:ascii="宋体" w:hAnsi="宋体"/>
                <w:color w:val="FF0000"/>
                <w:sz w:val="24"/>
                <w:u w:val="single"/>
              </w:rPr>
              <w:t>④</w:t>
            </w:r>
            <w:r>
              <w:rPr>
                <w:rFonts w:hint="eastAsia"/>
                <w:color w:val="FF0000"/>
                <w:sz w:val="24"/>
                <w:u w:val="single"/>
              </w:rPr>
              <w:t>专门建立环保档案，重点做好废水、废机油的统计工作</w:t>
            </w:r>
            <w:r>
              <w:rPr>
                <w:rFonts w:hint="eastAsia"/>
                <w:color w:val="FF0000"/>
                <w:sz w:val="24"/>
                <w:u w:val="single"/>
                <w:lang w:eastAsia="zh-CN"/>
              </w:rPr>
              <w:t>以及废水收集转运台账工作</w:t>
            </w:r>
            <w:r>
              <w:rPr>
                <w:rFonts w:hint="eastAsia"/>
                <w:color w:val="FF0000"/>
                <w:sz w:val="24"/>
                <w:u w:val="single"/>
              </w:rPr>
              <w:t>，编制环境保护统计报表，定期向环保行政主管部门报送污染物排放相关材料（监测报告、污染物转移联单、污染物统计报表等）。</w:t>
            </w:r>
          </w:p>
          <w:p>
            <w:pPr>
              <w:adjustRightInd w:val="0"/>
              <w:snapToGrid w:val="0"/>
              <w:spacing w:line="360" w:lineRule="auto"/>
              <w:ind w:firstLine="480" w:firstLineChars="200"/>
              <w:rPr>
                <w:color w:val="FF0000"/>
                <w:sz w:val="24"/>
                <w:u w:val="single"/>
              </w:rPr>
            </w:pPr>
            <w:r>
              <w:rPr>
                <w:rFonts w:hint="eastAsia" w:ascii="宋体" w:hAnsi="宋体"/>
                <w:color w:val="FF0000"/>
                <w:sz w:val="24"/>
                <w:u w:val="single"/>
              </w:rPr>
              <w:t>⑤</w:t>
            </w:r>
            <w:r>
              <w:rPr>
                <w:rFonts w:hint="eastAsia"/>
                <w:color w:val="FF0000"/>
                <w:sz w:val="24"/>
                <w:u w:val="single"/>
              </w:rPr>
              <w:t>做好环境保护宣传和职工环保意识教育及技术培训等工作。</w:t>
            </w:r>
          </w:p>
          <w:p>
            <w:pPr>
              <w:adjustRightInd w:val="0"/>
              <w:snapToGrid w:val="0"/>
              <w:spacing w:line="360" w:lineRule="auto"/>
              <w:ind w:firstLine="480" w:firstLineChars="200"/>
              <w:rPr>
                <w:color w:val="FF0000"/>
                <w:sz w:val="24"/>
                <w:u w:val="single"/>
              </w:rPr>
            </w:pPr>
            <w:r>
              <w:rPr>
                <w:rFonts w:hint="eastAsia"/>
                <w:color w:val="FF0000"/>
                <w:sz w:val="24"/>
                <w:u w:val="single"/>
              </w:rPr>
              <w:t>二、环境监测计划</w:t>
            </w:r>
          </w:p>
          <w:p>
            <w:pPr>
              <w:adjustRightInd w:val="0"/>
              <w:snapToGrid w:val="0"/>
              <w:spacing w:line="360" w:lineRule="auto"/>
              <w:ind w:firstLine="480" w:firstLineChars="200"/>
              <w:rPr>
                <w:color w:val="FF0000"/>
                <w:sz w:val="24"/>
                <w:u w:val="single"/>
              </w:rPr>
            </w:pPr>
            <w:r>
              <w:rPr>
                <w:rFonts w:hint="eastAsia"/>
                <w:color w:val="FF0000"/>
                <w:sz w:val="24"/>
                <w:u w:val="single"/>
              </w:rPr>
              <w:t>①污染的监测</w:t>
            </w:r>
          </w:p>
          <w:p>
            <w:pPr>
              <w:adjustRightInd w:val="0"/>
              <w:snapToGrid w:val="0"/>
              <w:spacing w:line="360" w:lineRule="auto"/>
              <w:ind w:firstLine="480" w:firstLineChars="200"/>
              <w:rPr>
                <w:color w:val="FF0000"/>
                <w:sz w:val="24"/>
                <w:u w:val="single"/>
              </w:rPr>
            </w:pPr>
            <w:r>
              <w:rPr>
                <w:rFonts w:hint="eastAsia"/>
                <w:color w:val="FF0000"/>
                <w:sz w:val="24"/>
                <w:u w:val="single"/>
              </w:rPr>
              <w:t>为掌握污染源变化动态，本项目营运后应对其污染源可能影响范围内的空气和噪声环境进行定期监测，以动态掌握可能受影响范围内的环境质量状况。</w:t>
            </w:r>
          </w:p>
          <w:p>
            <w:pPr>
              <w:adjustRightInd w:val="0"/>
              <w:snapToGrid w:val="0"/>
              <w:spacing w:line="360" w:lineRule="auto"/>
              <w:ind w:firstLine="480" w:firstLineChars="200"/>
              <w:rPr>
                <w:color w:val="FF0000"/>
                <w:sz w:val="24"/>
                <w:u w:val="single"/>
              </w:rPr>
            </w:pPr>
            <w:r>
              <w:rPr>
                <w:rFonts w:hint="eastAsia"/>
                <w:color w:val="FF0000"/>
                <w:sz w:val="24"/>
                <w:u w:val="single"/>
              </w:rPr>
              <w:t>②监测方法</w:t>
            </w:r>
          </w:p>
          <w:p>
            <w:pPr>
              <w:adjustRightInd w:val="0"/>
              <w:snapToGrid w:val="0"/>
              <w:spacing w:line="360" w:lineRule="auto"/>
              <w:ind w:firstLine="480" w:firstLineChars="200"/>
              <w:rPr>
                <w:color w:val="FF0000"/>
                <w:sz w:val="24"/>
                <w:u w:val="single"/>
              </w:rPr>
            </w:pPr>
            <w:r>
              <w:rPr>
                <w:rFonts w:hint="eastAsia"/>
                <w:color w:val="FF0000"/>
                <w:sz w:val="24"/>
                <w:u w:val="single"/>
              </w:rPr>
              <w:t>监测方法按《环境监测技术规范》和《排污许可证申请和核发技术规范》执行。</w:t>
            </w:r>
          </w:p>
          <w:p>
            <w:pPr>
              <w:adjustRightInd w:val="0"/>
              <w:snapToGrid w:val="0"/>
              <w:spacing w:line="360" w:lineRule="auto"/>
              <w:ind w:firstLine="480" w:firstLineChars="200"/>
              <w:rPr>
                <w:color w:val="FF0000"/>
                <w:sz w:val="24"/>
                <w:u w:val="single"/>
              </w:rPr>
            </w:pPr>
            <w:r>
              <w:rPr>
                <w:rFonts w:hint="eastAsia"/>
                <w:color w:val="FF0000"/>
                <w:sz w:val="24"/>
                <w:u w:val="single"/>
              </w:rPr>
              <w:t>③审核制度</w:t>
            </w:r>
          </w:p>
          <w:p>
            <w:pPr>
              <w:adjustRightInd w:val="0"/>
              <w:snapToGrid w:val="0"/>
              <w:spacing w:line="360" w:lineRule="auto"/>
              <w:ind w:firstLine="480" w:firstLineChars="200"/>
              <w:rPr>
                <w:color w:val="FF0000"/>
                <w:sz w:val="24"/>
                <w:u w:val="single"/>
              </w:rPr>
            </w:pPr>
            <w:r>
              <w:rPr>
                <w:rFonts w:hint="eastAsia"/>
                <w:color w:val="FF0000"/>
                <w:sz w:val="24"/>
                <w:u w:val="single"/>
              </w:rPr>
              <w:t>为确保环境监测计划提供出准确有效的监测资料，必须对该计划实行定期复审，每年一次，删除不必要的项目，修改或补充原计划没有的项目，使环境监测计划更好地发挥保证环保措施和保护环境资源的作用。</w:t>
            </w:r>
          </w:p>
          <w:p>
            <w:pPr>
              <w:ind w:firstLine="422" w:firstLineChars="200"/>
              <w:jc w:val="center"/>
              <w:rPr>
                <w:b/>
                <w:bCs/>
                <w:color w:val="FF0000"/>
                <w:szCs w:val="21"/>
                <w:u w:val="single"/>
              </w:rPr>
            </w:pPr>
          </w:p>
          <w:p>
            <w:pPr>
              <w:ind w:firstLine="422" w:firstLineChars="200"/>
              <w:jc w:val="center"/>
              <w:rPr>
                <w:b/>
                <w:bCs/>
                <w:color w:val="FF0000"/>
                <w:szCs w:val="21"/>
                <w:u w:val="single"/>
              </w:rPr>
            </w:pPr>
            <w:r>
              <w:rPr>
                <w:b/>
                <w:bCs/>
                <w:color w:val="FF0000"/>
                <w:szCs w:val="21"/>
                <w:u w:val="single"/>
              </w:rPr>
              <w:t>表</w:t>
            </w:r>
            <w:r>
              <w:rPr>
                <w:rFonts w:hint="eastAsia"/>
                <w:b/>
                <w:bCs/>
                <w:color w:val="FF0000"/>
                <w:szCs w:val="21"/>
                <w:u w:val="single"/>
              </w:rPr>
              <w:t>4</w:t>
            </w:r>
            <w:r>
              <w:rPr>
                <w:b/>
                <w:bCs/>
                <w:color w:val="FF0000"/>
                <w:szCs w:val="21"/>
                <w:u w:val="single"/>
              </w:rPr>
              <w:t>-</w:t>
            </w:r>
            <w:r>
              <w:rPr>
                <w:rFonts w:hint="eastAsia"/>
                <w:b/>
                <w:bCs/>
                <w:color w:val="FF0000"/>
                <w:szCs w:val="21"/>
                <w:u w:val="single"/>
                <w:lang w:val="en-US" w:eastAsia="zh-CN"/>
              </w:rPr>
              <w:t xml:space="preserve">7  </w:t>
            </w:r>
            <w:r>
              <w:rPr>
                <w:b/>
                <w:bCs/>
                <w:color w:val="FF0000"/>
                <w:szCs w:val="21"/>
                <w:u w:val="single"/>
              </w:rPr>
              <w:t>环境监测计划一览</w:t>
            </w:r>
            <w:r>
              <w:rPr>
                <w:rFonts w:hint="eastAsia"/>
                <w:b/>
                <w:bCs/>
                <w:color w:val="FF0000"/>
                <w:szCs w:val="21"/>
                <w:u w:val="single"/>
              </w:rPr>
              <w:t>表</w:t>
            </w:r>
          </w:p>
          <w:p>
            <w:pPr>
              <w:ind w:firstLine="422" w:firstLineChars="200"/>
              <w:jc w:val="center"/>
              <w:rPr>
                <w:b/>
                <w:bCs/>
                <w:color w:val="FF0000"/>
                <w:szCs w:val="21"/>
                <w:u w:val="single"/>
              </w:rPr>
            </w:pPr>
          </w:p>
          <w:tbl>
            <w:tblPr>
              <w:tblStyle w:val="17"/>
              <w:tblW w:w="7936"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4"/>
              <w:gridCol w:w="1064"/>
              <w:gridCol w:w="1381"/>
              <w:gridCol w:w="918"/>
              <w:gridCol w:w="383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dxa"/>
                  <w:tcBorders>
                    <w:tl2br w:val="nil"/>
                    <w:tr2bl w:val="nil"/>
                  </w:tcBorders>
                  <w:noWrap/>
                  <w:vAlign w:val="center"/>
                </w:tcPr>
                <w:p>
                  <w:pPr>
                    <w:jc w:val="center"/>
                    <w:rPr>
                      <w:color w:val="FF0000"/>
                      <w:szCs w:val="21"/>
                      <w:u w:val="single"/>
                    </w:rPr>
                  </w:pPr>
                  <w:r>
                    <w:rPr>
                      <w:color w:val="FF0000"/>
                      <w:szCs w:val="21"/>
                      <w:u w:val="single"/>
                    </w:rPr>
                    <w:t>监测项目</w:t>
                  </w:r>
                </w:p>
              </w:tc>
              <w:tc>
                <w:tcPr>
                  <w:tcW w:w="1064" w:type="dxa"/>
                  <w:tcBorders>
                    <w:tl2br w:val="nil"/>
                    <w:tr2bl w:val="nil"/>
                  </w:tcBorders>
                  <w:noWrap/>
                  <w:vAlign w:val="center"/>
                </w:tcPr>
                <w:p>
                  <w:pPr>
                    <w:jc w:val="center"/>
                    <w:rPr>
                      <w:color w:val="FF0000"/>
                      <w:szCs w:val="21"/>
                      <w:u w:val="single"/>
                    </w:rPr>
                  </w:pPr>
                  <w:r>
                    <w:rPr>
                      <w:color w:val="FF0000"/>
                      <w:szCs w:val="21"/>
                      <w:u w:val="single"/>
                    </w:rPr>
                    <w:t>监测点位</w:t>
                  </w:r>
                </w:p>
              </w:tc>
              <w:tc>
                <w:tcPr>
                  <w:tcW w:w="1381" w:type="dxa"/>
                  <w:tcBorders>
                    <w:tl2br w:val="nil"/>
                    <w:tr2bl w:val="nil"/>
                  </w:tcBorders>
                  <w:noWrap/>
                  <w:vAlign w:val="center"/>
                </w:tcPr>
                <w:p>
                  <w:pPr>
                    <w:jc w:val="center"/>
                    <w:rPr>
                      <w:color w:val="FF0000"/>
                      <w:szCs w:val="21"/>
                      <w:u w:val="single"/>
                    </w:rPr>
                  </w:pPr>
                  <w:r>
                    <w:rPr>
                      <w:color w:val="FF0000"/>
                      <w:szCs w:val="21"/>
                      <w:u w:val="single"/>
                    </w:rPr>
                    <w:t>监测因子</w:t>
                  </w:r>
                </w:p>
              </w:tc>
              <w:tc>
                <w:tcPr>
                  <w:tcW w:w="918" w:type="dxa"/>
                  <w:tcBorders>
                    <w:tl2br w:val="nil"/>
                    <w:tr2bl w:val="nil"/>
                  </w:tcBorders>
                  <w:noWrap/>
                  <w:vAlign w:val="center"/>
                </w:tcPr>
                <w:p>
                  <w:pPr>
                    <w:jc w:val="center"/>
                    <w:rPr>
                      <w:color w:val="FF0000"/>
                      <w:szCs w:val="21"/>
                      <w:u w:val="single"/>
                    </w:rPr>
                  </w:pPr>
                  <w:r>
                    <w:rPr>
                      <w:color w:val="FF0000"/>
                      <w:szCs w:val="21"/>
                      <w:u w:val="single"/>
                    </w:rPr>
                    <w:t>最低监测频次</w:t>
                  </w:r>
                </w:p>
              </w:tc>
              <w:tc>
                <w:tcPr>
                  <w:tcW w:w="3839" w:type="dxa"/>
                  <w:tcBorders>
                    <w:tl2br w:val="nil"/>
                    <w:tr2bl w:val="nil"/>
                  </w:tcBorders>
                  <w:noWrap/>
                  <w:vAlign w:val="center"/>
                </w:tcPr>
                <w:p>
                  <w:pPr>
                    <w:jc w:val="center"/>
                    <w:rPr>
                      <w:color w:val="FF0000"/>
                      <w:szCs w:val="21"/>
                      <w:u w:val="single"/>
                    </w:rPr>
                  </w:pPr>
                  <w:r>
                    <w:rPr>
                      <w:color w:val="FF0000"/>
                      <w:szCs w:val="21"/>
                      <w:u w:val="single"/>
                    </w:rP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dxa"/>
                  <w:vMerge w:val="restart"/>
                  <w:tcBorders>
                    <w:tl2br w:val="nil"/>
                    <w:tr2bl w:val="nil"/>
                  </w:tcBorders>
                  <w:noWrap/>
                  <w:vAlign w:val="center"/>
                </w:tcPr>
                <w:p>
                  <w:pPr>
                    <w:jc w:val="center"/>
                    <w:rPr>
                      <w:color w:val="FF0000"/>
                      <w:szCs w:val="21"/>
                      <w:u w:val="single"/>
                    </w:rPr>
                  </w:pPr>
                  <w:r>
                    <w:rPr>
                      <w:color w:val="FF0000"/>
                      <w:szCs w:val="21"/>
                      <w:u w:val="single"/>
                    </w:rPr>
                    <w:t>大气</w:t>
                  </w:r>
                </w:p>
              </w:tc>
              <w:tc>
                <w:tcPr>
                  <w:tcW w:w="1064" w:type="dxa"/>
                  <w:tcBorders>
                    <w:tl2br w:val="nil"/>
                    <w:tr2bl w:val="nil"/>
                  </w:tcBorders>
                  <w:noWrap/>
                  <w:vAlign w:val="center"/>
                </w:tcPr>
                <w:p>
                  <w:pPr>
                    <w:jc w:val="center"/>
                    <w:rPr>
                      <w:color w:val="FF0000"/>
                      <w:szCs w:val="21"/>
                      <w:u w:val="single"/>
                    </w:rPr>
                  </w:pPr>
                  <w:r>
                    <w:rPr>
                      <w:rFonts w:hint="eastAsia"/>
                      <w:color w:val="FF0000"/>
                      <w:szCs w:val="21"/>
                      <w:u w:val="single"/>
                    </w:rPr>
                    <w:t>船舶停留点（无组织）</w:t>
                  </w:r>
                </w:p>
              </w:tc>
              <w:tc>
                <w:tcPr>
                  <w:tcW w:w="1381" w:type="dxa"/>
                  <w:tcBorders>
                    <w:tl2br w:val="nil"/>
                    <w:tr2bl w:val="nil"/>
                  </w:tcBorders>
                  <w:noWrap/>
                  <w:vAlign w:val="center"/>
                </w:tcPr>
                <w:p>
                  <w:pPr>
                    <w:jc w:val="center"/>
                    <w:rPr>
                      <w:color w:val="FF0000"/>
                      <w:szCs w:val="21"/>
                      <w:u w:val="single"/>
                    </w:rPr>
                  </w:pPr>
                  <w:r>
                    <w:rPr>
                      <w:rFonts w:hint="eastAsia"/>
                      <w:color w:val="FF0000"/>
                      <w:szCs w:val="21"/>
                      <w:u w:val="single"/>
                    </w:rPr>
                    <w:t>SO</w:t>
                  </w:r>
                  <w:r>
                    <w:rPr>
                      <w:rFonts w:hint="eastAsia"/>
                      <w:color w:val="FF0000"/>
                      <w:szCs w:val="21"/>
                      <w:u w:val="single"/>
                      <w:vertAlign w:val="subscript"/>
                    </w:rPr>
                    <w:t>2</w:t>
                  </w:r>
                  <w:r>
                    <w:rPr>
                      <w:rFonts w:hint="eastAsia"/>
                      <w:color w:val="FF0000"/>
                      <w:szCs w:val="21"/>
                      <w:u w:val="single"/>
                    </w:rPr>
                    <w:t>、NO</w:t>
                  </w:r>
                  <w:r>
                    <w:rPr>
                      <w:rFonts w:hint="eastAsia"/>
                      <w:color w:val="FF0000"/>
                      <w:szCs w:val="21"/>
                      <w:u w:val="single"/>
                      <w:vertAlign w:val="subscript"/>
                    </w:rPr>
                    <w:t>X</w:t>
                  </w:r>
                  <w:r>
                    <w:rPr>
                      <w:rFonts w:hint="eastAsia"/>
                      <w:color w:val="FF0000"/>
                      <w:szCs w:val="21"/>
                      <w:u w:val="single"/>
                    </w:rPr>
                    <w:t>、烟尘、非甲烷总烃</w:t>
                  </w:r>
                </w:p>
              </w:tc>
              <w:tc>
                <w:tcPr>
                  <w:tcW w:w="918" w:type="dxa"/>
                  <w:tcBorders>
                    <w:tl2br w:val="nil"/>
                    <w:tr2bl w:val="nil"/>
                  </w:tcBorders>
                  <w:noWrap/>
                  <w:vAlign w:val="center"/>
                </w:tcPr>
                <w:p>
                  <w:pPr>
                    <w:jc w:val="center"/>
                    <w:rPr>
                      <w:color w:val="FF0000"/>
                      <w:szCs w:val="21"/>
                      <w:u w:val="single"/>
                    </w:rPr>
                  </w:pPr>
                  <w:r>
                    <w:rPr>
                      <w:color w:val="FF0000"/>
                      <w:szCs w:val="21"/>
                      <w:u w:val="single"/>
                    </w:rPr>
                    <w:t>1次/</w:t>
                  </w:r>
                  <w:r>
                    <w:rPr>
                      <w:rFonts w:hint="eastAsia"/>
                      <w:color w:val="FF0000"/>
                      <w:szCs w:val="21"/>
                      <w:u w:val="single"/>
                    </w:rPr>
                    <w:t>年</w:t>
                  </w:r>
                </w:p>
              </w:tc>
              <w:tc>
                <w:tcPr>
                  <w:tcW w:w="3839" w:type="dxa"/>
                  <w:tcBorders>
                    <w:tl2br w:val="nil"/>
                    <w:tr2bl w:val="nil"/>
                  </w:tcBorders>
                  <w:noWrap/>
                  <w:vAlign w:val="center"/>
                </w:tcPr>
                <w:p>
                  <w:pPr>
                    <w:jc w:val="center"/>
                    <w:rPr>
                      <w:color w:val="FF0000"/>
                      <w:szCs w:val="21"/>
                      <w:u w:val="single"/>
                    </w:rPr>
                  </w:pPr>
                  <w:r>
                    <w:rPr>
                      <w:rFonts w:hint="eastAsia"/>
                      <w:color w:val="FF0000"/>
                      <w:szCs w:val="21"/>
                      <w:u w:val="single"/>
                    </w:rPr>
                    <w:t>《大气污染物综合排放标准》（</w:t>
                  </w:r>
                  <w:r>
                    <w:rPr>
                      <w:color w:val="FF0000"/>
                      <w:szCs w:val="21"/>
                      <w:u w:val="single"/>
                    </w:rPr>
                    <w:t>GB16297-1996</w:t>
                  </w:r>
                  <w:r>
                    <w:rPr>
                      <w:rFonts w:hint="eastAsia"/>
                      <w:color w:val="FF0000"/>
                      <w:szCs w:val="21"/>
                      <w:u w:val="single"/>
                    </w:rPr>
                    <w:t>）表2中的标准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dxa"/>
                  <w:vMerge w:val="continue"/>
                  <w:tcBorders>
                    <w:tl2br w:val="nil"/>
                    <w:tr2bl w:val="nil"/>
                  </w:tcBorders>
                  <w:noWrap/>
                  <w:vAlign w:val="center"/>
                </w:tcPr>
                <w:p>
                  <w:pPr>
                    <w:jc w:val="center"/>
                    <w:rPr>
                      <w:color w:val="FF0000"/>
                      <w:szCs w:val="21"/>
                      <w:u w:val="single"/>
                    </w:rPr>
                  </w:pPr>
                </w:p>
              </w:tc>
              <w:tc>
                <w:tcPr>
                  <w:tcW w:w="1064" w:type="dxa"/>
                  <w:tcBorders>
                    <w:tl2br w:val="nil"/>
                    <w:tr2bl w:val="nil"/>
                  </w:tcBorders>
                  <w:noWrap/>
                  <w:vAlign w:val="center"/>
                </w:tcPr>
                <w:p>
                  <w:pPr>
                    <w:jc w:val="center"/>
                    <w:rPr>
                      <w:color w:val="FF0000"/>
                      <w:szCs w:val="21"/>
                      <w:u w:val="single"/>
                    </w:rPr>
                  </w:pPr>
                  <w:r>
                    <w:rPr>
                      <w:rFonts w:hint="eastAsia"/>
                      <w:color w:val="FF0000"/>
                      <w:szCs w:val="21"/>
                      <w:u w:val="single"/>
                    </w:rPr>
                    <w:t>恶臭</w:t>
                  </w:r>
                </w:p>
              </w:tc>
              <w:tc>
                <w:tcPr>
                  <w:tcW w:w="1381" w:type="dxa"/>
                  <w:tcBorders>
                    <w:tl2br w:val="nil"/>
                    <w:tr2bl w:val="nil"/>
                  </w:tcBorders>
                  <w:noWrap/>
                  <w:vAlign w:val="center"/>
                </w:tcPr>
                <w:p>
                  <w:pPr>
                    <w:jc w:val="center"/>
                    <w:rPr>
                      <w:color w:val="FF0000"/>
                      <w:szCs w:val="21"/>
                      <w:u w:val="single"/>
                    </w:rPr>
                  </w:pPr>
                  <w:r>
                    <w:rPr>
                      <w:rFonts w:hint="eastAsia"/>
                      <w:color w:val="FF0000"/>
                      <w:szCs w:val="21"/>
                      <w:u w:val="single"/>
                    </w:rPr>
                    <w:t>臭气浓度</w:t>
                  </w:r>
                </w:p>
              </w:tc>
              <w:tc>
                <w:tcPr>
                  <w:tcW w:w="918" w:type="dxa"/>
                  <w:tcBorders>
                    <w:tl2br w:val="nil"/>
                    <w:tr2bl w:val="nil"/>
                  </w:tcBorders>
                  <w:noWrap/>
                  <w:vAlign w:val="center"/>
                </w:tcPr>
                <w:p>
                  <w:pPr>
                    <w:jc w:val="center"/>
                    <w:rPr>
                      <w:color w:val="FF0000"/>
                      <w:szCs w:val="21"/>
                      <w:u w:val="single"/>
                    </w:rPr>
                  </w:pPr>
                  <w:r>
                    <w:rPr>
                      <w:color w:val="FF0000"/>
                      <w:szCs w:val="21"/>
                      <w:u w:val="single"/>
                    </w:rPr>
                    <w:t>1次/</w:t>
                  </w:r>
                  <w:r>
                    <w:rPr>
                      <w:rFonts w:hint="eastAsia"/>
                      <w:color w:val="FF0000"/>
                      <w:szCs w:val="21"/>
                      <w:u w:val="single"/>
                    </w:rPr>
                    <w:t>年</w:t>
                  </w:r>
                </w:p>
              </w:tc>
              <w:tc>
                <w:tcPr>
                  <w:tcW w:w="3839" w:type="dxa"/>
                  <w:tcBorders>
                    <w:tl2br w:val="nil"/>
                    <w:tr2bl w:val="nil"/>
                  </w:tcBorders>
                  <w:noWrap/>
                  <w:vAlign w:val="center"/>
                </w:tcPr>
                <w:p>
                  <w:pPr>
                    <w:jc w:val="center"/>
                    <w:rPr>
                      <w:color w:val="FF0000"/>
                      <w:szCs w:val="21"/>
                      <w:u w:val="single"/>
                    </w:rPr>
                  </w:pPr>
                  <w:r>
                    <w:rPr>
                      <w:rFonts w:hint="eastAsia"/>
                      <w:color w:val="FF0000"/>
                      <w:szCs w:val="21"/>
                      <w:u w:val="single"/>
                    </w:rPr>
                    <w:t>《恶臭污染物排放标准》（GB14554-93）中的恶臭污染物厂界（标准值臭气浓度：20无量纲）</w:t>
                  </w:r>
                </w:p>
              </w:tc>
            </w:tr>
          </w:tbl>
          <w:p>
            <w:pPr>
              <w:keepNext w:val="0"/>
              <w:keepLines w:val="0"/>
              <w:widowControl/>
              <w:numPr>
                <w:ilvl w:val="0"/>
                <w:numId w:val="0"/>
              </w:numPr>
              <w:suppressLineNumbers w:val="0"/>
              <w:spacing w:line="360" w:lineRule="auto"/>
              <w:ind w:firstLine="420" w:firstLineChars="200"/>
              <w:jc w:val="left"/>
              <w:rPr>
                <w:rFonts w:hint="default" w:eastAsia="宋体"/>
                <w:color w:val="0000FF"/>
                <w:u w:val="none" w:color="auto"/>
                <w:vertAlign w:val="baseline"/>
                <w:lang w:val="en-US" w:eastAsia="zh-CN"/>
              </w:rPr>
            </w:pPr>
          </w:p>
        </w:tc>
      </w:tr>
    </w:tbl>
    <w:p>
      <w:pPr>
        <w:rPr>
          <w:rFonts w:hint="eastAsia"/>
          <w:color w:val="0000FF"/>
          <w:u w:val="none" w:color="auto"/>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pPr>
        <w:bidi w:val="0"/>
        <w:jc w:val="center"/>
        <w:rPr>
          <w:color w:val="FF0000"/>
          <w:sz w:val="24"/>
          <w:szCs w:val="24"/>
          <w:u w:val="single"/>
        </w:rPr>
      </w:pPr>
      <w:bookmarkStart w:id="14" w:name="_Toc21349"/>
      <w:r>
        <w:rPr>
          <w:rFonts w:hint="eastAsia"/>
          <w:color w:val="FF0000"/>
          <w:sz w:val="24"/>
          <w:szCs w:val="24"/>
          <w:u w:val="single"/>
        </w:rPr>
        <w:t>五、</w:t>
      </w:r>
      <w:bookmarkStart w:id="15" w:name="_Hlk54167917"/>
      <w:r>
        <w:rPr>
          <w:rFonts w:hint="eastAsia"/>
          <w:color w:val="FF0000"/>
          <w:sz w:val="24"/>
          <w:szCs w:val="24"/>
          <w:u w:val="single"/>
        </w:rPr>
        <w:t>环境保护措施监督检查清单</w:t>
      </w:r>
      <w:bookmarkEnd w:id="14"/>
      <w:bookmarkEnd w:id="15"/>
    </w:p>
    <w:tbl>
      <w:tblPr>
        <w:tblStyle w:val="17"/>
        <w:tblW w:w="889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798"/>
        <w:gridCol w:w="1774"/>
        <w:gridCol w:w="1483"/>
        <w:gridCol w:w="1548"/>
        <w:gridCol w:w="229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763" w:hRule="atLeast"/>
          <w:jc w:val="center"/>
        </w:trPr>
        <w:tc>
          <w:tcPr>
            <w:tcW w:w="1798" w:type="dxa"/>
            <w:tcBorders>
              <w:tl2br w:val="single" w:color="auto" w:sz="12" w:space="0"/>
            </w:tcBorders>
            <w:noWrap/>
          </w:tcPr>
          <w:p>
            <w:pPr>
              <w:adjustRightInd w:val="0"/>
              <w:snapToGrid w:val="0"/>
              <w:jc w:val="right"/>
              <w:rPr>
                <w:color w:val="FF0000"/>
                <w:sz w:val="21"/>
                <w:szCs w:val="21"/>
                <w:u w:val="single"/>
              </w:rPr>
            </w:pPr>
            <w:r>
              <w:rPr>
                <w:color w:val="FF0000"/>
                <w:sz w:val="21"/>
                <w:szCs w:val="21"/>
                <w:u w:val="single"/>
              </w:rPr>
              <w:t>内容</w:t>
            </w:r>
          </w:p>
          <w:p>
            <w:pPr>
              <w:adjustRightInd w:val="0"/>
              <w:snapToGrid w:val="0"/>
              <w:jc w:val="both"/>
              <w:rPr>
                <w:color w:val="FF0000"/>
                <w:sz w:val="21"/>
                <w:szCs w:val="21"/>
                <w:u w:val="single"/>
              </w:rPr>
            </w:pPr>
            <w:r>
              <w:rPr>
                <w:color w:val="FF0000"/>
                <w:sz w:val="21"/>
                <w:szCs w:val="21"/>
                <w:u w:val="single"/>
              </w:rPr>
              <w:t>要素</w:t>
            </w:r>
          </w:p>
        </w:tc>
        <w:tc>
          <w:tcPr>
            <w:tcW w:w="1774" w:type="dxa"/>
            <w:tcBorders>
              <w:tl2br w:val="nil"/>
              <w:tr2bl w:val="nil"/>
            </w:tcBorders>
            <w:noWrap/>
            <w:vAlign w:val="center"/>
          </w:tcPr>
          <w:p>
            <w:pPr>
              <w:adjustRightInd w:val="0"/>
              <w:snapToGrid w:val="0"/>
              <w:jc w:val="center"/>
              <w:rPr>
                <w:color w:val="FF0000"/>
                <w:sz w:val="21"/>
                <w:szCs w:val="21"/>
                <w:u w:val="single"/>
              </w:rPr>
            </w:pPr>
            <w:r>
              <w:rPr>
                <w:color w:val="FF0000"/>
                <w:sz w:val="21"/>
                <w:szCs w:val="21"/>
                <w:u w:val="single"/>
              </w:rPr>
              <w:t>排放口</w:t>
            </w:r>
            <w:r>
              <w:rPr>
                <w:rFonts w:hint="eastAsia"/>
                <w:color w:val="FF0000"/>
                <w:sz w:val="21"/>
                <w:szCs w:val="21"/>
                <w:u w:val="single"/>
              </w:rPr>
              <w:t>（</w:t>
            </w:r>
            <w:r>
              <w:rPr>
                <w:color w:val="FF0000"/>
                <w:sz w:val="21"/>
                <w:szCs w:val="21"/>
                <w:u w:val="single"/>
              </w:rPr>
              <w:t>编号、</w:t>
            </w:r>
          </w:p>
          <w:p>
            <w:pPr>
              <w:adjustRightInd w:val="0"/>
              <w:snapToGrid w:val="0"/>
              <w:jc w:val="center"/>
              <w:rPr>
                <w:color w:val="FF0000"/>
                <w:sz w:val="21"/>
                <w:szCs w:val="21"/>
                <w:u w:val="single"/>
              </w:rPr>
            </w:pPr>
            <w:r>
              <w:rPr>
                <w:color w:val="FF0000"/>
                <w:sz w:val="21"/>
                <w:szCs w:val="21"/>
                <w:u w:val="single"/>
              </w:rPr>
              <w:t>名称</w:t>
            </w:r>
            <w:r>
              <w:rPr>
                <w:rFonts w:hint="eastAsia"/>
                <w:color w:val="FF0000"/>
                <w:sz w:val="21"/>
                <w:szCs w:val="21"/>
                <w:u w:val="single"/>
              </w:rPr>
              <w:t>）</w:t>
            </w:r>
            <w:r>
              <w:rPr>
                <w:color w:val="FF0000"/>
                <w:sz w:val="21"/>
                <w:szCs w:val="21"/>
                <w:u w:val="single"/>
              </w:rPr>
              <w:t>/污染源</w:t>
            </w:r>
          </w:p>
        </w:tc>
        <w:tc>
          <w:tcPr>
            <w:tcW w:w="1483" w:type="dxa"/>
            <w:tcBorders>
              <w:tl2br w:val="nil"/>
              <w:tr2bl w:val="nil"/>
            </w:tcBorders>
            <w:noWrap/>
            <w:vAlign w:val="center"/>
          </w:tcPr>
          <w:p>
            <w:pPr>
              <w:adjustRightInd w:val="0"/>
              <w:snapToGrid w:val="0"/>
              <w:jc w:val="center"/>
              <w:rPr>
                <w:color w:val="FF0000"/>
                <w:sz w:val="21"/>
                <w:szCs w:val="21"/>
                <w:u w:val="single"/>
              </w:rPr>
            </w:pPr>
            <w:r>
              <w:rPr>
                <w:color w:val="FF0000"/>
                <w:sz w:val="21"/>
                <w:szCs w:val="21"/>
                <w:u w:val="single"/>
              </w:rPr>
              <w:t>污染物项目</w:t>
            </w:r>
          </w:p>
        </w:tc>
        <w:tc>
          <w:tcPr>
            <w:tcW w:w="1548" w:type="dxa"/>
            <w:tcBorders>
              <w:tl2br w:val="nil"/>
              <w:tr2bl w:val="nil"/>
            </w:tcBorders>
            <w:noWrap/>
            <w:vAlign w:val="center"/>
          </w:tcPr>
          <w:p>
            <w:pPr>
              <w:adjustRightInd w:val="0"/>
              <w:snapToGrid w:val="0"/>
              <w:jc w:val="center"/>
              <w:rPr>
                <w:color w:val="FF0000"/>
                <w:sz w:val="21"/>
                <w:szCs w:val="21"/>
                <w:u w:val="single"/>
              </w:rPr>
            </w:pPr>
            <w:r>
              <w:rPr>
                <w:color w:val="FF0000"/>
                <w:sz w:val="21"/>
                <w:szCs w:val="21"/>
                <w:u w:val="single"/>
              </w:rPr>
              <w:t>环境保护措施</w:t>
            </w:r>
          </w:p>
        </w:tc>
        <w:tc>
          <w:tcPr>
            <w:tcW w:w="2293" w:type="dxa"/>
            <w:tcBorders>
              <w:tl2br w:val="nil"/>
              <w:tr2bl w:val="nil"/>
            </w:tcBorders>
            <w:noWrap/>
            <w:vAlign w:val="center"/>
          </w:tcPr>
          <w:p>
            <w:pPr>
              <w:adjustRightInd w:val="0"/>
              <w:snapToGrid w:val="0"/>
              <w:jc w:val="center"/>
              <w:rPr>
                <w:color w:val="FF0000"/>
                <w:sz w:val="21"/>
                <w:szCs w:val="21"/>
                <w:u w:val="single"/>
              </w:rPr>
            </w:pPr>
            <w:r>
              <w:rPr>
                <w:color w:val="FF0000"/>
                <w:sz w:val="21"/>
                <w:szCs w:val="21"/>
                <w:u w:val="single"/>
              </w:rP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58" w:hRule="atLeast"/>
          <w:jc w:val="center"/>
        </w:trPr>
        <w:tc>
          <w:tcPr>
            <w:tcW w:w="1798" w:type="dxa"/>
            <w:vMerge w:val="restart"/>
            <w:tcBorders>
              <w:tl2br w:val="nil"/>
              <w:tr2bl w:val="nil"/>
            </w:tcBorders>
            <w:noWrap/>
            <w:vAlign w:val="center"/>
          </w:tcPr>
          <w:p>
            <w:pPr>
              <w:adjustRightInd w:val="0"/>
              <w:snapToGrid w:val="0"/>
              <w:jc w:val="center"/>
              <w:rPr>
                <w:color w:val="FF0000"/>
                <w:sz w:val="21"/>
                <w:szCs w:val="21"/>
                <w:u w:val="single"/>
              </w:rPr>
            </w:pPr>
            <w:r>
              <w:rPr>
                <w:color w:val="FF0000"/>
                <w:sz w:val="21"/>
                <w:szCs w:val="21"/>
                <w:u w:val="single"/>
              </w:rPr>
              <w:t>大气环境</w:t>
            </w:r>
          </w:p>
        </w:tc>
        <w:tc>
          <w:tcPr>
            <w:tcW w:w="1774" w:type="dxa"/>
            <w:tcBorders>
              <w:tl2br w:val="nil"/>
              <w:tr2bl w:val="nil"/>
            </w:tcBorders>
            <w:noWrap/>
            <w:vAlign w:val="center"/>
          </w:tcPr>
          <w:p>
            <w:pPr>
              <w:adjustRightInd w:val="0"/>
              <w:snapToGrid w:val="0"/>
              <w:jc w:val="center"/>
              <w:rPr>
                <w:color w:val="FF0000"/>
                <w:sz w:val="21"/>
                <w:szCs w:val="21"/>
                <w:u w:val="single"/>
              </w:rPr>
            </w:pPr>
            <w:r>
              <w:rPr>
                <w:rFonts w:hint="eastAsia"/>
                <w:color w:val="FF0000"/>
                <w:sz w:val="21"/>
                <w:szCs w:val="21"/>
                <w:u w:val="single"/>
              </w:rPr>
              <w:t>柴油发电机废气</w:t>
            </w:r>
          </w:p>
        </w:tc>
        <w:tc>
          <w:tcPr>
            <w:tcW w:w="1483" w:type="dxa"/>
            <w:tcBorders>
              <w:tl2br w:val="nil"/>
              <w:tr2bl w:val="nil"/>
            </w:tcBorders>
            <w:noWrap/>
            <w:vAlign w:val="center"/>
          </w:tcPr>
          <w:p>
            <w:pPr>
              <w:adjustRightInd w:val="0"/>
              <w:snapToGrid w:val="0"/>
              <w:jc w:val="center"/>
              <w:rPr>
                <w:color w:val="FF0000"/>
                <w:sz w:val="21"/>
                <w:szCs w:val="21"/>
                <w:u w:val="single"/>
              </w:rPr>
            </w:pPr>
            <w:r>
              <w:rPr>
                <w:color w:val="FF0000"/>
                <w:sz w:val="21"/>
                <w:szCs w:val="21"/>
                <w:u w:val="single"/>
              </w:rPr>
              <w:t>烟尘、二氧化硫、氮氧化物</w:t>
            </w:r>
          </w:p>
        </w:tc>
        <w:tc>
          <w:tcPr>
            <w:tcW w:w="1548" w:type="dxa"/>
            <w:tcBorders>
              <w:tl2br w:val="nil"/>
              <w:tr2bl w:val="nil"/>
            </w:tcBorders>
            <w:noWrap/>
            <w:vAlign w:val="center"/>
          </w:tcPr>
          <w:p>
            <w:pPr>
              <w:adjustRightInd w:val="0"/>
              <w:snapToGrid w:val="0"/>
              <w:jc w:val="center"/>
              <w:rPr>
                <w:color w:val="FF0000"/>
                <w:sz w:val="21"/>
                <w:szCs w:val="21"/>
                <w:u w:val="single"/>
              </w:rPr>
            </w:pPr>
            <w:r>
              <w:rPr>
                <w:rFonts w:hint="eastAsia"/>
                <w:color w:val="FF0000"/>
                <w:sz w:val="21"/>
                <w:szCs w:val="21"/>
                <w:u w:val="single"/>
              </w:rPr>
              <w:t>自由扩散</w:t>
            </w:r>
          </w:p>
        </w:tc>
        <w:tc>
          <w:tcPr>
            <w:tcW w:w="2293" w:type="dxa"/>
            <w:vMerge w:val="restart"/>
            <w:tcBorders>
              <w:tl2br w:val="nil"/>
              <w:tr2bl w:val="nil"/>
            </w:tcBorders>
            <w:noWrap/>
            <w:vAlign w:val="center"/>
          </w:tcPr>
          <w:p>
            <w:pPr>
              <w:adjustRightInd w:val="0"/>
              <w:snapToGrid w:val="0"/>
              <w:jc w:val="center"/>
              <w:rPr>
                <w:color w:val="FF0000"/>
                <w:sz w:val="21"/>
                <w:szCs w:val="21"/>
                <w:u w:val="single"/>
              </w:rPr>
            </w:pPr>
            <w:r>
              <w:rPr>
                <w:rFonts w:hint="eastAsia"/>
                <w:bCs/>
                <w:color w:val="FF0000"/>
                <w:sz w:val="21"/>
                <w:szCs w:val="21"/>
                <w:u w:val="single"/>
              </w:rPr>
              <w:t>《大气污染物综合排放标准》（GB16297-1996）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99" w:hRule="atLeast"/>
          <w:jc w:val="center"/>
        </w:trPr>
        <w:tc>
          <w:tcPr>
            <w:tcW w:w="1798" w:type="dxa"/>
            <w:vMerge w:val="continue"/>
            <w:tcBorders>
              <w:tl2br w:val="nil"/>
              <w:tr2bl w:val="nil"/>
            </w:tcBorders>
            <w:noWrap/>
            <w:vAlign w:val="center"/>
          </w:tcPr>
          <w:p>
            <w:pPr>
              <w:adjustRightInd w:val="0"/>
              <w:snapToGrid w:val="0"/>
              <w:jc w:val="center"/>
              <w:rPr>
                <w:color w:val="FF0000"/>
                <w:sz w:val="21"/>
                <w:szCs w:val="21"/>
                <w:u w:val="single"/>
              </w:rPr>
            </w:pPr>
          </w:p>
        </w:tc>
        <w:tc>
          <w:tcPr>
            <w:tcW w:w="1774" w:type="dxa"/>
            <w:tcBorders>
              <w:tl2br w:val="nil"/>
              <w:tr2bl w:val="nil"/>
            </w:tcBorders>
            <w:noWrap/>
            <w:vAlign w:val="center"/>
          </w:tcPr>
          <w:p>
            <w:pPr>
              <w:adjustRightInd w:val="0"/>
              <w:snapToGrid w:val="0"/>
              <w:jc w:val="center"/>
              <w:rPr>
                <w:color w:val="FF0000"/>
                <w:sz w:val="21"/>
                <w:szCs w:val="21"/>
                <w:u w:val="single"/>
              </w:rPr>
            </w:pPr>
            <w:r>
              <w:rPr>
                <w:rFonts w:hint="eastAsia"/>
                <w:color w:val="FF0000"/>
                <w:sz w:val="21"/>
                <w:szCs w:val="21"/>
                <w:u w:val="single"/>
              </w:rPr>
              <w:t>挥发性气体</w:t>
            </w:r>
          </w:p>
        </w:tc>
        <w:tc>
          <w:tcPr>
            <w:tcW w:w="1483" w:type="dxa"/>
            <w:tcBorders>
              <w:tl2br w:val="nil"/>
              <w:tr2bl w:val="nil"/>
            </w:tcBorders>
            <w:noWrap/>
            <w:vAlign w:val="center"/>
          </w:tcPr>
          <w:p>
            <w:pPr>
              <w:adjustRightInd w:val="0"/>
              <w:snapToGrid w:val="0"/>
              <w:jc w:val="center"/>
              <w:rPr>
                <w:color w:val="FF0000"/>
                <w:sz w:val="21"/>
                <w:szCs w:val="21"/>
                <w:u w:val="single"/>
              </w:rPr>
            </w:pPr>
            <w:r>
              <w:rPr>
                <w:rFonts w:hint="eastAsia"/>
                <w:color w:val="FF0000"/>
                <w:sz w:val="21"/>
                <w:szCs w:val="21"/>
                <w:u w:val="single"/>
              </w:rPr>
              <w:t>非甲烷总烃</w:t>
            </w:r>
          </w:p>
        </w:tc>
        <w:tc>
          <w:tcPr>
            <w:tcW w:w="1548" w:type="dxa"/>
            <w:tcBorders>
              <w:tl2br w:val="nil"/>
              <w:tr2bl w:val="nil"/>
            </w:tcBorders>
            <w:noWrap/>
            <w:vAlign w:val="center"/>
          </w:tcPr>
          <w:p>
            <w:pPr>
              <w:adjustRightInd w:val="0"/>
              <w:snapToGrid w:val="0"/>
              <w:jc w:val="center"/>
              <w:rPr>
                <w:color w:val="FF0000"/>
                <w:sz w:val="21"/>
                <w:szCs w:val="21"/>
                <w:u w:val="single"/>
              </w:rPr>
            </w:pPr>
            <w:r>
              <w:rPr>
                <w:rFonts w:hint="eastAsia"/>
                <w:color w:val="FF0000"/>
                <w:sz w:val="21"/>
                <w:szCs w:val="21"/>
                <w:u w:val="single"/>
              </w:rPr>
              <w:t>封闭处理、自由扩散等</w:t>
            </w:r>
          </w:p>
        </w:tc>
        <w:tc>
          <w:tcPr>
            <w:tcW w:w="2293" w:type="dxa"/>
            <w:vMerge w:val="continue"/>
            <w:tcBorders>
              <w:tl2br w:val="nil"/>
              <w:tr2bl w:val="nil"/>
            </w:tcBorders>
            <w:noWrap/>
            <w:vAlign w:val="center"/>
          </w:tcPr>
          <w:p>
            <w:pPr>
              <w:adjustRightInd w:val="0"/>
              <w:snapToGrid w:val="0"/>
              <w:jc w:val="center"/>
              <w:rPr>
                <w:color w:val="FF0000"/>
                <w:sz w:val="21"/>
                <w:szCs w:val="21"/>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99" w:hRule="atLeast"/>
          <w:jc w:val="center"/>
        </w:trPr>
        <w:tc>
          <w:tcPr>
            <w:tcW w:w="1798" w:type="dxa"/>
            <w:vMerge w:val="continue"/>
            <w:tcBorders>
              <w:tl2br w:val="nil"/>
              <w:tr2bl w:val="nil"/>
            </w:tcBorders>
            <w:noWrap/>
            <w:vAlign w:val="center"/>
          </w:tcPr>
          <w:p>
            <w:pPr>
              <w:adjustRightInd w:val="0"/>
              <w:snapToGrid w:val="0"/>
              <w:jc w:val="center"/>
              <w:rPr>
                <w:color w:val="FF0000"/>
                <w:sz w:val="21"/>
                <w:szCs w:val="21"/>
                <w:u w:val="single"/>
              </w:rPr>
            </w:pPr>
          </w:p>
        </w:tc>
        <w:tc>
          <w:tcPr>
            <w:tcW w:w="1774" w:type="dxa"/>
            <w:tcBorders>
              <w:tl2br w:val="nil"/>
              <w:tr2bl w:val="nil"/>
            </w:tcBorders>
            <w:noWrap/>
            <w:vAlign w:val="center"/>
          </w:tcPr>
          <w:p>
            <w:pPr>
              <w:adjustRightInd w:val="0"/>
              <w:snapToGrid w:val="0"/>
              <w:jc w:val="center"/>
              <w:rPr>
                <w:color w:val="FF0000"/>
                <w:sz w:val="21"/>
                <w:szCs w:val="21"/>
                <w:u w:val="single"/>
              </w:rPr>
            </w:pPr>
            <w:r>
              <w:rPr>
                <w:rFonts w:hint="eastAsia"/>
                <w:color w:val="FF0000"/>
                <w:sz w:val="21"/>
                <w:szCs w:val="21"/>
                <w:u w:val="single"/>
              </w:rPr>
              <w:t>无组织恶臭</w:t>
            </w:r>
          </w:p>
        </w:tc>
        <w:tc>
          <w:tcPr>
            <w:tcW w:w="1483" w:type="dxa"/>
            <w:tcBorders>
              <w:tl2br w:val="nil"/>
              <w:tr2bl w:val="nil"/>
            </w:tcBorders>
            <w:noWrap/>
            <w:vAlign w:val="center"/>
          </w:tcPr>
          <w:p>
            <w:pPr>
              <w:adjustRightInd w:val="0"/>
              <w:snapToGrid w:val="0"/>
              <w:jc w:val="center"/>
              <w:rPr>
                <w:color w:val="FF0000"/>
                <w:sz w:val="21"/>
                <w:szCs w:val="21"/>
                <w:u w:val="single"/>
              </w:rPr>
            </w:pPr>
            <w:r>
              <w:rPr>
                <w:rFonts w:hint="eastAsia"/>
                <w:color w:val="FF0000"/>
                <w:sz w:val="21"/>
                <w:szCs w:val="21"/>
                <w:u w:val="single"/>
              </w:rPr>
              <w:t>臭气浓度</w:t>
            </w:r>
          </w:p>
        </w:tc>
        <w:tc>
          <w:tcPr>
            <w:tcW w:w="1548" w:type="dxa"/>
            <w:tcBorders>
              <w:tl2br w:val="nil"/>
              <w:tr2bl w:val="nil"/>
            </w:tcBorders>
            <w:noWrap/>
            <w:vAlign w:val="center"/>
          </w:tcPr>
          <w:p>
            <w:pPr>
              <w:adjustRightInd w:val="0"/>
              <w:snapToGrid w:val="0"/>
              <w:jc w:val="center"/>
              <w:rPr>
                <w:color w:val="FF0000"/>
                <w:sz w:val="21"/>
                <w:szCs w:val="21"/>
                <w:u w:val="single"/>
              </w:rPr>
            </w:pPr>
            <w:r>
              <w:rPr>
                <w:rFonts w:hint="eastAsia"/>
                <w:color w:val="FF0000"/>
                <w:sz w:val="21"/>
                <w:szCs w:val="21"/>
                <w:u w:val="single"/>
              </w:rPr>
              <w:t>易产生恶臭的污水</w:t>
            </w:r>
            <w:r>
              <w:rPr>
                <w:rFonts w:hint="eastAsia"/>
                <w:color w:val="FF0000"/>
                <w:sz w:val="21"/>
                <w:szCs w:val="21"/>
                <w:u w:val="single"/>
                <w:lang w:val="en-US" w:eastAsia="zh-CN"/>
              </w:rPr>
              <w:t>收集</w:t>
            </w:r>
            <w:r>
              <w:rPr>
                <w:rFonts w:hint="eastAsia"/>
                <w:color w:val="FF0000"/>
                <w:sz w:val="21"/>
                <w:szCs w:val="21"/>
                <w:u w:val="single"/>
              </w:rPr>
              <w:t>设施封闭</w:t>
            </w:r>
          </w:p>
        </w:tc>
        <w:tc>
          <w:tcPr>
            <w:tcW w:w="2293" w:type="dxa"/>
            <w:tcBorders>
              <w:tl2br w:val="nil"/>
              <w:tr2bl w:val="nil"/>
            </w:tcBorders>
            <w:noWrap/>
            <w:vAlign w:val="center"/>
          </w:tcPr>
          <w:p>
            <w:pPr>
              <w:adjustRightInd w:val="0"/>
              <w:snapToGrid w:val="0"/>
              <w:jc w:val="center"/>
              <w:rPr>
                <w:color w:val="FF0000"/>
                <w:sz w:val="21"/>
                <w:szCs w:val="21"/>
                <w:u w:val="single"/>
              </w:rPr>
            </w:pPr>
            <w:r>
              <w:rPr>
                <w:rFonts w:hint="eastAsia"/>
                <w:color w:val="FF0000"/>
                <w:sz w:val="21"/>
                <w:szCs w:val="21"/>
                <w:u w:val="single"/>
              </w:rPr>
              <w:t>《恶臭污染物排放标准》（GB14554-93）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35" w:hRule="atLeast"/>
          <w:jc w:val="center"/>
        </w:trPr>
        <w:tc>
          <w:tcPr>
            <w:tcW w:w="1798" w:type="dxa"/>
            <w:vMerge w:val="restart"/>
            <w:tcBorders>
              <w:tl2br w:val="nil"/>
              <w:tr2bl w:val="nil"/>
            </w:tcBorders>
            <w:noWrap/>
            <w:vAlign w:val="center"/>
          </w:tcPr>
          <w:p>
            <w:pPr>
              <w:adjustRightInd w:val="0"/>
              <w:snapToGrid w:val="0"/>
              <w:jc w:val="center"/>
              <w:rPr>
                <w:color w:val="FF0000"/>
                <w:sz w:val="21"/>
                <w:szCs w:val="21"/>
                <w:u w:val="single"/>
              </w:rPr>
            </w:pPr>
            <w:r>
              <w:rPr>
                <w:color w:val="FF0000"/>
                <w:sz w:val="21"/>
                <w:szCs w:val="21"/>
                <w:u w:val="single"/>
              </w:rPr>
              <w:t>地表水环境</w:t>
            </w:r>
          </w:p>
        </w:tc>
        <w:tc>
          <w:tcPr>
            <w:tcW w:w="1774" w:type="dxa"/>
            <w:tcBorders>
              <w:tl2br w:val="nil"/>
              <w:tr2bl w:val="nil"/>
            </w:tcBorders>
            <w:noWrap/>
            <w:vAlign w:val="center"/>
          </w:tcPr>
          <w:p>
            <w:pPr>
              <w:adjustRightInd w:val="0"/>
              <w:snapToGrid w:val="0"/>
              <w:jc w:val="center"/>
              <w:rPr>
                <w:color w:val="FF0000"/>
                <w:sz w:val="21"/>
                <w:szCs w:val="21"/>
                <w:u w:val="single"/>
              </w:rPr>
            </w:pPr>
            <w:r>
              <w:rPr>
                <w:rFonts w:hint="eastAsia"/>
                <w:color w:val="FF0000"/>
                <w:sz w:val="21"/>
                <w:szCs w:val="21"/>
                <w:u w:val="single"/>
              </w:rPr>
              <w:t>含油</w:t>
            </w:r>
            <w:r>
              <w:rPr>
                <w:color w:val="FF0000"/>
                <w:sz w:val="21"/>
                <w:szCs w:val="21"/>
                <w:u w:val="single"/>
              </w:rPr>
              <w:t>废水</w:t>
            </w:r>
          </w:p>
        </w:tc>
        <w:tc>
          <w:tcPr>
            <w:tcW w:w="1483" w:type="dxa"/>
            <w:tcBorders>
              <w:tl2br w:val="nil"/>
              <w:tr2bl w:val="nil"/>
            </w:tcBorders>
            <w:noWrap/>
            <w:vAlign w:val="center"/>
          </w:tcPr>
          <w:p>
            <w:pPr>
              <w:adjustRightInd w:val="0"/>
              <w:snapToGrid w:val="0"/>
              <w:jc w:val="center"/>
              <w:rPr>
                <w:color w:val="FF0000"/>
                <w:sz w:val="21"/>
                <w:szCs w:val="21"/>
                <w:u w:val="single"/>
              </w:rPr>
            </w:pPr>
            <w:r>
              <w:rPr>
                <w:color w:val="FF0000"/>
                <w:sz w:val="21"/>
                <w:szCs w:val="21"/>
                <w:u w:val="single"/>
                <w:lang w:val="pt-BR"/>
              </w:rPr>
              <w:t>COD</w:t>
            </w:r>
            <w:r>
              <w:rPr>
                <w:rFonts w:hint="eastAsia"/>
                <w:color w:val="FF0000"/>
                <w:sz w:val="21"/>
                <w:szCs w:val="21"/>
                <w:u w:val="single"/>
                <w:lang w:val="pt-BR"/>
              </w:rPr>
              <w:t>、石油类</w:t>
            </w:r>
          </w:p>
        </w:tc>
        <w:tc>
          <w:tcPr>
            <w:tcW w:w="1548" w:type="dxa"/>
            <w:tcBorders>
              <w:tl2br w:val="nil"/>
              <w:tr2bl w:val="nil"/>
            </w:tcBorders>
            <w:noWrap/>
            <w:vAlign w:val="center"/>
          </w:tcPr>
          <w:p>
            <w:pPr>
              <w:adjustRightInd w:val="0"/>
              <w:snapToGrid w:val="0"/>
              <w:jc w:val="center"/>
              <w:rPr>
                <w:color w:val="FF0000"/>
                <w:sz w:val="21"/>
                <w:szCs w:val="21"/>
                <w:u w:val="single"/>
              </w:rPr>
            </w:pPr>
            <w:r>
              <w:rPr>
                <w:rFonts w:hint="eastAsia"/>
                <w:color w:val="FF0000"/>
                <w:sz w:val="21"/>
                <w:szCs w:val="21"/>
                <w:u w:val="single"/>
              </w:rPr>
              <w:t>油水分离器预处理</w:t>
            </w:r>
          </w:p>
        </w:tc>
        <w:tc>
          <w:tcPr>
            <w:tcW w:w="2293" w:type="dxa"/>
            <w:tcBorders>
              <w:tl2br w:val="nil"/>
              <w:tr2bl w:val="nil"/>
            </w:tcBorders>
            <w:noWrap/>
            <w:vAlign w:val="center"/>
          </w:tcPr>
          <w:p>
            <w:pPr>
              <w:adjustRightInd w:val="0"/>
              <w:snapToGrid w:val="0"/>
              <w:jc w:val="center"/>
              <w:rPr>
                <w:color w:val="FF0000"/>
                <w:sz w:val="21"/>
                <w:szCs w:val="21"/>
                <w:u w:val="single"/>
              </w:rPr>
            </w:pPr>
            <w:r>
              <w:rPr>
                <w:rFonts w:hint="eastAsia"/>
                <w:bCs/>
                <w:color w:val="FF0000"/>
                <w:sz w:val="21"/>
                <w:szCs w:val="21"/>
                <w:u w:val="single"/>
              </w:rPr>
              <w:t>《船舶水污染物排放控制标准》（GB 3552-2018）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35" w:hRule="atLeast"/>
          <w:jc w:val="center"/>
        </w:trPr>
        <w:tc>
          <w:tcPr>
            <w:tcW w:w="1798" w:type="dxa"/>
            <w:vMerge w:val="continue"/>
            <w:tcBorders>
              <w:tl2br w:val="nil"/>
              <w:tr2bl w:val="nil"/>
            </w:tcBorders>
            <w:noWrap/>
            <w:vAlign w:val="center"/>
          </w:tcPr>
          <w:p>
            <w:pPr>
              <w:adjustRightInd w:val="0"/>
              <w:snapToGrid w:val="0"/>
              <w:jc w:val="center"/>
              <w:rPr>
                <w:color w:val="FF0000"/>
                <w:sz w:val="21"/>
                <w:szCs w:val="21"/>
                <w:u w:val="single"/>
              </w:rPr>
            </w:pPr>
          </w:p>
        </w:tc>
        <w:tc>
          <w:tcPr>
            <w:tcW w:w="1774" w:type="dxa"/>
            <w:tcBorders>
              <w:tl2br w:val="nil"/>
              <w:tr2bl w:val="nil"/>
            </w:tcBorders>
            <w:noWrap/>
            <w:vAlign w:val="center"/>
          </w:tcPr>
          <w:p>
            <w:pPr>
              <w:adjustRightInd w:val="0"/>
              <w:snapToGrid w:val="0"/>
              <w:jc w:val="center"/>
              <w:rPr>
                <w:color w:val="FF0000"/>
                <w:sz w:val="21"/>
                <w:szCs w:val="21"/>
                <w:u w:val="single"/>
              </w:rPr>
            </w:pPr>
            <w:r>
              <w:rPr>
                <w:rFonts w:hint="eastAsia"/>
                <w:color w:val="FF0000"/>
                <w:sz w:val="21"/>
                <w:szCs w:val="21"/>
                <w:u w:val="single"/>
              </w:rPr>
              <w:t>生活污水</w:t>
            </w:r>
          </w:p>
        </w:tc>
        <w:tc>
          <w:tcPr>
            <w:tcW w:w="1483" w:type="dxa"/>
            <w:tcBorders>
              <w:tl2br w:val="nil"/>
              <w:tr2bl w:val="nil"/>
            </w:tcBorders>
            <w:noWrap/>
            <w:vAlign w:val="center"/>
          </w:tcPr>
          <w:p>
            <w:pPr>
              <w:adjustRightInd w:val="0"/>
              <w:snapToGrid w:val="0"/>
              <w:jc w:val="center"/>
              <w:rPr>
                <w:color w:val="FF0000"/>
                <w:sz w:val="21"/>
                <w:szCs w:val="21"/>
                <w:u w:val="single"/>
                <w:lang w:val="pt-BR"/>
              </w:rPr>
            </w:pPr>
            <w:r>
              <w:rPr>
                <w:color w:val="FF0000"/>
                <w:sz w:val="21"/>
                <w:szCs w:val="21"/>
                <w:u w:val="single"/>
                <w:lang w:val="pt-BR"/>
              </w:rPr>
              <w:t>COD</w:t>
            </w:r>
            <w:r>
              <w:rPr>
                <w:rFonts w:hint="eastAsia"/>
                <w:color w:val="FF0000"/>
                <w:sz w:val="21"/>
                <w:szCs w:val="21"/>
                <w:u w:val="single"/>
                <w:lang w:val="pt-BR"/>
              </w:rPr>
              <w:t>、</w:t>
            </w:r>
            <w:r>
              <w:rPr>
                <w:rFonts w:hint="eastAsia"/>
                <w:color w:val="FF0000"/>
                <w:sz w:val="21"/>
                <w:szCs w:val="21"/>
                <w:u w:val="single"/>
              </w:rPr>
              <w:t>BOD</w:t>
            </w:r>
            <w:r>
              <w:rPr>
                <w:rFonts w:hint="eastAsia"/>
                <w:color w:val="FF0000"/>
                <w:sz w:val="21"/>
                <w:szCs w:val="21"/>
                <w:u w:val="single"/>
                <w:lang w:val="pt-BR"/>
              </w:rPr>
              <w:t>、</w:t>
            </w:r>
            <w:r>
              <w:rPr>
                <w:rFonts w:hint="eastAsia"/>
                <w:color w:val="FF0000"/>
                <w:sz w:val="21"/>
                <w:szCs w:val="21"/>
                <w:u w:val="single"/>
              </w:rPr>
              <w:t>SS、</w:t>
            </w:r>
            <w:r>
              <w:rPr>
                <w:rFonts w:hint="eastAsia"/>
                <w:color w:val="FF0000"/>
                <w:sz w:val="21"/>
                <w:szCs w:val="21"/>
                <w:u w:val="single"/>
                <w:lang w:val="pt-BR"/>
              </w:rPr>
              <w:t>动植物油等</w:t>
            </w:r>
          </w:p>
        </w:tc>
        <w:tc>
          <w:tcPr>
            <w:tcW w:w="1548" w:type="dxa"/>
            <w:tcBorders>
              <w:tl2br w:val="nil"/>
              <w:tr2bl w:val="nil"/>
            </w:tcBorders>
            <w:noWrap/>
            <w:vAlign w:val="center"/>
          </w:tcPr>
          <w:p>
            <w:pPr>
              <w:adjustRightInd w:val="0"/>
              <w:snapToGrid w:val="0"/>
              <w:jc w:val="center"/>
              <w:rPr>
                <w:rFonts w:hint="default" w:eastAsia="宋体"/>
                <w:color w:val="FF0000"/>
                <w:sz w:val="21"/>
                <w:szCs w:val="21"/>
                <w:u w:val="single"/>
                <w:lang w:val="en-US" w:eastAsia="zh-CN"/>
              </w:rPr>
            </w:pPr>
            <w:r>
              <w:rPr>
                <w:rFonts w:hint="eastAsia"/>
                <w:color w:val="FF0000"/>
                <w:sz w:val="21"/>
                <w:szCs w:val="21"/>
                <w:u w:val="single"/>
                <w:lang w:val="en-US" w:eastAsia="zh-CN"/>
              </w:rPr>
              <w:t>葛洲坝水务（湘阴）有限公司转运处置</w:t>
            </w:r>
          </w:p>
        </w:tc>
        <w:tc>
          <w:tcPr>
            <w:tcW w:w="2293" w:type="dxa"/>
            <w:tcBorders>
              <w:tl2br w:val="nil"/>
              <w:tr2bl w:val="nil"/>
            </w:tcBorders>
            <w:noWrap/>
            <w:vAlign w:val="center"/>
          </w:tcPr>
          <w:p>
            <w:pPr>
              <w:adjustRightInd w:val="0"/>
              <w:snapToGrid w:val="0"/>
              <w:jc w:val="center"/>
              <w:rPr>
                <w:rFonts w:hint="eastAsia" w:eastAsia="宋体"/>
                <w:bCs/>
                <w:color w:val="FF0000"/>
                <w:sz w:val="21"/>
                <w:szCs w:val="21"/>
                <w:u w:val="single"/>
                <w:lang w:val="en-US" w:eastAsia="zh-CN"/>
              </w:rPr>
            </w:pPr>
            <w:r>
              <w:rPr>
                <w:rFonts w:hint="eastAsia"/>
                <w:bCs/>
                <w:color w:val="FF0000"/>
                <w:sz w:val="21"/>
                <w:szCs w:val="21"/>
                <w:u w:val="singl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07" w:hRule="atLeast"/>
          <w:jc w:val="center"/>
        </w:trPr>
        <w:tc>
          <w:tcPr>
            <w:tcW w:w="1798" w:type="dxa"/>
            <w:tcBorders>
              <w:tl2br w:val="nil"/>
              <w:tr2bl w:val="nil"/>
            </w:tcBorders>
            <w:noWrap/>
            <w:vAlign w:val="center"/>
          </w:tcPr>
          <w:p>
            <w:pPr>
              <w:adjustRightInd w:val="0"/>
              <w:snapToGrid w:val="0"/>
              <w:jc w:val="center"/>
              <w:rPr>
                <w:color w:val="FF0000"/>
                <w:sz w:val="21"/>
                <w:szCs w:val="21"/>
                <w:u w:val="single"/>
              </w:rPr>
            </w:pPr>
            <w:r>
              <w:rPr>
                <w:color w:val="FF0000"/>
                <w:sz w:val="21"/>
                <w:szCs w:val="21"/>
                <w:u w:val="single"/>
              </w:rPr>
              <w:t>声环境</w:t>
            </w:r>
          </w:p>
        </w:tc>
        <w:tc>
          <w:tcPr>
            <w:tcW w:w="1774" w:type="dxa"/>
            <w:tcBorders>
              <w:tl2br w:val="nil"/>
              <w:tr2bl w:val="nil"/>
            </w:tcBorders>
            <w:noWrap/>
            <w:vAlign w:val="center"/>
          </w:tcPr>
          <w:p>
            <w:pPr>
              <w:adjustRightInd w:val="0"/>
              <w:snapToGrid w:val="0"/>
              <w:jc w:val="center"/>
              <w:rPr>
                <w:color w:val="FF0000"/>
                <w:sz w:val="21"/>
                <w:szCs w:val="21"/>
                <w:u w:val="single"/>
              </w:rPr>
            </w:pPr>
            <w:r>
              <w:rPr>
                <w:color w:val="FF0000"/>
                <w:sz w:val="21"/>
                <w:szCs w:val="21"/>
                <w:u w:val="single"/>
              </w:rPr>
              <w:t>设备噪声</w:t>
            </w:r>
          </w:p>
        </w:tc>
        <w:tc>
          <w:tcPr>
            <w:tcW w:w="1483" w:type="dxa"/>
            <w:tcBorders>
              <w:tl2br w:val="nil"/>
              <w:tr2bl w:val="nil"/>
            </w:tcBorders>
            <w:noWrap/>
            <w:vAlign w:val="center"/>
          </w:tcPr>
          <w:p>
            <w:pPr>
              <w:adjustRightInd w:val="0"/>
              <w:snapToGrid w:val="0"/>
              <w:jc w:val="center"/>
              <w:rPr>
                <w:color w:val="FF0000"/>
                <w:sz w:val="21"/>
                <w:szCs w:val="21"/>
                <w:u w:val="single"/>
              </w:rPr>
            </w:pPr>
            <w:r>
              <w:rPr>
                <w:color w:val="FF0000"/>
                <w:sz w:val="21"/>
                <w:szCs w:val="21"/>
                <w:u w:val="single"/>
              </w:rPr>
              <w:t>LeqA</w:t>
            </w:r>
          </w:p>
        </w:tc>
        <w:tc>
          <w:tcPr>
            <w:tcW w:w="1548" w:type="dxa"/>
            <w:tcBorders>
              <w:tl2br w:val="nil"/>
              <w:tr2bl w:val="nil"/>
            </w:tcBorders>
            <w:noWrap/>
            <w:vAlign w:val="center"/>
          </w:tcPr>
          <w:p>
            <w:pPr>
              <w:adjustRightInd w:val="0"/>
              <w:snapToGrid w:val="0"/>
              <w:jc w:val="center"/>
              <w:rPr>
                <w:color w:val="FF0000"/>
                <w:sz w:val="21"/>
                <w:szCs w:val="21"/>
                <w:u w:val="single"/>
              </w:rPr>
            </w:pPr>
            <w:r>
              <w:rPr>
                <w:snapToGrid w:val="0"/>
                <w:color w:val="FF0000"/>
                <w:sz w:val="21"/>
                <w:szCs w:val="21"/>
                <w:u w:val="single"/>
              </w:rPr>
              <w:t>低噪设备，减振，车间隔声</w:t>
            </w:r>
          </w:p>
        </w:tc>
        <w:tc>
          <w:tcPr>
            <w:tcW w:w="2293" w:type="dxa"/>
            <w:tcBorders>
              <w:tl2br w:val="nil"/>
              <w:tr2bl w:val="nil"/>
            </w:tcBorders>
            <w:noWrap/>
            <w:vAlign w:val="center"/>
          </w:tcPr>
          <w:p>
            <w:pPr>
              <w:adjustRightInd w:val="0"/>
              <w:snapToGrid w:val="0"/>
              <w:jc w:val="center"/>
              <w:rPr>
                <w:color w:val="FF0000"/>
                <w:sz w:val="21"/>
                <w:szCs w:val="21"/>
                <w:u w:val="single"/>
              </w:rPr>
            </w:pPr>
            <w:r>
              <w:rPr>
                <w:color w:val="FF0000"/>
                <w:sz w:val="21"/>
                <w:szCs w:val="21"/>
                <w:u w:val="single"/>
              </w:rPr>
              <w:t>《工业企业厂界环境噪声排放标准》（GB12348-2008）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798" w:type="dxa"/>
            <w:tcBorders>
              <w:tl2br w:val="nil"/>
              <w:tr2bl w:val="nil"/>
            </w:tcBorders>
            <w:noWrap/>
            <w:vAlign w:val="center"/>
          </w:tcPr>
          <w:p>
            <w:pPr>
              <w:adjustRightInd w:val="0"/>
              <w:snapToGrid w:val="0"/>
              <w:jc w:val="center"/>
              <w:rPr>
                <w:color w:val="FF0000"/>
                <w:sz w:val="21"/>
                <w:szCs w:val="21"/>
                <w:u w:val="single"/>
              </w:rPr>
            </w:pPr>
            <w:r>
              <w:rPr>
                <w:color w:val="FF0000"/>
                <w:sz w:val="21"/>
                <w:szCs w:val="21"/>
                <w:u w:val="single"/>
              </w:rPr>
              <w:t>固体废物</w:t>
            </w:r>
          </w:p>
        </w:tc>
        <w:tc>
          <w:tcPr>
            <w:tcW w:w="7098" w:type="dxa"/>
            <w:gridSpan w:val="4"/>
            <w:tcBorders>
              <w:tl2br w:val="nil"/>
              <w:tr2bl w:val="nil"/>
            </w:tcBorders>
            <w:noWrap/>
            <w:vAlign w:val="center"/>
          </w:tcPr>
          <w:p>
            <w:pPr>
              <w:adjustRightInd w:val="0"/>
              <w:snapToGrid w:val="0"/>
              <w:spacing w:line="360" w:lineRule="auto"/>
              <w:jc w:val="center"/>
              <w:rPr>
                <w:rFonts w:hint="eastAsia" w:eastAsia="宋体"/>
                <w:color w:val="FF0000"/>
                <w:sz w:val="21"/>
                <w:szCs w:val="21"/>
                <w:u w:val="single"/>
                <w:lang w:eastAsia="zh-CN"/>
              </w:rPr>
            </w:pPr>
            <w:r>
              <w:rPr>
                <w:rFonts w:hint="eastAsia"/>
                <w:bCs/>
                <w:color w:val="FF0000"/>
                <w:sz w:val="21"/>
                <w:szCs w:val="21"/>
                <w:u w:val="single"/>
              </w:rPr>
              <w:t>废机油（</w:t>
            </w:r>
            <w:r>
              <w:rPr>
                <w:rFonts w:hint="eastAsia"/>
                <w:bCs/>
                <w:color w:val="FF0000"/>
                <w:sz w:val="21"/>
                <w:szCs w:val="21"/>
                <w:u w:val="single"/>
                <w:lang w:val="en-US" w:eastAsia="zh-CN"/>
              </w:rPr>
              <w:t>HW</w:t>
            </w:r>
            <w:r>
              <w:rPr>
                <w:rFonts w:hint="eastAsia"/>
                <w:bCs/>
                <w:color w:val="FF0000"/>
                <w:sz w:val="21"/>
                <w:szCs w:val="21"/>
                <w:u w:val="single"/>
              </w:rPr>
              <w:t>08）交由远大（湖南）燃油股份有限公司处理、生活垃圾交由环卫部门处理</w:t>
            </w:r>
            <w:r>
              <w:rPr>
                <w:rFonts w:hint="eastAsia"/>
                <w:bCs/>
                <w:color w:val="FF0000"/>
                <w:sz w:val="21"/>
                <w:szCs w:val="21"/>
                <w:u w:val="single"/>
                <w:lang w:eastAsia="zh-CN"/>
              </w:rPr>
              <w:t>，废机油桶（HW49）、废含油抹布（HW49）、废液压油桶（HW49）、废油水分离器（HW49）暂存于危险废物暂存舱内，定期交由有资质单位进行处置。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98" w:type="dxa"/>
            <w:tcBorders>
              <w:tl2br w:val="nil"/>
              <w:tr2bl w:val="nil"/>
            </w:tcBorders>
            <w:noWrap/>
            <w:vAlign w:val="center"/>
          </w:tcPr>
          <w:p>
            <w:pPr>
              <w:adjustRightInd w:val="0"/>
              <w:snapToGrid w:val="0"/>
              <w:jc w:val="center"/>
              <w:rPr>
                <w:color w:val="FF0000"/>
                <w:sz w:val="21"/>
                <w:szCs w:val="21"/>
                <w:u w:val="single"/>
              </w:rPr>
            </w:pPr>
            <w:r>
              <w:rPr>
                <w:color w:val="FF0000"/>
                <w:sz w:val="21"/>
                <w:szCs w:val="21"/>
                <w:u w:val="single"/>
              </w:rPr>
              <w:t>土壤及地下水</w:t>
            </w:r>
          </w:p>
          <w:p>
            <w:pPr>
              <w:adjustRightInd w:val="0"/>
              <w:snapToGrid w:val="0"/>
              <w:jc w:val="center"/>
              <w:rPr>
                <w:color w:val="FF0000"/>
                <w:sz w:val="21"/>
                <w:szCs w:val="21"/>
                <w:u w:val="single"/>
              </w:rPr>
            </w:pPr>
            <w:r>
              <w:rPr>
                <w:color w:val="FF0000"/>
                <w:sz w:val="21"/>
                <w:szCs w:val="21"/>
                <w:u w:val="single"/>
              </w:rPr>
              <w:t>污染防治措施</w:t>
            </w:r>
          </w:p>
        </w:tc>
        <w:tc>
          <w:tcPr>
            <w:tcW w:w="7098" w:type="dxa"/>
            <w:gridSpan w:val="4"/>
            <w:tcBorders>
              <w:tl2br w:val="nil"/>
              <w:tr2bl w:val="nil"/>
            </w:tcBorders>
            <w:noWrap/>
            <w:vAlign w:val="center"/>
          </w:tcPr>
          <w:p>
            <w:pPr>
              <w:adjustRightInd w:val="0"/>
              <w:snapToGrid w:val="0"/>
              <w:jc w:val="center"/>
              <w:rPr>
                <w:rFonts w:hint="eastAsia" w:eastAsia="宋体"/>
                <w:color w:val="FF0000"/>
                <w:sz w:val="21"/>
                <w:szCs w:val="21"/>
                <w:u w:val="single"/>
                <w:lang w:val="en-US" w:eastAsia="zh-CN"/>
              </w:rPr>
            </w:pPr>
            <w:r>
              <w:rPr>
                <w:rFonts w:hint="eastAsia"/>
                <w:color w:val="FF0000"/>
                <w:sz w:val="21"/>
                <w:szCs w:val="21"/>
                <w:u w:val="singl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1798" w:type="dxa"/>
            <w:tcBorders>
              <w:tl2br w:val="nil"/>
              <w:tr2bl w:val="nil"/>
            </w:tcBorders>
            <w:noWrap/>
            <w:vAlign w:val="center"/>
          </w:tcPr>
          <w:p>
            <w:pPr>
              <w:adjustRightInd w:val="0"/>
              <w:snapToGrid w:val="0"/>
              <w:jc w:val="center"/>
              <w:rPr>
                <w:color w:val="FF0000"/>
                <w:sz w:val="21"/>
                <w:szCs w:val="21"/>
                <w:u w:val="single"/>
              </w:rPr>
            </w:pPr>
            <w:r>
              <w:rPr>
                <w:color w:val="FF0000"/>
                <w:sz w:val="21"/>
                <w:szCs w:val="21"/>
                <w:u w:val="single"/>
              </w:rPr>
              <w:t>生态保护措施</w:t>
            </w:r>
          </w:p>
        </w:tc>
        <w:tc>
          <w:tcPr>
            <w:tcW w:w="7098" w:type="dxa"/>
            <w:gridSpan w:val="4"/>
            <w:tcBorders>
              <w:tl2br w:val="nil"/>
              <w:tr2bl w:val="nil"/>
            </w:tcBorders>
            <w:noWrap/>
            <w:vAlign w:val="center"/>
          </w:tcPr>
          <w:p>
            <w:pPr>
              <w:adjustRightInd w:val="0"/>
              <w:snapToGrid w:val="0"/>
              <w:jc w:val="center"/>
              <w:rPr>
                <w:color w:val="FF0000"/>
                <w:sz w:val="21"/>
                <w:szCs w:val="21"/>
                <w:u w:val="single"/>
              </w:rPr>
            </w:pPr>
            <w:r>
              <w:rPr>
                <w:rFonts w:hint="eastAsia"/>
                <w:color w:val="FF0000"/>
                <w:sz w:val="21"/>
                <w:szCs w:val="21"/>
                <w:u w:val="singl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36" w:hRule="atLeast"/>
          <w:jc w:val="center"/>
        </w:trPr>
        <w:tc>
          <w:tcPr>
            <w:tcW w:w="1798" w:type="dxa"/>
            <w:tcBorders>
              <w:tl2br w:val="nil"/>
              <w:tr2bl w:val="nil"/>
            </w:tcBorders>
            <w:noWrap/>
            <w:vAlign w:val="center"/>
          </w:tcPr>
          <w:p>
            <w:pPr>
              <w:adjustRightInd w:val="0"/>
              <w:snapToGrid w:val="0"/>
              <w:jc w:val="center"/>
              <w:rPr>
                <w:color w:val="FF0000"/>
                <w:spacing w:val="-8"/>
                <w:sz w:val="21"/>
                <w:szCs w:val="21"/>
                <w:u w:val="single"/>
              </w:rPr>
            </w:pPr>
            <w:r>
              <w:rPr>
                <w:color w:val="FF0000"/>
                <w:spacing w:val="-8"/>
                <w:sz w:val="21"/>
                <w:szCs w:val="21"/>
                <w:u w:val="single"/>
              </w:rPr>
              <w:t>环境风险</w:t>
            </w:r>
          </w:p>
          <w:p>
            <w:pPr>
              <w:adjustRightInd w:val="0"/>
              <w:snapToGrid w:val="0"/>
              <w:jc w:val="center"/>
              <w:rPr>
                <w:color w:val="FF0000"/>
                <w:spacing w:val="-8"/>
                <w:sz w:val="21"/>
                <w:szCs w:val="21"/>
                <w:u w:val="single"/>
              </w:rPr>
            </w:pPr>
            <w:r>
              <w:rPr>
                <w:color w:val="FF0000"/>
                <w:spacing w:val="-8"/>
                <w:sz w:val="21"/>
                <w:szCs w:val="21"/>
                <w:u w:val="single"/>
              </w:rPr>
              <w:t>防范措施</w:t>
            </w:r>
          </w:p>
        </w:tc>
        <w:tc>
          <w:tcPr>
            <w:tcW w:w="7098" w:type="dxa"/>
            <w:gridSpan w:val="4"/>
            <w:tcBorders>
              <w:tl2br w:val="nil"/>
              <w:tr2bl w:val="nil"/>
            </w:tcBorders>
            <w:noWrap/>
            <w:vAlign w:val="center"/>
          </w:tcPr>
          <w:p>
            <w:pPr>
              <w:adjustRightInd w:val="0"/>
              <w:snapToGrid w:val="0"/>
              <w:jc w:val="center"/>
              <w:rPr>
                <w:color w:val="FF0000"/>
                <w:sz w:val="21"/>
                <w:szCs w:val="21"/>
                <w:u w:val="single"/>
              </w:rPr>
            </w:pPr>
            <w:r>
              <w:rPr>
                <w:rFonts w:hint="eastAsia" w:ascii="宋体" w:hAnsi="宋体" w:cs="宋体"/>
                <w:color w:val="FF0000"/>
                <w:sz w:val="21"/>
                <w:szCs w:val="21"/>
                <w:u w:val="single"/>
              </w:rPr>
              <w:t>加强管理，定期巡检</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98" w:type="dxa"/>
            <w:tcBorders>
              <w:tl2br w:val="nil"/>
              <w:tr2bl w:val="nil"/>
            </w:tcBorders>
            <w:noWrap/>
            <w:vAlign w:val="center"/>
          </w:tcPr>
          <w:p>
            <w:pPr>
              <w:adjustRightInd w:val="0"/>
              <w:snapToGrid w:val="0"/>
              <w:jc w:val="center"/>
              <w:rPr>
                <w:color w:val="FF0000"/>
                <w:spacing w:val="-8"/>
                <w:sz w:val="21"/>
                <w:szCs w:val="21"/>
                <w:u w:val="single"/>
              </w:rPr>
            </w:pPr>
            <w:r>
              <w:rPr>
                <w:color w:val="FF0000"/>
                <w:spacing w:val="-8"/>
                <w:sz w:val="21"/>
                <w:szCs w:val="21"/>
                <w:u w:val="single"/>
              </w:rPr>
              <w:t>其他环境</w:t>
            </w:r>
          </w:p>
          <w:p>
            <w:pPr>
              <w:adjustRightInd w:val="0"/>
              <w:snapToGrid w:val="0"/>
              <w:jc w:val="center"/>
              <w:rPr>
                <w:color w:val="FF0000"/>
                <w:spacing w:val="-8"/>
                <w:sz w:val="21"/>
                <w:szCs w:val="21"/>
                <w:u w:val="single"/>
              </w:rPr>
            </w:pPr>
            <w:r>
              <w:rPr>
                <w:color w:val="FF0000"/>
                <w:spacing w:val="-8"/>
                <w:sz w:val="21"/>
                <w:szCs w:val="21"/>
                <w:u w:val="single"/>
              </w:rPr>
              <w:t>管理要求</w:t>
            </w:r>
          </w:p>
        </w:tc>
        <w:tc>
          <w:tcPr>
            <w:tcW w:w="7098" w:type="dxa"/>
            <w:gridSpan w:val="4"/>
            <w:tcBorders>
              <w:tl2br w:val="nil"/>
              <w:tr2bl w:val="nil"/>
            </w:tcBorders>
            <w:noWrap/>
            <w:vAlign w:val="center"/>
          </w:tcPr>
          <w:p>
            <w:pPr>
              <w:adjustRightInd w:val="0"/>
              <w:snapToGrid w:val="0"/>
              <w:rPr>
                <w:color w:val="FF0000"/>
                <w:sz w:val="21"/>
                <w:szCs w:val="21"/>
                <w:u w:val="single"/>
              </w:rPr>
            </w:pPr>
            <w:r>
              <w:rPr>
                <w:rFonts w:ascii="宋体" w:hAnsi="宋体" w:cs="宋体"/>
                <w:color w:val="FF0000"/>
                <w:sz w:val="21"/>
                <w:szCs w:val="21"/>
                <w:u w:val="single"/>
              </w:rPr>
              <w:t>加强环境管理，建立定期检查制度固体废物的收集、储存、运输、处置的管理，及时收集、及时处置</w:t>
            </w:r>
          </w:p>
        </w:tc>
      </w:tr>
    </w:tbl>
    <w:p>
      <w:pPr>
        <w:pStyle w:val="14"/>
        <w:jc w:val="center"/>
        <w:outlineLvl w:val="0"/>
        <w:rPr>
          <w:rFonts w:ascii="黑体" w:hAnsi="黑体" w:eastAsia="黑体"/>
          <w:snapToGrid w:val="0"/>
          <w:color w:val="auto"/>
          <w:sz w:val="30"/>
          <w:szCs w:val="30"/>
          <w:u w:val="none" w:color="auto"/>
        </w:rPr>
      </w:pPr>
      <w:r>
        <w:rPr>
          <w:snapToGrid w:val="0"/>
          <w:color w:val="0000FF"/>
          <w:u w:val="none" w:color="auto"/>
        </w:rPr>
        <w:br w:type="page"/>
      </w:r>
      <w:bookmarkStart w:id="16" w:name="_Toc25597"/>
      <w:r>
        <w:rPr>
          <w:rFonts w:hint="eastAsia" w:ascii="黑体" w:hAnsi="黑体" w:eastAsia="黑体"/>
          <w:snapToGrid w:val="0"/>
          <w:color w:val="auto"/>
          <w:sz w:val="30"/>
          <w:szCs w:val="30"/>
          <w:u w:val="none" w:color="auto"/>
        </w:rPr>
        <w:t>六、结论</w:t>
      </w:r>
      <w:bookmarkEnd w:id="16"/>
    </w:p>
    <w:tbl>
      <w:tblPr>
        <w:tblStyle w:val="1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center"/>
          </w:tcPr>
          <w:p>
            <w:pPr>
              <w:spacing w:line="360" w:lineRule="auto"/>
              <w:ind w:firstLine="480" w:firstLineChars="200"/>
              <w:rPr>
                <w:rFonts w:ascii="宋体" w:cs="宋体"/>
                <w:color w:val="auto"/>
                <w:sz w:val="24"/>
                <w:u w:val="none" w:color="auto"/>
              </w:rPr>
            </w:pPr>
            <w:r>
              <w:rPr>
                <w:rFonts w:hint="eastAsia" w:ascii="宋体" w:cs="宋体"/>
                <w:color w:val="auto"/>
                <w:sz w:val="24"/>
                <w:u w:val="none" w:color="auto"/>
              </w:rPr>
              <w:t>经综合分析，项目建设与国家政策及相关规划相符，选址合理可行，在认真落实报告表提出的各项环保措施的前提下，污染物可做到达标排放，固废可得到妥善利用，噪声不会出现扰民现象，项目建设及运营对周边环境的影响可满足环境功能规划的要求，从环境保护角度而言，项目建设可行。</w:t>
            </w:r>
          </w:p>
        </w:tc>
      </w:tr>
    </w:tbl>
    <w:p>
      <w:pPr>
        <w:rPr>
          <w:rFonts w:ascii="宋体"/>
          <w:color w:val="0000FF"/>
          <w:u w:val="none" w:color="auto"/>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14"/>
        <w:adjustRightInd w:val="0"/>
        <w:snapToGrid w:val="0"/>
        <w:spacing w:before="0" w:beforeAutospacing="0" w:after="0" w:afterAutospacing="0" w:line="240" w:lineRule="auto"/>
        <w:outlineLvl w:val="0"/>
        <w:rPr>
          <w:rFonts w:ascii="黑体" w:hAnsi="黑体" w:eastAsia="黑体"/>
          <w:snapToGrid w:val="0"/>
          <w:color w:val="auto"/>
          <w:sz w:val="32"/>
          <w:szCs w:val="32"/>
          <w:u w:val="none" w:color="auto"/>
        </w:rPr>
      </w:pPr>
      <w:bookmarkStart w:id="17" w:name="_Toc15494"/>
      <w:r>
        <w:rPr>
          <w:rFonts w:hint="eastAsia" w:ascii="黑体" w:hAnsi="黑体" w:eastAsia="黑体"/>
          <w:snapToGrid w:val="0"/>
          <w:color w:val="auto"/>
          <w:sz w:val="32"/>
          <w:szCs w:val="32"/>
          <w:u w:val="none" w:color="auto"/>
        </w:rPr>
        <w:t>附表</w:t>
      </w:r>
      <w:bookmarkEnd w:id="17"/>
    </w:p>
    <w:p>
      <w:pPr>
        <w:pStyle w:val="14"/>
        <w:adjustRightInd w:val="0"/>
        <w:snapToGrid w:val="0"/>
        <w:spacing w:before="0" w:beforeAutospacing="0" w:after="0" w:afterAutospacing="0" w:line="240" w:lineRule="auto"/>
        <w:jc w:val="center"/>
        <w:outlineLvl w:val="9"/>
        <w:rPr>
          <w:rFonts w:hint="eastAsia" w:ascii="方正小标宋_GBK" w:hAnsi="黑体" w:eastAsia="方正小标宋_GBK"/>
          <w:snapToGrid w:val="0"/>
          <w:color w:val="auto"/>
          <w:sz w:val="38"/>
          <w:szCs w:val="38"/>
          <w:u w:val="none" w:color="auto"/>
        </w:rPr>
      </w:pPr>
      <w:r>
        <w:rPr>
          <w:rFonts w:hint="eastAsia" w:ascii="方正小标宋_GBK" w:hAnsi="黑体" w:eastAsia="方正小标宋_GBK"/>
          <w:snapToGrid w:val="0"/>
          <w:color w:val="auto"/>
          <w:sz w:val="38"/>
          <w:szCs w:val="38"/>
          <w:u w:val="none" w:color="auto"/>
        </w:rPr>
        <w:t>建设项目污染物排放量汇总表</w:t>
      </w:r>
    </w:p>
    <w:tbl>
      <w:tblPr>
        <w:tblStyle w:val="17"/>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478"/>
        <w:gridCol w:w="1159"/>
        <w:gridCol w:w="1446"/>
        <w:gridCol w:w="1377"/>
        <w:gridCol w:w="1677"/>
        <w:gridCol w:w="1800"/>
        <w:gridCol w:w="184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noWrap w:val="0"/>
            <w:tcMar>
              <w:left w:w="28" w:type="dxa"/>
              <w:right w:w="28" w:type="dxa"/>
            </w:tcMar>
            <w:vAlign w:val="center"/>
          </w:tcPr>
          <w:p>
            <w:pPr>
              <w:pStyle w:val="30"/>
              <w:spacing w:beforeLines="0" w:afterLines="0" w:line="240" w:lineRule="auto"/>
              <w:jc w:val="right"/>
              <w:rPr>
                <w:rFonts w:hint="eastAsia" w:ascii="黑体" w:hAnsi="黑体" w:eastAsia="黑体" w:cs="宋体"/>
                <w:snapToGrid w:val="0"/>
                <w:color w:val="auto"/>
                <w:spacing w:val="-6"/>
                <w:kern w:val="21"/>
                <w:szCs w:val="21"/>
                <w:u w:val="none" w:color="auto"/>
              </w:rPr>
            </w:pPr>
            <w:r>
              <w:rPr>
                <w:rFonts w:hint="eastAsia" w:ascii="黑体" w:hAnsi="黑体" w:eastAsia="黑体" w:cs="宋体"/>
                <w:snapToGrid w:val="0"/>
                <w:color w:val="auto"/>
                <w:spacing w:val="-6"/>
                <w:kern w:val="21"/>
                <w:szCs w:val="21"/>
                <w:u w:val="none" w:color="auto"/>
              </w:rPr>
              <w:t>项目</w:t>
            </w:r>
          </w:p>
          <w:p>
            <w:pPr>
              <w:pStyle w:val="30"/>
              <w:spacing w:beforeLines="0" w:afterLines="0" w:line="240" w:lineRule="auto"/>
              <w:ind w:left="0" w:leftChars="0" w:firstLine="0" w:firstLineChars="0"/>
              <w:jc w:val="left"/>
              <w:rPr>
                <w:rFonts w:hint="eastAsia" w:ascii="黑体" w:hAnsi="黑体" w:eastAsia="黑体" w:cs="宋体"/>
                <w:snapToGrid w:val="0"/>
                <w:color w:val="auto"/>
                <w:spacing w:val="-6"/>
                <w:kern w:val="21"/>
                <w:szCs w:val="21"/>
                <w:u w:val="none" w:color="auto"/>
              </w:rPr>
            </w:pPr>
            <w:r>
              <w:rPr>
                <w:rFonts w:hint="eastAsia" w:ascii="黑体" w:hAnsi="黑体" w:eastAsia="黑体" w:cs="宋体"/>
                <w:snapToGrid w:val="0"/>
                <w:color w:val="auto"/>
                <w:spacing w:val="-6"/>
                <w:kern w:val="21"/>
                <w:szCs w:val="21"/>
                <w:u w:val="none" w:color="auto"/>
              </w:rPr>
              <w:t>分类</w:t>
            </w:r>
          </w:p>
        </w:tc>
        <w:tc>
          <w:tcPr>
            <w:tcW w:w="1417" w:type="dxa"/>
            <w:noWrap w:val="0"/>
            <w:tcMar>
              <w:left w:w="28" w:type="dxa"/>
              <w:right w:w="28" w:type="dxa"/>
            </w:tcMar>
            <w:vAlign w:val="center"/>
          </w:tcPr>
          <w:p>
            <w:pPr>
              <w:pStyle w:val="30"/>
              <w:spacing w:beforeLines="0" w:afterLines="0" w:line="240" w:lineRule="auto"/>
              <w:ind w:left="0" w:leftChars="0" w:firstLine="0" w:firstLineChars="0"/>
              <w:jc w:val="center"/>
              <w:rPr>
                <w:rFonts w:hint="eastAsia" w:ascii="黑体" w:hAnsi="黑体" w:eastAsia="黑体" w:cs="宋体"/>
                <w:snapToGrid w:val="0"/>
                <w:color w:val="auto"/>
                <w:spacing w:val="-6"/>
                <w:kern w:val="21"/>
                <w:szCs w:val="21"/>
                <w:u w:val="none" w:color="auto"/>
              </w:rPr>
            </w:pPr>
            <w:r>
              <w:rPr>
                <w:rFonts w:hint="eastAsia" w:ascii="黑体" w:hAnsi="黑体" w:eastAsia="黑体" w:cs="宋体"/>
                <w:snapToGrid w:val="0"/>
                <w:color w:val="auto"/>
                <w:spacing w:val="-6"/>
                <w:kern w:val="21"/>
                <w:szCs w:val="21"/>
                <w:u w:val="none" w:color="auto"/>
              </w:rPr>
              <w:t>污染物名称</w:t>
            </w:r>
          </w:p>
        </w:tc>
        <w:tc>
          <w:tcPr>
            <w:tcW w:w="1478" w:type="dxa"/>
            <w:noWrap w:val="0"/>
            <w:tcMar>
              <w:left w:w="28" w:type="dxa"/>
              <w:right w:w="28" w:type="dxa"/>
            </w:tcMar>
            <w:vAlign w:val="center"/>
          </w:tcPr>
          <w:p>
            <w:pPr>
              <w:pStyle w:val="30"/>
              <w:spacing w:beforeLines="0" w:afterLines="0" w:line="240" w:lineRule="auto"/>
              <w:ind w:left="0" w:leftChars="0" w:firstLine="0" w:firstLineChars="0"/>
              <w:jc w:val="center"/>
              <w:rPr>
                <w:rFonts w:ascii="黑体" w:hAnsi="黑体" w:eastAsia="黑体"/>
                <w:snapToGrid w:val="0"/>
                <w:color w:val="auto"/>
                <w:spacing w:val="-6"/>
                <w:kern w:val="21"/>
                <w:szCs w:val="21"/>
                <w:u w:val="none" w:color="auto"/>
              </w:rPr>
            </w:pPr>
            <w:r>
              <w:rPr>
                <w:rFonts w:ascii="黑体" w:hAnsi="黑体" w:eastAsia="黑体"/>
                <w:snapToGrid w:val="0"/>
                <w:color w:val="auto"/>
                <w:spacing w:val="-6"/>
                <w:kern w:val="21"/>
                <w:szCs w:val="21"/>
                <w:u w:val="none" w:color="auto"/>
              </w:rPr>
              <w:t>现有工程排放量（固</w:t>
            </w:r>
            <w:r>
              <w:rPr>
                <w:rFonts w:hint="eastAsia" w:ascii="黑体" w:hAnsi="黑体" w:eastAsia="黑体"/>
                <w:snapToGrid w:val="0"/>
                <w:color w:val="auto"/>
                <w:spacing w:val="-6"/>
                <w:kern w:val="21"/>
                <w:szCs w:val="21"/>
                <w:u w:val="none" w:color="auto"/>
              </w:rPr>
              <w:t>体</w:t>
            </w:r>
            <w:r>
              <w:rPr>
                <w:rFonts w:ascii="黑体" w:hAnsi="黑体" w:eastAsia="黑体"/>
                <w:snapToGrid w:val="0"/>
                <w:color w:val="auto"/>
                <w:spacing w:val="-6"/>
                <w:kern w:val="21"/>
                <w:szCs w:val="21"/>
                <w:u w:val="none" w:color="auto"/>
              </w:rPr>
              <w:t>废</w:t>
            </w:r>
            <w:r>
              <w:rPr>
                <w:rFonts w:hint="eastAsia" w:ascii="黑体" w:hAnsi="黑体" w:eastAsia="黑体"/>
                <w:snapToGrid w:val="0"/>
                <w:color w:val="auto"/>
                <w:spacing w:val="-6"/>
                <w:kern w:val="21"/>
                <w:szCs w:val="21"/>
                <w:u w:val="none" w:color="auto"/>
              </w:rPr>
              <w:t>物</w:t>
            </w:r>
            <w:r>
              <w:rPr>
                <w:rFonts w:ascii="黑体" w:hAnsi="黑体" w:eastAsia="黑体"/>
                <w:snapToGrid w:val="0"/>
                <w:color w:val="auto"/>
                <w:spacing w:val="-6"/>
                <w:kern w:val="21"/>
                <w:szCs w:val="21"/>
                <w:u w:val="none" w:color="auto"/>
              </w:rPr>
              <w:t>产生量）</w:t>
            </w:r>
            <w:r>
              <w:rPr>
                <w:rFonts w:ascii="黑体" w:hAnsi="黑体" w:eastAsia="黑体"/>
                <w:snapToGrid w:val="0"/>
                <w:color w:val="auto"/>
                <w:spacing w:val="-6"/>
                <w:kern w:val="21"/>
                <w:szCs w:val="21"/>
                <w:u w:val="none" w:color="auto"/>
              </w:rPr>
              <w:fldChar w:fldCharType="begin"/>
            </w:r>
            <w:r>
              <w:rPr>
                <w:rFonts w:ascii="黑体" w:hAnsi="黑体" w:eastAsia="黑体"/>
                <w:snapToGrid w:val="0"/>
                <w:color w:val="auto"/>
                <w:spacing w:val="-6"/>
                <w:kern w:val="21"/>
                <w:szCs w:val="21"/>
                <w:u w:val="none" w:color="auto"/>
              </w:rPr>
              <w:instrText xml:space="preserve"> = 1 \* GB3 \* MERGEFORMAT </w:instrText>
            </w:r>
            <w:r>
              <w:rPr>
                <w:rFonts w:ascii="黑体" w:hAnsi="黑体" w:eastAsia="黑体"/>
                <w:snapToGrid w:val="0"/>
                <w:color w:val="auto"/>
                <w:spacing w:val="-6"/>
                <w:kern w:val="21"/>
                <w:szCs w:val="21"/>
                <w:u w:val="none" w:color="auto"/>
              </w:rPr>
              <w:fldChar w:fldCharType="separate"/>
            </w:r>
            <w:r>
              <w:rPr>
                <w:rFonts w:hint="eastAsia" w:ascii="黑体" w:hAnsi="黑体" w:eastAsia="黑体" w:cs="宋体"/>
                <w:color w:val="auto"/>
                <w:kern w:val="2"/>
                <w:szCs w:val="21"/>
                <w:u w:val="none" w:color="auto"/>
              </w:rPr>
              <w:t>①</w:t>
            </w:r>
            <w:r>
              <w:rPr>
                <w:rFonts w:ascii="黑体" w:hAnsi="黑体" w:eastAsia="黑体"/>
                <w:snapToGrid w:val="0"/>
                <w:color w:val="auto"/>
                <w:spacing w:val="-6"/>
                <w:kern w:val="21"/>
                <w:szCs w:val="21"/>
                <w:u w:val="none" w:color="auto"/>
              </w:rPr>
              <w:fldChar w:fldCharType="end"/>
            </w:r>
          </w:p>
        </w:tc>
        <w:tc>
          <w:tcPr>
            <w:tcW w:w="1159" w:type="dxa"/>
            <w:noWrap w:val="0"/>
            <w:tcMar>
              <w:left w:w="28" w:type="dxa"/>
              <w:right w:w="28" w:type="dxa"/>
            </w:tcMar>
            <w:vAlign w:val="center"/>
          </w:tcPr>
          <w:p>
            <w:pPr>
              <w:pStyle w:val="30"/>
              <w:spacing w:beforeLines="0" w:afterLines="0" w:line="240" w:lineRule="auto"/>
              <w:ind w:left="0" w:leftChars="0" w:firstLine="0" w:firstLineChars="0"/>
              <w:jc w:val="center"/>
              <w:rPr>
                <w:rFonts w:ascii="黑体" w:hAnsi="黑体" w:eastAsia="黑体"/>
                <w:snapToGrid w:val="0"/>
                <w:color w:val="auto"/>
                <w:spacing w:val="-6"/>
                <w:kern w:val="21"/>
                <w:szCs w:val="21"/>
                <w:u w:val="none" w:color="auto"/>
              </w:rPr>
            </w:pPr>
            <w:r>
              <w:rPr>
                <w:rFonts w:ascii="黑体" w:hAnsi="黑体" w:eastAsia="黑体"/>
                <w:snapToGrid w:val="0"/>
                <w:color w:val="auto"/>
                <w:spacing w:val="-6"/>
                <w:kern w:val="21"/>
                <w:szCs w:val="21"/>
                <w:u w:val="none" w:color="auto"/>
              </w:rPr>
              <w:t>现有工程许可排放量</w:t>
            </w:r>
            <w:r>
              <w:rPr>
                <w:rFonts w:ascii="黑体" w:hAnsi="黑体" w:eastAsia="黑体"/>
                <w:snapToGrid w:val="0"/>
                <w:color w:val="auto"/>
                <w:spacing w:val="-6"/>
                <w:kern w:val="21"/>
                <w:szCs w:val="21"/>
                <w:u w:val="none" w:color="auto"/>
              </w:rPr>
              <w:fldChar w:fldCharType="begin"/>
            </w:r>
            <w:r>
              <w:rPr>
                <w:rFonts w:ascii="黑体" w:hAnsi="黑体" w:eastAsia="黑体"/>
                <w:snapToGrid w:val="0"/>
                <w:color w:val="auto"/>
                <w:spacing w:val="-6"/>
                <w:kern w:val="21"/>
                <w:szCs w:val="21"/>
                <w:u w:val="none" w:color="auto"/>
              </w:rPr>
              <w:instrText xml:space="preserve"> = 2 \* GB3 \* MERGEFORMAT </w:instrText>
            </w:r>
            <w:r>
              <w:rPr>
                <w:rFonts w:ascii="黑体" w:hAnsi="黑体" w:eastAsia="黑体"/>
                <w:snapToGrid w:val="0"/>
                <w:color w:val="auto"/>
                <w:spacing w:val="-6"/>
                <w:kern w:val="21"/>
                <w:szCs w:val="21"/>
                <w:u w:val="none" w:color="auto"/>
              </w:rPr>
              <w:fldChar w:fldCharType="separate"/>
            </w:r>
            <w:r>
              <w:rPr>
                <w:rFonts w:hint="eastAsia" w:ascii="黑体" w:hAnsi="黑体" w:eastAsia="黑体" w:cs="宋体"/>
                <w:snapToGrid w:val="0"/>
                <w:color w:val="auto"/>
                <w:spacing w:val="-6"/>
                <w:kern w:val="21"/>
                <w:szCs w:val="21"/>
                <w:u w:val="none" w:color="auto"/>
              </w:rPr>
              <w:t>②</w:t>
            </w:r>
            <w:r>
              <w:rPr>
                <w:rFonts w:ascii="黑体" w:hAnsi="黑体" w:eastAsia="黑体"/>
                <w:snapToGrid w:val="0"/>
                <w:color w:val="auto"/>
                <w:spacing w:val="-6"/>
                <w:kern w:val="21"/>
                <w:szCs w:val="21"/>
                <w:u w:val="none" w:color="auto"/>
              </w:rPr>
              <w:fldChar w:fldCharType="end"/>
            </w:r>
          </w:p>
        </w:tc>
        <w:tc>
          <w:tcPr>
            <w:tcW w:w="1446" w:type="dxa"/>
            <w:noWrap w:val="0"/>
            <w:tcMar>
              <w:left w:w="28" w:type="dxa"/>
              <w:right w:w="28" w:type="dxa"/>
            </w:tcMar>
            <w:vAlign w:val="center"/>
          </w:tcPr>
          <w:p>
            <w:pPr>
              <w:pStyle w:val="30"/>
              <w:spacing w:beforeLines="0" w:afterLines="0" w:line="240" w:lineRule="auto"/>
              <w:ind w:left="0" w:leftChars="0" w:firstLine="0" w:firstLineChars="0"/>
              <w:jc w:val="center"/>
              <w:rPr>
                <w:rFonts w:ascii="黑体" w:hAnsi="黑体" w:eastAsia="黑体"/>
                <w:snapToGrid w:val="0"/>
                <w:color w:val="auto"/>
                <w:spacing w:val="-6"/>
                <w:kern w:val="21"/>
                <w:szCs w:val="21"/>
                <w:u w:val="none" w:color="auto"/>
              </w:rPr>
            </w:pPr>
            <w:r>
              <w:rPr>
                <w:rFonts w:ascii="黑体" w:hAnsi="黑体" w:eastAsia="黑体"/>
                <w:snapToGrid w:val="0"/>
                <w:color w:val="auto"/>
                <w:spacing w:val="-6"/>
                <w:kern w:val="21"/>
                <w:szCs w:val="21"/>
                <w:u w:val="none" w:color="auto"/>
              </w:rPr>
              <w:t>在建工程排放量（固</w:t>
            </w:r>
            <w:r>
              <w:rPr>
                <w:rFonts w:hint="eastAsia" w:ascii="黑体" w:hAnsi="黑体" w:eastAsia="黑体"/>
                <w:snapToGrid w:val="0"/>
                <w:color w:val="auto"/>
                <w:spacing w:val="-6"/>
                <w:kern w:val="21"/>
                <w:szCs w:val="21"/>
                <w:u w:val="none" w:color="auto"/>
              </w:rPr>
              <w:t>体</w:t>
            </w:r>
            <w:r>
              <w:rPr>
                <w:rFonts w:ascii="黑体" w:hAnsi="黑体" w:eastAsia="黑体"/>
                <w:snapToGrid w:val="0"/>
                <w:color w:val="auto"/>
                <w:spacing w:val="-6"/>
                <w:kern w:val="21"/>
                <w:szCs w:val="21"/>
                <w:u w:val="none" w:color="auto"/>
              </w:rPr>
              <w:t>废</w:t>
            </w:r>
            <w:r>
              <w:rPr>
                <w:rFonts w:hint="eastAsia" w:ascii="黑体" w:hAnsi="黑体" w:eastAsia="黑体"/>
                <w:snapToGrid w:val="0"/>
                <w:color w:val="auto"/>
                <w:spacing w:val="-6"/>
                <w:kern w:val="21"/>
                <w:szCs w:val="21"/>
                <w:u w:val="none" w:color="auto"/>
              </w:rPr>
              <w:t>物</w:t>
            </w:r>
            <w:r>
              <w:rPr>
                <w:rFonts w:ascii="黑体" w:hAnsi="黑体" w:eastAsia="黑体"/>
                <w:snapToGrid w:val="0"/>
                <w:color w:val="auto"/>
                <w:spacing w:val="-6"/>
                <w:kern w:val="21"/>
                <w:szCs w:val="21"/>
                <w:u w:val="none" w:color="auto"/>
              </w:rPr>
              <w:t>产生量）</w:t>
            </w:r>
            <w:r>
              <w:rPr>
                <w:rFonts w:ascii="黑体" w:hAnsi="黑体" w:eastAsia="黑体"/>
                <w:snapToGrid w:val="0"/>
                <w:color w:val="auto"/>
                <w:spacing w:val="-6"/>
                <w:kern w:val="21"/>
                <w:szCs w:val="21"/>
                <w:u w:val="none" w:color="auto"/>
              </w:rPr>
              <w:fldChar w:fldCharType="begin"/>
            </w:r>
            <w:r>
              <w:rPr>
                <w:rFonts w:ascii="黑体" w:hAnsi="黑体" w:eastAsia="黑体"/>
                <w:snapToGrid w:val="0"/>
                <w:color w:val="auto"/>
                <w:spacing w:val="-6"/>
                <w:kern w:val="21"/>
                <w:szCs w:val="21"/>
                <w:u w:val="none" w:color="auto"/>
              </w:rPr>
              <w:instrText xml:space="preserve"> = 3 \* GB3 \* MERGEFORMAT </w:instrText>
            </w:r>
            <w:r>
              <w:rPr>
                <w:rFonts w:ascii="黑体" w:hAnsi="黑体" w:eastAsia="黑体"/>
                <w:snapToGrid w:val="0"/>
                <w:color w:val="auto"/>
                <w:spacing w:val="-6"/>
                <w:kern w:val="21"/>
                <w:szCs w:val="21"/>
                <w:u w:val="none" w:color="auto"/>
              </w:rPr>
              <w:fldChar w:fldCharType="separate"/>
            </w:r>
            <w:r>
              <w:rPr>
                <w:rFonts w:hint="eastAsia" w:ascii="黑体" w:hAnsi="黑体" w:eastAsia="黑体" w:cs="宋体"/>
                <w:color w:val="auto"/>
                <w:kern w:val="2"/>
                <w:szCs w:val="21"/>
                <w:u w:val="none" w:color="auto"/>
              </w:rPr>
              <w:t>③</w:t>
            </w:r>
            <w:r>
              <w:rPr>
                <w:rFonts w:ascii="黑体" w:hAnsi="黑体" w:eastAsia="黑体"/>
                <w:snapToGrid w:val="0"/>
                <w:color w:val="auto"/>
                <w:spacing w:val="-6"/>
                <w:kern w:val="21"/>
                <w:szCs w:val="21"/>
                <w:u w:val="none" w:color="auto"/>
              </w:rPr>
              <w:fldChar w:fldCharType="end"/>
            </w:r>
          </w:p>
        </w:tc>
        <w:tc>
          <w:tcPr>
            <w:tcW w:w="1377" w:type="dxa"/>
            <w:noWrap w:val="0"/>
            <w:tcMar>
              <w:left w:w="28" w:type="dxa"/>
              <w:right w:w="28" w:type="dxa"/>
            </w:tcMar>
            <w:vAlign w:val="center"/>
          </w:tcPr>
          <w:p>
            <w:pPr>
              <w:pStyle w:val="30"/>
              <w:spacing w:beforeLines="0" w:afterLines="0" w:line="240" w:lineRule="auto"/>
              <w:ind w:left="0" w:leftChars="0" w:firstLine="0" w:firstLineChars="0"/>
              <w:jc w:val="center"/>
              <w:rPr>
                <w:rFonts w:ascii="黑体" w:hAnsi="黑体" w:eastAsia="黑体"/>
                <w:snapToGrid w:val="0"/>
                <w:color w:val="auto"/>
                <w:spacing w:val="-6"/>
                <w:kern w:val="21"/>
                <w:szCs w:val="21"/>
                <w:u w:val="none" w:color="auto"/>
              </w:rPr>
            </w:pPr>
            <w:r>
              <w:rPr>
                <w:rFonts w:ascii="黑体" w:hAnsi="黑体" w:eastAsia="黑体"/>
                <w:snapToGrid w:val="0"/>
                <w:color w:val="auto"/>
                <w:spacing w:val="-6"/>
                <w:kern w:val="21"/>
                <w:szCs w:val="21"/>
                <w:u w:val="none" w:color="auto"/>
              </w:rPr>
              <w:t>本项目排放量（固</w:t>
            </w:r>
            <w:r>
              <w:rPr>
                <w:rFonts w:hint="eastAsia" w:ascii="黑体" w:hAnsi="黑体" w:eastAsia="黑体"/>
                <w:snapToGrid w:val="0"/>
                <w:color w:val="auto"/>
                <w:spacing w:val="-6"/>
                <w:kern w:val="21"/>
                <w:szCs w:val="21"/>
                <w:u w:val="none" w:color="auto"/>
              </w:rPr>
              <w:t>体</w:t>
            </w:r>
            <w:r>
              <w:rPr>
                <w:rFonts w:ascii="黑体" w:hAnsi="黑体" w:eastAsia="黑体"/>
                <w:snapToGrid w:val="0"/>
                <w:color w:val="auto"/>
                <w:spacing w:val="-6"/>
                <w:kern w:val="21"/>
                <w:szCs w:val="21"/>
                <w:u w:val="none" w:color="auto"/>
              </w:rPr>
              <w:t>废</w:t>
            </w:r>
            <w:r>
              <w:rPr>
                <w:rFonts w:hint="eastAsia" w:ascii="黑体" w:hAnsi="黑体" w:eastAsia="黑体"/>
                <w:snapToGrid w:val="0"/>
                <w:color w:val="auto"/>
                <w:spacing w:val="-6"/>
                <w:kern w:val="21"/>
                <w:szCs w:val="21"/>
                <w:u w:val="none" w:color="auto"/>
              </w:rPr>
              <w:t>物</w:t>
            </w:r>
            <w:r>
              <w:rPr>
                <w:rFonts w:ascii="黑体" w:hAnsi="黑体" w:eastAsia="黑体"/>
                <w:snapToGrid w:val="0"/>
                <w:color w:val="auto"/>
                <w:spacing w:val="-6"/>
                <w:kern w:val="21"/>
                <w:szCs w:val="21"/>
                <w:u w:val="none" w:color="auto"/>
              </w:rPr>
              <w:t>产生量）</w:t>
            </w:r>
            <w:r>
              <w:rPr>
                <w:rFonts w:ascii="黑体" w:hAnsi="黑体" w:eastAsia="黑体"/>
                <w:snapToGrid w:val="0"/>
                <w:color w:val="auto"/>
                <w:spacing w:val="-6"/>
                <w:kern w:val="21"/>
                <w:szCs w:val="21"/>
                <w:u w:val="none" w:color="auto"/>
              </w:rPr>
              <w:fldChar w:fldCharType="begin"/>
            </w:r>
            <w:r>
              <w:rPr>
                <w:rFonts w:ascii="黑体" w:hAnsi="黑体" w:eastAsia="黑体"/>
                <w:snapToGrid w:val="0"/>
                <w:color w:val="auto"/>
                <w:spacing w:val="-6"/>
                <w:kern w:val="21"/>
                <w:szCs w:val="21"/>
                <w:u w:val="none" w:color="auto"/>
              </w:rPr>
              <w:instrText xml:space="preserve"> = 4 \* GB3 \* MERGEFORMAT </w:instrText>
            </w:r>
            <w:r>
              <w:rPr>
                <w:rFonts w:ascii="黑体" w:hAnsi="黑体" w:eastAsia="黑体"/>
                <w:snapToGrid w:val="0"/>
                <w:color w:val="auto"/>
                <w:spacing w:val="-6"/>
                <w:kern w:val="21"/>
                <w:szCs w:val="21"/>
                <w:u w:val="none" w:color="auto"/>
              </w:rPr>
              <w:fldChar w:fldCharType="separate"/>
            </w:r>
            <w:r>
              <w:rPr>
                <w:rFonts w:hint="eastAsia" w:ascii="黑体" w:hAnsi="黑体" w:eastAsia="黑体" w:cs="宋体"/>
                <w:color w:val="auto"/>
                <w:kern w:val="2"/>
                <w:szCs w:val="21"/>
                <w:u w:val="none" w:color="auto"/>
              </w:rPr>
              <w:t>④</w:t>
            </w:r>
            <w:r>
              <w:rPr>
                <w:rFonts w:ascii="黑体" w:hAnsi="黑体" w:eastAsia="黑体"/>
                <w:snapToGrid w:val="0"/>
                <w:color w:val="auto"/>
                <w:spacing w:val="-6"/>
                <w:kern w:val="21"/>
                <w:szCs w:val="21"/>
                <w:u w:val="none" w:color="auto"/>
              </w:rPr>
              <w:fldChar w:fldCharType="end"/>
            </w:r>
          </w:p>
        </w:tc>
        <w:tc>
          <w:tcPr>
            <w:tcW w:w="1677" w:type="dxa"/>
            <w:noWrap w:val="0"/>
            <w:tcMar>
              <w:left w:w="28" w:type="dxa"/>
              <w:right w:w="28" w:type="dxa"/>
            </w:tcMar>
            <w:vAlign w:val="center"/>
          </w:tcPr>
          <w:p>
            <w:pPr>
              <w:pStyle w:val="30"/>
              <w:spacing w:beforeLines="0" w:afterLines="0" w:line="240" w:lineRule="auto"/>
              <w:ind w:left="0" w:leftChars="0" w:firstLine="0" w:firstLineChars="0"/>
              <w:jc w:val="center"/>
              <w:rPr>
                <w:rFonts w:ascii="黑体" w:hAnsi="黑体" w:eastAsia="黑体"/>
                <w:snapToGrid w:val="0"/>
                <w:color w:val="auto"/>
                <w:spacing w:val="-16"/>
                <w:kern w:val="21"/>
                <w:szCs w:val="21"/>
                <w:u w:val="none" w:color="auto"/>
              </w:rPr>
            </w:pPr>
            <w:r>
              <w:rPr>
                <w:rFonts w:ascii="黑体" w:hAnsi="黑体" w:eastAsia="黑体"/>
                <w:snapToGrid w:val="0"/>
                <w:color w:val="auto"/>
                <w:spacing w:val="-16"/>
                <w:kern w:val="21"/>
                <w:szCs w:val="21"/>
                <w:u w:val="none" w:color="auto"/>
              </w:rPr>
              <w:t>以新带老削减量（新建项目不填）</w:t>
            </w:r>
            <w:r>
              <w:rPr>
                <w:rFonts w:ascii="黑体" w:hAnsi="黑体" w:eastAsia="黑体"/>
                <w:snapToGrid w:val="0"/>
                <w:color w:val="auto"/>
                <w:spacing w:val="-16"/>
                <w:kern w:val="21"/>
                <w:szCs w:val="21"/>
                <w:u w:val="none" w:color="auto"/>
              </w:rPr>
              <w:fldChar w:fldCharType="begin"/>
            </w:r>
            <w:r>
              <w:rPr>
                <w:rFonts w:ascii="黑体" w:hAnsi="黑体" w:eastAsia="黑体"/>
                <w:snapToGrid w:val="0"/>
                <w:color w:val="auto"/>
                <w:spacing w:val="-16"/>
                <w:kern w:val="21"/>
                <w:szCs w:val="21"/>
                <w:u w:val="none" w:color="auto"/>
              </w:rPr>
              <w:instrText xml:space="preserve"> = 5 \* GB3 \* MERGEFORMAT </w:instrText>
            </w:r>
            <w:r>
              <w:rPr>
                <w:rFonts w:ascii="黑体" w:hAnsi="黑体" w:eastAsia="黑体"/>
                <w:snapToGrid w:val="0"/>
                <w:color w:val="auto"/>
                <w:spacing w:val="-16"/>
                <w:kern w:val="21"/>
                <w:szCs w:val="21"/>
                <w:u w:val="none" w:color="auto"/>
              </w:rPr>
              <w:fldChar w:fldCharType="separate"/>
            </w:r>
            <w:r>
              <w:rPr>
                <w:rFonts w:hint="eastAsia" w:ascii="黑体" w:hAnsi="黑体" w:eastAsia="黑体" w:cs="宋体"/>
                <w:color w:val="auto"/>
                <w:kern w:val="2"/>
                <w:szCs w:val="21"/>
                <w:u w:val="none" w:color="auto"/>
              </w:rPr>
              <w:t>⑤</w:t>
            </w:r>
            <w:r>
              <w:rPr>
                <w:rFonts w:ascii="黑体" w:hAnsi="黑体" w:eastAsia="黑体"/>
                <w:snapToGrid w:val="0"/>
                <w:color w:val="auto"/>
                <w:spacing w:val="-16"/>
                <w:kern w:val="21"/>
                <w:szCs w:val="21"/>
                <w:u w:val="none" w:color="auto"/>
              </w:rPr>
              <w:fldChar w:fldCharType="end"/>
            </w:r>
          </w:p>
        </w:tc>
        <w:tc>
          <w:tcPr>
            <w:tcW w:w="1800" w:type="dxa"/>
            <w:noWrap w:val="0"/>
            <w:tcMar>
              <w:left w:w="28" w:type="dxa"/>
              <w:right w:w="28" w:type="dxa"/>
            </w:tcMar>
            <w:vAlign w:val="center"/>
          </w:tcPr>
          <w:p>
            <w:pPr>
              <w:pStyle w:val="30"/>
              <w:spacing w:beforeLines="0" w:afterLines="0" w:line="240" w:lineRule="auto"/>
              <w:ind w:left="0" w:leftChars="0" w:firstLine="0" w:firstLineChars="0"/>
              <w:jc w:val="center"/>
              <w:rPr>
                <w:rFonts w:ascii="黑体" w:hAnsi="黑体" w:eastAsia="黑体"/>
                <w:snapToGrid w:val="0"/>
                <w:color w:val="auto"/>
                <w:spacing w:val="-16"/>
                <w:kern w:val="21"/>
                <w:szCs w:val="21"/>
                <w:u w:val="none" w:color="auto"/>
              </w:rPr>
            </w:pPr>
            <w:r>
              <w:rPr>
                <w:rFonts w:ascii="黑体" w:hAnsi="黑体" w:eastAsia="黑体"/>
                <w:snapToGrid w:val="0"/>
                <w:color w:val="auto"/>
                <w:spacing w:val="-16"/>
                <w:kern w:val="21"/>
                <w:szCs w:val="21"/>
                <w:u w:val="none" w:color="auto"/>
              </w:rPr>
              <w:t>本项目建成后</w:t>
            </w:r>
            <w:r>
              <w:rPr>
                <w:rFonts w:hint="eastAsia" w:ascii="黑体" w:hAnsi="黑体" w:eastAsia="黑体"/>
                <w:snapToGrid w:val="0"/>
                <w:color w:val="auto"/>
                <w:spacing w:val="-16"/>
                <w:kern w:val="21"/>
                <w:szCs w:val="21"/>
                <w:u w:val="none" w:color="auto"/>
              </w:rPr>
              <w:t>全厂</w:t>
            </w:r>
            <w:r>
              <w:rPr>
                <w:rFonts w:ascii="黑体" w:hAnsi="黑体" w:eastAsia="黑体"/>
                <w:snapToGrid w:val="0"/>
                <w:color w:val="auto"/>
                <w:spacing w:val="-16"/>
                <w:kern w:val="21"/>
                <w:szCs w:val="21"/>
                <w:u w:val="none" w:color="auto"/>
              </w:rPr>
              <w:t>排放量（固</w:t>
            </w:r>
            <w:r>
              <w:rPr>
                <w:rFonts w:hint="eastAsia" w:ascii="黑体" w:hAnsi="黑体" w:eastAsia="黑体"/>
                <w:snapToGrid w:val="0"/>
                <w:color w:val="auto"/>
                <w:spacing w:val="-16"/>
                <w:kern w:val="21"/>
                <w:szCs w:val="21"/>
                <w:u w:val="none" w:color="auto"/>
              </w:rPr>
              <w:t>体</w:t>
            </w:r>
            <w:r>
              <w:rPr>
                <w:rFonts w:ascii="黑体" w:hAnsi="黑体" w:eastAsia="黑体"/>
                <w:snapToGrid w:val="0"/>
                <w:color w:val="auto"/>
                <w:spacing w:val="-16"/>
                <w:kern w:val="21"/>
                <w:szCs w:val="21"/>
                <w:u w:val="none" w:color="auto"/>
              </w:rPr>
              <w:t>废</w:t>
            </w:r>
            <w:r>
              <w:rPr>
                <w:rFonts w:hint="eastAsia" w:ascii="黑体" w:hAnsi="黑体" w:eastAsia="黑体"/>
                <w:snapToGrid w:val="0"/>
                <w:color w:val="auto"/>
                <w:spacing w:val="-16"/>
                <w:kern w:val="21"/>
                <w:szCs w:val="21"/>
                <w:u w:val="none" w:color="auto"/>
              </w:rPr>
              <w:t>物</w:t>
            </w:r>
            <w:r>
              <w:rPr>
                <w:rFonts w:ascii="黑体" w:hAnsi="黑体" w:eastAsia="黑体"/>
                <w:snapToGrid w:val="0"/>
                <w:color w:val="auto"/>
                <w:spacing w:val="-16"/>
                <w:kern w:val="21"/>
                <w:szCs w:val="21"/>
                <w:u w:val="none" w:color="auto"/>
              </w:rPr>
              <w:t>产生量）</w:t>
            </w:r>
            <w:r>
              <w:rPr>
                <w:rFonts w:ascii="黑体" w:hAnsi="黑体" w:eastAsia="黑体"/>
                <w:snapToGrid w:val="0"/>
                <w:color w:val="auto"/>
                <w:spacing w:val="-16"/>
                <w:kern w:val="21"/>
                <w:szCs w:val="21"/>
                <w:u w:val="none" w:color="auto"/>
              </w:rPr>
              <w:fldChar w:fldCharType="begin"/>
            </w:r>
            <w:r>
              <w:rPr>
                <w:rFonts w:ascii="黑体" w:hAnsi="黑体" w:eastAsia="黑体"/>
                <w:snapToGrid w:val="0"/>
                <w:color w:val="auto"/>
                <w:spacing w:val="-16"/>
                <w:kern w:val="21"/>
                <w:szCs w:val="21"/>
                <w:u w:val="none" w:color="auto"/>
              </w:rPr>
              <w:instrText xml:space="preserve"> = 6 \* GB3 \* MERGEFORMAT </w:instrText>
            </w:r>
            <w:r>
              <w:rPr>
                <w:rFonts w:ascii="黑体" w:hAnsi="黑体" w:eastAsia="黑体"/>
                <w:snapToGrid w:val="0"/>
                <w:color w:val="auto"/>
                <w:spacing w:val="-16"/>
                <w:kern w:val="21"/>
                <w:szCs w:val="21"/>
                <w:u w:val="none" w:color="auto"/>
              </w:rPr>
              <w:fldChar w:fldCharType="separate"/>
            </w:r>
            <w:r>
              <w:rPr>
                <w:rFonts w:hint="eastAsia" w:ascii="黑体" w:hAnsi="黑体" w:eastAsia="黑体" w:cs="宋体"/>
                <w:color w:val="auto"/>
                <w:kern w:val="2"/>
                <w:szCs w:val="21"/>
                <w:u w:val="none" w:color="auto"/>
              </w:rPr>
              <w:t>⑥</w:t>
            </w:r>
            <w:r>
              <w:rPr>
                <w:rFonts w:ascii="黑体" w:hAnsi="黑体" w:eastAsia="黑体"/>
                <w:snapToGrid w:val="0"/>
                <w:color w:val="auto"/>
                <w:spacing w:val="-16"/>
                <w:kern w:val="21"/>
                <w:szCs w:val="21"/>
                <w:u w:val="none" w:color="auto"/>
              </w:rPr>
              <w:fldChar w:fldCharType="end"/>
            </w:r>
          </w:p>
        </w:tc>
        <w:tc>
          <w:tcPr>
            <w:tcW w:w="1846" w:type="dxa"/>
            <w:noWrap w:val="0"/>
            <w:tcMar>
              <w:left w:w="28" w:type="dxa"/>
              <w:right w:w="28" w:type="dxa"/>
            </w:tcMar>
            <w:vAlign w:val="center"/>
          </w:tcPr>
          <w:p>
            <w:pPr>
              <w:pStyle w:val="30"/>
              <w:spacing w:beforeLines="0" w:afterLines="0" w:line="240" w:lineRule="auto"/>
              <w:ind w:left="0" w:leftChars="0" w:firstLine="0" w:firstLineChars="0"/>
              <w:jc w:val="center"/>
              <w:rPr>
                <w:rFonts w:ascii="黑体" w:hAnsi="黑体" w:eastAsia="黑体"/>
                <w:snapToGrid w:val="0"/>
                <w:color w:val="auto"/>
                <w:spacing w:val="-6"/>
                <w:kern w:val="21"/>
                <w:szCs w:val="21"/>
                <w:u w:val="none" w:color="auto"/>
              </w:rPr>
            </w:pPr>
            <w:r>
              <w:rPr>
                <w:rFonts w:ascii="黑体" w:hAnsi="黑体" w:eastAsia="黑体"/>
                <w:snapToGrid w:val="0"/>
                <w:color w:val="auto"/>
                <w:spacing w:val="-6"/>
                <w:kern w:val="21"/>
                <w:szCs w:val="21"/>
                <w:u w:val="none" w:color="auto"/>
              </w:rPr>
              <w:t>变化量</w:t>
            </w:r>
            <w:r>
              <w:rPr>
                <w:rFonts w:ascii="黑体" w:hAnsi="黑体" w:eastAsia="黑体"/>
                <w:snapToGrid w:val="0"/>
                <w:color w:val="auto"/>
                <w:spacing w:val="-6"/>
                <w:kern w:val="21"/>
                <w:szCs w:val="21"/>
                <w:u w:val="none" w:color="auto"/>
              </w:rPr>
              <w:fldChar w:fldCharType="begin"/>
            </w:r>
            <w:r>
              <w:rPr>
                <w:rFonts w:ascii="黑体" w:hAnsi="黑体" w:eastAsia="黑体"/>
                <w:snapToGrid w:val="0"/>
                <w:color w:val="auto"/>
                <w:spacing w:val="-6"/>
                <w:kern w:val="21"/>
                <w:szCs w:val="21"/>
                <w:u w:val="none" w:color="auto"/>
              </w:rPr>
              <w:instrText xml:space="preserve"> = 7 \* GB3 \* MERGEFORMAT </w:instrText>
            </w:r>
            <w:r>
              <w:rPr>
                <w:rFonts w:ascii="黑体" w:hAnsi="黑体" w:eastAsia="黑体"/>
                <w:snapToGrid w:val="0"/>
                <w:color w:val="auto"/>
                <w:spacing w:val="-6"/>
                <w:kern w:val="21"/>
                <w:szCs w:val="21"/>
                <w:u w:val="none" w:color="auto"/>
              </w:rPr>
              <w:fldChar w:fldCharType="separate"/>
            </w:r>
            <w:r>
              <w:rPr>
                <w:rFonts w:hint="eastAsia" w:ascii="黑体" w:hAnsi="黑体" w:eastAsia="黑体" w:cs="宋体"/>
                <w:color w:val="auto"/>
                <w:kern w:val="2"/>
                <w:szCs w:val="21"/>
                <w:u w:val="none" w:color="auto"/>
              </w:rPr>
              <w:t>⑦</w:t>
            </w:r>
            <w:r>
              <w:rPr>
                <w:rFonts w:ascii="黑体" w:hAnsi="黑体" w:eastAsia="黑体"/>
                <w:snapToGrid w:val="0"/>
                <w:color w:val="auto"/>
                <w:spacing w:val="-6"/>
                <w:kern w:val="21"/>
                <w:szCs w:val="21"/>
                <w:u w:val="none" w:color="auto"/>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pPr>
              <w:pStyle w:val="30"/>
              <w:spacing w:beforeLines="0" w:afterLines="0" w:line="240" w:lineRule="auto"/>
              <w:ind w:left="0" w:leftChars="0" w:firstLine="0" w:firstLineChars="0"/>
              <w:jc w:val="both"/>
              <w:rPr>
                <w:rFonts w:hint="eastAsia" w:hAnsi="宋体" w:cs="宋体"/>
                <w:snapToGrid w:val="0"/>
                <w:color w:val="auto"/>
                <w:kern w:val="21"/>
                <w:szCs w:val="21"/>
                <w:u w:val="none" w:color="auto"/>
              </w:rPr>
            </w:pPr>
            <w:r>
              <w:rPr>
                <w:rFonts w:hint="eastAsia" w:hAnsi="宋体" w:cs="宋体"/>
                <w:snapToGrid w:val="0"/>
                <w:color w:val="auto"/>
                <w:kern w:val="21"/>
                <w:szCs w:val="21"/>
                <w:u w:val="none" w:color="auto"/>
              </w:rPr>
              <w:t>废气</w:t>
            </w:r>
          </w:p>
        </w:tc>
        <w:tc>
          <w:tcPr>
            <w:tcW w:w="1417" w:type="dxa"/>
            <w:noWrap w:val="0"/>
            <w:vAlign w:val="center"/>
          </w:tcPr>
          <w:p>
            <w:pPr>
              <w:spacing w:beforeLines="0" w:afterLines="0" w:line="240" w:lineRule="auto"/>
              <w:ind w:left="0" w:leftChars="0" w:firstLine="0" w:firstLineChars="0"/>
              <w:jc w:val="both"/>
              <w:rPr>
                <w:rFonts w:hint="default" w:ascii="Times New Roman" w:hAnsi="Times New Roman" w:eastAsia="宋体" w:cs="Times New Roman"/>
                <w:snapToGrid w:val="0"/>
                <w:color w:val="auto"/>
                <w:kern w:val="21"/>
                <w:sz w:val="21"/>
                <w:szCs w:val="21"/>
                <w:u w:val="none" w:color="auto"/>
                <w:lang w:val="en-US" w:eastAsia="zh-CN" w:bidi="ar-SA"/>
              </w:rPr>
            </w:pPr>
            <w:r>
              <w:rPr>
                <w:rFonts w:hint="eastAsia" w:cs="Times New Roman"/>
                <w:snapToGrid w:val="0"/>
                <w:color w:val="auto"/>
                <w:kern w:val="21"/>
                <w:sz w:val="21"/>
                <w:szCs w:val="21"/>
                <w:u w:val="none" w:color="auto"/>
                <w:lang w:val="en-US" w:eastAsia="zh-CN" w:bidi="ar-SA"/>
              </w:rPr>
              <w:t>非甲烷总烃</w:t>
            </w:r>
          </w:p>
        </w:tc>
        <w:tc>
          <w:tcPr>
            <w:tcW w:w="1478" w:type="dxa"/>
            <w:noWrap w:val="0"/>
            <w:vAlign w:val="center"/>
          </w:tcPr>
          <w:p>
            <w:pPr>
              <w:spacing w:beforeLines="0" w:afterLines="0" w:line="240" w:lineRule="auto"/>
              <w:ind w:left="0" w:leftChars="0" w:firstLine="0" w:firstLineChars="0"/>
              <w:jc w:val="both"/>
              <w:rPr>
                <w:rFonts w:hint="default" w:ascii="宋体" w:hAnsi="宋体" w:eastAsia="宋体" w:cs="宋体"/>
                <w:snapToGrid w:val="0"/>
                <w:color w:val="auto"/>
                <w:kern w:val="21"/>
                <w:sz w:val="21"/>
                <w:szCs w:val="21"/>
                <w:u w:val="none" w:color="auto"/>
                <w:lang w:val="en-US" w:eastAsia="zh-CN" w:bidi="ar-SA"/>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159" w:type="dxa"/>
            <w:noWrap w:val="0"/>
            <w:vAlign w:val="center"/>
          </w:tcPr>
          <w:p>
            <w:pPr>
              <w:spacing w:beforeLines="0" w:afterLines="0" w:line="240" w:lineRule="auto"/>
              <w:ind w:left="0" w:leftChars="0" w:firstLine="0" w:firstLineChars="0"/>
              <w:jc w:val="both"/>
              <w:rPr>
                <w:rFonts w:hint="default" w:ascii="宋体" w:hAnsi="宋体" w:eastAsia="宋体" w:cs="宋体"/>
                <w:snapToGrid w:val="0"/>
                <w:color w:val="auto"/>
                <w:kern w:val="21"/>
                <w:sz w:val="21"/>
                <w:szCs w:val="21"/>
                <w:u w:val="none" w:color="auto"/>
                <w:lang w:val="en-US" w:eastAsia="zh-CN" w:bidi="ar-SA"/>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446" w:type="dxa"/>
            <w:noWrap w:val="0"/>
            <w:vAlign w:val="center"/>
          </w:tcPr>
          <w:p>
            <w:pPr>
              <w:spacing w:beforeLines="0" w:afterLines="0" w:line="240" w:lineRule="auto"/>
              <w:ind w:left="0" w:leftChars="0" w:firstLine="0" w:firstLineChars="0"/>
              <w:jc w:val="both"/>
              <w:rPr>
                <w:rFonts w:hint="eastAsia" w:ascii="宋体" w:hAnsi="宋体" w:eastAsia="宋体" w:cs="宋体"/>
                <w:snapToGrid w:val="0"/>
                <w:color w:val="auto"/>
                <w:kern w:val="21"/>
                <w:sz w:val="21"/>
                <w:szCs w:val="21"/>
                <w:u w:val="none" w:color="auto"/>
                <w:lang w:val="en-US" w:eastAsia="zh-CN" w:bidi="ar-SA"/>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377" w:type="dxa"/>
            <w:noWrap w:val="0"/>
            <w:vAlign w:val="center"/>
          </w:tcPr>
          <w:p>
            <w:pPr>
              <w:spacing w:beforeLines="0" w:afterLines="0" w:line="240" w:lineRule="auto"/>
              <w:ind w:left="0" w:leftChars="0" w:firstLine="0" w:firstLineChars="0"/>
              <w:jc w:val="both"/>
              <w:rPr>
                <w:rFonts w:hint="default" w:ascii="宋体" w:hAnsi="宋体" w:eastAsia="宋体" w:cs="宋体"/>
                <w:snapToGrid w:val="0"/>
                <w:color w:val="auto"/>
                <w:kern w:val="21"/>
                <w:sz w:val="21"/>
                <w:szCs w:val="21"/>
                <w:u w:val="none" w:color="auto"/>
                <w:lang w:val="en-US" w:eastAsia="zh-CN" w:bidi="ar-SA"/>
              </w:rPr>
            </w:pPr>
            <w:r>
              <w:rPr>
                <w:rFonts w:hint="default" w:ascii="Times New Roman" w:hAnsi="Times New Roman" w:cs="Times New Roman"/>
                <w:snapToGrid w:val="0"/>
                <w:color w:val="auto"/>
                <w:kern w:val="21"/>
                <w:sz w:val="21"/>
                <w:szCs w:val="21"/>
                <w:u w:val="none" w:color="auto"/>
                <w:lang w:val="en-US" w:eastAsia="zh-CN" w:bidi="ar-SA"/>
              </w:rPr>
              <w:t>30.08kg/a</w:t>
            </w:r>
          </w:p>
        </w:tc>
        <w:tc>
          <w:tcPr>
            <w:tcW w:w="1677" w:type="dxa"/>
            <w:noWrap w:val="0"/>
            <w:vAlign w:val="center"/>
          </w:tcPr>
          <w:p>
            <w:pPr>
              <w:spacing w:beforeLines="0" w:afterLines="0" w:line="240" w:lineRule="auto"/>
              <w:ind w:left="0" w:leftChars="0" w:firstLine="0" w:firstLineChars="0"/>
              <w:jc w:val="both"/>
              <w:rPr>
                <w:rFonts w:hint="eastAsia" w:ascii="宋体" w:hAnsi="宋体" w:eastAsia="宋体" w:cs="宋体"/>
                <w:snapToGrid w:val="0"/>
                <w:color w:val="auto"/>
                <w:kern w:val="21"/>
                <w:sz w:val="21"/>
                <w:szCs w:val="21"/>
                <w:u w:val="none" w:color="auto"/>
                <w:lang w:val="en-US" w:eastAsia="zh-CN" w:bidi="ar-SA"/>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800" w:type="dxa"/>
            <w:noWrap w:val="0"/>
            <w:vAlign w:val="center"/>
          </w:tcPr>
          <w:p>
            <w:pPr>
              <w:spacing w:beforeLines="0" w:afterLines="0" w:line="240" w:lineRule="auto"/>
              <w:ind w:left="0" w:leftChars="0" w:firstLine="0" w:firstLineChars="0"/>
              <w:jc w:val="both"/>
              <w:rPr>
                <w:rFonts w:ascii="宋体" w:hAnsi="宋体" w:eastAsia="宋体" w:cs="宋体"/>
                <w:snapToGrid w:val="0"/>
                <w:color w:val="auto"/>
                <w:kern w:val="21"/>
                <w:sz w:val="21"/>
                <w:szCs w:val="21"/>
                <w:u w:val="none" w:color="auto"/>
                <w:lang w:val="en-US" w:eastAsia="zh-CN" w:bidi="ar-SA"/>
              </w:rPr>
            </w:pPr>
            <w:r>
              <w:rPr>
                <w:rFonts w:hint="default" w:ascii="Times New Roman" w:hAnsi="Times New Roman" w:cs="Times New Roman"/>
                <w:snapToGrid w:val="0"/>
                <w:color w:val="auto"/>
                <w:kern w:val="21"/>
                <w:sz w:val="21"/>
                <w:szCs w:val="21"/>
                <w:u w:val="none" w:color="auto"/>
                <w:lang w:val="en-US" w:eastAsia="zh-CN" w:bidi="ar-SA"/>
              </w:rPr>
              <w:t>30.08kg/a</w:t>
            </w:r>
          </w:p>
        </w:tc>
        <w:tc>
          <w:tcPr>
            <w:tcW w:w="1846" w:type="dxa"/>
            <w:noWrap w:val="0"/>
            <w:vAlign w:val="center"/>
          </w:tcPr>
          <w:p>
            <w:pPr>
              <w:spacing w:beforeLines="0" w:afterLines="0" w:line="240" w:lineRule="auto"/>
              <w:ind w:left="0" w:leftChars="0" w:firstLine="0" w:firstLineChars="0"/>
              <w:jc w:val="both"/>
              <w:rPr>
                <w:rFonts w:ascii="宋体" w:hAnsi="宋体" w:eastAsia="宋体" w:cs="宋体"/>
                <w:snapToGrid w:val="0"/>
                <w:color w:val="auto"/>
                <w:kern w:val="21"/>
                <w:sz w:val="21"/>
                <w:szCs w:val="21"/>
                <w:u w:val="none" w:color="auto"/>
                <w:lang w:val="en-US" w:eastAsia="zh-CN" w:bidi="ar-SA"/>
              </w:rPr>
            </w:pPr>
            <w:r>
              <w:rPr>
                <w:rFonts w:hint="eastAsia" w:ascii="Times New Roman" w:hAnsi="Times New Roman" w:cs="Times New Roman"/>
                <w:snapToGrid w:val="0"/>
                <w:color w:val="auto"/>
                <w:kern w:val="21"/>
                <w:sz w:val="21"/>
                <w:szCs w:val="21"/>
                <w:u w:val="none" w:color="auto"/>
                <w:lang w:val="en-US" w:eastAsia="zh-CN" w:bidi="ar-SA"/>
              </w:rPr>
              <w:t>+</w:t>
            </w:r>
            <w:r>
              <w:rPr>
                <w:rFonts w:hint="default" w:ascii="Times New Roman" w:hAnsi="Times New Roman" w:cs="Times New Roman"/>
                <w:snapToGrid w:val="0"/>
                <w:color w:val="auto"/>
                <w:kern w:val="21"/>
                <w:sz w:val="21"/>
                <w:szCs w:val="21"/>
                <w:u w:val="none" w:color="auto"/>
                <w:lang w:val="en-US" w:eastAsia="zh-CN" w:bidi="ar-SA"/>
              </w:rPr>
              <w:t>30.08kg/a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30"/>
              <w:spacing w:beforeLines="0" w:afterLines="0" w:line="240" w:lineRule="auto"/>
              <w:ind w:left="0" w:leftChars="0" w:firstLine="0" w:firstLineChars="0"/>
              <w:jc w:val="both"/>
              <w:rPr>
                <w:rFonts w:hint="eastAsia" w:hAnsi="宋体" w:cs="宋体"/>
                <w:snapToGrid w:val="0"/>
                <w:color w:val="auto"/>
                <w:kern w:val="21"/>
                <w:szCs w:val="21"/>
                <w:u w:val="none" w:color="auto"/>
              </w:rPr>
            </w:pPr>
          </w:p>
        </w:tc>
        <w:tc>
          <w:tcPr>
            <w:tcW w:w="1417" w:type="dxa"/>
            <w:noWrap w:val="0"/>
            <w:vAlign w:val="center"/>
          </w:tcPr>
          <w:p>
            <w:pPr>
              <w:spacing w:beforeLines="0" w:afterLines="0" w:line="240" w:lineRule="auto"/>
              <w:ind w:left="0" w:leftChars="0" w:firstLine="0" w:firstLineChars="0"/>
              <w:jc w:val="both"/>
              <w:rPr>
                <w:rFonts w:hint="default" w:ascii="Times New Roman" w:hAnsi="Times New Roman" w:eastAsia="宋体" w:cs="Times New Roman"/>
                <w:snapToGrid w:val="0"/>
                <w:color w:val="auto"/>
                <w:kern w:val="21"/>
                <w:sz w:val="21"/>
                <w:szCs w:val="21"/>
                <w:u w:val="none" w:color="auto"/>
                <w:lang w:val="en-US" w:eastAsia="zh-CN" w:bidi="ar-SA"/>
              </w:rPr>
            </w:pPr>
            <w:r>
              <w:rPr>
                <w:rFonts w:hint="eastAsia" w:cs="Times New Roman"/>
                <w:snapToGrid w:val="0"/>
                <w:color w:val="auto"/>
                <w:kern w:val="21"/>
                <w:sz w:val="21"/>
                <w:szCs w:val="21"/>
                <w:u w:val="none" w:color="auto"/>
                <w:lang w:val="en-US" w:eastAsia="zh-CN" w:bidi="ar-SA"/>
              </w:rPr>
              <w:t>NOx</w:t>
            </w:r>
          </w:p>
        </w:tc>
        <w:tc>
          <w:tcPr>
            <w:tcW w:w="1478" w:type="dxa"/>
            <w:noWrap w:val="0"/>
            <w:vAlign w:val="center"/>
          </w:tcPr>
          <w:p>
            <w:pPr>
              <w:spacing w:beforeLines="0" w:afterLines="0" w:line="240" w:lineRule="auto"/>
              <w:ind w:left="0" w:leftChars="0" w:firstLine="0" w:firstLineChars="0"/>
              <w:jc w:val="both"/>
              <w:rPr>
                <w:rFonts w:hint="default" w:ascii="Times New Roman" w:hAnsi="Times New Roman" w:eastAsia="宋体" w:cs="Times New Roman"/>
                <w:snapToGrid w:val="0"/>
                <w:color w:val="auto"/>
                <w:kern w:val="21"/>
                <w:sz w:val="21"/>
                <w:szCs w:val="21"/>
                <w:u w:val="none" w:color="auto"/>
                <w:lang w:val="en-US" w:eastAsia="zh-CN" w:bidi="ar-SA"/>
              </w:rPr>
            </w:pPr>
            <w:r>
              <w:rPr>
                <w:rFonts w:hint="eastAsia" w:cs="Times New Roman"/>
                <w:snapToGrid w:val="0"/>
                <w:color w:val="auto"/>
                <w:kern w:val="21"/>
                <w:sz w:val="21"/>
                <w:szCs w:val="21"/>
                <w:u w:val="none" w:color="auto"/>
                <w:lang w:val="en-US" w:eastAsia="zh-CN" w:bidi="ar-SA"/>
              </w:rPr>
              <w:t>/</w:t>
            </w:r>
          </w:p>
        </w:tc>
        <w:tc>
          <w:tcPr>
            <w:tcW w:w="1159" w:type="dxa"/>
            <w:noWrap w:val="0"/>
            <w:vAlign w:val="center"/>
          </w:tcPr>
          <w:p>
            <w:pPr>
              <w:spacing w:beforeLines="0" w:afterLines="0" w:line="240" w:lineRule="auto"/>
              <w:ind w:left="0" w:leftChars="0" w:firstLine="0" w:firstLineChars="0"/>
              <w:jc w:val="both"/>
              <w:rPr>
                <w:rFonts w:hint="default" w:ascii="Times New Roman" w:hAnsi="Times New Roman" w:eastAsia="宋体" w:cs="Times New Roman"/>
                <w:snapToGrid w:val="0"/>
                <w:color w:val="auto"/>
                <w:kern w:val="21"/>
                <w:sz w:val="21"/>
                <w:szCs w:val="21"/>
                <w:u w:val="none" w:color="auto"/>
                <w:lang w:val="en-US" w:eastAsia="zh-CN" w:bidi="ar-SA"/>
              </w:rPr>
            </w:pPr>
            <w:r>
              <w:rPr>
                <w:rFonts w:hint="eastAsia" w:cs="Times New Roman"/>
                <w:snapToGrid w:val="0"/>
                <w:color w:val="auto"/>
                <w:kern w:val="21"/>
                <w:sz w:val="21"/>
                <w:szCs w:val="21"/>
                <w:u w:val="none" w:color="auto"/>
                <w:lang w:val="en-US" w:eastAsia="zh-CN" w:bidi="ar-SA"/>
              </w:rPr>
              <w:t>/</w:t>
            </w:r>
          </w:p>
        </w:tc>
        <w:tc>
          <w:tcPr>
            <w:tcW w:w="1446" w:type="dxa"/>
            <w:noWrap w:val="0"/>
            <w:vAlign w:val="center"/>
          </w:tcPr>
          <w:p>
            <w:pPr>
              <w:spacing w:beforeLines="0" w:afterLines="0" w:line="240" w:lineRule="auto"/>
              <w:ind w:left="0" w:leftChars="0" w:firstLine="0" w:firstLineChars="0"/>
              <w:jc w:val="both"/>
              <w:rPr>
                <w:rFonts w:hint="default" w:ascii="Times New Roman" w:hAnsi="Times New Roman" w:eastAsia="宋体" w:cs="Times New Roman"/>
                <w:snapToGrid w:val="0"/>
                <w:color w:val="auto"/>
                <w:kern w:val="21"/>
                <w:sz w:val="21"/>
                <w:szCs w:val="21"/>
                <w:u w:val="none" w:color="auto"/>
                <w:lang w:val="en-US" w:eastAsia="zh-CN" w:bidi="ar-SA"/>
              </w:rPr>
            </w:pPr>
            <w:r>
              <w:rPr>
                <w:rFonts w:hint="eastAsia" w:cs="Times New Roman"/>
                <w:snapToGrid w:val="0"/>
                <w:color w:val="auto"/>
                <w:kern w:val="21"/>
                <w:sz w:val="21"/>
                <w:szCs w:val="21"/>
                <w:u w:val="none" w:color="auto"/>
                <w:lang w:val="en-US" w:eastAsia="zh-CN" w:bidi="ar-SA"/>
              </w:rPr>
              <w:t>/</w:t>
            </w:r>
          </w:p>
        </w:tc>
        <w:tc>
          <w:tcPr>
            <w:tcW w:w="1377" w:type="dxa"/>
            <w:noWrap w:val="0"/>
            <w:vAlign w:val="center"/>
          </w:tcPr>
          <w:p>
            <w:pPr>
              <w:spacing w:beforeLines="0" w:afterLines="0" w:line="240" w:lineRule="auto"/>
              <w:ind w:left="0" w:leftChars="0" w:firstLine="0" w:firstLineChars="0"/>
              <w:jc w:val="both"/>
              <w:rPr>
                <w:rFonts w:hint="default" w:ascii="Times New Roman" w:hAnsi="Times New Roman" w:eastAsia="宋体" w:cs="Times New Roman"/>
                <w:snapToGrid w:val="0"/>
                <w:color w:val="auto"/>
                <w:kern w:val="21"/>
                <w:sz w:val="21"/>
                <w:szCs w:val="21"/>
                <w:u w:val="none" w:color="auto"/>
                <w:lang w:val="en-US" w:eastAsia="zh-CN" w:bidi="ar-SA"/>
              </w:rPr>
            </w:pPr>
            <w:r>
              <w:rPr>
                <w:rFonts w:hint="eastAsia" w:cs="Times New Roman"/>
                <w:snapToGrid w:val="0"/>
                <w:color w:val="auto"/>
                <w:kern w:val="21"/>
                <w:sz w:val="21"/>
                <w:szCs w:val="21"/>
                <w:u w:val="none" w:color="auto"/>
                <w:lang w:val="en-US" w:eastAsia="zh-CN" w:bidi="ar-SA"/>
              </w:rPr>
              <w:t>215.7kg/a</w:t>
            </w:r>
          </w:p>
        </w:tc>
        <w:tc>
          <w:tcPr>
            <w:tcW w:w="1677" w:type="dxa"/>
            <w:noWrap w:val="0"/>
            <w:vAlign w:val="center"/>
          </w:tcPr>
          <w:p>
            <w:pPr>
              <w:spacing w:beforeLines="0" w:afterLines="0" w:line="240" w:lineRule="auto"/>
              <w:ind w:left="0" w:leftChars="0" w:firstLine="0" w:firstLineChars="0"/>
              <w:jc w:val="both"/>
              <w:rPr>
                <w:rFonts w:hint="default" w:ascii="Times New Roman" w:hAnsi="Times New Roman" w:eastAsia="宋体" w:cs="Times New Roman"/>
                <w:snapToGrid w:val="0"/>
                <w:color w:val="auto"/>
                <w:kern w:val="21"/>
                <w:sz w:val="21"/>
                <w:szCs w:val="21"/>
                <w:u w:val="none" w:color="auto"/>
                <w:lang w:val="en-US" w:eastAsia="zh-CN" w:bidi="ar-SA"/>
              </w:rPr>
            </w:pPr>
            <w:r>
              <w:rPr>
                <w:rFonts w:hint="eastAsia" w:cs="Times New Roman"/>
                <w:snapToGrid w:val="0"/>
                <w:color w:val="auto"/>
                <w:kern w:val="21"/>
                <w:sz w:val="21"/>
                <w:szCs w:val="21"/>
                <w:u w:val="none" w:color="auto"/>
                <w:lang w:val="en-US" w:eastAsia="zh-CN" w:bidi="ar-SA"/>
              </w:rPr>
              <w:t>/</w:t>
            </w:r>
          </w:p>
        </w:tc>
        <w:tc>
          <w:tcPr>
            <w:tcW w:w="1800" w:type="dxa"/>
            <w:noWrap w:val="0"/>
            <w:vAlign w:val="center"/>
          </w:tcPr>
          <w:p>
            <w:pPr>
              <w:spacing w:beforeLines="0" w:afterLines="0" w:line="240" w:lineRule="auto"/>
              <w:ind w:left="0" w:leftChars="0" w:firstLine="0" w:firstLineChars="0"/>
              <w:jc w:val="both"/>
              <w:rPr>
                <w:rFonts w:hint="default" w:ascii="Times New Roman" w:hAnsi="Times New Roman" w:eastAsia="宋体" w:cs="Times New Roman"/>
                <w:snapToGrid w:val="0"/>
                <w:color w:val="auto"/>
                <w:kern w:val="21"/>
                <w:sz w:val="21"/>
                <w:szCs w:val="21"/>
                <w:u w:val="none" w:color="auto"/>
                <w:lang w:val="en-US" w:eastAsia="zh-CN" w:bidi="ar-SA"/>
              </w:rPr>
            </w:pPr>
            <w:r>
              <w:rPr>
                <w:rFonts w:hint="eastAsia" w:cs="Times New Roman"/>
                <w:snapToGrid w:val="0"/>
                <w:color w:val="auto"/>
                <w:kern w:val="21"/>
                <w:sz w:val="21"/>
                <w:szCs w:val="21"/>
                <w:u w:val="none" w:color="auto"/>
                <w:lang w:val="en-US" w:eastAsia="zh-CN" w:bidi="ar-SA"/>
              </w:rPr>
              <w:t>215.7kg/a</w:t>
            </w:r>
          </w:p>
        </w:tc>
        <w:tc>
          <w:tcPr>
            <w:tcW w:w="1846" w:type="dxa"/>
            <w:noWrap w:val="0"/>
            <w:vAlign w:val="center"/>
          </w:tcPr>
          <w:p>
            <w:pPr>
              <w:spacing w:beforeLines="0" w:afterLines="0" w:line="240" w:lineRule="auto"/>
              <w:ind w:left="0" w:leftChars="0" w:firstLine="0" w:firstLineChars="0"/>
              <w:jc w:val="both"/>
              <w:rPr>
                <w:rFonts w:hint="eastAsia" w:ascii="Times New Roman" w:hAnsi="Times New Roman" w:eastAsia="宋体" w:cs="Times New Roman"/>
                <w:snapToGrid w:val="0"/>
                <w:color w:val="auto"/>
                <w:kern w:val="21"/>
                <w:sz w:val="21"/>
                <w:szCs w:val="21"/>
                <w:u w:val="none" w:color="auto"/>
                <w:lang w:val="en-US" w:eastAsia="zh-CN" w:bidi="ar-SA"/>
              </w:rPr>
            </w:pPr>
            <w:r>
              <w:rPr>
                <w:rFonts w:hint="eastAsia" w:cs="Times New Roman"/>
                <w:snapToGrid w:val="0"/>
                <w:color w:val="auto"/>
                <w:kern w:val="21"/>
                <w:sz w:val="21"/>
                <w:szCs w:val="21"/>
                <w:u w:val="none" w:color="auto"/>
                <w:lang w:val="en-US" w:eastAsia="zh-CN" w:bidi="ar-SA"/>
              </w:rPr>
              <w:t>+215.7kg/a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30"/>
              <w:spacing w:beforeLines="0" w:afterLines="0" w:line="240" w:lineRule="auto"/>
              <w:ind w:left="0" w:leftChars="0" w:firstLine="0" w:firstLineChars="0"/>
              <w:jc w:val="both"/>
              <w:rPr>
                <w:rFonts w:hint="eastAsia" w:hAnsi="宋体" w:cs="宋体"/>
                <w:snapToGrid w:val="0"/>
                <w:color w:val="auto"/>
                <w:kern w:val="21"/>
                <w:szCs w:val="21"/>
                <w:u w:val="none" w:color="auto"/>
              </w:rPr>
            </w:pPr>
          </w:p>
        </w:tc>
        <w:tc>
          <w:tcPr>
            <w:tcW w:w="1417" w:type="dxa"/>
            <w:noWrap w:val="0"/>
            <w:vAlign w:val="center"/>
          </w:tcPr>
          <w:p>
            <w:pPr>
              <w:spacing w:beforeLines="0" w:afterLines="0" w:line="240" w:lineRule="auto"/>
              <w:ind w:left="0" w:leftChars="0" w:firstLine="0" w:firstLineChars="0"/>
              <w:jc w:val="both"/>
              <w:rPr>
                <w:rFonts w:hint="default" w:ascii="Times New Roman" w:hAnsi="Times New Roman" w:eastAsia="宋体" w:cs="Times New Roman"/>
                <w:snapToGrid w:val="0"/>
                <w:color w:val="auto"/>
                <w:kern w:val="21"/>
                <w:sz w:val="21"/>
                <w:szCs w:val="21"/>
                <w:u w:val="none" w:color="auto"/>
                <w:lang w:val="en-US" w:eastAsia="zh-CN" w:bidi="ar-SA"/>
              </w:rPr>
            </w:pPr>
            <w:r>
              <w:rPr>
                <w:rFonts w:hint="eastAsia" w:cs="Times New Roman"/>
                <w:snapToGrid w:val="0"/>
                <w:color w:val="auto"/>
                <w:kern w:val="21"/>
                <w:sz w:val="21"/>
                <w:szCs w:val="21"/>
                <w:u w:val="none" w:color="auto"/>
                <w:lang w:val="en-US" w:eastAsia="zh-CN" w:bidi="ar-SA"/>
              </w:rPr>
              <w:t>SO2</w:t>
            </w:r>
          </w:p>
        </w:tc>
        <w:tc>
          <w:tcPr>
            <w:tcW w:w="1478" w:type="dxa"/>
            <w:noWrap w:val="0"/>
            <w:vAlign w:val="center"/>
          </w:tcPr>
          <w:p>
            <w:pPr>
              <w:spacing w:beforeLines="0" w:afterLines="0" w:line="240" w:lineRule="auto"/>
              <w:ind w:left="0" w:leftChars="0" w:firstLine="0" w:firstLineChars="0"/>
              <w:jc w:val="both"/>
              <w:rPr>
                <w:rFonts w:hint="default" w:ascii="Times New Roman" w:hAnsi="Times New Roman" w:eastAsia="宋体" w:cs="Times New Roman"/>
                <w:snapToGrid w:val="0"/>
                <w:color w:val="auto"/>
                <w:kern w:val="21"/>
                <w:sz w:val="21"/>
                <w:szCs w:val="21"/>
                <w:u w:val="none" w:color="auto"/>
                <w:lang w:val="en-US" w:eastAsia="zh-CN" w:bidi="ar-SA"/>
              </w:rPr>
            </w:pPr>
            <w:r>
              <w:rPr>
                <w:rFonts w:hint="eastAsia" w:cs="Times New Roman"/>
                <w:snapToGrid w:val="0"/>
                <w:color w:val="auto"/>
                <w:kern w:val="21"/>
                <w:sz w:val="21"/>
                <w:szCs w:val="21"/>
                <w:u w:val="none" w:color="auto"/>
                <w:lang w:val="en-US" w:eastAsia="zh-CN" w:bidi="ar-SA"/>
              </w:rPr>
              <w:t>/</w:t>
            </w:r>
          </w:p>
        </w:tc>
        <w:tc>
          <w:tcPr>
            <w:tcW w:w="1159" w:type="dxa"/>
            <w:noWrap w:val="0"/>
            <w:vAlign w:val="center"/>
          </w:tcPr>
          <w:p>
            <w:pPr>
              <w:spacing w:beforeLines="0" w:afterLines="0" w:line="240" w:lineRule="auto"/>
              <w:ind w:left="0" w:leftChars="0" w:firstLine="0" w:firstLineChars="0"/>
              <w:jc w:val="both"/>
              <w:rPr>
                <w:rFonts w:hint="default" w:ascii="Times New Roman" w:hAnsi="Times New Roman" w:eastAsia="宋体" w:cs="Times New Roman"/>
                <w:snapToGrid w:val="0"/>
                <w:color w:val="auto"/>
                <w:kern w:val="21"/>
                <w:sz w:val="21"/>
                <w:szCs w:val="21"/>
                <w:u w:val="none" w:color="auto"/>
                <w:lang w:val="en-US" w:eastAsia="zh-CN" w:bidi="ar-SA"/>
              </w:rPr>
            </w:pPr>
            <w:r>
              <w:rPr>
                <w:rFonts w:hint="eastAsia" w:cs="Times New Roman"/>
                <w:snapToGrid w:val="0"/>
                <w:color w:val="auto"/>
                <w:kern w:val="21"/>
                <w:sz w:val="21"/>
                <w:szCs w:val="21"/>
                <w:u w:val="none" w:color="auto"/>
                <w:lang w:val="en-US" w:eastAsia="zh-CN" w:bidi="ar-SA"/>
              </w:rPr>
              <w:t>/</w:t>
            </w:r>
          </w:p>
        </w:tc>
        <w:tc>
          <w:tcPr>
            <w:tcW w:w="1446" w:type="dxa"/>
            <w:noWrap w:val="0"/>
            <w:vAlign w:val="center"/>
          </w:tcPr>
          <w:p>
            <w:pPr>
              <w:spacing w:beforeLines="0" w:afterLines="0" w:line="240" w:lineRule="auto"/>
              <w:ind w:left="0" w:leftChars="0" w:firstLine="0" w:firstLineChars="0"/>
              <w:jc w:val="both"/>
              <w:rPr>
                <w:rFonts w:hint="default" w:ascii="Times New Roman" w:hAnsi="Times New Roman" w:eastAsia="宋体" w:cs="Times New Roman"/>
                <w:snapToGrid w:val="0"/>
                <w:color w:val="auto"/>
                <w:kern w:val="21"/>
                <w:sz w:val="21"/>
                <w:szCs w:val="21"/>
                <w:u w:val="none" w:color="auto"/>
                <w:lang w:val="en-US" w:eastAsia="zh-CN" w:bidi="ar-SA"/>
              </w:rPr>
            </w:pPr>
            <w:r>
              <w:rPr>
                <w:rFonts w:hint="eastAsia" w:cs="Times New Roman"/>
                <w:snapToGrid w:val="0"/>
                <w:color w:val="auto"/>
                <w:kern w:val="21"/>
                <w:sz w:val="21"/>
                <w:szCs w:val="21"/>
                <w:u w:val="none" w:color="auto"/>
                <w:lang w:val="en-US" w:eastAsia="zh-CN" w:bidi="ar-SA"/>
              </w:rPr>
              <w:t>/</w:t>
            </w:r>
          </w:p>
        </w:tc>
        <w:tc>
          <w:tcPr>
            <w:tcW w:w="1377" w:type="dxa"/>
            <w:noWrap w:val="0"/>
            <w:vAlign w:val="center"/>
          </w:tcPr>
          <w:p>
            <w:pPr>
              <w:spacing w:beforeLines="0" w:afterLines="0" w:line="240" w:lineRule="auto"/>
              <w:ind w:left="0" w:leftChars="0" w:firstLine="0" w:firstLineChars="0"/>
              <w:jc w:val="both"/>
              <w:rPr>
                <w:rFonts w:hint="default" w:ascii="Times New Roman" w:hAnsi="Times New Roman" w:eastAsia="宋体" w:cs="Times New Roman"/>
                <w:snapToGrid w:val="0"/>
                <w:color w:val="auto"/>
                <w:kern w:val="21"/>
                <w:sz w:val="21"/>
                <w:szCs w:val="21"/>
                <w:u w:val="none" w:color="auto"/>
                <w:lang w:val="en-US" w:eastAsia="zh-CN" w:bidi="ar-SA"/>
              </w:rPr>
            </w:pPr>
            <w:r>
              <w:rPr>
                <w:rFonts w:hint="eastAsia" w:cs="Times New Roman"/>
                <w:snapToGrid w:val="0"/>
                <w:color w:val="auto"/>
                <w:kern w:val="21"/>
                <w:sz w:val="21"/>
                <w:szCs w:val="21"/>
                <w:u w:val="none" w:color="auto"/>
                <w:lang w:val="en-US" w:eastAsia="zh-CN" w:bidi="ar-SA"/>
              </w:rPr>
              <w:t>2.6kg/a</w:t>
            </w:r>
          </w:p>
        </w:tc>
        <w:tc>
          <w:tcPr>
            <w:tcW w:w="1677" w:type="dxa"/>
            <w:noWrap w:val="0"/>
            <w:vAlign w:val="center"/>
          </w:tcPr>
          <w:p>
            <w:pPr>
              <w:spacing w:beforeLines="0" w:afterLines="0" w:line="240" w:lineRule="auto"/>
              <w:ind w:left="0" w:leftChars="0" w:firstLine="0" w:firstLineChars="0"/>
              <w:jc w:val="both"/>
              <w:rPr>
                <w:rFonts w:hint="default" w:ascii="Times New Roman" w:hAnsi="Times New Roman" w:eastAsia="宋体" w:cs="Times New Roman"/>
                <w:snapToGrid w:val="0"/>
                <w:color w:val="auto"/>
                <w:kern w:val="21"/>
                <w:sz w:val="21"/>
                <w:szCs w:val="21"/>
                <w:u w:val="none" w:color="auto"/>
                <w:lang w:val="en-US" w:eastAsia="zh-CN" w:bidi="ar-SA"/>
              </w:rPr>
            </w:pPr>
            <w:r>
              <w:rPr>
                <w:rFonts w:hint="eastAsia" w:cs="Times New Roman"/>
                <w:snapToGrid w:val="0"/>
                <w:color w:val="auto"/>
                <w:kern w:val="21"/>
                <w:sz w:val="21"/>
                <w:szCs w:val="21"/>
                <w:u w:val="none" w:color="auto"/>
                <w:lang w:val="en-US" w:eastAsia="zh-CN" w:bidi="ar-SA"/>
              </w:rPr>
              <w:t>/</w:t>
            </w:r>
          </w:p>
        </w:tc>
        <w:tc>
          <w:tcPr>
            <w:tcW w:w="1800" w:type="dxa"/>
            <w:noWrap w:val="0"/>
            <w:vAlign w:val="center"/>
          </w:tcPr>
          <w:p>
            <w:pPr>
              <w:spacing w:beforeLines="0" w:afterLines="0" w:line="240" w:lineRule="auto"/>
              <w:ind w:left="0" w:leftChars="0" w:firstLine="0" w:firstLineChars="0"/>
              <w:jc w:val="both"/>
              <w:rPr>
                <w:rFonts w:hint="eastAsia" w:ascii="Times New Roman" w:hAnsi="Times New Roman" w:eastAsia="宋体" w:cs="Times New Roman"/>
                <w:snapToGrid w:val="0"/>
                <w:color w:val="auto"/>
                <w:kern w:val="21"/>
                <w:sz w:val="21"/>
                <w:szCs w:val="21"/>
                <w:u w:val="none" w:color="auto"/>
                <w:lang w:val="en-US" w:eastAsia="zh-CN" w:bidi="ar-SA"/>
              </w:rPr>
            </w:pPr>
            <w:r>
              <w:rPr>
                <w:rFonts w:hint="eastAsia" w:cs="Times New Roman"/>
                <w:snapToGrid w:val="0"/>
                <w:color w:val="auto"/>
                <w:kern w:val="21"/>
                <w:sz w:val="21"/>
                <w:szCs w:val="21"/>
                <w:u w:val="none" w:color="auto"/>
                <w:lang w:val="en-US" w:eastAsia="zh-CN" w:bidi="ar-SA"/>
              </w:rPr>
              <w:t>2.6kg/a</w:t>
            </w:r>
          </w:p>
        </w:tc>
        <w:tc>
          <w:tcPr>
            <w:tcW w:w="1846" w:type="dxa"/>
            <w:noWrap w:val="0"/>
            <w:vAlign w:val="center"/>
          </w:tcPr>
          <w:p>
            <w:pPr>
              <w:spacing w:beforeLines="0" w:afterLines="0" w:line="240" w:lineRule="auto"/>
              <w:ind w:left="0" w:leftChars="0" w:firstLine="0" w:firstLineChars="0"/>
              <w:jc w:val="both"/>
              <w:rPr>
                <w:rFonts w:hint="eastAsia" w:ascii="Times New Roman" w:hAnsi="Times New Roman" w:eastAsia="宋体" w:cs="Times New Roman"/>
                <w:snapToGrid w:val="0"/>
                <w:color w:val="auto"/>
                <w:kern w:val="21"/>
                <w:sz w:val="21"/>
                <w:szCs w:val="21"/>
                <w:u w:val="none" w:color="auto"/>
                <w:lang w:val="en-US" w:eastAsia="zh-CN" w:bidi="ar-SA"/>
              </w:rPr>
            </w:pPr>
            <w:r>
              <w:rPr>
                <w:rFonts w:hint="eastAsia" w:cs="Times New Roman"/>
                <w:snapToGrid w:val="0"/>
                <w:color w:val="auto"/>
                <w:kern w:val="21"/>
                <w:sz w:val="21"/>
                <w:szCs w:val="21"/>
                <w:u w:val="none" w:color="auto"/>
                <w:lang w:val="en-US" w:eastAsia="zh-CN" w:bidi="ar-SA"/>
              </w:rPr>
              <w:t>+2.6kg/a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30"/>
              <w:spacing w:beforeLines="0" w:afterLines="0" w:line="240" w:lineRule="auto"/>
              <w:ind w:left="0" w:leftChars="0" w:firstLine="0" w:firstLineChars="0"/>
              <w:jc w:val="both"/>
              <w:rPr>
                <w:rFonts w:hint="eastAsia" w:hAnsi="宋体" w:cs="宋体"/>
                <w:snapToGrid w:val="0"/>
                <w:color w:val="auto"/>
                <w:kern w:val="21"/>
                <w:szCs w:val="21"/>
                <w:u w:val="none" w:color="auto"/>
              </w:rPr>
            </w:pPr>
          </w:p>
        </w:tc>
        <w:tc>
          <w:tcPr>
            <w:tcW w:w="1417" w:type="dxa"/>
            <w:noWrap w:val="0"/>
            <w:vAlign w:val="center"/>
          </w:tcPr>
          <w:p>
            <w:pPr>
              <w:spacing w:beforeLines="0" w:afterLines="0" w:line="240" w:lineRule="auto"/>
              <w:ind w:left="0" w:leftChars="0" w:firstLine="0" w:firstLineChars="0"/>
              <w:jc w:val="both"/>
              <w:rPr>
                <w:rFonts w:hint="default" w:ascii="Times New Roman" w:hAnsi="Times New Roman" w:eastAsia="宋体" w:cs="Times New Roman"/>
                <w:snapToGrid w:val="0"/>
                <w:color w:val="auto"/>
                <w:kern w:val="21"/>
                <w:sz w:val="21"/>
                <w:szCs w:val="21"/>
                <w:u w:val="none" w:color="auto"/>
                <w:lang w:val="en-US" w:eastAsia="zh-CN" w:bidi="ar-SA"/>
              </w:rPr>
            </w:pPr>
            <w:r>
              <w:rPr>
                <w:rFonts w:hint="eastAsia" w:cs="Times New Roman"/>
                <w:snapToGrid w:val="0"/>
                <w:color w:val="auto"/>
                <w:kern w:val="21"/>
                <w:sz w:val="21"/>
                <w:szCs w:val="21"/>
                <w:u w:val="none" w:color="auto"/>
                <w:lang w:val="en-US" w:eastAsia="zh-CN" w:bidi="ar-SA"/>
              </w:rPr>
              <w:t>颗粒物</w:t>
            </w:r>
          </w:p>
        </w:tc>
        <w:tc>
          <w:tcPr>
            <w:tcW w:w="1478" w:type="dxa"/>
            <w:noWrap w:val="0"/>
            <w:vAlign w:val="center"/>
          </w:tcPr>
          <w:p>
            <w:pPr>
              <w:spacing w:beforeLines="0" w:afterLines="0" w:line="240" w:lineRule="auto"/>
              <w:ind w:left="0" w:leftChars="0" w:firstLine="0" w:firstLineChars="0"/>
              <w:jc w:val="both"/>
              <w:rPr>
                <w:rFonts w:hint="default" w:ascii="Times New Roman" w:hAnsi="Times New Roman" w:eastAsia="宋体" w:cs="Times New Roman"/>
                <w:snapToGrid w:val="0"/>
                <w:color w:val="auto"/>
                <w:kern w:val="21"/>
                <w:sz w:val="21"/>
                <w:szCs w:val="21"/>
                <w:u w:val="none" w:color="auto"/>
                <w:lang w:val="en-US" w:eastAsia="zh-CN" w:bidi="ar-SA"/>
              </w:rPr>
            </w:pPr>
            <w:r>
              <w:rPr>
                <w:rFonts w:hint="eastAsia" w:cs="Times New Roman"/>
                <w:snapToGrid w:val="0"/>
                <w:color w:val="auto"/>
                <w:kern w:val="21"/>
                <w:sz w:val="21"/>
                <w:szCs w:val="21"/>
                <w:u w:val="none" w:color="auto"/>
                <w:lang w:val="en-US" w:eastAsia="zh-CN" w:bidi="ar-SA"/>
              </w:rPr>
              <w:t>/</w:t>
            </w:r>
          </w:p>
        </w:tc>
        <w:tc>
          <w:tcPr>
            <w:tcW w:w="1159" w:type="dxa"/>
            <w:noWrap w:val="0"/>
            <w:vAlign w:val="center"/>
          </w:tcPr>
          <w:p>
            <w:pPr>
              <w:spacing w:beforeLines="0" w:afterLines="0" w:line="240" w:lineRule="auto"/>
              <w:ind w:left="0" w:leftChars="0" w:firstLine="0" w:firstLineChars="0"/>
              <w:jc w:val="both"/>
              <w:rPr>
                <w:rFonts w:hint="default" w:ascii="Times New Roman" w:hAnsi="Times New Roman" w:eastAsia="宋体" w:cs="Times New Roman"/>
                <w:snapToGrid w:val="0"/>
                <w:color w:val="auto"/>
                <w:kern w:val="21"/>
                <w:sz w:val="21"/>
                <w:szCs w:val="21"/>
                <w:u w:val="none" w:color="auto"/>
                <w:lang w:val="en-US" w:eastAsia="zh-CN" w:bidi="ar-SA"/>
              </w:rPr>
            </w:pPr>
            <w:r>
              <w:rPr>
                <w:rFonts w:hint="eastAsia" w:cs="Times New Roman"/>
                <w:snapToGrid w:val="0"/>
                <w:color w:val="auto"/>
                <w:kern w:val="21"/>
                <w:sz w:val="21"/>
                <w:szCs w:val="21"/>
                <w:u w:val="none" w:color="auto"/>
                <w:lang w:val="en-US" w:eastAsia="zh-CN" w:bidi="ar-SA"/>
              </w:rPr>
              <w:t>/</w:t>
            </w:r>
          </w:p>
        </w:tc>
        <w:tc>
          <w:tcPr>
            <w:tcW w:w="1446" w:type="dxa"/>
            <w:noWrap w:val="0"/>
            <w:vAlign w:val="center"/>
          </w:tcPr>
          <w:p>
            <w:pPr>
              <w:spacing w:beforeLines="0" w:afterLines="0" w:line="240" w:lineRule="auto"/>
              <w:ind w:left="0" w:leftChars="0" w:firstLine="0" w:firstLineChars="0"/>
              <w:jc w:val="both"/>
              <w:rPr>
                <w:rFonts w:hint="default" w:ascii="Times New Roman" w:hAnsi="Times New Roman" w:eastAsia="宋体" w:cs="Times New Roman"/>
                <w:snapToGrid w:val="0"/>
                <w:color w:val="auto"/>
                <w:kern w:val="21"/>
                <w:sz w:val="21"/>
                <w:szCs w:val="21"/>
                <w:u w:val="none" w:color="auto"/>
                <w:lang w:val="en-US" w:eastAsia="zh-CN" w:bidi="ar-SA"/>
              </w:rPr>
            </w:pPr>
            <w:r>
              <w:rPr>
                <w:rFonts w:hint="eastAsia" w:cs="Times New Roman"/>
                <w:snapToGrid w:val="0"/>
                <w:color w:val="auto"/>
                <w:kern w:val="21"/>
                <w:sz w:val="21"/>
                <w:szCs w:val="21"/>
                <w:u w:val="none" w:color="auto"/>
                <w:lang w:val="en-US" w:eastAsia="zh-CN" w:bidi="ar-SA"/>
              </w:rPr>
              <w:t>/</w:t>
            </w:r>
          </w:p>
        </w:tc>
        <w:tc>
          <w:tcPr>
            <w:tcW w:w="1377" w:type="dxa"/>
            <w:noWrap w:val="0"/>
            <w:vAlign w:val="center"/>
          </w:tcPr>
          <w:p>
            <w:pPr>
              <w:spacing w:beforeLines="0" w:afterLines="0" w:line="240" w:lineRule="auto"/>
              <w:ind w:left="0" w:leftChars="0" w:firstLine="0" w:firstLineChars="0"/>
              <w:jc w:val="both"/>
              <w:rPr>
                <w:rFonts w:hint="default" w:ascii="Times New Roman" w:hAnsi="Times New Roman" w:eastAsia="宋体" w:cs="Times New Roman"/>
                <w:snapToGrid w:val="0"/>
                <w:color w:val="auto"/>
                <w:kern w:val="21"/>
                <w:sz w:val="21"/>
                <w:szCs w:val="21"/>
                <w:u w:val="none" w:color="auto"/>
                <w:lang w:val="en-US" w:eastAsia="zh-CN" w:bidi="ar-SA"/>
              </w:rPr>
            </w:pPr>
            <w:r>
              <w:rPr>
                <w:rFonts w:hint="eastAsia" w:cs="Times New Roman"/>
                <w:snapToGrid w:val="0"/>
                <w:color w:val="auto"/>
                <w:kern w:val="21"/>
                <w:sz w:val="21"/>
                <w:szCs w:val="21"/>
                <w:u w:val="none" w:color="auto"/>
                <w:lang w:val="en-US" w:eastAsia="zh-CN" w:bidi="ar-SA"/>
              </w:rPr>
              <w:t>107.9kg/a</w:t>
            </w:r>
          </w:p>
        </w:tc>
        <w:tc>
          <w:tcPr>
            <w:tcW w:w="1677" w:type="dxa"/>
            <w:noWrap w:val="0"/>
            <w:vAlign w:val="center"/>
          </w:tcPr>
          <w:p>
            <w:pPr>
              <w:spacing w:beforeLines="0" w:afterLines="0" w:line="240" w:lineRule="auto"/>
              <w:ind w:left="0" w:leftChars="0" w:firstLine="0" w:firstLineChars="0"/>
              <w:jc w:val="both"/>
              <w:rPr>
                <w:rFonts w:hint="default" w:ascii="Times New Roman" w:hAnsi="Times New Roman" w:eastAsia="宋体" w:cs="Times New Roman"/>
                <w:snapToGrid w:val="0"/>
                <w:color w:val="auto"/>
                <w:kern w:val="21"/>
                <w:sz w:val="21"/>
                <w:szCs w:val="21"/>
                <w:u w:val="none" w:color="auto"/>
                <w:lang w:val="en-US" w:eastAsia="zh-CN" w:bidi="ar-SA"/>
              </w:rPr>
            </w:pPr>
            <w:r>
              <w:rPr>
                <w:rFonts w:hint="eastAsia" w:cs="Times New Roman"/>
                <w:snapToGrid w:val="0"/>
                <w:color w:val="auto"/>
                <w:kern w:val="21"/>
                <w:sz w:val="21"/>
                <w:szCs w:val="21"/>
                <w:u w:val="none" w:color="auto"/>
                <w:lang w:val="en-US" w:eastAsia="zh-CN" w:bidi="ar-SA"/>
              </w:rPr>
              <w:t>/</w:t>
            </w:r>
          </w:p>
        </w:tc>
        <w:tc>
          <w:tcPr>
            <w:tcW w:w="1800" w:type="dxa"/>
            <w:noWrap w:val="0"/>
            <w:vAlign w:val="center"/>
          </w:tcPr>
          <w:p>
            <w:pPr>
              <w:spacing w:beforeLines="0" w:afterLines="0" w:line="240" w:lineRule="auto"/>
              <w:ind w:left="0" w:leftChars="0" w:firstLine="0" w:firstLineChars="0"/>
              <w:jc w:val="both"/>
              <w:rPr>
                <w:rFonts w:hint="eastAsia" w:ascii="Times New Roman" w:hAnsi="Times New Roman" w:eastAsia="宋体" w:cs="Times New Roman"/>
                <w:snapToGrid w:val="0"/>
                <w:color w:val="auto"/>
                <w:kern w:val="21"/>
                <w:sz w:val="21"/>
                <w:szCs w:val="21"/>
                <w:u w:val="none" w:color="auto"/>
                <w:lang w:val="en-US" w:eastAsia="zh-CN" w:bidi="ar-SA"/>
              </w:rPr>
            </w:pPr>
            <w:r>
              <w:rPr>
                <w:rFonts w:hint="eastAsia" w:cs="Times New Roman"/>
                <w:snapToGrid w:val="0"/>
                <w:color w:val="auto"/>
                <w:kern w:val="21"/>
                <w:sz w:val="21"/>
                <w:szCs w:val="21"/>
                <w:u w:val="none" w:color="auto"/>
                <w:lang w:val="en-US" w:eastAsia="zh-CN" w:bidi="ar-SA"/>
              </w:rPr>
              <w:t>107.9kg/a</w:t>
            </w:r>
          </w:p>
        </w:tc>
        <w:tc>
          <w:tcPr>
            <w:tcW w:w="1846" w:type="dxa"/>
            <w:noWrap w:val="0"/>
            <w:vAlign w:val="center"/>
          </w:tcPr>
          <w:p>
            <w:pPr>
              <w:spacing w:beforeLines="0" w:afterLines="0" w:line="240" w:lineRule="auto"/>
              <w:ind w:left="0" w:leftChars="0" w:firstLine="0" w:firstLineChars="0"/>
              <w:jc w:val="both"/>
              <w:rPr>
                <w:rFonts w:hint="eastAsia" w:ascii="Times New Roman" w:hAnsi="Times New Roman" w:eastAsia="宋体" w:cs="Times New Roman"/>
                <w:snapToGrid w:val="0"/>
                <w:color w:val="auto"/>
                <w:kern w:val="21"/>
                <w:sz w:val="21"/>
                <w:szCs w:val="21"/>
                <w:u w:val="none" w:color="auto"/>
                <w:lang w:val="en-US" w:eastAsia="zh-CN" w:bidi="ar-SA"/>
              </w:rPr>
            </w:pPr>
            <w:r>
              <w:rPr>
                <w:rFonts w:hint="eastAsia" w:cs="Times New Roman"/>
                <w:snapToGrid w:val="0"/>
                <w:color w:val="auto"/>
                <w:kern w:val="21"/>
                <w:sz w:val="21"/>
                <w:szCs w:val="21"/>
                <w:u w:val="none" w:color="auto"/>
                <w:lang w:val="en-US" w:eastAsia="zh-CN" w:bidi="ar-SA"/>
              </w:rPr>
              <w:t>+107.9kg/a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30"/>
              <w:spacing w:beforeLines="0" w:afterLines="0" w:line="240" w:lineRule="auto"/>
              <w:ind w:left="0" w:leftChars="0" w:firstLine="0" w:firstLineChars="0"/>
              <w:jc w:val="both"/>
              <w:rPr>
                <w:rFonts w:hint="eastAsia" w:hAnsi="宋体" w:cs="宋体"/>
                <w:snapToGrid w:val="0"/>
                <w:color w:val="auto"/>
                <w:kern w:val="21"/>
                <w:szCs w:val="21"/>
                <w:u w:val="none" w:color="auto"/>
              </w:rPr>
            </w:pPr>
          </w:p>
        </w:tc>
        <w:tc>
          <w:tcPr>
            <w:tcW w:w="1417" w:type="dxa"/>
            <w:noWrap w:val="0"/>
            <w:vAlign w:val="center"/>
          </w:tcPr>
          <w:p>
            <w:pPr>
              <w:spacing w:beforeLines="0" w:afterLines="0" w:line="240" w:lineRule="auto"/>
              <w:ind w:left="0" w:leftChars="0" w:firstLine="0" w:firstLineChars="0"/>
              <w:jc w:val="both"/>
              <w:rPr>
                <w:rFonts w:hint="default" w:ascii="Times New Roman" w:hAnsi="Times New Roman" w:eastAsia="宋体" w:cs="Times New Roman"/>
                <w:snapToGrid w:val="0"/>
                <w:color w:val="auto"/>
                <w:kern w:val="21"/>
                <w:sz w:val="21"/>
                <w:szCs w:val="21"/>
                <w:u w:val="none" w:color="auto"/>
                <w:lang w:val="en-US" w:eastAsia="zh-CN" w:bidi="ar-SA"/>
              </w:rPr>
            </w:pPr>
            <w:r>
              <w:rPr>
                <w:rFonts w:hint="eastAsia" w:cs="Times New Roman"/>
                <w:snapToGrid w:val="0"/>
                <w:color w:val="auto"/>
                <w:kern w:val="21"/>
                <w:sz w:val="21"/>
                <w:szCs w:val="21"/>
                <w:u w:val="none" w:color="auto"/>
                <w:lang w:val="en-US" w:eastAsia="zh-CN" w:bidi="ar-SA"/>
              </w:rPr>
              <w:t>油烟</w:t>
            </w:r>
          </w:p>
        </w:tc>
        <w:tc>
          <w:tcPr>
            <w:tcW w:w="1478" w:type="dxa"/>
            <w:noWrap w:val="0"/>
            <w:vAlign w:val="center"/>
          </w:tcPr>
          <w:p>
            <w:pPr>
              <w:spacing w:beforeLines="0" w:afterLines="0" w:line="240" w:lineRule="auto"/>
              <w:ind w:left="0" w:leftChars="0" w:firstLine="0" w:firstLineChars="0"/>
              <w:jc w:val="both"/>
              <w:rPr>
                <w:rFonts w:hint="default" w:ascii="Times New Roman" w:hAnsi="Times New Roman" w:eastAsia="宋体" w:cs="Times New Roman"/>
                <w:snapToGrid w:val="0"/>
                <w:color w:val="auto"/>
                <w:kern w:val="21"/>
                <w:sz w:val="21"/>
                <w:szCs w:val="21"/>
                <w:u w:val="none" w:color="auto"/>
                <w:lang w:val="en-US" w:eastAsia="zh-CN" w:bidi="ar-SA"/>
              </w:rPr>
            </w:pPr>
            <w:r>
              <w:rPr>
                <w:rFonts w:hint="eastAsia" w:cs="Times New Roman"/>
                <w:snapToGrid w:val="0"/>
                <w:color w:val="auto"/>
                <w:kern w:val="21"/>
                <w:sz w:val="21"/>
                <w:szCs w:val="21"/>
                <w:u w:val="none" w:color="auto"/>
                <w:lang w:val="en-US" w:eastAsia="zh-CN" w:bidi="ar-SA"/>
              </w:rPr>
              <w:t>/</w:t>
            </w:r>
          </w:p>
        </w:tc>
        <w:tc>
          <w:tcPr>
            <w:tcW w:w="1159" w:type="dxa"/>
            <w:noWrap w:val="0"/>
            <w:vAlign w:val="center"/>
          </w:tcPr>
          <w:p>
            <w:pPr>
              <w:spacing w:beforeLines="0" w:afterLines="0" w:line="240" w:lineRule="auto"/>
              <w:ind w:left="0" w:leftChars="0" w:firstLine="0" w:firstLineChars="0"/>
              <w:jc w:val="both"/>
              <w:rPr>
                <w:rFonts w:hint="default" w:ascii="Times New Roman" w:hAnsi="Times New Roman" w:eastAsia="宋体" w:cs="Times New Roman"/>
                <w:snapToGrid w:val="0"/>
                <w:color w:val="auto"/>
                <w:kern w:val="21"/>
                <w:sz w:val="21"/>
                <w:szCs w:val="21"/>
                <w:u w:val="none" w:color="auto"/>
                <w:lang w:val="en-US" w:eastAsia="zh-CN" w:bidi="ar-SA"/>
              </w:rPr>
            </w:pPr>
            <w:r>
              <w:rPr>
                <w:rFonts w:hint="eastAsia" w:cs="Times New Roman"/>
                <w:snapToGrid w:val="0"/>
                <w:color w:val="auto"/>
                <w:kern w:val="21"/>
                <w:sz w:val="21"/>
                <w:szCs w:val="21"/>
                <w:u w:val="none" w:color="auto"/>
                <w:lang w:val="en-US" w:eastAsia="zh-CN" w:bidi="ar-SA"/>
              </w:rPr>
              <w:t>/</w:t>
            </w:r>
          </w:p>
        </w:tc>
        <w:tc>
          <w:tcPr>
            <w:tcW w:w="1446" w:type="dxa"/>
            <w:noWrap w:val="0"/>
            <w:vAlign w:val="center"/>
          </w:tcPr>
          <w:p>
            <w:pPr>
              <w:spacing w:beforeLines="0" w:afterLines="0" w:line="240" w:lineRule="auto"/>
              <w:ind w:left="0" w:leftChars="0" w:firstLine="0" w:firstLineChars="0"/>
              <w:jc w:val="both"/>
              <w:rPr>
                <w:rFonts w:hint="default" w:ascii="Times New Roman" w:hAnsi="Times New Roman" w:eastAsia="宋体" w:cs="Times New Roman"/>
                <w:snapToGrid w:val="0"/>
                <w:color w:val="auto"/>
                <w:kern w:val="21"/>
                <w:sz w:val="21"/>
                <w:szCs w:val="21"/>
                <w:u w:val="none" w:color="auto"/>
                <w:lang w:val="en-US" w:eastAsia="zh-CN" w:bidi="ar-SA"/>
              </w:rPr>
            </w:pPr>
            <w:r>
              <w:rPr>
                <w:rFonts w:hint="eastAsia" w:cs="Times New Roman"/>
                <w:snapToGrid w:val="0"/>
                <w:color w:val="auto"/>
                <w:kern w:val="21"/>
                <w:sz w:val="21"/>
                <w:szCs w:val="21"/>
                <w:u w:val="none" w:color="auto"/>
                <w:lang w:val="en-US" w:eastAsia="zh-CN" w:bidi="ar-SA"/>
              </w:rPr>
              <w:t>/</w:t>
            </w:r>
          </w:p>
        </w:tc>
        <w:tc>
          <w:tcPr>
            <w:tcW w:w="1377" w:type="dxa"/>
            <w:noWrap w:val="0"/>
            <w:vAlign w:val="center"/>
          </w:tcPr>
          <w:p>
            <w:pPr>
              <w:spacing w:beforeLines="0" w:afterLines="0" w:line="240" w:lineRule="auto"/>
              <w:ind w:left="0" w:leftChars="0" w:firstLine="0" w:firstLineChars="0"/>
              <w:jc w:val="both"/>
              <w:rPr>
                <w:rFonts w:hint="default" w:ascii="Times New Roman" w:hAnsi="Times New Roman" w:eastAsia="宋体" w:cs="Times New Roman"/>
                <w:snapToGrid w:val="0"/>
                <w:color w:val="auto"/>
                <w:kern w:val="21"/>
                <w:sz w:val="21"/>
                <w:szCs w:val="21"/>
                <w:u w:val="none" w:color="auto"/>
                <w:lang w:val="en-US" w:eastAsia="zh-CN" w:bidi="ar-SA"/>
              </w:rPr>
            </w:pPr>
            <w:r>
              <w:rPr>
                <w:rFonts w:hint="eastAsia" w:cs="Times New Roman"/>
                <w:snapToGrid w:val="0"/>
                <w:color w:val="auto"/>
                <w:kern w:val="21"/>
                <w:sz w:val="21"/>
                <w:szCs w:val="21"/>
                <w:u w:val="none" w:color="auto"/>
                <w:lang w:val="en-US" w:eastAsia="zh-CN" w:bidi="ar-SA"/>
              </w:rPr>
              <w:t>2.97kg/a</w:t>
            </w:r>
          </w:p>
        </w:tc>
        <w:tc>
          <w:tcPr>
            <w:tcW w:w="1677" w:type="dxa"/>
            <w:noWrap w:val="0"/>
            <w:vAlign w:val="center"/>
          </w:tcPr>
          <w:p>
            <w:pPr>
              <w:spacing w:beforeLines="0" w:afterLines="0" w:line="240" w:lineRule="auto"/>
              <w:ind w:left="0" w:leftChars="0" w:firstLine="0" w:firstLineChars="0"/>
              <w:jc w:val="both"/>
              <w:rPr>
                <w:rFonts w:hint="default" w:ascii="Times New Roman" w:hAnsi="Times New Roman" w:eastAsia="宋体" w:cs="Times New Roman"/>
                <w:snapToGrid w:val="0"/>
                <w:color w:val="auto"/>
                <w:kern w:val="21"/>
                <w:sz w:val="21"/>
                <w:szCs w:val="21"/>
                <w:u w:val="none" w:color="auto"/>
                <w:lang w:val="en-US" w:eastAsia="zh-CN" w:bidi="ar-SA"/>
              </w:rPr>
            </w:pPr>
            <w:r>
              <w:rPr>
                <w:rFonts w:hint="eastAsia" w:cs="Times New Roman"/>
                <w:snapToGrid w:val="0"/>
                <w:color w:val="auto"/>
                <w:kern w:val="21"/>
                <w:sz w:val="21"/>
                <w:szCs w:val="21"/>
                <w:u w:val="none" w:color="auto"/>
                <w:lang w:val="en-US" w:eastAsia="zh-CN" w:bidi="ar-SA"/>
              </w:rPr>
              <w:t>/</w:t>
            </w:r>
          </w:p>
        </w:tc>
        <w:tc>
          <w:tcPr>
            <w:tcW w:w="1800" w:type="dxa"/>
            <w:noWrap w:val="0"/>
            <w:vAlign w:val="center"/>
          </w:tcPr>
          <w:p>
            <w:pPr>
              <w:spacing w:beforeLines="0" w:afterLines="0" w:line="240" w:lineRule="auto"/>
              <w:ind w:left="0" w:leftChars="0" w:firstLine="0" w:firstLineChars="0"/>
              <w:jc w:val="both"/>
              <w:rPr>
                <w:rFonts w:hint="eastAsia" w:ascii="Times New Roman" w:hAnsi="Times New Roman" w:eastAsia="宋体" w:cs="Times New Roman"/>
                <w:snapToGrid w:val="0"/>
                <w:color w:val="auto"/>
                <w:kern w:val="21"/>
                <w:sz w:val="21"/>
                <w:szCs w:val="21"/>
                <w:u w:val="none" w:color="auto"/>
                <w:lang w:val="en-US" w:eastAsia="zh-CN" w:bidi="ar-SA"/>
              </w:rPr>
            </w:pPr>
            <w:r>
              <w:rPr>
                <w:rFonts w:hint="eastAsia" w:cs="Times New Roman"/>
                <w:snapToGrid w:val="0"/>
                <w:color w:val="auto"/>
                <w:kern w:val="21"/>
                <w:sz w:val="21"/>
                <w:szCs w:val="21"/>
                <w:u w:val="none" w:color="auto"/>
                <w:lang w:val="en-US" w:eastAsia="zh-CN" w:bidi="ar-SA"/>
              </w:rPr>
              <w:t>2.97kg/a</w:t>
            </w:r>
          </w:p>
        </w:tc>
        <w:tc>
          <w:tcPr>
            <w:tcW w:w="1846" w:type="dxa"/>
            <w:noWrap w:val="0"/>
            <w:vAlign w:val="center"/>
          </w:tcPr>
          <w:p>
            <w:pPr>
              <w:spacing w:beforeLines="0" w:afterLines="0" w:line="240" w:lineRule="auto"/>
              <w:ind w:left="0" w:leftChars="0" w:firstLine="0" w:firstLineChars="0"/>
              <w:jc w:val="both"/>
              <w:rPr>
                <w:rFonts w:hint="eastAsia" w:ascii="Times New Roman" w:hAnsi="Times New Roman" w:eastAsia="宋体" w:cs="Times New Roman"/>
                <w:snapToGrid w:val="0"/>
                <w:color w:val="auto"/>
                <w:kern w:val="21"/>
                <w:sz w:val="21"/>
                <w:szCs w:val="21"/>
                <w:u w:val="none" w:color="auto"/>
                <w:lang w:val="en-US" w:eastAsia="zh-CN" w:bidi="ar-SA"/>
              </w:rPr>
            </w:pPr>
            <w:r>
              <w:rPr>
                <w:rFonts w:hint="eastAsia" w:cs="Times New Roman"/>
                <w:snapToGrid w:val="0"/>
                <w:color w:val="auto"/>
                <w:kern w:val="21"/>
                <w:sz w:val="21"/>
                <w:szCs w:val="21"/>
                <w:u w:val="none" w:color="auto"/>
                <w:lang w:val="en-US" w:eastAsia="zh-CN" w:bidi="ar-SA"/>
              </w:rPr>
              <w:t>+2.97kg/a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pPr>
              <w:pStyle w:val="30"/>
              <w:spacing w:beforeLines="0" w:afterLines="0" w:line="240" w:lineRule="auto"/>
              <w:ind w:left="0" w:leftChars="0" w:firstLine="0" w:firstLineChars="0"/>
              <w:jc w:val="both"/>
              <w:rPr>
                <w:rFonts w:hint="eastAsia" w:hAnsi="宋体" w:cs="宋体"/>
                <w:snapToGrid w:val="0"/>
                <w:color w:val="auto"/>
                <w:kern w:val="21"/>
                <w:szCs w:val="21"/>
                <w:u w:val="none" w:color="auto"/>
              </w:rPr>
            </w:pPr>
            <w:r>
              <w:rPr>
                <w:rFonts w:hint="eastAsia" w:hAnsi="宋体" w:cs="宋体"/>
                <w:snapToGrid w:val="0"/>
                <w:color w:val="auto"/>
                <w:kern w:val="21"/>
                <w:szCs w:val="21"/>
                <w:u w:val="none" w:color="auto"/>
              </w:rPr>
              <w:t>废水</w:t>
            </w:r>
          </w:p>
        </w:tc>
        <w:tc>
          <w:tcPr>
            <w:tcW w:w="1417" w:type="dxa"/>
            <w:noWrap w:val="0"/>
            <w:vAlign w:val="center"/>
          </w:tcPr>
          <w:p>
            <w:pPr>
              <w:spacing w:beforeLines="0" w:afterLines="0" w:line="240" w:lineRule="auto"/>
              <w:ind w:left="0" w:leftChars="0" w:firstLine="0" w:firstLineChars="0"/>
              <w:jc w:val="both"/>
              <w:rPr>
                <w:rFonts w:hint="default" w:ascii="Times New Roman" w:hAnsi="Times New Roman" w:eastAsia="宋体" w:cs="Times New Roman"/>
                <w:snapToGrid w:val="0"/>
                <w:color w:val="auto"/>
                <w:kern w:val="21"/>
                <w:szCs w:val="21"/>
                <w:u w:val="none" w:color="auto"/>
                <w:lang w:val="en-US" w:eastAsia="zh-CN"/>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478" w:type="dxa"/>
            <w:noWrap w:val="0"/>
            <w:vAlign w:val="center"/>
          </w:tcPr>
          <w:p>
            <w:pPr>
              <w:spacing w:beforeLines="0" w:afterLines="0" w:line="240" w:lineRule="auto"/>
              <w:ind w:left="0" w:leftChars="0" w:firstLine="0" w:firstLineChars="0"/>
              <w:jc w:val="both"/>
              <w:rPr>
                <w:rFonts w:hint="default" w:hAnsi="宋体" w:eastAsia="宋体" w:cs="宋体"/>
                <w:snapToGrid w:val="0"/>
                <w:color w:val="auto"/>
                <w:kern w:val="21"/>
                <w:szCs w:val="21"/>
                <w:u w:val="none" w:color="auto"/>
                <w:lang w:val="en-US" w:eastAsia="zh-CN"/>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159" w:type="dxa"/>
            <w:noWrap w:val="0"/>
            <w:vAlign w:val="center"/>
          </w:tcPr>
          <w:p>
            <w:pPr>
              <w:spacing w:beforeLines="0" w:afterLines="0" w:line="240" w:lineRule="auto"/>
              <w:ind w:left="0" w:leftChars="0" w:firstLine="0" w:firstLineChars="0"/>
              <w:jc w:val="both"/>
              <w:rPr>
                <w:rFonts w:hint="eastAsia" w:hAnsi="宋体" w:eastAsia="宋体" w:cs="宋体"/>
                <w:snapToGrid w:val="0"/>
                <w:color w:val="auto"/>
                <w:kern w:val="21"/>
                <w:szCs w:val="21"/>
                <w:u w:val="none" w:color="auto"/>
                <w:lang w:val="en-US" w:eastAsia="zh-CN"/>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446" w:type="dxa"/>
            <w:noWrap w:val="0"/>
            <w:vAlign w:val="center"/>
          </w:tcPr>
          <w:p>
            <w:pPr>
              <w:spacing w:beforeLines="0" w:afterLines="0" w:line="240" w:lineRule="auto"/>
              <w:ind w:left="0" w:leftChars="0" w:firstLine="0" w:firstLineChars="0"/>
              <w:jc w:val="both"/>
              <w:rPr>
                <w:rFonts w:hint="eastAsia" w:hAnsi="宋体" w:eastAsia="宋体" w:cs="宋体"/>
                <w:snapToGrid w:val="0"/>
                <w:color w:val="auto"/>
                <w:kern w:val="21"/>
                <w:szCs w:val="21"/>
                <w:u w:val="none" w:color="auto"/>
                <w:lang w:val="en-US" w:eastAsia="zh-CN"/>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377" w:type="dxa"/>
            <w:noWrap w:val="0"/>
            <w:vAlign w:val="center"/>
          </w:tcPr>
          <w:p>
            <w:pPr>
              <w:spacing w:beforeLines="0" w:afterLines="0" w:line="240" w:lineRule="auto"/>
              <w:ind w:left="0" w:leftChars="0" w:firstLine="0" w:firstLineChars="0"/>
              <w:jc w:val="both"/>
              <w:rPr>
                <w:rFonts w:hint="default" w:hAnsi="宋体" w:eastAsia="宋体" w:cs="宋体"/>
                <w:snapToGrid w:val="0"/>
                <w:color w:val="auto"/>
                <w:kern w:val="21"/>
                <w:szCs w:val="21"/>
                <w:u w:val="none" w:color="auto"/>
                <w:lang w:val="en-US" w:eastAsia="zh-CN"/>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677" w:type="dxa"/>
            <w:noWrap w:val="0"/>
            <w:vAlign w:val="center"/>
          </w:tcPr>
          <w:p>
            <w:pPr>
              <w:spacing w:beforeLines="0" w:afterLines="0" w:line="240" w:lineRule="auto"/>
              <w:ind w:left="0" w:leftChars="0" w:firstLine="0" w:firstLineChars="0"/>
              <w:jc w:val="both"/>
              <w:rPr>
                <w:rFonts w:hint="eastAsia" w:hAnsi="宋体" w:eastAsia="宋体" w:cs="宋体"/>
                <w:snapToGrid w:val="0"/>
                <w:color w:val="auto"/>
                <w:kern w:val="21"/>
                <w:szCs w:val="21"/>
                <w:u w:val="none" w:color="auto"/>
                <w:lang w:val="en-US" w:eastAsia="zh-CN"/>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800" w:type="dxa"/>
            <w:noWrap w:val="0"/>
            <w:vAlign w:val="center"/>
          </w:tcPr>
          <w:p>
            <w:pPr>
              <w:spacing w:beforeLines="0" w:afterLines="0" w:line="240" w:lineRule="auto"/>
              <w:ind w:left="0" w:leftChars="0" w:firstLine="0" w:firstLineChars="0"/>
              <w:jc w:val="both"/>
              <w:rPr>
                <w:rFonts w:hAnsi="宋体" w:cs="宋体"/>
                <w:snapToGrid w:val="0"/>
                <w:color w:val="auto"/>
                <w:kern w:val="21"/>
                <w:szCs w:val="21"/>
                <w:u w:val="none" w:color="auto"/>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846" w:type="dxa"/>
            <w:noWrap w:val="0"/>
            <w:vAlign w:val="center"/>
          </w:tcPr>
          <w:p>
            <w:pPr>
              <w:spacing w:beforeLines="0" w:afterLines="0" w:line="240" w:lineRule="auto"/>
              <w:ind w:left="0" w:leftChars="0" w:firstLine="0" w:firstLineChars="0"/>
              <w:jc w:val="both"/>
              <w:rPr>
                <w:rFonts w:hAnsi="宋体" w:cs="宋体"/>
                <w:snapToGrid w:val="0"/>
                <w:color w:val="auto"/>
                <w:kern w:val="21"/>
                <w:szCs w:val="21"/>
                <w:u w:val="none" w:color="auto"/>
              </w:rPr>
            </w:pPr>
            <w:r>
              <w:rPr>
                <w:rFonts w:hint="eastAsia" w:ascii="Times New Roman" w:hAnsi="Times New Roman" w:eastAsia="宋体" w:cs="Times New Roman"/>
                <w:snapToGrid w:val="0"/>
                <w:color w:val="auto"/>
                <w:kern w:val="21"/>
                <w:sz w:val="21"/>
                <w:szCs w:val="21"/>
                <w:u w:val="none" w:color="auto"/>
                <w:lang w:val="en-US" w:eastAsia="zh-CN" w:bidi="ar-SA"/>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30"/>
              <w:spacing w:beforeLines="0" w:afterLines="0" w:line="240" w:lineRule="auto"/>
              <w:rPr>
                <w:rFonts w:hint="eastAsia" w:hAnsi="宋体" w:cs="宋体"/>
                <w:snapToGrid w:val="0"/>
                <w:color w:val="auto"/>
                <w:kern w:val="21"/>
                <w:szCs w:val="21"/>
                <w:u w:val="none" w:color="auto"/>
              </w:rPr>
            </w:pPr>
          </w:p>
        </w:tc>
        <w:tc>
          <w:tcPr>
            <w:tcW w:w="1417" w:type="dxa"/>
            <w:noWrap w:val="0"/>
            <w:vAlign w:val="center"/>
          </w:tcPr>
          <w:p>
            <w:pPr>
              <w:spacing w:beforeLines="0" w:afterLines="0" w:line="240" w:lineRule="auto"/>
              <w:ind w:left="0" w:leftChars="0" w:firstLine="0" w:firstLineChars="0"/>
              <w:jc w:val="both"/>
              <w:rPr>
                <w:rFonts w:hint="default" w:ascii="Times New Roman" w:hAnsi="Times New Roman" w:eastAsia="宋体" w:cs="Times New Roman"/>
                <w:snapToGrid w:val="0"/>
                <w:color w:val="auto"/>
                <w:kern w:val="21"/>
                <w:szCs w:val="21"/>
                <w:u w:val="none" w:color="auto"/>
                <w:lang w:val="en-US" w:eastAsia="zh-CN"/>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478" w:type="dxa"/>
            <w:noWrap w:val="0"/>
            <w:vAlign w:val="center"/>
          </w:tcPr>
          <w:p>
            <w:pPr>
              <w:spacing w:beforeLines="0" w:afterLines="0" w:line="240" w:lineRule="auto"/>
              <w:ind w:left="0" w:leftChars="0" w:firstLine="0" w:firstLineChars="0"/>
              <w:jc w:val="both"/>
              <w:rPr>
                <w:rFonts w:hint="default" w:hAnsi="宋体" w:eastAsia="宋体" w:cs="宋体"/>
                <w:snapToGrid w:val="0"/>
                <w:color w:val="auto"/>
                <w:kern w:val="21"/>
                <w:szCs w:val="21"/>
                <w:u w:val="none" w:color="auto"/>
                <w:lang w:val="en-US" w:eastAsia="zh-CN"/>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159" w:type="dxa"/>
            <w:noWrap w:val="0"/>
            <w:vAlign w:val="center"/>
          </w:tcPr>
          <w:p>
            <w:pPr>
              <w:spacing w:beforeLines="0" w:afterLines="0" w:line="240" w:lineRule="auto"/>
              <w:ind w:left="0" w:leftChars="0" w:firstLine="0" w:firstLineChars="0"/>
              <w:jc w:val="both"/>
              <w:rPr>
                <w:rFonts w:hint="eastAsia" w:hAnsi="宋体" w:eastAsia="宋体" w:cs="宋体"/>
                <w:snapToGrid w:val="0"/>
                <w:color w:val="auto"/>
                <w:kern w:val="21"/>
                <w:szCs w:val="21"/>
                <w:u w:val="none" w:color="auto"/>
                <w:lang w:val="en-US" w:eastAsia="zh-CN"/>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446" w:type="dxa"/>
            <w:noWrap w:val="0"/>
            <w:vAlign w:val="center"/>
          </w:tcPr>
          <w:p>
            <w:pPr>
              <w:spacing w:beforeLines="0" w:afterLines="0" w:line="240" w:lineRule="auto"/>
              <w:ind w:left="0" w:leftChars="0" w:firstLine="0" w:firstLineChars="0"/>
              <w:jc w:val="both"/>
              <w:rPr>
                <w:rFonts w:hint="eastAsia" w:hAnsi="宋体" w:eastAsia="宋体" w:cs="宋体"/>
                <w:snapToGrid w:val="0"/>
                <w:color w:val="auto"/>
                <w:kern w:val="21"/>
                <w:szCs w:val="21"/>
                <w:u w:val="none" w:color="auto"/>
                <w:lang w:val="en-US" w:eastAsia="zh-CN"/>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377" w:type="dxa"/>
            <w:noWrap w:val="0"/>
            <w:vAlign w:val="center"/>
          </w:tcPr>
          <w:p>
            <w:pPr>
              <w:spacing w:beforeLines="0" w:afterLines="0" w:line="240" w:lineRule="auto"/>
              <w:ind w:left="0" w:leftChars="0" w:firstLine="0" w:firstLineChars="0"/>
              <w:jc w:val="both"/>
              <w:rPr>
                <w:rFonts w:hint="default" w:hAnsi="宋体" w:eastAsia="宋体" w:cs="宋体"/>
                <w:snapToGrid w:val="0"/>
                <w:color w:val="auto"/>
                <w:kern w:val="21"/>
                <w:szCs w:val="21"/>
                <w:u w:val="none" w:color="auto"/>
                <w:lang w:val="en-US" w:eastAsia="zh-CN"/>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677" w:type="dxa"/>
            <w:noWrap w:val="0"/>
            <w:vAlign w:val="center"/>
          </w:tcPr>
          <w:p>
            <w:pPr>
              <w:spacing w:beforeLines="0" w:afterLines="0" w:line="240" w:lineRule="auto"/>
              <w:ind w:left="0" w:leftChars="0" w:firstLine="0" w:firstLineChars="0"/>
              <w:jc w:val="both"/>
              <w:rPr>
                <w:rFonts w:hint="eastAsia" w:hAnsi="宋体" w:eastAsia="宋体" w:cs="宋体"/>
                <w:snapToGrid w:val="0"/>
                <w:color w:val="auto"/>
                <w:kern w:val="21"/>
                <w:szCs w:val="21"/>
                <w:u w:val="none" w:color="auto"/>
                <w:lang w:val="en-US" w:eastAsia="zh-CN"/>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800" w:type="dxa"/>
            <w:noWrap w:val="0"/>
            <w:vAlign w:val="center"/>
          </w:tcPr>
          <w:p>
            <w:pPr>
              <w:spacing w:beforeLines="0" w:afterLines="0" w:line="240" w:lineRule="auto"/>
              <w:ind w:left="0" w:leftChars="0" w:firstLine="0" w:firstLineChars="0"/>
              <w:jc w:val="both"/>
              <w:rPr>
                <w:rFonts w:hAnsi="宋体" w:cs="宋体"/>
                <w:snapToGrid w:val="0"/>
                <w:color w:val="auto"/>
                <w:kern w:val="21"/>
                <w:szCs w:val="21"/>
                <w:u w:val="none" w:color="auto"/>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846" w:type="dxa"/>
            <w:noWrap w:val="0"/>
            <w:vAlign w:val="center"/>
          </w:tcPr>
          <w:p>
            <w:pPr>
              <w:spacing w:beforeLines="0" w:afterLines="0" w:line="240" w:lineRule="auto"/>
              <w:ind w:left="0" w:leftChars="0" w:firstLine="0" w:firstLineChars="0"/>
              <w:jc w:val="both"/>
              <w:rPr>
                <w:rFonts w:hAnsi="宋体" w:cs="宋体"/>
                <w:snapToGrid w:val="0"/>
                <w:color w:val="auto"/>
                <w:kern w:val="21"/>
                <w:szCs w:val="21"/>
                <w:u w:val="none" w:color="auto"/>
              </w:rPr>
            </w:pPr>
            <w:r>
              <w:rPr>
                <w:rFonts w:hint="eastAsia" w:ascii="Times New Roman" w:hAnsi="Times New Roman" w:eastAsia="宋体" w:cs="Times New Roman"/>
                <w:snapToGrid w:val="0"/>
                <w:color w:val="auto"/>
                <w:kern w:val="21"/>
                <w:sz w:val="21"/>
                <w:szCs w:val="21"/>
                <w:u w:val="none" w:color="auto"/>
                <w:lang w:val="en-US" w:eastAsia="zh-CN" w:bidi="ar-SA"/>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30"/>
              <w:spacing w:beforeLines="0" w:afterLines="0" w:line="240" w:lineRule="auto"/>
              <w:rPr>
                <w:rFonts w:hint="eastAsia" w:hAnsi="宋体" w:cs="宋体"/>
                <w:snapToGrid w:val="0"/>
                <w:color w:val="auto"/>
                <w:kern w:val="21"/>
                <w:szCs w:val="21"/>
                <w:u w:val="none" w:color="auto"/>
              </w:rPr>
            </w:pPr>
          </w:p>
        </w:tc>
        <w:tc>
          <w:tcPr>
            <w:tcW w:w="1417" w:type="dxa"/>
            <w:noWrap w:val="0"/>
            <w:vAlign w:val="center"/>
          </w:tcPr>
          <w:p>
            <w:pPr>
              <w:spacing w:beforeLines="0" w:afterLines="0" w:line="240" w:lineRule="auto"/>
              <w:ind w:left="0" w:leftChars="0" w:firstLine="0" w:firstLineChars="0"/>
              <w:jc w:val="both"/>
              <w:rPr>
                <w:rFonts w:hint="default" w:ascii="Times New Roman" w:hAnsi="Times New Roman" w:eastAsia="宋体" w:cs="Times New Roman"/>
                <w:snapToGrid w:val="0"/>
                <w:color w:val="auto"/>
                <w:kern w:val="21"/>
                <w:szCs w:val="21"/>
                <w:u w:val="none" w:color="auto"/>
                <w:lang w:val="en-US" w:eastAsia="zh-CN"/>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478" w:type="dxa"/>
            <w:noWrap w:val="0"/>
            <w:vAlign w:val="center"/>
          </w:tcPr>
          <w:p>
            <w:pPr>
              <w:spacing w:beforeLines="0" w:afterLines="0" w:line="240" w:lineRule="auto"/>
              <w:ind w:left="0" w:leftChars="0" w:firstLine="0" w:firstLineChars="0"/>
              <w:jc w:val="both"/>
              <w:rPr>
                <w:rFonts w:hint="default" w:hAnsi="宋体" w:eastAsia="宋体" w:cs="宋体"/>
                <w:snapToGrid w:val="0"/>
                <w:color w:val="auto"/>
                <w:kern w:val="21"/>
                <w:szCs w:val="21"/>
                <w:u w:val="none" w:color="auto"/>
                <w:lang w:val="en-US" w:eastAsia="zh-CN"/>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159" w:type="dxa"/>
            <w:noWrap w:val="0"/>
            <w:vAlign w:val="center"/>
          </w:tcPr>
          <w:p>
            <w:pPr>
              <w:spacing w:beforeLines="0" w:afterLines="0" w:line="240" w:lineRule="auto"/>
              <w:ind w:left="0" w:leftChars="0" w:firstLine="0" w:firstLineChars="0"/>
              <w:jc w:val="both"/>
              <w:rPr>
                <w:rFonts w:hint="eastAsia" w:hAnsi="宋体" w:eastAsia="宋体" w:cs="宋体"/>
                <w:snapToGrid w:val="0"/>
                <w:color w:val="auto"/>
                <w:kern w:val="21"/>
                <w:szCs w:val="21"/>
                <w:u w:val="none" w:color="auto"/>
                <w:lang w:val="en-US" w:eastAsia="zh-CN"/>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446" w:type="dxa"/>
            <w:noWrap w:val="0"/>
            <w:vAlign w:val="center"/>
          </w:tcPr>
          <w:p>
            <w:pPr>
              <w:spacing w:beforeLines="0" w:afterLines="0" w:line="240" w:lineRule="auto"/>
              <w:ind w:left="0" w:leftChars="0" w:firstLine="0" w:firstLineChars="0"/>
              <w:jc w:val="both"/>
              <w:rPr>
                <w:rFonts w:hint="eastAsia" w:hAnsi="宋体" w:eastAsia="宋体" w:cs="宋体"/>
                <w:snapToGrid w:val="0"/>
                <w:color w:val="auto"/>
                <w:kern w:val="21"/>
                <w:szCs w:val="21"/>
                <w:u w:val="none" w:color="auto"/>
                <w:lang w:val="en-US" w:eastAsia="zh-CN"/>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377" w:type="dxa"/>
            <w:noWrap w:val="0"/>
            <w:vAlign w:val="center"/>
          </w:tcPr>
          <w:p>
            <w:pPr>
              <w:spacing w:beforeLines="0" w:afterLines="0" w:line="240" w:lineRule="auto"/>
              <w:ind w:left="0" w:leftChars="0" w:firstLine="0" w:firstLineChars="0"/>
              <w:jc w:val="both"/>
              <w:rPr>
                <w:rFonts w:hint="default" w:hAnsi="宋体" w:eastAsia="宋体" w:cs="宋体"/>
                <w:snapToGrid w:val="0"/>
                <w:color w:val="auto"/>
                <w:kern w:val="21"/>
                <w:szCs w:val="21"/>
                <w:u w:val="none" w:color="auto"/>
                <w:lang w:val="en-US" w:eastAsia="zh-CN"/>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677" w:type="dxa"/>
            <w:noWrap w:val="0"/>
            <w:vAlign w:val="center"/>
          </w:tcPr>
          <w:p>
            <w:pPr>
              <w:spacing w:beforeLines="0" w:afterLines="0" w:line="240" w:lineRule="auto"/>
              <w:ind w:left="0" w:leftChars="0" w:firstLine="0" w:firstLineChars="0"/>
              <w:jc w:val="both"/>
              <w:rPr>
                <w:rFonts w:hint="eastAsia" w:hAnsi="宋体" w:eastAsia="宋体" w:cs="宋体"/>
                <w:snapToGrid w:val="0"/>
                <w:color w:val="auto"/>
                <w:kern w:val="21"/>
                <w:szCs w:val="21"/>
                <w:u w:val="none" w:color="auto"/>
                <w:lang w:val="en-US" w:eastAsia="zh-CN"/>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800" w:type="dxa"/>
            <w:noWrap w:val="0"/>
            <w:vAlign w:val="center"/>
          </w:tcPr>
          <w:p>
            <w:pPr>
              <w:spacing w:beforeLines="0" w:afterLines="0" w:line="240" w:lineRule="auto"/>
              <w:ind w:left="0" w:leftChars="0" w:firstLine="0" w:firstLineChars="0"/>
              <w:jc w:val="both"/>
              <w:rPr>
                <w:rFonts w:hAnsi="宋体" w:cs="宋体"/>
                <w:snapToGrid w:val="0"/>
                <w:color w:val="auto"/>
                <w:kern w:val="21"/>
                <w:szCs w:val="21"/>
                <w:u w:val="none" w:color="auto"/>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846" w:type="dxa"/>
            <w:noWrap w:val="0"/>
            <w:vAlign w:val="center"/>
          </w:tcPr>
          <w:p>
            <w:pPr>
              <w:spacing w:beforeLines="0" w:afterLines="0" w:line="240" w:lineRule="auto"/>
              <w:ind w:left="0" w:leftChars="0" w:firstLine="0" w:firstLineChars="0"/>
              <w:jc w:val="both"/>
              <w:rPr>
                <w:rFonts w:hAnsi="宋体" w:cs="宋体"/>
                <w:snapToGrid w:val="0"/>
                <w:color w:val="auto"/>
                <w:kern w:val="21"/>
                <w:szCs w:val="21"/>
                <w:u w:val="none" w:color="auto"/>
              </w:rPr>
            </w:pPr>
            <w:r>
              <w:rPr>
                <w:rFonts w:hint="eastAsia" w:ascii="Times New Roman" w:hAnsi="Times New Roman" w:eastAsia="宋体" w:cs="Times New Roman"/>
                <w:snapToGrid w:val="0"/>
                <w:color w:val="auto"/>
                <w:kern w:val="21"/>
                <w:sz w:val="21"/>
                <w:szCs w:val="21"/>
                <w:u w:val="none" w:color="auto"/>
                <w:lang w:val="en-US" w:eastAsia="zh-CN" w:bidi="ar-SA"/>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pPr>
              <w:pStyle w:val="30"/>
              <w:spacing w:beforeLines="0" w:afterLines="0" w:line="240" w:lineRule="auto"/>
              <w:ind w:left="0" w:leftChars="0" w:firstLine="0" w:firstLineChars="0"/>
              <w:jc w:val="both"/>
              <w:rPr>
                <w:rFonts w:hint="eastAsia" w:hAnsi="宋体" w:cs="宋体"/>
                <w:snapToGrid w:val="0"/>
                <w:color w:val="auto"/>
                <w:kern w:val="21"/>
                <w:szCs w:val="21"/>
                <w:u w:val="none" w:color="auto"/>
              </w:rPr>
            </w:pPr>
            <w:r>
              <w:rPr>
                <w:rFonts w:hint="eastAsia" w:hAnsi="宋体" w:cs="宋体"/>
                <w:snapToGrid w:val="0"/>
                <w:color w:val="auto"/>
                <w:kern w:val="21"/>
                <w:szCs w:val="21"/>
                <w:u w:val="none" w:color="auto"/>
              </w:rPr>
              <w:t>一般工业固体废物</w:t>
            </w:r>
          </w:p>
        </w:tc>
        <w:tc>
          <w:tcPr>
            <w:tcW w:w="1417" w:type="dxa"/>
            <w:noWrap w:val="0"/>
            <w:vAlign w:val="center"/>
          </w:tcPr>
          <w:p>
            <w:pPr>
              <w:spacing w:beforeLines="0" w:afterLines="0" w:line="240" w:lineRule="auto"/>
              <w:ind w:left="0" w:leftChars="0" w:firstLine="0" w:firstLineChars="0"/>
              <w:jc w:val="both"/>
              <w:rPr>
                <w:rFonts w:hint="default" w:ascii="Times New Roman" w:hAnsi="Times New Roman" w:eastAsia="宋体" w:cs="Times New Roman"/>
                <w:b w:val="0"/>
                <w:bCs w:val="0"/>
                <w:snapToGrid w:val="0"/>
                <w:color w:val="auto"/>
                <w:kern w:val="21"/>
                <w:szCs w:val="21"/>
                <w:u w:val="none" w:color="auto"/>
                <w:lang w:val="en-US" w:eastAsia="zh-CN"/>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478" w:type="dxa"/>
            <w:noWrap w:val="0"/>
            <w:vAlign w:val="center"/>
          </w:tcPr>
          <w:p>
            <w:pPr>
              <w:spacing w:beforeLines="0" w:afterLines="0" w:line="240" w:lineRule="auto"/>
              <w:ind w:left="0" w:leftChars="0" w:firstLine="0" w:firstLineChars="0"/>
              <w:jc w:val="both"/>
              <w:rPr>
                <w:rFonts w:hint="default" w:hAnsi="宋体" w:eastAsia="宋体" w:cs="宋体"/>
                <w:snapToGrid w:val="0"/>
                <w:color w:val="auto"/>
                <w:kern w:val="21"/>
                <w:szCs w:val="21"/>
                <w:u w:val="none" w:color="auto"/>
                <w:lang w:val="en-US" w:eastAsia="zh-CN"/>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159" w:type="dxa"/>
            <w:noWrap w:val="0"/>
            <w:vAlign w:val="center"/>
          </w:tcPr>
          <w:p>
            <w:pPr>
              <w:spacing w:beforeLines="0" w:afterLines="0" w:line="240" w:lineRule="auto"/>
              <w:ind w:left="0" w:leftChars="0" w:firstLine="0" w:firstLineChars="0"/>
              <w:jc w:val="both"/>
              <w:rPr>
                <w:rFonts w:hint="eastAsia" w:hAnsi="宋体" w:eastAsia="宋体" w:cs="宋体"/>
                <w:snapToGrid w:val="0"/>
                <w:color w:val="auto"/>
                <w:kern w:val="21"/>
                <w:szCs w:val="21"/>
                <w:u w:val="none" w:color="auto"/>
                <w:lang w:val="en-US" w:eastAsia="zh-CN"/>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446" w:type="dxa"/>
            <w:noWrap w:val="0"/>
            <w:vAlign w:val="center"/>
          </w:tcPr>
          <w:p>
            <w:pPr>
              <w:spacing w:beforeLines="0" w:afterLines="0" w:line="240" w:lineRule="auto"/>
              <w:ind w:left="0" w:leftChars="0" w:firstLine="0" w:firstLineChars="0"/>
              <w:jc w:val="both"/>
              <w:rPr>
                <w:rFonts w:hint="eastAsia" w:hAnsi="宋体" w:eastAsia="宋体" w:cs="宋体"/>
                <w:snapToGrid w:val="0"/>
                <w:color w:val="auto"/>
                <w:kern w:val="21"/>
                <w:szCs w:val="21"/>
                <w:u w:val="none" w:color="auto"/>
                <w:lang w:val="en-US" w:eastAsia="zh-CN"/>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377" w:type="dxa"/>
            <w:noWrap w:val="0"/>
            <w:vAlign w:val="center"/>
          </w:tcPr>
          <w:p>
            <w:pPr>
              <w:spacing w:beforeLines="0" w:afterLines="0" w:line="240" w:lineRule="auto"/>
              <w:ind w:left="0" w:leftChars="0" w:firstLine="0" w:firstLineChars="0"/>
              <w:jc w:val="both"/>
              <w:rPr>
                <w:rFonts w:hint="default" w:hAnsi="宋体" w:eastAsia="宋体" w:cs="宋体"/>
                <w:snapToGrid w:val="0"/>
                <w:color w:val="auto"/>
                <w:kern w:val="21"/>
                <w:szCs w:val="21"/>
                <w:u w:val="none" w:color="auto"/>
                <w:lang w:val="en-US" w:eastAsia="zh-CN"/>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677" w:type="dxa"/>
            <w:noWrap w:val="0"/>
            <w:vAlign w:val="center"/>
          </w:tcPr>
          <w:p>
            <w:pPr>
              <w:spacing w:beforeLines="0" w:afterLines="0" w:line="240" w:lineRule="auto"/>
              <w:ind w:left="0" w:leftChars="0" w:firstLine="0" w:firstLineChars="0"/>
              <w:jc w:val="both"/>
              <w:rPr>
                <w:rFonts w:hint="eastAsia" w:hAnsi="宋体" w:eastAsia="宋体" w:cs="宋体"/>
                <w:snapToGrid w:val="0"/>
                <w:color w:val="auto"/>
                <w:kern w:val="21"/>
                <w:szCs w:val="21"/>
                <w:u w:val="none" w:color="auto"/>
                <w:lang w:val="en-US" w:eastAsia="zh-CN"/>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800" w:type="dxa"/>
            <w:noWrap w:val="0"/>
            <w:vAlign w:val="center"/>
          </w:tcPr>
          <w:p>
            <w:pPr>
              <w:spacing w:beforeLines="0" w:afterLines="0" w:line="240" w:lineRule="auto"/>
              <w:ind w:left="0" w:leftChars="0" w:firstLine="0" w:firstLineChars="0"/>
              <w:jc w:val="both"/>
              <w:rPr>
                <w:rFonts w:hAnsi="宋体" w:cs="宋体"/>
                <w:snapToGrid w:val="0"/>
                <w:color w:val="auto"/>
                <w:kern w:val="21"/>
                <w:szCs w:val="21"/>
                <w:u w:val="none" w:color="auto"/>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846" w:type="dxa"/>
            <w:noWrap w:val="0"/>
            <w:vAlign w:val="center"/>
          </w:tcPr>
          <w:p>
            <w:pPr>
              <w:spacing w:beforeLines="0" w:afterLines="0" w:line="240" w:lineRule="auto"/>
              <w:ind w:left="0" w:leftChars="0" w:firstLine="0" w:firstLineChars="0"/>
              <w:jc w:val="both"/>
              <w:rPr>
                <w:rFonts w:hAnsi="宋体" w:cs="宋体"/>
                <w:snapToGrid w:val="0"/>
                <w:color w:val="auto"/>
                <w:kern w:val="21"/>
                <w:szCs w:val="21"/>
                <w:u w:val="none" w:color="auto"/>
              </w:rPr>
            </w:pPr>
            <w:r>
              <w:rPr>
                <w:rFonts w:hint="eastAsia" w:ascii="Times New Roman" w:hAnsi="Times New Roman" w:eastAsia="宋体" w:cs="Times New Roman"/>
                <w:snapToGrid w:val="0"/>
                <w:color w:val="auto"/>
                <w:kern w:val="21"/>
                <w:sz w:val="21"/>
                <w:szCs w:val="21"/>
                <w:u w:val="none" w:color="auto"/>
                <w:lang w:val="en-US" w:eastAsia="zh-CN" w:bidi="ar-SA"/>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30"/>
              <w:spacing w:beforeLines="0" w:afterLines="0" w:line="240" w:lineRule="auto"/>
              <w:rPr>
                <w:rFonts w:hAnsi="宋体" w:cs="宋体"/>
                <w:snapToGrid w:val="0"/>
                <w:color w:val="auto"/>
                <w:kern w:val="21"/>
                <w:szCs w:val="21"/>
                <w:u w:val="none" w:color="auto"/>
              </w:rPr>
            </w:pPr>
          </w:p>
        </w:tc>
        <w:tc>
          <w:tcPr>
            <w:tcW w:w="1417" w:type="dxa"/>
            <w:noWrap w:val="0"/>
            <w:vAlign w:val="center"/>
          </w:tcPr>
          <w:p>
            <w:pPr>
              <w:spacing w:beforeLines="0" w:afterLines="0" w:line="240" w:lineRule="auto"/>
              <w:ind w:left="0" w:leftChars="0" w:firstLine="0" w:firstLineChars="0"/>
              <w:jc w:val="both"/>
              <w:rPr>
                <w:rFonts w:hint="default" w:ascii="Times New Roman" w:hAnsi="Times New Roman" w:eastAsia="宋体" w:cs="Times New Roman"/>
                <w:b w:val="0"/>
                <w:bCs w:val="0"/>
                <w:snapToGrid w:val="0"/>
                <w:color w:val="auto"/>
                <w:kern w:val="21"/>
                <w:szCs w:val="21"/>
                <w:u w:val="none" w:color="auto"/>
                <w:lang w:val="en-US" w:eastAsia="zh-CN"/>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478" w:type="dxa"/>
            <w:noWrap w:val="0"/>
            <w:vAlign w:val="center"/>
          </w:tcPr>
          <w:p>
            <w:pPr>
              <w:spacing w:beforeLines="0" w:afterLines="0" w:line="240" w:lineRule="auto"/>
              <w:ind w:left="0" w:leftChars="0" w:firstLine="0" w:firstLineChars="0"/>
              <w:jc w:val="both"/>
              <w:rPr>
                <w:rFonts w:hint="default" w:hAnsi="宋体" w:eastAsia="宋体" w:cs="宋体"/>
                <w:snapToGrid w:val="0"/>
                <w:color w:val="auto"/>
                <w:kern w:val="21"/>
                <w:szCs w:val="21"/>
                <w:u w:val="none" w:color="auto"/>
                <w:lang w:val="en-US" w:eastAsia="zh-CN"/>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159" w:type="dxa"/>
            <w:noWrap w:val="0"/>
            <w:vAlign w:val="center"/>
          </w:tcPr>
          <w:p>
            <w:pPr>
              <w:spacing w:beforeLines="0" w:afterLines="0" w:line="240" w:lineRule="auto"/>
              <w:ind w:left="0" w:leftChars="0" w:firstLine="0" w:firstLineChars="0"/>
              <w:jc w:val="both"/>
              <w:rPr>
                <w:rFonts w:hint="eastAsia" w:hAnsi="宋体" w:eastAsia="宋体" w:cs="宋体"/>
                <w:snapToGrid w:val="0"/>
                <w:color w:val="auto"/>
                <w:kern w:val="21"/>
                <w:szCs w:val="21"/>
                <w:u w:val="none" w:color="auto"/>
                <w:lang w:val="en-US" w:eastAsia="zh-CN"/>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446" w:type="dxa"/>
            <w:noWrap w:val="0"/>
            <w:vAlign w:val="center"/>
          </w:tcPr>
          <w:p>
            <w:pPr>
              <w:spacing w:beforeLines="0" w:afterLines="0" w:line="240" w:lineRule="auto"/>
              <w:ind w:left="0" w:leftChars="0" w:firstLine="0" w:firstLineChars="0"/>
              <w:jc w:val="both"/>
              <w:rPr>
                <w:rFonts w:hint="eastAsia" w:hAnsi="宋体" w:eastAsia="宋体" w:cs="宋体"/>
                <w:snapToGrid w:val="0"/>
                <w:color w:val="auto"/>
                <w:kern w:val="21"/>
                <w:szCs w:val="21"/>
                <w:u w:val="none" w:color="auto"/>
                <w:lang w:val="en-US" w:eastAsia="zh-CN"/>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377" w:type="dxa"/>
            <w:noWrap w:val="0"/>
            <w:vAlign w:val="center"/>
          </w:tcPr>
          <w:p>
            <w:pPr>
              <w:spacing w:beforeLines="0" w:afterLines="0" w:line="240" w:lineRule="auto"/>
              <w:ind w:left="0" w:leftChars="0" w:firstLine="0" w:firstLineChars="0"/>
              <w:jc w:val="both"/>
              <w:rPr>
                <w:rFonts w:hint="default" w:hAnsi="宋体" w:eastAsia="宋体" w:cs="宋体"/>
                <w:snapToGrid w:val="0"/>
                <w:color w:val="auto"/>
                <w:kern w:val="21"/>
                <w:szCs w:val="21"/>
                <w:u w:val="none" w:color="auto"/>
                <w:lang w:val="en-US" w:eastAsia="zh-CN"/>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677" w:type="dxa"/>
            <w:noWrap w:val="0"/>
            <w:vAlign w:val="center"/>
          </w:tcPr>
          <w:p>
            <w:pPr>
              <w:spacing w:beforeLines="0" w:afterLines="0" w:line="240" w:lineRule="auto"/>
              <w:ind w:left="0" w:leftChars="0" w:firstLine="0" w:firstLineChars="0"/>
              <w:jc w:val="both"/>
              <w:rPr>
                <w:rFonts w:hint="eastAsia" w:hAnsi="宋体" w:eastAsia="宋体" w:cs="宋体"/>
                <w:snapToGrid w:val="0"/>
                <w:color w:val="auto"/>
                <w:kern w:val="21"/>
                <w:szCs w:val="21"/>
                <w:u w:val="none" w:color="auto"/>
                <w:lang w:val="en-US" w:eastAsia="zh-CN"/>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800" w:type="dxa"/>
            <w:noWrap w:val="0"/>
            <w:vAlign w:val="center"/>
          </w:tcPr>
          <w:p>
            <w:pPr>
              <w:spacing w:beforeLines="0" w:afterLines="0" w:line="240" w:lineRule="auto"/>
              <w:ind w:left="0" w:leftChars="0" w:firstLine="0" w:firstLineChars="0"/>
              <w:jc w:val="both"/>
              <w:rPr>
                <w:rFonts w:hAnsi="宋体" w:cs="宋体"/>
                <w:snapToGrid w:val="0"/>
                <w:color w:val="auto"/>
                <w:kern w:val="21"/>
                <w:szCs w:val="21"/>
                <w:u w:val="none" w:color="auto"/>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846" w:type="dxa"/>
            <w:noWrap w:val="0"/>
            <w:vAlign w:val="center"/>
          </w:tcPr>
          <w:p>
            <w:pPr>
              <w:spacing w:beforeLines="0" w:afterLines="0" w:line="240" w:lineRule="auto"/>
              <w:ind w:left="0" w:leftChars="0" w:firstLine="0" w:firstLineChars="0"/>
              <w:jc w:val="both"/>
              <w:rPr>
                <w:rFonts w:hAnsi="宋体" w:cs="宋体"/>
                <w:snapToGrid w:val="0"/>
                <w:color w:val="auto"/>
                <w:kern w:val="21"/>
                <w:szCs w:val="21"/>
                <w:u w:val="none" w:color="auto"/>
              </w:rPr>
            </w:pPr>
            <w:r>
              <w:rPr>
                <w:rFonts w:hint="eastAsia" w:ascii="Times New Roman" w:hAnsi="Times New Roman" w:eastAsia="宋体" w:cs="Times New Roman"/>
                <w:snapToGrid w:val="0"/>
                <w:color w:val="auto"/>
                <w:kern w:val="21"/>
                <w:sz w:val="21"/>
                <w:szCs w:val="21"/>
                <w:u w:val="none" w:color="auto"/>
                <w:lang w:val="en-US" w:eastAsia="zh-CN" w:bidi="ar-SA"/>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noWrap w:val="0"/>
            <w:vAlign w:val="center"/>
          </w:tcPr>
          <w:p>
            <w:pPr>
              <w:pStyle w:val="30"/>
              <w:spacing w:beforeLines="0" w:afterLines="0" w:line="240" w:lineRule="auto"/>
              <w:ind w:left="0" w:leftChars="0" w:firstLine="0" w:firstLineChars="0"/>
              <w:jc w:val="both"/>
              <w:rPr>
                <w:rFonts w:hint="eastAsia" w:hAnsi="宋体" w:cs="宋体"/>
                <w:snapToGrid w:val="0"/>
                <w:color w:val="auto"/>
                <w:kern w:val="21"/>
                <w:szCs w:val="21"/>
                <w:u w:val="none" w:color="auto"/>
              </w:rPr>
            </w:pPr>
            <w:r>
              <w:rPr>
                <w:rFonts w:hint="eastAsia" w:hAnsi="宋体" w:cs="宋体"/>
                <w:snapToGrid w:val="0"/>
                <w:color w:val="auto"/>
                <w:kern w:val="21"/>
                <w:szCs w:val="21"/>
                <w:u w:val="none" w:color="auto"/>
              </w:rPr>
              <w:t>危险废物</w:t>
            </w:r>
          </w:p>
        </w:tc>
        <w:tc>
          <w:tcPr>
            <w:tcW w:w="1417" w:type="dxa"/>
            <w:noWrap w:val="0"/>
            <w:vAlign w:val="center"/>
          </w:tcPr>
          <w:p>
            <w:pPr>
              <w:spacing w:beforeLines="0" w:afterLines="0" w:line="240" w:lineRule="auto"/>
              <w:ind w:left="0" w:leftChars="0" w:firstLine="0" w:firstLineChars="0"/>
              <w:jc w:val="both"/>
              <w:rPr>
                <w:rFonts w:hint="default" w:hAnsi="宋体" w:eastAsia="宋体" w:cs="宋体"/>
                <w:snapToGrid w:val="0"/>
                <w:color w:val="auto"/>
                <w:kern w:val="21"/>
                <w:szCs w:val="21"/>
                <w:u w:val="none" w:color="auto"/>
                <w:lang w:val="en-US" w:eastAsia="zh-CN"/>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478" w:type="dxa"/>
            <w:noWrap w:val="0"/>
            <w:vAlign w:val="center"/>
          </w:tcPr>
          <w:p>
            <w:pPr>
              <w:spacing w:beforeLines="0" w:afterLines="0" w:line="240" w:lineRule="auto"/>
              <w:ind w:left="0" w:leftChars="0" w:firstLine="0" w:firstLineChars="0"/>
              <w:jc w:val="both"/>
              <w:rPr>
                <w:rFonts w:hint="default" w:hAnsi="宋体" w:eastAsia="宋体" w:cs="宋体"/>
                <w:snapToGrid w:val="0"/>
                <w:color w:val="auto"/>
                <w:kern w:val="21"/>
                <w:szCs w:val="21"/>
                <w:u w:val="none" w:color="auto"/>
                <w:lang w:val="en-US" w:eastAsia="zh-CN"/>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159" w:type="dxa"/>
            <w:noWrap w:val="0"/>
            <w:vAlign w:val="center"/>
          </w:tcPr>
          <w:p>
            <w:pPr>
              <w:spacing w:beforeLines="0" w:afterLines="0" w:line="240" w:lineRule="auto"/>
              <w:ind w:left="0" w:leftChars="0" w:firstLine="0" w:firstLineChars="0"/>
              <w:jc w:val="both"/>
              <w:rPr>
                <w:rFonts w:hint="eastAsia" w:hAnsi="宋体" w:eastAsia="宋体" w:cs="宋体"/>
                <w:snapToGrid w:val="0"/>
                <w:color w:val="auto"/>
                <w:kern w:val="21"/>
                <w:szCs w:val="21"/>
                <w:u w:val="none" w:color="auto"/>
                <w:lang w:val="en-US" w:eastAsia="zh-CN"/>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446" w:type="dxa"/>
            <w:noWrap w:val="0"/>
            <w:vAlign w:val="center"/>
          </w:tcPr>
          <w:p>
            <w:pPr>
              <w:spacing w:beforeLines="0" w:afterLines="0" w:line="240" w:lineRule="auto"/>
              <w:ind w:left="0" w:leftChars="0" w:firstLine="0" w:firstLineChars="0"/>
              <w:jc w:val="both"/>
              <w:rPr>
                <w:rFonts w:hint="eastAsia" w:hAnsi="宋体" w:eastAsia="宋体" w:cs="宋体"/>
                <w:snapToGrid w:val="0"/>
                <w:color w:val="auto"/>
                <w:kern w:val="21"/>
                <w:szCs w:val="21"/>
                <w:u w:val="none" w:color="auto"/>
                <w:lang w:val="en-US" w:eastAsia="zh-CN"/>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377" w:type="dxa"/>
            <w:noWrap w:val="0"/>
            <w:vAlign w:val="center"/>
          </w:tcPr>
          <w:p>
            <w:pPr>
              <w:spacing w:beforeLines="0" w:afterLines="0" w:line="240" w:lineRule="auto"/>
              <w:ind w:left="0" w:leftChars="0" w:firstLine="0" w:firstLineChars="0"/>
              <w:jc w:val="both"/>
              <w:rPr>
                <w:rFonts w:hint="default" w:hAnsi="宋体" w:eastAsia="宋体" w:cs="宋体"/>
                <w:snapToGrid w:val="0"/>
                <w:color w:val="auto"/>
                <w:kern w:val="21"/>
                <w:szCs w:val="21"/>
                <w:u w:val="none" w:color="auto"/>
                <w:lang w:val="en-US" w:eastAsia="zh-CN"/>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677" w:type="dxa"/>
            <w:noWrap w:val="0"/>
            <w:vAlign w:val="center"/>
          </w:tcPr>
          <w:p>
            <w:pPr>
              <w:spacing w:beforeLines="0" w:afterLines="0" w:line="240" w:lineRule="auto"/>
              <w:ind w:left="0" w:leftChars="0" w:firstLine="0" w:firstLineChars="0"/>
              <w:jc w:val="both"/>
              <w:rPr>
                <w:rFonts w:hint="eastAsia" w:hAnsi="宋体" w:eastAsia="宋体" w:cs="宋体"/>
                <w:snapToGrid w:val="0"/>
                <w:color w:val="auto"/>
                <w:kern w:val="21"/>
                <w:szCs w:val="21"/>
                <w:u w:val="none" w:color="auto"/>
                <w:lang w:val="en-US" w:eastAsia="zh-CN"/>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800" w:type="dxa"/>
            <w:noWrap w:val="0"/>
            <w:vAlign w:val="center"/>
          </w:tcPr>
          <w:p>
            <w:pPr>
              <w:spacing w:beforeLines="0" w:afterLines="0" w:line="240" w:lineRule="auto"/>
              <w:ind w:left="0" w:leftChars="0" w:firstLine="0" w:firstLineChars="0"/>
              <w:jc w:val="both"/>
              <w:rPr>
                <w:rFonts w:hint="default" w:hAnsi="宋体" w:cs="宋体"/>
                <w:snapToGrid w:val="0"/>
                <w:color w:val="auto"/>
                <w:kern w:val="21"/>
                <w:szCs w:val="21"/>
                <w:u w:val="none" w:color="auto"/>
                <w:lang w:val="en-US"/>
              </w:rPr>
            </w:pPr>
            <w:r>
              <w:rPr>
                <w:rFonts w:hint="eastAsia" w:ascii="Times New Roman" w:hAnsi="Times New Roman" w:eastAsia="宋体" w:cs="Times New Roman"/>
                <w:snapToGrid w:val="0"/>
                <w:color w:val="auto"/>
                <w:kern w:val="21"/>
                <w:sz w:val="21"/>
                <w:szCs w:val="21"/>
                <w:u w:val="none" w:color="auto"/>
                <w:lang w:val="en-US" w:eastAsia="zh-CN" w:bidi="ar-SA"/>
              </w:rPr>
              <w:t>/</w:t>
            </w:r>
          </w:p>
        </w:tc>
        <w:tc>
          <w:tcPr>
            <w:tcW w:w="1846" w:type="dxa"/>
            <w:noWrap w:val="0"/>
            <w:vAlign w:val="center"/>
          </w:tcPr>
          <w:p>
            <w:pPr>
              <w:spacing w:beforeLines="0" w:afterLines="0" w:line="240" w:lineRule="auto"/>
              <w:ind w:left="0" w:leftChars="0" w:firstLine="0" w:firstLineChars="0"/>
              <w:jc w:val="both"/>
              <w:rPr>
                <w:rFonts w:hint="default" w:hAnsi="宋体" w:eastAsia="黑体" w:cs="宋体"/>
                <w:snapToGrid w:val="0"/>
                <w:color w:val="auto"/>
                <w:kern w:val="21"/>
                <w:szCs w:val="21"/>
                <w:u w:val="none" w:color="auto"/>
                <w:lang w:val="en-US" w:eastAsia="zh-CN"/>
              </w:rPr>
            </w:pPr>
            <w:r>
              <w:rPr>
                <w:rFonts w:hint="eastAsia" w:ascii="Times New Roman" w:hAnsi="Times New Roman" w:eastAsia="宋体" w:cs="Times New Roman"/>
                <w:snapToGrid w:val="0"/>
                <w:color w:val="auto"/>
                <w:kern w:val="21"/>
                <w:sz w:val="21"/>
                <w:szCs w:val="21"/>
                <w:u w:val="none" w:color="auto"/>
                <w:lang w:val="en-US" w:eastAsia="zh-CN" w:bidi="ar-SA"/>
              </w:rPr>
              <w:t>/</w:t>
            </w:r>
          </w:p>
        </w:tc>
      </w:tr>
    </w:tbl>
    <w:p>
      <w:pPr>
        <w:pStyle w:val="30"/>
        <w:spacing w:before="192" w:beforeLines="80" w:after="24"/>
        <w:jc w:val="left"/>
        <w:rPr>
          <w:rFonts w:hint="eastAsia"/>
          <w:color w:val="auto"/>
        </w:rPr>
        <w:sectPr>
          <w:footerReference r:id="rId9" w:type="default"/>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rPr>
          <w:rFonts w:hAnsi="宋体"/>
          <w:snapToGrid w:val="0"/>
          <w:color w:val="auto"/>
          <w:kern w:val="21"/>
          <w:szCs w:val="21"/>
        </w:rPr>
        <w:t>注：</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6 \* GB3 \* MERGEFORMAT </w:instrText>
      </w:r>
      <w:r>
        <w:rPr>
          <w:rFonts w:hAnsi="宋体"/>
          <w:snapToGrid w:val="0"/>
          <w:color w:val="auto"/>
          <w:spacing w:val="-16"/>
          <w:kern w:val="21"/>
          <w:szCs w:val="21"/>
        </w:rPr>
        <w:fldChar w:fldCharType="separate"/>
      </w:r>
      <w:r>
        <w:rPr>
          <w:rFonts w:hint="eastAsia" w:hAnsi="宋体"/>
          <w:color w:val="auto"/>
          <w:szCs w:val="21"/>
        </w:rPr>
        <w:t>⑥</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1 \* GB3 \* MERGEFORMAT </w:instrText>
      </w:r>
      <w:r>
        <w:rPr>
          <w:rFonts w:hAnsi="宋体"/>
          <w:snapToGrid w:val="0"/>
          <w:color w:val="auto"/>
          <w:spacing w:val="-6"/>
          <w:kern w:val="21"/>
          <w:szCs w:val="21"/>
        </w:rPr>
        <w:fldChar w:fldCharType="separate"/>
      </w:r>
      <w:r>
        <w:rPr>
          <w:rFonts w:hint="eastAsia" w:hAnsi="宋体"/>
          <w:color w:val="auto"/>
          <w:szCs w:val="21"/>
        </w:rPr>
        <w:t>①</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3 \* GB3 \* MERGEFORMAT </w:instrText>
      </w:r>
      <w:r>
        <w:rPr>
          <w:rFonts w:hAnsi="宋体"/>
          <w:snapToGrid w:val="0"/>
          <w:color w:val="auto"/>
          <w:spacing w:val="-6"/>
          <w:kern w:val="21"/>
          <w:szCs w:val="21"/>
        </w:rPr>
        <w:fldChar w:fldCharType="separate"/>
      </w:r>
      <w:r>
        <w:rPr>
          <w:rFonts w:hint="eastAsia" w:hAnsi="宋体"/>
          <w:color w:val="auto"/>
          <w:szCs w:val="21"/>
        </w:rPr>
        <w:t>③</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4 \* GB3 \* MERGEFORMAT </w:instrText>
      </w:r>
      <w:r>
        <w:rPr>
          <w:rFonts w:hAnsi="宋体"/>
          <w:snapToGrid w:val="0"/>
          <w:color w:val="auto"/>
          <w:spacing w:val="-6"/>
          <w:kern w:val="21"/>
          <w:szCs w:val="21"/>
        </w:rPr>
        <w:fldChar w:fldCharType="separate"/>
      </w:r>
      <w:r>
        <w:rPr>
          <w:rFonts w:hint="eastAsia" w:hAnsi="宋体"/>
          <w:color w:val="auto"/>
          <w:szCs w:val="21"/>
        </w:rPr>
        <w:t>④</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5 \* GB3 \* MERGEFORMAT </w:instrText>
      </w:r>
      <w:r>
        <w:rPr>
          <w:rFonts w:hAnsi="宋体"/>
          <w:snapToGrid w:val="0"/>
          <w:color w:val="auto"/>
          <w:spacing w:val="-16"/>
          <w:kern w:val="21"/>
          <w:szCs w:val="21"/>
        </w:rPr>
        <w:fldChar w:fldCharType="separate"/>
      </w:r>
      <w:r>
        <w:rPr>
          <w:rFonts w:hint="eastAsia" w:hAnsi="宋体"/>
          <w:color w:val="auto"/>
          <w:szCs w:val="21"/>
        </w:rPr>
        <w:t>⑤</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7 \* GB3 \* MERGEFORMAT </w:instrText>
      </w:r>
      <w:r>
        <w:rPr>
          <w:rFonts w:hAnsi="宋体"/>
          <w:snapToGrid w:val="0"/>
          <w:color w:val="auto"/>
          <w:spacing w:val="-6"/>
          <w:kern w:val="21"/>
          <w:szCs w:val="21"/>
        </w:rPr>
        <w:fldChar w:fldCharType="separate"/>
      </w:r>
      <w:r>
        <w:rPr>
          <w:rFonts w:hint="eastAsia" w:hAnsi="宋体"/>
          <w:color w:val="auto"/>
          <w:szCs w:val="21"/>
        </w:rPr>
        <w:t>⑦</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6 \* GB3 \* MERGEFORMAT </w:instrText>
      </w:r>
      <w:r>
        <w:rPr>
          <w:rFonts w:hAnsi="宋体"/>
          <w:snapToGrid w:val="0"/>
          <w:color w:val="auto"/>
          <w:spacing w:val="-16"/>
          <w:kern w:val="21"/>
          <w:szCs w:val="21"/>
        </w:rPr>
        <w:fldChar w:fldCharType="separate"/>
      </w:r>
      <w:r>
        <w:rPr>
          <w:rFonts w:hint="eastAsia" w:hAnsi="宋体"/>
          <w:color w:val="auto"/>
          <w:szCs w:val="21"/>
        </w:rPr>
        <w:t>⑥</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1 \* GB3 \* MERGEFORMAT </w:instrText>
      </w:r>
      <w:r>
        <w:rPr>
          <w:rFonts w:hAnsi="宋体"/>
          <w:snapToGrid w:val="0"/>
          <w:color w:val="auto"/>
          <w:spacing w:val="-6"/>
          <w:kern w:val="21"/>
          <w:szCs w:val="21"/>
        </w:rPr>
        <w:fldChar w:fldCharType="separate"/>
      </w:r>
      <w:r>
        <w:rPr>
          <w:rFonts w:hint="eastAsia" w:hAnsi="宋体"/>
          <w:color w:val="auto"/>
          <w:szCs w:val="21"/>
        </w:rPr>
        <w:t>①</w:t>
      </w:r>
      <w:r>
        <w:rPr>
          <w:rFonts w:hAnsi="宋体"/>
          <w:snapToGrid w:val="0"/>
          <w:color w:val="auto"/>
          <w:spacing w:val="-6"/>
          <w:kern w:val="21"/>
          <w:szCs w:val="21"/>
        </w:rPr>
        <w:fldChar w:fldCharType="end"/>
      </w:r>
    </w:p>
    <w:p>
      <w:pPr>
        <w:rPr>
          <w:rFonts w:hint="eastAsia"/>
          <w:lang w:val="en-US" w:eastAsia="zh-CN"/>
        </w:rPr>
      </w:pPr>
      <w:r>
        <w:rPr>
          <w:rFonts w:hint="eastAsia"/>
          <w:lang w:val="en-US" w:eastAsia="zh-CN"/>
        </w:rPr>
        <w:t>附件一：海事局文件</w:t>
      </w:r>
    </w:p>
    <w:p>
      <w:pPr>
        <w:rPr>
          <w:rFonts w:hint="default" w:eastAsia="宋体"/>
          <w:lang w:val="en-US" w:eastAsia="zh-CN"/>
        </w:rPr>
      </w:pPr>
      <w:r>
        <w:rPr>
          <w:rFonts w:hint="default" w:eastAsia="宋体"/>
          <w:lang w:val="en-US" w:eastAsia="zh-CN"/>
        </w:rPr>
        <w:drawing>
          <wp:inline distT="0" distB="0" distL="114300" distR="114300">
            <wp:extent cx="5266690" cy="7022465"/>
            <wp:effectExtent l="0" t="0" r="10160" b="6985"/>
            <wp:docPr id="2" name="图片 2" descr="海事局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海事局文件"/>
                    <pic:cNvPicPr>
                      <a:picLocks noChangeAspect="1"/>
                    </pic:cNvPicPr>
                  </pic:nvPicPr>
                  <pic:blipFill>
                    <a:blip r:embed="rId18"/>
                    <a:stretch>
                      <a:fillRect/>
                    </a:stretch>
                  </pic:blipFill>
                  <pic:spPr>
                    <a:xfrm>
                      <a:off x="0" y="0"/>
                      <a:ext cx="5266690" cy="7022465"/>
                    </a:xfrm>
                    <a:prstGeom prst="rect">
                      <a:avLst/>
                    </a:prstGeom>
                  </pic:spPr>
                </pic:pic>
              </a:graphicData>
            </a:graphic>
          </wp:inline>
        </w:drawing>
      </w:r>
    </w:p>
    <w:p>
      <w:pPr>
        <w:rPr>
          <w:rFonts w:hint="default" w:eastAsia="宋体"/>
          <w:lang w:val="en-US" w:eastAsia="zh-CN"/>
        </w:rPr>
      </w:pPr>
      <w:r>
        <w:rPr>
          <w:rFonts w:hint="default" w:eastAsia="宋体"/>
          <w:lang w:val="en-US" w:eastAsia="zh-CN"/>
        </w:rPr>
        <w:br w:type="page"/>
      </w:r>
    </w:p>
    <w:p>
      <w:pPr>
        <w:rPr>
          <w:rFonts w:hint="eastAsia"/>
          <w:lang w:val="en-US" w:eastAsia="zh-CN"/>
        </w:rPr>
      </w:pPr>
      <w:r>
        <w:rPr>
          <w:rFonts w:hint="eastAsia"/>
          <w:lang w:val="en-US" w:eastAsia="zh-CN"/>
        </w:rPr>
        <w:t>附件二：水务局文件</w:t>
      </w:r>
    </w:p>
    <w:p>
      <w:pPr>
        <w:rPr>
          <w:rFonts w:hint="default" w:eastAsia="宋体"/>
          <w:lang w:val="en-US" w:eastAsia="zh-CN"/>
        </w:rPr>
      </w:pPr>
      <w:r>
        <w:rPr>
          <w:rFonts w:hint="default" w:eastAsia="宋体"/>
          <w:lang w:val="en-US" w:eastAsia="zh-CN"/>
        </w:rPr>
        <w:drawing>
          <wp:inline distT="0" distB="0" distL="114300" distR="114300">
            <wp:extent cx="5225415" cy="7625715"/>
            <wp:effectExtent l="0" t="0" r="13335" b="13335"/>
            <wp:docPr id="3" name="图片 3" descr="水务局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水务局文件"/>
                    <pic:cNvPicPr>
                      <a:picLocks noChangeAspect="1"/>
                    </pic:cNvPicPr>
                  </pic:nvPicPr>
                  <pic:blipFill>
                    <a:blip r:embed="rId19"/>
                    <a:srcRect t="11453" b="21335"/>
                    <a:stretch>
                      <a:fillRect/>
                    </a:stretch>
                  </pic:blipFill>
                  <pic:spPr>
                    <a:xfrm>
                      <a:off x="0" y="0"/>
                      <a:ext cx="5225415" cy="7625715"/>
                    </a:xfrm>
                    <a:prstGeom prst="rect">
                      <a:avLst/>
                    </a:prstGeom>
                  </pic:spPr>
                </pic:pic>
              </a:graphicData>
            </a:graphic>
          </wp:inline>
        </w:drawing>
      </w:r>
    </w:p>
    <w:p>
      <w:pPr>
        <w:rPr>
          <w:rFonts w:hint="default" w:eastAsia="宋体"/>
          <w:lang w:val="en-US" w:eastAsia="zh-CN"/>
        </w:rPr>
      </w:pPr>
      <w:r>
        <w:rPr>
          <w:rFonts w:hint="default" w:eastAsia="宋体"/>
          <w:lang w:val="en-US" w:eastAsia="zh-CN"/>
        </w:rPr>
        <w:br w:type="page"/>
      </w:r>
    </w:p>
    <w:p>
      <w:pPr>
        <w:rPr>
          <w:rFonts w:hint="eastAsia"/>
          <w:lang w:val="en-US" w:eastAsia="zh-CN"/>
        </w:rPr>
      </w:pPr>
      <w:r>
        <w:rPr>
          <w:rFonts w:hint="eastAsia"/>
          <w:lang w:val="en-US" w:eastAsia="zh-CN"/>
        </w:rPr>
        <w:t>附件三：生活垃圾转运协议</w:t>
      </w:r>
    </w:p>
    <w:p>
      <w:pPr>
        <w:rPr>
          <w:rFonts w:hint="default" w:eastAsia="宋体"/>
          <w:lang w:val="en-US" w:eastAsia="zh-CN"/>
        </w:rPr>
      </w:pPr>
      <w:r>
        <w:rPr>
          <w:rFonts w:hint="default" w:eastAsia="宋体"/>
          <w:lang w:val="en-US" w:eastAsia="zh-CN"/>
        </w:rPr>
        <w:drawing>
          <wp:inline distT="0" distB="0" distL="114300" distR="114300">
            <wp:extent cx="5274310" cy="7467600"/>
            <wp:effectExtent l="0" t="0" r="2540" b="0"/>
            <wp:docPr id="74" name="图片 74" descr="f7f332acdb4ff6102211663c07676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f7f332acdb4ff6102211663c07676f9"/>
                    <pic:cNvPicPr>
                      <a:picLocks noChangeAspect="1"/>
                    </pic:cNvPicPr>
                  </pic:nvPicPr>
                  <pic:blipFill>
                    <a:blip r:embed="rId20"/>
                    <a:stretch>
                      <a:fillRect/>
                    </a:stretch>
                  </pic:blipFill>
                  <pic:spPr>
                    <a:xfrm>
                      <a:off x="0" y="0"/>
                      <a:ext cx="5274310" cy="7467600"/>
                    </a:xfrm>
                    <a:prstGeom prst="rect">
                      <a:avLst/>
                    </a:prstGeom>
                  </pic:spPr>
                </pic:pic>
              </a:graphicData>
            </a:graphic>
          </wp:inline>
        </w:drawing>
      </w:r>
    </w:p>
    <w:p>
      <w:pPr>
        <w:rPr>
          <w:rFonts w:hint="default" w:eastAsia="宋体"/>
          <w:lang w:val="en-US" w:eastAsia="zh-CN"/>
        </w:rPr>
      </w:pPr>
      <w:r>
        <w:rPr>
          <w:rFonts w:hint="default" w:eastAsia="宋体"/>
          <w:lang w:val="en-US" w:eastAsia="zh-CN"/>
        </w:rPr>
        <w:br w:type="page"/>
      </w:r>
    </w:p>
    <w:p>
      <w:pPr>
        <w:rPr>
          <w:rFonts w:hint="default"/>
          <w:lang w:val="en-US" w:eastAsia="zh-CN"/>
        </w:rPr>
      </w:pPr>
      <w:r>
        <w:rPr>
          <w:rFonts w:hint="eastAsia"/>
          <w:lang w:val="en-US" w:eastAsia="zh-CN"/>
        </w:rPr>
        <w:t>附件四：公路运输合同、营业执照、运输许可证</w:t>
      </w:r>
    </w:p>
    <w:p>
      <w:pPr>
        <w:rPr>
          <w:rFonts w:hint="default" w:eastAsia="宋体"/>
          <w:lang w:val="en-US" w:eastAsia="zh-CN"/>
        </w:rPr>
      </w:pPr>
      <w:r>
        <w:rPr>
          <w:rFonts w:hint="default" w:eastAsia="宋体"/>
          <w:lang w:val="en-US" w:eastAsia="zh-CN"/>
        </w:rPr>
        <w:drawing>
          <wp:inline distT="0" distB="0" distL="114300" distR="114300">
            <wp:extent cx="5274945" cy="8281670"/>
            <wp:effectExtent l="0" t="0" r="1905" b="5080"/>
            <wp:docPr id="8" name="图片 8" descr="ccedf5bff741c6325aa51325f55c6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cedf5bff741c6325aa51325f55c69c"/>
                    <pic:cNvPicPr>
                      <a:picLocks noChangeAspect="1"/>
                    </pic:cNvPicPr>
                  </pic:nvPicPr>
                  <pic:blipFill>
                    <a:blip r:embed="rId21"/>
                    <a:srcRect t="23681" b="4011"/>
                    <a:stretch>
                      <a:fillRect/>
                    </a:stretch>
                  </pic:blipFill>
                  <pic:spPr>
                    <a:xfrm>
                      <a:off x="0" y="0"/>
                      <a:ext cx="5274945" cy="8281670"/>
                    </a:xfrm>
                    <a:prstGeom prst="rect">
                      <a:avLst/>
                    </a:prstGeom>
                  </pic:spPr>
                </pic:pic>
              </a:graphicData>
            </a:graphic>
          </wp:inline>
        </w:drawing>
      </w:r>
      <w:r>
        <w:rPr>
          <w:rFonts w:hint="default" w:eastAsia="宋体"/>
          <w:lang w:val="en-US" w:eastAsia="zh-CN"/>
        </w:rPr>
        <w:drawing>
          <wp:inline distT="0" distB="0" distL="114300" distR="114300">
            <wp:extent cx="5279390" cy="3333750"/>
            <wp:effectExtent l="0" t="0" r="16510" b="0"/>
            <wp:docPr id="9" name="图片 9" descr="b877ff87cd955f7e82663ef6cd68c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b877ff87cd955f7e82663ef6cd68cbb"/>
                    <pic:cNvPicPr>
                      <a:picLocks noChangeAspect="1"/>
                    </pic:cNvPicPr>
                  </pic:nvPicPr>
                  <pic:blipFill>
                    <a:blip r:embed="rId22"/>
                    <a:srcRect l="9246" r="17826"/>
                    <a:stretch>
                      <a:fillRect/>
                    </a:stretch>
                  </pic:blipFill>
                  <pic:spPr>
                    <a:xfrm>
                      <a:off x="0" y="0"/>
                      <a:ext cx="5279390" cy="3333750"/>
                    </a:xfrm>
                    <a:prstGeom prst="rect">
                      <a:avLst/>
                    </a:prstGeom>
                  </pic:spPr>
                </pic:pic>
              </a:graphicData>
            </a:graphic>
          </wp:inline>
        </w:drawing>
      </w:r>
    </w:p>
    <w:p>
      <w:pPr>
        <w:rPr>
          <w:rFonts w:hint="default" w:eastAsia="宋体"/>
          <w:lang w:val="en-US" w:eastAsia="zh-CN"/>
        </w:rPr>
      </w:pPr>
    </w:p>
    <w:p>
      <w:pPr>
        <w:rPr>
          <w:rFonts w:hint="default" w:eastAsia="宋体"/>
          <w:lang w:val="en-US" w:eastAsia="zh-CN"/>
        </w:rPr>
      </w:pPr>
      <w:r>
        <w:rPr>
          <w:rFonts w:hint="default" w:eastAsia="宋体"/>
          <w:lang w:val="en-US" w:eastAsia="zh-CN"/>
        </w:rPr>
        <w:drawing>
          <wp:inline distT="0" distB="0" distL="114300" distR="114300">
            <wp:extent cx="5266690" cy="3459480"/>
            <wp:effectExtent l="0" t="0" r="10160" b="7620"/>
            <wp:docPr id="10" name="图片 10" descr="道路运输经营许可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道路运输经营许可证"/>
                    <pic:cNvPicPr>
                      <a:picLocks noChangeAspect="1"/>
                    </pic:cNvPicPr>
                  </pic:nvPicPr>
                  <pic:blipFill>
                    <a:blip r:embed="rId23"/>
                    <a:stretch>
                      <a:fillRect/>
                    </a:stretch>
                  </pic:blipFill>
                  <pic:spPr>
                    <a:xfrm>
                      <a:off x="0" y="0"/>
                      <a:ext cx="5266690" cy="3459480"/>
                    </a:xfrm>
                    <a:prstGeom prst="rect">
                      <a:avLst/>
                    </a:prstGeom>
                  </pic:spPr>
                </pic:pic>
              </a:graphicData>
            </a:graphic>
          </wp:inline>
        </w:drawing>
      </w:r>
      <w:r>
        <w:rPr>
          <w:rFonts w:hint="default" w:eastAsia="宋体"/>
          <w:lang w:val="en-US" w:eastAsia="zh-CN"/>
        </w:rPr>
        <w:br w:type="page"/>
      </w:r>
    </w:p>
    <w:p>
      <w:pPr>
        <w:rPr>
          <w:rFonts w:hint="default"/>
          <w:lang w:val="en-US" w:eastAsia="zh-CN"/>
        </w:rPr>
      </w:pPr>
      <w:r>
        <w:rPr>
          <w:rFonts w:hint="eastAsia"/>
          <w:lang w:val="en-US" w:eastAsia="zh-CN"/>
        </w:rPr>
        <w:t>附件五：危废处置合同及危废处置资质</w:t>
      </w:r>
    </w:p>
    <w:p>
      <w:pPr>
        <w:rPr>
          <w:rFonts w:hint="default" w:eastAsia="宋体"/>
          <w:lang w:val="en-US" w:eastAsia="zh-CN"/>
        </w:rPr>
      </w:pPr>
      <w:r>
        <w:rPr>
          <w:rFonts w:hint="default" w:eastAsia="宋体"/>
          <w:lang w:val="en-US" w:eastAsia="zh-CN"/>
        </w:rPr>
        <w:drawing>
          <wp:inline distT="0" distB="0" distL="114300" distR="114300">
            <wp:extent cx="5258435" cy="8122920"/>
            <wp:effectExtent l="0" t="0" r="18415" b="11430"/>
            <wp:docPr id="11" name="图片 11" descr="a8d9e19130a6098b3096c009d2c58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a8d9e19130a6098b3096c009d2c58d7"/>
                    <pic:cNvPicPr>
                      <a:picLocks noChangeAspect="1"/>
                    </pic:cNvPicPr>
                  </pic:nvPicPr>
                  <pic:blipFill>
                    <a:blip r:embed="rId24"/>
                    <a:srcRect t="24172" b="4411"/>
                    <a:stretch>
                      <a:fillRect/>
                    </a:stretch>
                  </pic:blipFill>
                  <pic:spPr>
                    <a:xfrm>
                      <a:off x="0" y="0"/>
                      <a:ext cx="5258435" cy="8122920"/>
                    </a:xfrm>
                    <a:prstGeom prst="rect">
                      <a:avLst/>
                    </a:prstGeom>
                  </pic:spPr>
                </pic:pic>
              </a:graphicData>
            </a:graphic>
          </wp:inline>
        </w:drawing>
      </w:r>
      <w:r>
        <w:rPr>
          <w:rFonts w:hint="default" w:eastAsia="宋体"/>
          <w:lang w:val="en-US" w:eastAsia="zh-CN"/>
        </w:rPr>
        <w:drawing>
          <wp:inline distT="0" distB="0" distL="114300" distR="114300">
            <wp:extent cx="5237480" cy="3427095"/>
            <wp:effectExtent l="0" t="0" r="1270" b="1905"/>
            <wp:docPr id="14" name="图片 14" descr="a8e44b367f2d9ea5bd389e774b3f4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a8e44b367f2d9ea5bd389e774b3f4a8"/>
                    <pic:cNvPicPr>
                      <a:picLocks noChangeAspect="1"/>
                    </pic:cNvPicPr>
                  </pic:nvPicPr>
                  <pic:blipFill>
                    <a:blip r:embed="rId25"/>
                    <a:srcRect l="9136" r="21565"/>
                    <a:stretch>
                      <a:fillRect/>
                    </a:stretch>
                  </pic:blipFill>
                  <pic:spPr>
                    <a:xfrm>
                      <a:off x="0" y="0"/>
                      <a:ext cx="5237480" cy="3427095"/>
                    </a:xfrm>
                    <a:prstGeom prst="rect">
                      <a:avLst/>
                    </a:prstGeom>
                  </pic:spPr>
                </pic:pic>
              </a:graphicData>
            </a:graphic>
          </wp:inline>
        </w:drawing>
      </w:r>
    </w:p>
    <w:p>
      <w:pPr>
        <w:rPr>
          <w:rFonts w:hint="default" w:eastAsia="宋体"/>
          <w:lang w:val="en-US" w:eastAsia="zh-CN"/>
        </w:rPr>
      </w:pPr>
      <w:r>
        <w:drawing>
          <wp:inline distT="0" distB="0" distL="114300" distR="114300">
            <wp:extent cx="5203825" cy="3811270"/>
            <wp:effectExtent l="0" t="0" r="15875" b="17780"/>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26"/>
                    <a:srcRect l="14184" r="22946"/>
                    <a:stretch>
                      <a:fillRect/>
                    </a:stretch>
                  </pic:blipFill>
                  <pic:spPr>
                    <a:xfrm>
                      <a:off x="0" y="0"/>
                      <a:ext cx="5203825" cy="3811270"/>
                    </a:xfrm>
                    <a:prstGeom prst="rect">
                      <a:avLst/>
                    </a:prstGeom>
                    <a:noFill/>
                    <a:ln>
                      <a:noFill/>
                    </a:ln>
                  </pic:spPr>
                </pic:pic>
              </a:graphicData>
            </a:graphic>
          </wp:inline>
        </w:drawing>
      </w:r>
      <w:r>
        <w:rPr>
          <w:rFonts w:hint="default" w:eastAsia="宋体"/>
          <w:lang w:val="en-US" w:eastAsia="zh-CN"/>
        </w:rPr>
        <w:drawing>
          <wp:inline distT="0" distB="0" distL="114300" distR="114300">
            <wp:extent cx="5288915" cy="3333750"/>
            <wp:effectExtent l="0" t="0" r="6985" b="0"/>
            <wp:docPr id="17" name="图片 17" descr="75cd2522524a391f1733c6ceb34f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75cd2522524a391f1733c6ceb34f860"/>
                    <pic:cNvPicPr>
                      <a:picLocks noChangeAspect="1"/>
                    </pic:cNvPicPr>
                  </pic:nvPicPr>
                  <pic:blipFill>
                    <a:blip r:embed="rId27"/>
                    <a:srcRect l="4602" r="22335"/>
                    <a:stretch>
                      <a:fillRect/>
                    </a:stretch>
                  </pic:blipFill>
                  <pic:spPr>
                    <a:xfrm>
                      <a:off x="0" y="0"/>
                      <a:ext cx="5288915" cy="3333750"/>
                    </a:xfrm>
                    <a:prstGeom prst="rect">
                      <a:avLst/>
                    </a:prstGeom>
                  </pic:spPr>
                </pic:pic>
              </a:graphicData>
            </a:graphic>
          </wp:inline>
        </w:drawing>
      </w:r>
    </w:p>
    <w:p>
      <w:pPr>
        <w:rPr>
          <w:rFonts w:hint="default" w:eastAsia="宋体"/>
          <w:lang w:val="en-US" w:eastAsia="zh-CN"/>
        </w:rPr>
      </w:pPr>
      <w:r>
        <w:rPr>
          <w:rFonts w:hint="default" w:eastAsia="宋体"/>
          <w:lang w:val="en-US" w:eastAsia="zh-CN"/>
        </w:rPr>
        <w:br w:type="page"/>
      </w:r>
    </w:p>
    <w:p>
      <w:pPr>
        <w:rPr>
          <w:rFonts w:hint="eastAsia"/>
          <w:lang w:val="en-US" w:eastAsia="zh-CN"/>
        </w:rPr>
      </w:pPr>
      <w:r>
        <w:rPr>
          <w:rFonts w:hint="eastAsia"/>
          <w:lang w:val="en-US" w:eastAsia="zh-CN"/>
        </w:rPr>
        <w:t>附件六：船舶检测报告</w:t>
      </w:r>
    </w:p>
    <w:p>
      <w:pPr>
        <w:rPr>
          <w:rFonts w:hint="default" w:eastAsia="宋体"/>
          <w:lang w:val="en-US" w:eastAsia="zh-CN"/>
        </w:rPr>
      </w:pPr>
      <w:r>
        <w:rPr>
          <w:rFonts w:hint="default" w:eastAsia="宋体"/>
          <w:lang w:val="en-US" w:eastAsia="zh-CN"/>
        </w:rPr>
        <w:drawing>
          <wp:inline distT="0" distB="0" distL="114300" distR="114300">
            <wp:extent cx="5267960" cy="7453630"/>
            <wp:effectExtent l="0" t="0" r="8890" b="13970"/>
            <wp:docPr id="35" name="图片 35" descr="船舶资料、(1)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船舶资料、(1)_14"/>
                    <pic:cNvPicPr>
                      <a:picLocks noChangeAspect="1"/>
                    </pic:cNvPicPr>
                  </pic:nvPicPr>
                  <pic:blipFill>
                    <a:blip r:embed="rId28"/>
                    <a:stretch>
                      <a:fillRect/>
                    </a:stretch>
                  </pic:blipFill>
                  <pic:spPr>
                    <a:xfrm>
                      <a:off x="0" y="0"/>
                      <a:ext cx="5267960" cy="7453630"/>
                    </a:xfrm>
                    <a:prstGeom prst="rect">
                      <a:avLst/>
                    </a:prstGeom>
                  </pic:spPr>
                </pic:pic>
              </a:graphicData>
            </a:graphic>
          </wp:inline>
        </w:drawing>
      </w:r>
      <w:r>
        <w:rPr>
          <w:rFonts w:hint="default" w:eastAsia="宋体"/>
          <w:lang w:val="en-US" w:eastAsia="zh-CN"/>
        </w:rPr>
        <w:drawing>
          <wp:inline distT="0" distB="0" distL="114300" distR="114300">
            <wp:extent cx="5267960" cy="7453630"/>
            <wp:effectExtent l="0" t="0" r="8890" b="13970"/>
            <wp:docPr id="34" name="图片 34" descr="船舶资料、(1)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船舶资料、(1)_15"/>
                    <pic:cNvPicPr>
                      <a:picLocks noChangeAspect="1"/>
                    </pic:cNvPicPr>
                  </pic:nvPicPr>
                  <pic:blipFill>
                    <a:blip r:embed="rId29"/>
                    <a:stretch>
                      <a:fillRect/>
                    </a:stretch>
                  </pic:blipFill>
                  <pic:spPr>
                    <a:xfrm>
                      <a:off x="0" y="0"/>
                      <a:ext cx="5267960" cy="7453630"/>
                    </a:xfrm>
                    <a:prstGeom prst="rect">
                      <a:avLst/>
                    </a:prstGeom>
                  </pic:spPr>
                </pic:pic>
              </a:graphicData>
            </a:graphic>
          </wp:inline>
        </w:drawing>
      </w:r>
      <w:r>
        <w:rPr>
          <w:rFonts w:hint="default" w:eastAsia="宋体"/>
          <w:lang w:val="en-US" w:eastAsia="zh-CN"/>
        </w:rPr>
        <w:drawing>
          <wp:inline distT="0" distB="0" distL="114300" distR="114300">
            <wp:extent cx="5267960" cy="7453630"/>
            <wp:effectExtent l="0" t="0" r="8890" b="13970"/>
            <wp:docPr id="33" name="图片 33" descr="船舶资料、(1)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船舶资料、(1)_16"/>
                    <pic:cNvPicPr>
                      <a:picLocks noChangeAspect="1"/>
                    </pic:cNvPicPr>
                  </pic:nvPicPr>
                  <pic:blipFill>
                    <a:blip r:embed="rId30"/>
                    <a:stretch>
                      <a:fillRect/>
                    </a:stretch>
                  </pic:blipFill>
                  <pic:spPr>
                    <a:xfrm>
                      <a:off x="0" y="0"/>
                      <a:ext cx="5267960" cy="7453630"/>
                    </a:xfrm>
                    <a:prstGeom prst="rect">
                      <a:avLst/>
                    </a:prstGeom>
                  </pic:spPr>
                </pic:pic>
              </a:graphicData>
            </a:graphic>
          </wp:inline>
        </w:drawing>
      </w:r>
      <w:r>
        <w:rPr>
          <w:rFonts w:hint="default" w:eastAsia="宋体"/>
          <w:lang w:val="en-US" w:eastAsia="zh-CN"/>
        </w:rPr>
        <w:drawing>
          <wp:inline distT="0" distB="0" distL="114300" distR="114300">
            <wp:extent cx="5267960" cy="7453630"/>
            <wp:effectExtent l="0" t="0" r="8890" b="13970"/>
            <wp:docPr id="32" name="图片 32" descr="船舶资料、(1)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船舶资料、(1)_17"/>
                    <pic:cNvPicPr>
                      <a:picLocks noChangeAspect="1"/>
                    </pic:cNvPicPr>
                  </pic:nvPicPr>
                  <pic:blipFill>
                    <a:blip r:embed="rId31"/>
                    <a:stretch>
                      <a:fillRect/>
                    </a:stretch>
                  </pic:blipFill>
                  <pic:spPr>
                    <a:xfrm>
                      <a:off x="0" y="0"/>
                      <a:ext cx="5267960" cy="7453630"/>
                    </a:xfrm>
                    <a:prstGeom prst="rect">
                      <a:avLst/>
                    </a:prstGeom>
                  </pic:spPr>
                </pic:pic>
              </a:graphicData>
            </a:graphic>
          </wp:inline>
        </w:drawing>
      </w:r>
      <w:r>
        <w:rPr>
          <w:rFonts w:hint="default" w:eastAsia="宋体"/>
          <w:lang w:val="en-US" w:eastAsia="zh-CN"/>
        </w:rPr>
        <w:drawing>
          <wp:inline distT="0" distB="0" distL="114300" distR="114300">
            <wp:extent cx="5267960" cy="7453630"/>
            <wp:effectExtent l="0" t="0" r="8890" b="13970"/>
            <wp:docPr id="31" name="图片 31" descr="船舶资料、(1)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船舶资料、(1)_18"/>
                    <pic:cNvPicPr>
                      <a:picLocks noChangeAspect="1"/>
                    </pic:cNvPicPr>
                  </pic:nvPicPr>
                  <pic:blipFill>
                    <a:blip r:embed="rId32"/>
                    <a:stretch>
                      <a:fillRect/>
                    </a:stretch>
                  </pic:blipFill>
                  <pic:spPr>
                    <a:xfrm>
                      <a:off x="0" y="0"/>
                      <a:ext cx="5267960" cy="7453630"/>
                    </a:xfrm>
                    <a:prstGeom prst="rect">
                      <a:avLst/>
                    </a:prstGeom>
                  </pic:spPr>
                </pic:pic>
              </a:graphicData>
            </a:graphic>
          </wp:inline>
        </w:drawing>
      </w:r>
      <w:r>
        <w:rPr>
          <w:rFonts w:hint="default" w:eastAsia="宋体"/>
          <w:lang w:val="en-US" w:eastAsia="zh-CN"/>
        </w:rPr>
        <w:drawing>
          <wp:inline distT="0" distB="0" distL="114300" distR="114300">
            <wp:extent cx="5267960" cy="7453630"/>
            <wp:effectExtent l="0" t="0" r="8890" b="13970"/>
            <wp:docPr id="30" name="图片 30" descr="船舶资料、(1)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船舶资料、(1)_19"/>
                    <pic:cNvPicPr>
                      <a:picLocks noChangeAspect="1"/>
                    </pic:cNvPicPr>
                  </pic:nvPicPr>
                  <pic:blipFill>
                    <a:blip r:embed="rId33"/>
                    <a:stretch>
                      <a:fillRect/>
                    </a:stretch>
                  </pic:blipFill>
                  <pic:spPr>
                    <a:xfrm>
                      <a:off x="0" y="0"/>
                      <a:ext cx="5267960" cy="7453630"/>
                    </a:xfrm>
                    <a:prstGeom prst="rect">
                      <a:avLst/>
                    </a:prstGeom>
                  </pic:spPr>
                </pic:pic>
              </a:graphicData>
            </a:graphic>
          </wp:inline>
        </w:drawing>
      </w:r>
      <w:r>
        <w:rPr>
          <w:rFonts w:hint="default" w:eastAsia="宋体"/>
          <w:lang w:val="en-US" w:eastAsia="zh-CN"/>
        </w:rPr>
        <w:drawing>
          <wp:inline distT="0" distB="0" distL="114300" distR="114300">
            <wp:extent cx="5267960" cy="7453630"/>
            <wp:effectExtent l="0" t="0" r="8890" b="13970"/>
            <wp:docPr id="29" name="图片 29" descr="船舶资料、(1)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船舶资料、(1)_20"/>
                    <pic:cNvPicPr>
                      <a:picLocks noChangeAspect="1"/>
                    </pic:cNvPicPr>
                  </pic:nvPicPr>
                  <pic:blipFill>
                    <a:blip r:embed="rId34"/>
                    <a:stretch>
                      <a:fillRect/>
                    </a:stretch>
                  </pic:blipFill>
                  <pic:spPr>
                    <a:xfrm>
                      <a:off x="0" y="0"/>
                      <a:ext cx="5267960" cy="7453630"/>
                    </a:xfrm>
                    <a:prstGeom prst="rect">
                      <a:avLst/>
                    </a:prstGeom>
                  </pic:spPr>
                </pic:pic>
              </a:graphicData>
            </a:graphic>
          </wp:inline>
        </w:drawing>
      </w:r>
      <w:r>
        <w:rPr>
          <w:rFonts w:hint="default" w:eastAsia="宋体"/>
          <w:lang w:val="en-US" w:eastAsia="zh-CN"/>
        </w:rPr>
        <w:drawing>
          <wp:inline distT="0" distB="0" distL="114300" distR="114300">
            <wp:extent cx="5267960" cy="7453630"/>
            <wp:effectExtent l="0" t="0" r="8890" b="13970"/>
            <wp:docPr id="28" name="图片 28" descr="船舶资料、(1)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船舶资料、(1)_21"/>
                    <pic:cNvPicPr>
                      <a:picLocks noChangeAspect="1"/>
                    </pic:cNvPicPr>
                  </pic:nvPicPr>
                  <pic:blipFill>
                    <a:blip r:embed="rId35"/>
                    <a:stretch>
                      <a:fillRect/>
                    </a:stretch>
                  </pic:blipFill>
                  <pic:spPr>
                    <a:xfrm>
                      <a:off x="0" y="0"/>
                      <a:ext cx="5267960" cy="7453630"/>
                    </a:xfrm>
                    <a:prstGeom prst="rect">
                      <a:avLst/>
                    </a:prstGeom>
                  </pic:spPr>
                </pic:pic>
              </a:graphicData>
            </a:graphic>
          </wp:inline>
        </w:drawing>
      </w:r>
      <w:r>
        <w:rPr>
          <w:rFonts w:hint="default" w:eastAsia="宋体"/>
          <w:lang w:val="en-US" w:eastAsia="zh-CN"/>
        </w:rPr>
        <w:drawing>
          <wp:inline distT="0" distB="0" distL="114300" distR="114300">
            <wp:extent cx="5267960" cy="7453630"/>
            <wp:effectExtent l="0" t="0" r="8890" b="13970"/>
            <wp:docPr id="27" name="图片 27" descr="船舶资料、(1)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船舶资料、(1)_22"/>
                    <pic:cNvPicPr>
                      <a:picLocks noChangeAspect="1"/>
                    </pic:cNvPicPr>
                  </pic:nvPicPr>
                  <pic:blipFill>
                    <a:blip r:embed="rId36"/>
                    <a:stretch>
                      <a:fillRect/>
                    </a:stretch>
                  </pic:blipFill>
                  <pic:spPr>
                    <a:xfrm>
                      <a:off x="0" y="0"/>
                      <a:ext cx="5267960" cy="7453630"/>
                    </a:xfrm>
                    <a:prstGeom prst="rect">
                      <a:avLst/>
                    </a:prstGeom>
                  </pic:spPr>
                </pic:pic>
              </a:graphicData>
            </a:graphic>
          </wp:inline>
        </w:drawing>
      </w:r>
      <w:r>
        <w:rPr>
          <w:rFonts w:hint="default" w:eastAsia="宋体"/>
          <w:lang w:val="en-US" w:eastAsia="zh-CN"/>
        </w:rPr>
        <w:drawing>
          <wp:inline distT="0" distB="0" distL="114300" distR="114300">
            <wp:extent cx="5267960" cy="7453630"/>
            <wp:effectExtent l="0" t="0" r="8890" b="13970"/>
            <wp:docPr id="26" name="图片 26" descr="船舶资料、(1)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船舶资料、(1)_23"/>
                    <pic:cNvPicPr>
                      <a:picLocks noChangeAspect="1"/>
                    </pic:cNvPicPr>
                  </pic:nvPicPr>
                  <pic:blipFill>
                    <a:blip r:embed="rId37"/>
                    <a:stretch>
                      <a:fillRect/>
                    </a:stretch>
                  </pic:blipFill>
                  <pic:spPr>
                    <a:xfrm>
                      <a:off x="0" y="0"/>
                      <a:ext cx="5267960" cy="7453630"/>
                    </a:xfrm>
                    <a:prstGeom prst="rect">
                      <a:avLst/>
                    </a:prstGeom>
                  </pic:spPr>
                </pic:pic>
              </a:graphicData>
            </a:graphic>
          </wp:inline>
        </w:drawing>
      </w:r>
      <w:r>
        <w:rPr>
          <w:rFonts w:hint="default" w:eastAsia="宋体"/>
          <w:lang w:val="en-US" w:eastAsia="zh-CN"/>
        </w:rPr>
        <w:drawing>
          <wp:inline distT="0" distB="0" distL="114300" distR="114300">
            <wp:extent cx="5267960" cy="7453630"/>
            <wp:effectExtent l="0" t="0" r="8890" b="13970"/>
            <wp:docPr id="25" name="图片 25" descr="船舶资料、(1)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船舶资料、(1)_24"/>
                    <pic:cNvPicPr>
                      <a:picLocks noChangeAspect="1"/>
                    </pic:cNvPicPr>
                  </pic:nvPicPr>
                  <pic:blipFill>
                    <a:blip r:embed="rId38"/>
                    <a:stretch>
                      <a:fillRect/>
                    </a:stretch>
                  </pic:blipFill>
                  <pic:spPr>
                    <a:xfrm>
                      <a:off x="0" y="0"/>
                      <a:ext cx="5267960" cy="7453630"/>
                    </a:xfrm>
                    <a:prstGeom prst="rect">
                      <a:avLst/>
                    </a:prstGeom>
                  </pic:spPr>
                </pic:pic>
              </a:graphicData>
            </a:graphic>
          </wp:inline>
        </w:drawing>
      </w:r>
      <w:r>
        <w:rPr>
          <w:rFonts w:hint="default" w:eastAsia="宋体"/>
          <w:lang w:val="en-US" w:eastAsia="zh-CN"/>
        </w:rPr>
        <w:drawing>
          <wp:inline distT="0" distB="0" distL="114300" distR="114300">
            <wp:extent cx="5267960" cy="7453630"/>
            <wp:effectExtent l="0" t="0" r="8890" b="13970"/>
            <wp:docPr id="24" name="图片 24" descr="船舶资料、(1)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船舶资料、(1)_25"/>
                    <pic:cNvPicPr>
                      <a:picLocks noChangeAspect="1"/>
                    </pic:cNvPicPr>
                  </pic:nvPicPr>
                  <pic:blipFill>
                    <a:blip r:embed="rId39"/>
                    <a:stretch>
                      <a:fillRect/>
                    </a:stretch>
                  </pic:blipFill>
                  <pic:spPr>
                    <a:xfrm>
                      <a:off x="0" y="0"/>
                      <a:ext cx="5267960" cy="7453630"/>
                    </a:xfrm>
                    <a:prstGeom prst="rect">
                      <a:avLst/>
                    </a:prstGeom>
                  </pic:spPr>
                </pic:pic>
              </a:graphicData>
            </a:graphic>
          </wp:inline>
        </w:drawing>
      </w:r>
      <w:r>
        <w:rPr>
          <w:rFonts w:hint="default" w:eastAsia="宋体"/>
          <w:lang w:val="en-US" w:eastAsia="zh-CN"/>
        </w:rPr>
        <w:drawing>
          <wp:inline distT="0" distB="0" distL="114300" distR="114300">
            <wp:extent cx="5267960" cy="7453630"/>
            <wp:effectExtent l="0" t="0" r="8890" b="13970"/>
            <wp:docPr id="23" name="图片 23" descr="船舶资料、(1)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船舶资料、(1)_26"/>
                    <pic:cNvPicPr>
                      <a:picLocks noChangeAspect="1"/>
                    </pic:cNvPicPr>
                  </pic:nvPicPr>
                  <pic:blipFill>
                    <a:blip r:embed="rId40"/>
                    <a:stretch>
                      <a:fillRect/>
                    </a:stretch>
                  </pic:blipFill>
                  <pic:spPr>
                    <a:xfrm>
                      <a:off x="0" y="0"/>
                      <a:ext cx="5267960" cy="7453630"/>
                    </a:xfrm>
                    <a:prstGeom prst="rect">
                      <a:avLst/>
                    </a:prstGeom>
                  </pic:spPr>
                </pic:pic>
              </a:graphicData>
            </a:graphic>
          </wp:inline>
        </w:drawing>
      </w:r>
      <w:r>
        <w:rPr>
          <w:rFonts w:hint="default" w:eastAsia="宋体"/>
          <w:lang w:val="en-US" w:eastAsia="zh-CN"/>
        </w:rPr>
        <w:drawing>
          <wp:inline distT="0" distB="0" distL="114300" distR="114300">
            <wp:extent cx="5267960" cy="7453630"/>
            <wp:effectExtent l="0" t="0" r="8890" b="13970"/>
            <wp:docPr id="22" name="图片 22" descr="船舶资料、(1)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船舶资料、(1)_27"/>
                    <pic:cNvPicPr>
                      <a:picLocks noChangeAspect="1"/>
                    </pic:cNvPicPr>
                  </pic:nvPicPr>
                  <pic:blipFill>
                    <a:blip r:embed="rId41"/>
                    <a:stretch>
                      <a:fillRect/>
                    </a:stretch>
                  </pic:blipFill>
                  <pic:spPr>
                    <a:xfrm>
                      <a:off x="0" y="0"/>
                      <a:ext cx="5267960" cy="7453630"/>
                    </a:xfrm>
                    <a:prstGeom prst="rect">
                      <a:avLst/>
                    </a:prstGeom>
                  </pic:spPr>
                </pic:pic>
              </a:graphicData>
            </a:graphic>
          </wp:inline>
        </w:drawing>
      </w:r>
      <w:r>
        <w:rPr>
          <w:rFonts w:hint="default" w:eastAsia="宋体"/>
          <w:lang w:val="en-US" w:eastAsia="zh-CN"/>
        </w:rPr>
        <w:drawing>
          <wp:inline distT="0" distB="0" distL="114300" distR="114300">
            <wp:extent cx="5267960" cy="7453630"/>
            <wp:effectExtent l="0" t="0" r="8890" b="13970"/>
            <wp:docPr id="21" name="图片 21" descr="船舶资料、(1)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船舶资料、(1)_28"/>
                    <pic:cNvPicPr>
                      <a:picLocks noChangeAspect="1"/>
                    </pic:cNvPicPr>
                  </pic:nvPicPr>
                  <pic:blipFill>
                    <a:blip r:embed="rId42"/>
                    <a:stretch>
                      <a:fillRect/>
                    </a:stretch>
                  </pic:blipFill>
                  <pic:spPr>
                    <a:xfrm>
                      <a:off x="0" y="0"/>
                      <a:ext cx="5267960" cy="7453630"/>
                    </a:xfrm>
                    <a:prstGeom prst="rect">
                      <a:avLst/>
                    </a:prstGeom>
                  </pic:spPr>
                </pic:pic>
              </a:graphicData>
            </a:graphic>
          </wp:inline>
        </w:drawing>
      </w:r>
      <w:r>
        <w:rPr>
          <w:rFonts w:hint="default" w:eastAsia="宋体"/>
          <w:lang w:val="en-US" w:eastAsia="zh-CN"/>
        </w:rPr>
        <w:drawing>
          <wp:inline distT="0" distB="0" distL="114300" distR="114300">
            <wp:extent cx="5267960" cy="7453630"/>
            <wp:effectExtent l="0" t="0" r="8890" b="13970"/>
            <wp:docPr id="20" name="图片 20" descr="船舶资料、(1)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船舶资料、(1)_29"/>
                    <pic:cNvPicPr>
                      <a:picLocks noChangeAspect="1"/>
                    </pic:cNvPicPr>
                  </pic:nvPicPr>
                  <pic:blipFill>
                    <a:blip r:embed="rId43"/>
                    <a:stretch>
                      <a:fillRect/>
                    </a:stretch>
                  </pic:blipFill>
                  <pic:spPr>
                    <a:xfrm>
                      <a:off x="0" y="0"/>
                      <a:ext cx="5267960" cy="7453630"/>
                    </a:xfrm>
                    <a:prstGeom prst="rect">
                      <a:avLst/>
                    </a:prstGeom>
                  </pic:spPr>
                </pic:pic>
              </a:graphicData>
            </a:graphic>
          </wp:inline>
        </w:drawing>
      </w:r>
      <w:r>
        <w:rPr>
          <w:rFonts w:hint="default" w:eastAsia="宋体"/>
          <w:lang w:val="en-US" w:eastAsia="zh-CN"/>
        </w:rPr>
        <w:drawing>
          <wp:inline distT="0" distB="0" distL="114300" distR="114300">
            <wp:extent cx="5267960" cy="7453630"/>
            <wp:effectExtent l="0" t="0" r="8890" b="13970"/>
            <wp:docPr id="19" name="图片 19" descr="船舶资料、(1)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船舶资料、(1)_30"/>
                    <pic:cNvPicPr>
                      <a:picLocks noChangeAspect="1"/>
                    </pic:cNvPicPr>
                  </pic:nvPicPr>
                  <pic:blipFill>
                    <a:blip r:embed="rId44"/>
                    <a:stretch>
                      <a:fillRect/>
                    </a:stretch>
                  </pic:blipFill>
                  <pic:spPr>
                    <a:xfrm>
                      <a:off x="0" y="0"/>
                      <a:ext cx="5267960" cy="7453630"/>
                    </a:xfrm>
                    <a:prstGeom prst="rect">
                      <a:avLst/>
                    </a:prstGeom>
                  </pic:spPr>
                </pic:pic>
              </a:graphicData>
            </a:graphic>
          </wp:inline>
        </w:drawing>
      </w:r>
      <w:r>
        <w:rPr>
          <w:rFonts w:hint="default" w:eastAsia="宋体"/>
          <w:lang w:val="en-US" w:eastAsia="zh-CN"/>
        </w:rPr>
        <w:drawing>
          <wp:inline distT="0" distB="0" distL="114300" distR="114300">
            <wp:extent cx="5267960" cy="7453630"/>
            <wp:effectExtent l="0" t="0" r="8890" b="13970"/>
            <wp:docPr id="18" name="图片 18" descr="船舶资料、(1)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船舶资料、(1)_31"/>
                    <pic:cNvPicPr>
                      <a:picLocks noChangeAspect="1"/>
                    </pic:cNvPicPr>
                  </pic:nvPicPr>
                  <pic:blipFill>
                    <a:blip r:embed="rId45"/>
                    <a:stretch>
                      <a:fillRect/>
                    </a:stretch>
                  </pic:blipFill>
                  <pic:spPr>
                    <a:xfrm>
                      <a:off x="0" y="0"/>
                      <a:ext cx="5267960" cy="7453630"/>
                    </a:xfrm>
                    <a:prstGeom prst="rect">
                      <a:avLst/>
                    </a:prstGeom>
                  </pic:spPr>
                </pic:pic>
              </a:graphicData>
            </a:graphic>
          </wp:inline>
        </w:drawing>
      </w:r>
      <w:r>
        <w:rPr>
          <w:rFonts w:hint="default" w:eastAsia="宋体"/>
          <w:lang w:val="en-US" w:eastAsia="zh-CN"/>
        </w:rPr>
        <w:br w:type="page"/>
      </w:r>
    </w:p>
    <w:p>
      <w:pPr>
        <w:pStyle w:val="16"/>
        <w:ind w:left="0" w:leftChars="0" w:firstLine="0" w:firstLineChars="0"/>
        <w:rPr>
          <w:rFonts w:hint="default"/>
          <w:lang w:val="en-US" w:eastAsia="zh-CN"/>
        </w:rPr>
      </w:pPr>
      <w:r>
        <w:rPr>
          <w:rFonts w:hint="default"/>
          <w:lang w:val="en-US" w:eastAsia="zh-CN"/>
        </w:rPr>
        <w:drawing>
          <wp:inline distT="0" distB="0" distL="114300" distR="114300">
            <wp:extent cx="5267960" cy="7453630"/>
            <wp:effectExtent l="0" t="0" r="8890" b="13970"/>
            <wp:docPr id="38" name="图片 38" descr="20140901090128865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20140901090128865_12"/>
                    <pic:cNvPicPr>
                      <a:picLocks noChangeAspect="1"/>
                    </pic:cNvPicPr>
                  </pic:nvPicPr>
                  <pic:blipFill>
                    <a:blip r:embed="rId46"/>
                    <a:stretch>
                      <a:fillRect/>
                    </a:stretch>
                  </pic:blipFill>
                  <pic:spPr>
                    <a:xfrm>
                      <a:off x="0" y="0"/>
                      <a:ext cx="5267960" cy="7453630"/>
                    </a:xfrm>
                    <a:prstGeom prst="rect">
                      <a:avLst/>
                    </a:prstGeom>
                  </pic:spPr>
                </pic:pic>
              </a:graphicData>
            </a:graphic>
          </wp:inline>
        </w:drawing>
      </w:r>
      <w:r>
        <w:rPr>
          <w:rFonts w:hint="default"/>
          <w:lang w:val="en-US" w:eastAsia="zh-CN"/>
        </w:rPr>
        <w:drawing>
          <wp:inline distT="0" distB="0" distL="114300" distR="114300">
            <wp:extent cx="5267960" cy="7453630"/>
            <wp:effectExtent l="0" t="0" r="8890" b="13970"/>
            <wp:docPr id="37" name="图片 37" descr="20140901090128865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20140901090128865_13"/>
                    <pic:cNvPicPr>
                      <a:picLocks noChangeAspect="1"/>
                    </pic:cNvPicPr>
                  </pic:nvPicPr>
                  <pic:blipFill>
                    <a:blip r:embed="rId47"/>
                    <a:stretch>
                      <a:fillRect/>
                    </a:stretch>
                  </pic:blipFill>
                  <pic:spPr>
                    <a:xfrm>
                      <a:off x="0" y="0"/>
                      <a:ext cx="5267960" cy="7453630"/>
                    </a:xfrm>
                    <a:prstGeom prst="rect">
                      <a:avLst/>
                    </a:prstGeom>
                  </pic:spPr>
                </pic:pic>
              </a:graphicData>
            </a:graphic>
          </wp:inline>
        </w:drawing>
      </w:r>
      <w:r>
        <w:rPr>
          <w:rFonts w:hint="default"/>
          <w:lang w:val="en-US" w:eastAsia="zh-CN"/>
        </w:rPr>
        <w:drawing>
          <wp:inline distT="0" distB="0" distL="114300" distR="114300">
            <wp:extent cx="5267960" cy="7453630"/>
            <wp:effectExtent l="0" t="0" r="8890" b="13970"/>
            <wp:docPr id="50" name="图片 50" descr="20140901090128865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20140901090128865_00"/>
                    <pic:cNvPicPr>
                      <a:picLocks noChangeAspect="1"/>
                    </pic:cNvPicPr>
                  </pic:nvPicPr>
                  <pic:blipFill>
                    <a:blip r:embed="rId48"/>
                    <a:stretch>
                      <a:fillRect/>
                    </a:stretch>
                  </pic:blipFill>
                  <pic:spPr>
                    <a:xfrm>
                      <a:off x="0" y="0"/>
                      <a:ext cx="5267960" cy="7453630"/>
                    </a:xfrm>
                    <a:prstGeom prst="rect">
                      <a:avLst/>
                    </a:prstGeom>
                  </pic:spPr>
                </pic:pic>
              </a:graphicData>
            </a:graphic>
          </wp:inline>
        </w:drawing>
      </w:r>
      <w:r>
        <w:rPr>
          <w:rFonts w:hint="default"/>
          <w:lang w:val="en-US" w:eastAsia="zh-CN"/>
        </w:rPr>
        <w:drawing>
          <wp:inline distT="0" distB="0" distL="114300" distR="114300">
            <wp:extent cx="5267960" cy="7453630"/>
            <wp:effectExtent l="0" t="0" r="8890" b="13970"/>
            <wp:docPr id="48" name="图片 48" descr="20140901090128865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20140901090128865_01"/>
                    <pic:cNvPicPr>
                      <a:picLocks noChangeAspect="1"/>
                    </pic:cNvPicPr>
                  </pic:nvPicPr>
                  <pic:blipFill>
                    <a:blip r:embed="rId49"/>
                    <a:stretch>
                      <a:fillRect/>
                    </a:stretch>
                  </pic:blipFill>
                  <pic:spPr>
                    <a:xfrm>
                      <a:off x="0" y="0"/>
                      <a:ext cx="5267960" cy="7453630"/>
                    </a:xfrm>
                    <a:prstGeom prst="rect">
                      <a:avLst/>
                    </a:prstGeom>
                  </pic:spPr>
                </pic:pic>
              </a:graphicData>
            </a:graphic>
          </wp:inline>
        </w:drawing>
      </w:r>
      <w:r>
        <w:rPr>
          <w:rFonts w:hint="default"/>
          <w:lang w:val="en-US" w:eastAsia="zh-CN"/>
        </w:rPr>
        <w:drawing>
          <wp:inline distT="0" distB="0" distL="114300" distR="114300">
            <wp:extent cx="5267960" cy="7453630"/>
            <wp:effectExtent l="0" t="0" r="8890" b="13970"/>
            <wp:docPr id="47" name="图片 47" descr="20140901090128865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20140901090128865_02"/>
                    <pic:cNvPicPr>
                      <a:picLocks noChangeAspect="1"/>
                    </pic:cNvPicPr>
                  </pic:nvPicPr>
                  <pic:blipFill>
                    <a:blip r:embed="rId50"/>
                    <a:stretch>
                      <a:fillRect/>
                    </a:stretch>
                  </pic:blipFill>
                  <pic:spPr>
                    <a:xfrm>
                      <a:off x="0" y="0"/>
                      <a:ext cx="5267960" cy="7453630"/>
                    </a:xfrm>
                    <a:prstGeom prst="rect">
                      <a:avLst/>
                    </a:prstGeom>
                  </pic:spPr>
                </pic:pic>
              </a:graphicData>
            </a:graphic>
          </wp:inline>
        </w:drawing>
      </w:r>
      <w:r>
        <w:rPr>
          <w:rFonts w:hint="default"/>
          <w:lang w:val="en-US" w:eastAsia="zh-CN"/>
        </w:rPr>
        <w:drawing>
          <wp:inline distT="0" distB="0" distL="114300" distR="114300">
            <wp:extent cx="5267960" cy="7453630"/>
            <wp:effectExtent l="0" t="0" r="8890" b="13970"/>
            <wp:docPr id="46" name="图片 46" descr="20140901090128865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20140901090128865_03"/>
                    <pic:cNvPicPr>
                      <a:picLocks noChangeAspect="1"/>
                    </pic:cNvPicPr>
                  </pic:nvPicPr>
                  <pic:blipFill>
                    <a:blip r:embed="rId51"/>
                    <a:stretch>
                      <a:fillRect/>
                    </a:stretch>
                  </pic:blipFill>
                  <pic:spPr>
                    <a:xfrm>
                      <a:off x="0" y="0"/>
                      <a:ext cx="5267960" cy="7453630"/>
                    </a:xfrm>
                    <a:prstGeom prst="rect">
                      <a:avLst/>
                    </a:prstGeom>
                  </pic:spPr>
                </pic:pic>
              </a:graphicData>
            </a:graphic>
          </wp:inline>
        </w:drawing>
      </w:r>
      <w:r>
        <w:rPr>
          <w:rFonts w:hint="default"/>
          <w:lang w:val="en-US" w:eastAsia="zh-CN"/>
        </w:rPr>
        <w:drawing>
          <wp:inline distT="0" distB="0" distL="114300" distR="114300">
            <wp:extent cx="5267960" cy="7453630"/>
            <wp:effectExtent l="0" t="0" r="8890" b="13970"/>
            <wp:docPr id="5" name="图片 5" descr="20140901090128865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0140901090128865_09"/>
                    <pic:cNvPicPr>
                      <a:picLocks noChangeAspect="1"/>
                    </pic:cNvPicPr>
                  </pic:nvPicPr>
                  <pic:blipFill>
                    <a:blip r:embed="rId52"/>
                    <a:stretch>
                      <a:fillRect/>
                    </a:stretch>
                  </pic:blipFill>
                  <pic:spPr>
                    <a:xfrm>
                      <a:off x="0" y="0"/>
                      <a:ext cx="5267960" cy="7453630"/>
                    </a:xfrm>
                    <a:prstGeom prst="rect">
                      <a:avLst/>
                    </a:prstGeom>
                  </pic:spPr>
                </pic:pic>
              </a:graphicData>
            </a:graphic>
          </wp:inline>
        </w:drawing>
      </w:r>
      <w:r>
        <w:rPr>
          <w:rFonts w:hint="default"/>
          <w:lang w:val="en-US" w:eastAsia="zh-CN"/>
        </w:rPr>
        <w:drawing>
          <wp:inline distT="0" distB="0" distL="114300" distR="114300">
            <wp:extent cx="5267960" cy="7453630"/>
            <wp:effectExtent l="0" t="0" r="8890" b="13970"/>
            <wp:docPr id="39" name="图片 39" descr="20140901090128865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20140901090128865_07"/>
                    <pic:cNvPicPr>
                      <a:picLocks noChangeAspect="1"/>
                    </pic:cNvPicPr>
                  </pic:nvPicPr>
                  <pic:blipFill>
                    <a:blip r:embed="rId53"/>
                    <a:stretch>
                      <a:fillRect/>
                    </a:stretch>
                  </pic:blipFill>
                  <pic:spPr>
                    <a:xfrm>
                      <a:off x="0" y="0"/>
                      <a:ext cx="5267960" cy="7453630"/>
                    </a:xfrm>
                    <a:prstGeom prst="rect">
                      <a:avLst/>
                    </a:prstGeom>
                  </pic:spPr>
                </pic:pic>
              </a:graphicData>
            </a:graphic>
          </wp:inline>
        </w:drawing>
      </w:r>
      <w:r>
        <w:rPr>
          <w:rFonts w:hint="default"/>
          <w:lang w:val="en-US" w:eastAsia="zh-CN"/>
        </w:rPr>
        <w:drawing>
          <wp:inline distT="0" distB="0" distL="114300" distR="114300">
            <wp:extent cx="5267960" cy="7453630"/>
            <wp:effectExtent l="0" t="0" r="8890" b="13970"/>
            <wp:docPr id="40" name="图片 40" descr="20140901090128865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20140901090128865_06"/>
                    <pic:cNvPicPr>
                      <a:picLocks noChangeAspect="1"/>
                    </pic:cNvPicPr>
                  </pic:nvPicPr>
                  <pic:blipFill>
                    <a:blip r:embed="rId54"/>
                    <a:stretch>
                      <a:fillRect/>
                    </a:stretch>
                  </pic:blipFill>
                  <pic:spPr>
                    <a:xfrm>
                      <a:off x="0" y="0"/>
                      <a:ext cx="5267960" cy="7453630"/>
                    </a:xfrm>
                    <a:prstGeom prst="rect">
                      <a:avLst/>
                    </a:prstGeom>
                  </pic:spPr>
                </pic:pic>
              </a:graphicData>
            </a:graphic>
          </wp:inline>
        </w:drawing>
      </w:r>
      <w:r>
        <w:rPr>
          <w:rFonts w:hint="default"/>
          <w:lang w:val="en-US" w:eastAsia="zh-CN"/>
        </w:rPr>
        <w:drawing>
          <wp:inline distT="0" distB="0" distL="114300" distR="114300">
            <wp:extent cx="5267960" cy="7453630"/>
            <wp:effectExtent l="0" t="0" r="8890" b="13970"/>
            <wp:docPr id="45" name="图片 45" descr="20140901090128865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20140901090128865_04"/>
                    <pic:cNvPicPr>
                      <a:picLocks noChangeAspect="1"/>
                    </pic:cNvPicPr>
                  </pic:nvPicPr>
                  <pic:blipFill>
                    <a:blip r:embed="rId55"/>
                    <a:stretch>
                      <a:fillRect/>
                    </a:stretch>
                  </pic:blipFill>
                  <pic:spPr>
                    <a:xfrm>
                      <a:off x="0" y="0"/>
                      <a:ext cx="5267960" cy="7453630"/>
                    </a:xfrm>
                    <a:prstGeom prst="rect">
                      <a:avLst/>
                    </a:prstGeom>
                  </pic:spPr>
                </pic:pic>
              </a:graphicData>
            </a:graphic>
          </wp:inline>
        </w:drawing>
      </w:r>
      <w:r>
        <w:rPr>
          <w:rFonts w:hint="default"/>
          <w:lang w:val="en-US" w:eastAsia="zh-CN"/>
        </w:rPr>
        <w:drawing>
          <wp:inline distT="0" distB="0" distL="114300" distR="114300">
            <wp:extent cx="5267960" cy="7453630"/>
            <wp:effectExtent l="0" t="0" r="8890" b="13970"/>
            <wp:docPr id="42" name="图片 42" descr="20140901090128865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20140901090128865_05"/>
                    <pic:cNvPicPr>
                      <a:picLocks noChangeAspect="1"/>
                    </pic:cNvPicPr>
                  </pic:nvPicPr>
                  <pic:blipFill>
                    <a:blip r:embed="rId56"/>
                    <a:stretch>
                      <a:fillRect/>
                    </a:stretch>
                  </pic:blipFill>
                  <pic:spPr>
                    <a:xfrm>
                      <a:off x="0" y="0"/>
                      <a:ext cx="5267960" cy="7453630"/>
                    </a:xfrm>
                    <a:prstGeom prst="rect">
                      <a:avLst/>
                    </a:prstGeom>
                  </pic:spPr>
                </pic:pic>
              </a:graphicData>
            </a:graphic>
          </wp:inline>
        </w:drawing>
      </w:r>
      <w:r>
        <w:rPr>
          <w:rFonts w:hint="default"/>
          <w:lang w:val="en-US" w:eastAsia="zh-CN"/>
        </w:rPr>
        <w:drawing>
          <wp:inline distT="0" distB="0" distL="114300" distR="114300">
            <wp:extent cx="5267960" cy="7453630"/>
            <wp:effectExtent l="0" t="0" r="8890" b="13970"/>
            <wp:docPr id="52" name="图片 52" descr="20140901090128865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20140901090128865_10"/>
                    <pic:cNvPicPr>
                      <a:picLocks noChangeAspect="1"/>
                    </pic:cNvPicPr>
                  </pic:nvPicPr>
                  <pic:blipFill>
                    <a:blip r:embed="rId57"/>
                    <a:stretch>
                      <a:fillRect/>
                    </a:stretch>
                  </pic:blipFill>
                  <pic:spPr>
                    <a:xfrm>
                      <a:off x="0" y="0"/>
                      <a:ext cx="5267960" cy="7453630"/>
                    </a:xfrm>
                    <a:prstGeom prst="rect">
                      <a:avLst/>
                    </a:prstGeom>
                  </pic:spPr>
                </pic:pic>
              </a:graphicData>
            </a:graphic>
          </wp:inline>
        </w:drawing>
      </w:r>
      <w:r>
        <w:rPr>
          <w:rFonts w:hint="default"/>
          <w:lang w:val="en-US" w:eastAsia="zh-CN"/>
        </w:rPr>
        <w:drawing>
          <wp:inline distT="0" distB="0" distL="114300" distR="114300">
            <wp:extent cx="5267960" cy="7453630"/>
            <wp:effectExtent l="0" t="0" r="8890" b="13970"/>
            <wp:docPr id="51" name="图片 51" descr="20140901090128865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20140901090128865_11"/>
                    <pic:cNvPicPr>
                      <a:picLocks noChangeAspect="1"/>
                    </pic:cNvPicPr>
                  </pic:nvPicPr>
                  <pic:blipFill>
                    <a:blip r:embed="rId58"/>
                    <a:stretch>
                      <a:fillRect/>
                    </a:stretch>
                  </pic:blipFill>
                  <pic:spPr>
                    <a:xfrm>
                      <a:off x="0" y="0"/>
                      <a:ext cx="5267960" cy="7453630"/>
                    </a:xfrm>
                    <a:prstGeom prst="rect">
                      <a:avLst/>
                    </a:prstGeom>
                  </pic:spPr>
                </pic:pic>
              </a:graphicData>
            </a:graphic>
          </wp:inline>
        </w:drawing>
      </w:r>
    </w:p>
    <w:p>
      <w:pPr>
        <w:rPr>
          <w:rFonts w:hint="default"/>
          <w:lang w:val="en-US" w:eastAsia="zh-CN"/>
        </w:rPr>
      </w:pPr>
      <w:r>
        <w:rPr>
          <w:rFonts w:hint="default"/>
          <w:lang w:val="en-US" w:eastAsia="zh-CN"/>
        </w:rPr>
        <w:br w:type="page"/>
      </w:r>
    </w:p>
    <w:p>
      <w:pPr>
        <w:pStyle w:val="16"/>
        <w:ind w:left="0" w:leftChars="0" w:firstLine="0" w:firstLineChars="0"/>
        <w:rPr>
          <w:rFonts w:hint="eastAsia"/>
          <w:sz w:val="21"/>
          <w:szCs w:val="21"/>
          <w:lang w:val="en-US" w:eastAsia="zh-CN"/>
        </w:rPr>
      </w:pPr>
      <w:r>
        <w:rPr>
          <w:rFonts w:hint="eastAsia"/>
          <w:sz w:val="21"/>
          <w:szCs w:val="21"/>
          <w:lang w:val="en-US" w:eastAsia="zh-CN"/>
        </w:rPr>
        <w:t>附件七：检测报告及质保单</w:t>
      </w:r>
    </w:p>
    <w:p>
      <w:pPr>
        <w:pStyle w:val="16"/>
        <w:ind w:left="0" w:leftChars="0" w:firstLine="0" w:firstLineChars="0"/>
        <w:rPr>
          <w:rFonts w:hint="default"/>
          <w:lang w:val="en-US" w:eastAsia="zh-CN"/>
        </w:rPr>
      </w:pPr>
      <w:r>
        <w:rPr>
          <w:rFonts w:hint="default"/>
          <w:lang w:val="en-US" w:eastAsia="zh-CN"/>
        </w:rPr>
        <w:drawing>
          <wp:inline distT="0" distB="0" distL="114300" distR="114300">
            <wp:extent cx="5267960" cy="7453630"/>
            <wp:effectExtent l="0" t="0" r="8890" b="13970"/>
            <wp:docPr id="60" name="图片 60" descr="船舶废矿物油及生活垃圾回收项目(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船舶废矿物油及生活垃圾回收项目(1)_00"/>
                    <pic:cNvPicPr>
                      <a:picLocks noChangeAspect="1"/>
                    </pic:cNvPicPr>
                  </pic:nvPicPr>
                  <pic:blipFill>
                    <a:blip r:embed="rId59"/>
                    <a:stretch>
                      <a:fillRect/>
                    </a:stretch>
                  </pic:blipFill>
                  <pic:spPr>
                    <a:xfrm>
                      <a:off x="0" y="0"/>
                      <a:ext cx="5267960" cy="7453630"/>
                    </a:xfrm>
                    <a:prstGeom prst="rect">
                      <a:avLst/>
                    </a:prstGeom>
                  </pic:spPr>
                </pic:pic>
              </a:graphicData>
            </a:graphic>
          </wp:inline>
        </w:drawing>
      </w:r>
      <w:r>
        <w:rPr>
          <w:rFonts w:hint="default"/>
          <w:lang w:val="en-US" w:eastAsia="zh-CN"/>
        </w:rPr>
        <w:drawing>
          <wp:inline distT="0" distB="0" distL="114300" distR="114300">
            <wp:extent cx="5267960" cy="7453630"/>
            <wp:effectExtent l="0" t="0" r="8890" b="13970"/>
            <wp:docPr id="59" name="图片 59" descr="船舶废矿物油及生活垃圾回收项目(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船舶废矿物油及生活垃圾回收项目(1)_01"/>
                    <pic:cNvPicPr>
                      <a:picLocks noChangeAspect="1"/>
                    </pic:cNvPicPr>
                  </pic:nvPicPr>
                  <pic:blipFill>
                    <a:blip r:embed="rId60"/>
                    <a:stretch>
                      <a:fillRect/>
                    </a:stretch>
                  </pic:blipFill>
                  <pic:spPr>
                    <a:xfrm>
                      <a:off x="0" y="0"/>
                      <a:ext cx="5267960" cy="7453630"/>
                    </a:xfrm>
                    <a:prstGeom prst="rect">
                      <a:avLst/>
                    </a:prstGeom>
                  </pic:spPr>
                </pic:pic>
              </a:graphicData>
            </a:graphic>
          </wp:inline>
        </w:drawing>
      </w:r>
      <w:r>
        <w:rPr>
          <w:rFonts w:hint="default"/>
          <w:lang w:val="en-US" w:eastAsia="zh-CN"/>
        </w:rPr>
        <w:drawing>
          <wp:inline distT="0" distB="0" distL="114300" distR="114300">
            <wp:extent cx="5267960" cy="7453630"/>
            <wp:effectExtent l="0" t="0" r="8890" b="13970"/>
            <wp:docPr id="58" name="图片 58" descr="船舶废矿物油及生活垃圾回收项目(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船舶废矿物油及生活垃圾回收项目(1)_02"/>
                    <pic:cNvPicPr>
                      <a:picLocks noChangeAspect="1"/>
                    </pic:cNvPicPr>
                  </pic:nvPicPr>
                  <pic:blipFill>
                    <a:blip r:embed="rId61"/>
                    <a:stretch>
                      <a:fillRect/>
                    </a:stretch>
                  </pic:blipFill>
                  <pic:spPr>
                    <a:xfrm>
                      <a:off x="0" y="0"/>
                      <a:ext cx="5267960" cy="7453630"/>
                    </a:xfrm>
                    <a:prstGeom prst="rect">
                      <a:avLst/>
                    </a:prstGeom>
                  </pic:spPr>
                </pic:pic>
              </a:graphicData>
            </a:graphic>
          </wp:inline>
        </w:drawing>
      </w:r>
      <w:r>
        <w:rPr>
          <w:rFonts w:hint="default"/>
          <w:lang w:val="en-US" w:eastAsia="zh-CN"/>
        </w:rPr>
        <w:drawing>
          <wp:inline distT="0" distB="0" distL="114300" distR="114300">
            <wp:extent cx="5267960" cy="7453630"/>
            <wp:effectExtent l="0" t="0" r="8890" b="13970"/>
            <wp:docPr id="57" name="图片 57" descr="船舶废矿物油及生活垃圾回收项目(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船舶废矿物油及生活垃圾回收项目(1)_03"/>
                    <pic:cNvPicPr>
                      <a:picLocks noChangeAspect="1"/>
                    </pic:cNvPicPr>
                  </pic:nvPicPr>
                  <pic:blipFill>
                    <a:blip r:embed="rId62"/>
                    <a:stretch>
                      <a:fillRect/>
                    </a:stretch>
                  </pic:blipFill>
                  <pic:spPr>
                    <a:xfrm>
                      <a:off x="0" y="0"/>
                      <a:ext cx="5267960" cy="7453630"/>
                    </a:xfrm>
                    <a:prstGeom prst="rect">
                      <a:avLst/>
                    </a:prstGeom>
                  </pic:spPr>
                </pic:pic>
              </a:graphicData>
            </a:graphic>
          </wp:inline>
        </w:drawing>
      </w:r>
      <w:r>
        <w:rPr>
          <w:rFonts w:hint="default"/>
          <w:lang w:val="en-US" w:eastAsia="zh-CN"/>
        </w:rPr>
        <w:drawing>
          <wp:inline distT="0" distB="0" distL="114300" distR="114300">
            <wp:extent cx="5267960" cy="7453630"/>
            <wp:effectExtent l="0" t="0" r="8890" b="13970"/>
            <wp:docPr id="56" name="图片 56" descr="船舶废矿物油及生活垃圾回收项目(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船舶废矿物油及生活垃圾回收项目(1)_04"/>
                    <pic:cNvPicPr>
                      <a:picLocks noChangeAspect="1"/>
                    </pic:cNvPicPr>
                  </pic:nvPicPr>
                  <pic:blipFill>
                    <a:blip r:embed="rId63"/>
                    <a:stretch>
                      <a:fillRect/>
                    </a:stretch>
                  </pic:blipFill>
                  <pic:spPr>
                    <a:xfrm>
                      <a:off x="0" y="0"/>
                      <a:ext cx="5267960" cy="7453630"/>
                    </a:xfrm>
                    <a:prstGeom prst="rect">
                      <a:avLst/>
                    </a:prstGeom>
                  </pic:spPr>
                </pic:pic>
              </a:graphicData>
            </a:graphic>
          </wp:inline>
        </w:drawing>
      </w:r>
      <w:r>
        <w:rPr>
          <w:rFonts w:hint="default"/>
          <w:lang w:val="en-US" w:eastAsia="zh-CN"/>
        </w:rPr>
        <w:drawing>
          <wp:inline distT="0" distB="0" distL="114300" distR="114300">
            <wp:extent cx="5267960" cy="7453630"/>
            <wp:effectExtent l="0" t="0" r="8890" b="13970"/>
            <wp:docPr id="55" name="图片 55" descr="船舶废矿物油及生活垃圾回收项目(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船舶废矿物油及生活垃圾回收项目(1)_05"/>
                    <pic:cNvPicPr>
                      <a:picLocks noChangeAspect="1"/>
                    </pic:cNvPicPr>
                  </pic:nvPicPr>
                  <pic:blipFill>
                    <a:blip r:embed="rId64"/>
                    <a:stretch>
                      <a:fillRect/>
                    </a:stretch>
                  </pic:blipFill>
                  <pic:spPr>
                    <a:xfrm>
                      <a:off x="0" y="0"/>
                      <a:ext cx="5267960" cy="7453630"/>
                    </a:xfrm>
                    <a:prstGeom prst="rect">
                      <a:avLst/>
                    </a:prstGeom>
                  </pic:spPr>
                </pic:pic>
              </a:graphicData>
            </a:graphic>
          </wp:inline>
        </w:drawing>
      </w:r>
    </w:p>
    <w:p>
      <w:pPr>
        <w:rPr>
          <w:rFonts w:hint="default"/>
          <w:lang w:val="en-US" w:eastAsia="zh-CN"/>
        </w:rPr>
      </w:pPr>
      <w:r>
        <w:rPr>
          <w:rFonts w:hint="default"/>
          <w:lang w:val="en-US" w:eastAsia="zh-CN"/>
        </w:rPr>
        <w:br w:type="page"/>
      </w:r>
    </w:p>
    <w:p>
      <w:pPr>
        <w:pStyle w:val="16"/>
        <w:ind w:left="0" w:leftChars="0" w:firstLine="0" w:firstLineChars="0"/>
        <w:rPr>
          <w:rFonts w:hint="eastAsia"/>
          <w:lang w:val="en-US" w:eastAsia="zh-CN"/>
        </w:rPr>
      </w:pPr>
      <w:r>
        <w:rPr>
          <w:rFonts w:hint="eastAsia"/>
          <w:lang w:val="en-US" w:eastAsia="zh-CN"/>
        </w:rPr>
        <w:t>附件八：生活污水转移协议</w:t>
      </w:r>
    </w:p>
    <w:p>
      <w:pPr>
        <w:pStyle w:val="16"/>
        <w:ind w:left="0" w:leftChars="0" w:firstLine="0" w:firstLineChars="0"/>
        <w:rPr>
          <w:rFonts w:hint="default"/>
          <w:lang w:val="en-US" w:eastAsia="zh-CN"/>
        </w:rPr>
      </w:pPr>
      <w:r>
        <w:rPr>
          <w:rFonts w:hint="default"/>
          <w:lang w:val="en-US" w:eastAsia="zh-CN"/>
        </w:rPr>
        <w:drawing>
          <wp:inline distT="0" distB="0" distL="114300" distR="114300">
            <wp:extent cx="5266055" cy="8405495"/>
            <wp:effectExtent l="0" t="0" r="10795" b="14605"/>
            <wp:docPr id="12" name="图片 12" descr="77c0cfa64505ffd2251d826c834d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77c0cfa64505ffd2251d826c834d803"/>
                    <pic:cNvPicPr>
                      <a:picLocks noChangeAspect="1"/>
                    </pic:cNvPicPr>
                  </pic:nvPicPr>
                  <pic:blipFill>
                    <a:blip r:embed="rId65"/>
                    <a:srcRect t="15661" b="6937"/>
                    <a:stretch>
                      <a:fillRect/>
                    </a:stretch>
                  </pic:blipFill>
                  <pic:spPr>
                    <a:xfrm>
                      <a:off x="0" y="0"/>
                      <a:ext cx="5266055" cy="8405495"/>
                    </a:xfrm>
                    <a:prstGeom prst="rect">
                      <a:avLst/>
                    </a:prstGeom>
                  </pic:spPr>
                </pic:pic>
              </a:graphicData>
            </a:graphic>
          </wp:inline>
        </w:drawing>
      </w:r>
    </w:p>
    <w:p>
      <w:pPr>
        <w:pStyle w:val="16"/>
        <w:ind w:left="0" w:leftChars="0" w:firstLine="0" w:firstLineChars="0"/>
        <w:rPr>
          <w:rFonts w:hint="default"/>
          <w:lang w:val="en-US" w:eastAsia="zh-CN"/>
        </w:rPr>
      </w:pPr>
      <w:r>
        <w:rPr>
          <w:rFonts w:hint="default"/>
          <w:lang w:val="en-US" w:eastAsia="zh-CN"/>
        </w:rPr>
        <w:drawing>
          <wp:inline distT="0" distB="0" distL="114300" distR="114300">
            <wp:extent cx="5264150" cy="7260590"/>
            <wp:effectExtent l="0" t="0" r="12700" b="16510"/>
            <wp:docPr id="13" name="图片 13" descr="70df14686bfeb80edb5bce6c9d66f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70df14686bfeb80edb5bce6c9d66f31"/>
                    <pic:cNvPicPr>
                      <a:picLocks noChangeAspect="1"/>
                    </pic:cNvPicPr>
                  </pic:nvPicPr>
                  <pic:blipFill>
                    <a:blip r:embed="rId66"/>
                    <a:srcRect t="17813" b="15302"/>
                    <a:stretch>
                      <a:fillRect/>
                    </a:stretch>
                  </pic:blipFill>
                  <pic:spPr>
                    <a:xfrm>
                      <a:off x="0" y="0"/>
                      <a:ext cx="5264150" cy="7260590"/>
                    </a:xfrm>
                    <a:prstGeom prst="rect">
                      <a:avLst/>
                    </a:prstGeom>
                  </pic:spPr>
                </pic:pic>
              </a:graphicData>
            </a:graphic>
          </wp:inline>
        </w:drawing>
      </w:r>
    </w:p>
    <w:p>
      <w:pPr>
        <w:rPr>
          <w:rFonts w:hint="default"/>
          <w:lang w:val="en-US" w:eastAsia="zh-CN"/>
        </w:rPr>
      </w:pPr>
      <w:r>
        <w:rPr>
          <w:rFonts w:hint="default"/>
          <w:lang w:val="en-US" w:eastAsia="zh-CN"/>
        </w:rPr>
        <w:br w:type="page"/>
      </w:r>
    </w:p>
    <w:p>
      <w:pPr>
        <w:pStyle w:val="16"/>
        <w:ind w:left="0" w:leftChars="0" w:firstLine="0" w:firstLineChars="0"/>
        <w:rPr>
          <w:rFonts w:hint="eastAsia"/>
          <w:lang w:val="en-US" w:eastAsia="zh-CN"/>
        </w:rPr>
      </w:pPr>
      <w:r>
        <w:rPr>
          <w:rFonts w:hint="eastAsia"/>
          <w:lang w:val="en-US" w:eastAsia="zh-CN"/>
        </w:rPr>
        <w:t>附件九：船舶租赁协议</w:t>
      </w:r>
    </w:p>
    <w:p>
      <w:pPr>
        <w:pStyle w:val="16"/>
        <w:ind w:left="0" w:leftChars="0" w:firstLine="0" w:firstLineChars="0"/>
        <w:rPr>
          <w:rFonts w:hint="default"/>
          <w:lang w:val="en-US" w:eastAsia="zh-CN"/>
        </w:rPr>
      </w:pPr>
      <w:r>
        <w:rPr>
          <w:rFonts w:hint="default"/>
          <w:lang w:val="en-US" w:eastAsia="zh-CN"/>
        </w:rPr>
        <w:drawing>
          <wp:inline distT="0" distB="0" distL="114300" distR="114300">
            <wp:extent cx="5267960" cy="7453630"/>
            <wp:effectExtent l="0" t="0" r="8890" b="13970"/>
            <wp:docPr id="75" name="图片 75" descr="湖南漕溪港物流有限公司协议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湖南漕溪港物流有限公司协议_00"/>
                    <pic:cNvPicPr>
                      <a:picLocks noChangeAspect="1"/>
                    </pic:cNvPicPr>
                  </pic:nvPicPr>
                  <pic:blipFill>
                    <a:blip r:embed="rId67"/>
                    <a:stretch>
                      <a:fillRect/>
                    </a:stretch>
                  </pic:blipFill>
                  <pic:spPr>
                    <a:xfrm>
                      <a:off x="0" y="0"/>
                      <a:ext cx="5267960" cy="7453630"/>
                    </a:xfrm>
                    <a:prstGeom prst="rect">
                      <a:avLst/>
                    </a:prstGeom>
                  </pic:spPr>
                </pic:pic>
              </a:graphicData>
            </a:graphic>
          </wp:inline>
        </w:drawing>
      </w:r>
      <w:r>
        <w:rPr>
          <w:rFonts w:hint="default"/>
          <w:lang w:val="en-US" w:eastAsia="zh-CN"/>
        </w:rPr>
        <w:drawing>
          <wp:inline distT="0" distB="0" distL="114300" distR="114300">
            <wp:extent cx="5267960" cy="7453630"/>
            <wp:effectExtent l="0" t="0" r="8890" b="13970"/>
            <wp:docPr id="76" name="图片 76" descr="湖南漕溪港物流有限公司协议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湖南漕溪港物流有限公司协议_01"/>
                    <pic:cNvPicPr>
                      <a:picLocks noChangeAspect="1"/>
                    </pic:cNvPicPr>
                  </pic:nvPicPr>
                  <pic:blipFill>
                    <a:blip r:embed="rId68"/>
                    <a:stretch>
                      <a:fillRect/>
                    </a:stretch>
                  </pic:blipFill>
                  <pic:spPr>
                    <a:xfrm>
                      <a:off x="0" y="0"/>
                      <a:ext cx="5267960" cy="7453630"/>
                    </a:xfrm>
                    <a:prstGeom prst="rect">
                      <a:avLst/>
                    </a:prstGeom>
                  </pic:spPr>
                </pic:pic>
              </a:graphicData>
            </a:graphic>
          </wp:inline>
        </w:drawing>
      </w:r>
    </w:p>
    <w:p>
      <w:pPr>
        <w:rPr>
          <w:rFonts w:hint="default"/>
          <w:lang w:val="en-US" w:eastAsia="zh-CN"/>
        </w:rPr>
      </w:pPr>
      <w:r>
        <w:rPr>
          <w:rFonts w:hint="default"/>
          <w:lang w:val="en-US" w:eastAsia="zh-CN"/>
        </w:rPr>
        <w:br w:type="page"/>
      </w:r>
    </w:p>
    <w:p>
      <w:pPr>
        <w:pStyle w:val="16"/>
        <w:ind w:left="0" w:leftChars="0" w:firstLine="0" w:firstLineChars="0"/>
        <w:rPr>
          <w:rFonts w:hint="eastAsia"/>
          <w:lang w:val="en-US" w:eastAsia="zh-CN"/>
        </w:rPr>
      </w:pPr>
      <w:r>
        <w:rPr>
          <w:rFonts w:hint="eastAsia"/>
          <w:lang w:val="en-US" w:eastAsia="zh-CN"/>
        </w:rPr>
        <w:t>附件十：湘阴县水运事务中心同意使用作业码头的意见</w:t>
      </w:r>
    </w:p>
    <w:p>
      <w:pPr>
        <w:pStyle w:val="16"/>
        <w:ind w:left="0" w:leftChars="0" w:firstLine="0" w:firstLineChars="0"/>
        <w:rPr>
          <w:rFonts w:hint="default"/>
          <w:lang w:val="en-US" w:eastAsia="zh-CN"/>
        </w:rPr>
      </w:pPr>
      <w:r>
        <w:rPr>
          <w:rFonts w:hint="default"/>
          <w:lang w:val="en-US" w:eastAsia="zh-CN"/>
        </w:rPr>
        <w:drawing>
          <wp:inline distT="0" distB="0" distL="114300" distR="114300">
            <wp:extent cx="5207000" cy="8007985"/>
            <wp:effectExtent l="0" t="0" r="12700" b="12065"/>
            <wp:docPr id="1" name="图片 1" descr="3fa5453987458f84411023ba2ae4e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3fa5453987458f84411023ba2ae4e70"/>
                    <pic:cNvPicPr>
                      <a:picLocks noChangeAspect="1"/>
                    </pic:cNvPicPr>
                  </pic:nvPicPr>
                  <pic:blipFill>
                    <a:blip r:embed="rId69"/>
                    <a:srcRect t="17438" b="11733"/>
                    <a:stretch>
                      <a:fillRect/>
                    </a:stretch>
                  </pic:blipFill>
                  <pic:spPr>
                    <a:xfrm>
                      <a:off x="0" y="0"/>
                      <a:ext cx="5207000" cy="8007985"/>
                    </a:xfrm>
                    <a:prstGeom prst="rect">
                      <a:avLst/>
                    </a:prstGeom>
                  </pic:spPr>
                </pic:pic>
              </a:graphicData>
            </a:graphic>
          </wp:inline>
        </w:drawing>
      </w:r>
    </w:p>
    <w:p>
      <w:pPr>
        <w:rPr>
          <w:rFonts w:hint="default"/>
          <w:lang w:val="en-US" w:eastAsia="zh-CN"/>
        </w:rPr>
      </w:pPr>
      <w:r>
        <w:rPr>
          <w:rFonts w:hint="default"/>
          <w:lang w:val="en-US" w:eastAsia="zh-CN"/>
        </w:rPr>
        <w:br w:type="page"/>
      </w:r>
    </w:p>
    <w:p>
      <w:pPr>
        <w:pStyle w:val="16"/>
        <w:ind w:left="0" w:leftChars="0" w:firstLine="0" w:firstLineChars="0"/>
        <w:rPr>
          <w:rFonts w:hint="eastAsia"/>
          <w:lang w:val="en-US" w:eastAsia="zh-CN"/>
        </w:rPr>
      </w:pPr>
      <w:r>
        <w:rPr>
          <w:rFonts w:hint="eastAsia"/>
          <w:lang w:val="en-US" w:eastAsia="zh-CN"/>
        </w:rPr>
        <w:t>附件十一：法人身份证</w:t>
      </w:r>
    </w:p>
    <w:p>
      <w:pPr>
        <w:pStyle w:val="16"/>
        <w:ind w:left="0" w:leftChars="0" w:firstLine="0" w:firstLineChars="0"/>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lang w:val="en-US" w:eastAsia="zh-CN"/>
        </w:rPr>
        <w:drawing>
          <wp:inline distT="0" distB="0" distL="114300" distR="114300">
            <wp:extent cx="4933950" cy="6124575"/>
            <wp:effectExtent l="0" t="0" r="0" b="9525"/>
            <wp:docPr id="61" name="图片 61" descr="1680225825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1680225825327"/>
                    <pic:cNvPicPr>
                      <a:picLocks noChangeAspect="1"/>
                    </pic:cNvPicPr>
                  </pic:nvPicPr>
                  <pic:blipFill>
                    <a:blip r:embed="rId70"/>
                    <a:stretch>
                      <a:fillRect/>
                    </a:stretch>
                  </pic:blipFill>
                  <pic:spPr>
                    <a:xfrm>
                      <a:off x="0" y="0"/>
                      <a:ext cx="4933950" cy="6124575"/>
                    </a:xfrm>
                    <a:prstGeom prst="rect">
                      <a:avLst/>
                    </a:prstGeom>
                  </pic:spPr>
                </pic:pic>
              </a:graphicData>
            </a:graphic>
          </wp:inline>
        </w:drawing>
      </w:r>
      <w:bookmarkStart w:id="18" w:name="_GoBack"/>
      <w:bookmarkEnd w:id="18"/>
    </w:p>
    <w:p>
      <w:pPr>
        <w:rPr>
          <w:rFonts w:hint="eastAsia" w:cs="Times New Roman"/>
          <w:kern w:val="0"/>
          <w:sz w:val="24"/>
          <w:szCs w:val="20"/>
          <w:lang w:val="en-US" w:eastAsia="zh-CN" w:bidi="ar-SA"/>
        </w:rPr>
      </w:pPr>
      <w:r>
        <w:rPr>
          <w:rFonts w:hint="eastAsia" w:cs="Times New Roman"/>
          <w:kern w:val="0"/>
          <w:sz w:val="24"/>
          <w:szCs w:val="20"/>
          <w:lang w:val="en-US" w:eastAsia="zh-CN" w:bidi="ar-SA"/>
        </w:rPr>
        <w:t>附件十二：营业执照</w:t>
      </w:r>
    </w:p>
    <w:p>
      <w:pPr>
        <w:jc w:val="center"/>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drawing>
          <wp:inline distT="0" distB="0" distL="114300" distR="114300">
            <wp:extent cx="7225665" cy="4839335"/>
            <wp:effectExtent l="0" t="0" r="13335" b="18415"/>
            <wp:docPr id="53" name="图片 53" descr="组合 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组合 1_08"/>
                    <pic:cNvPicPr>
                      <a:picLocks noChangeAspect="1"/>
                    </pic:cNvPicPr>
                  </pic:nvPicPr>
                  <pic:blipFill>
                    <a:blip r:embed="rId71"/>
                    <a:srcRect t="5072"/>
                    <a:stretch>
                      <a:fillRect/>
                    </a:stretch>
                  </pic:blipFill>
                  <pic:spPr>
                    <a:xfrm>
                      <a:off x="0" y="0"/>
                      <a:ext cx="7225665" cy="4839335"/>
                    </a:xfrm>
                    <a:prstGeom prst="rect">
                      <a:avLst/>
                    </a:prstGeom>
                  </pic:spPr>
                </pic:pic>
              </a:graphicData>
            </a:graphic>
          </wp:inline>
        </w:drawing>
      </w:r>
      <w:r>
        <w:rPr>
          <w:rFonts w:hint="eastAsia" w:ascii="Times New Roman" w:hAnsi="Times New Roman" w:eastAsia="宋体" w:cs="Times New Roman"/>
          <w:kern w:val="0"/>
          <w:sz w:val="24"/>
          <w:szCs w:val="20"/>
          <w:lang w:val="en-US" w:eastAsia="zh-CN" w:bidi="ar-SA"/>
        </w:rPr>
        <w:br w:type="page"/>
      </w:r>
    </w:p>
    <w:p>
      <w:pPr>
        <w:rPr>
          <w:rFonts w:hint="eastAsia"/>
          <w:lang w:val="en-US" w:eastAsia="zh-CN"/>
        </w:rPr>
      </w:pPr>
      <w:r>
        <w:rPr>
          <w:rFonts w:hint="eastAsia" w:ascii="Times New Roman" w:hAnsi="Times New Roman" w:eastAsia="宋体" w:cs="Times New Roman"/>
          <w:kern w:val="0"/>
          <w:sz w:val="24"/>
          <w:szCs w:val="20"/>
          <w:lang w:val="en-US" w:eastAsia="zh-CN" w:bidi="ar-SA"/>
        </w:rPr>
        <w:t>附图一：项目航线范围示意图</w:t>
      </w:r>
    </w:p>
    <w:p>
      <w:pPr>
        <w:jc w:val="center"/>
        <w:rPr>
          <w:rFonts w:hint="default"/>
          <w:lang w:val="en-US" w:eastAsia="zh-CN"/>
        </w:rPr>
      </w:pPr>
      <w:r>
        <w:rPr>
          <w:rFonts w:hint="default"/>
          <w:lang w:val="en-US" w:eastAsia="zh-CN"/>
        </w:rPr>
        <w:drawing>
          <wp:inline distT="0" distB="0" distL="114300" distR="114300">
            <wp:extent cx="7311390" cy="4917440"/>
            <wp:effectExtent l="0" t="0" r="3810" b="16510"/>
            <wp:docPr id="4" name="图片 4" descr="1641458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641458003(1)"/>
                    <pic:cNvPicPr>
                      <a:picLocks noChangeAspect="1"/>
                    </pic:cNvPicPr>
                  </pic:nvPicPr>
                  <pic:blipFill>
                    <a:blip r:embed="rId72"/>
                    <a:srcRect l="24849"/>
                    <a:stretch>
                      <a:fillRect/>
                    </a:stretch>
                  </pic:blipFill>
                  <pic:spPr>
                    <a:xfrm>
                      <a:off x="0" y="0"/>
                      <a:ext cx="7311390" cy="4917440"/>
                    </a:xfrm>
                    <a:prstGeom prst="rect">
                      <a:avLst/>
                    </a:prstGeom>
                  </pic:spPr>
                </pic:pic>
              </a:graphicData>
            </a:graphic>
          </wp:inline>
        </w:drawing>
      </w:r>
    </w:p>
    <w:p>
      <w:pPr>
        <w:rPr>
          <w:rFonts w:hint="eastAsia"/>
          <w:lang w:val="en-US" w:eastAsia="zh-CN"/>
        </w:rPr>
      </w:pPr>
      <w:r>
        <w:rPr>
          <w:rFonts w:hint="eastAsia"/>
          <w:lang w:val="en-US" w:eastAsia="zh-CN"/>
        </w:rPr>
        <w:br w:type="page"/>
      </w:r>
    </w:p>
    <w:p>
      <w:pPr>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附图二：船舶平面图</w:t>
      </w:r>
    </w:p>
    <w:p>
      <w:pPr>
        <w:jc w:val="center"/>
        <w:rPr>
          <w:rFonts w:hint="default"/>
          <w:lang w:val="en-US" w:eastAsia="zh-CN"/>
        </w:rPr>
      </w:pPr>
      <w:r>
        <w:rPr>
          <w:rFonts w:hint="default"/>
          <w:lang w:val="en-US" w:eastAsia="zh-CN"/>
        </w:rPr>
        <w:drawing>
          <wp:inline distT="0" distB="0" distL="114300" distR="114300">
            <wp:extent cx="2266950" cy="7906385"/>
            <wp:effectExtent l="0" t="0" r="18415" b="0"/>
            <wp:docPr id="63" name="图片 63" descr="新块 (1)-Model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新块 (1)-Model_00"/>
                    <pic:cNvPicPr>
                      <a:picLocks noChangeAspect="1"/>
                    </pic:cNvPicPr>
                  </pic:nvPicPr>
                  <pic:blipFill>
                    <a:blip r:embed="rId73"/>
                    <a:srcRect l="30491" t="7522" r="34019" b="4976"/>
                    <a:stretch>
                      <a:fillRect/>
                    </a:stretch>
                  </pic:blipFill>
                  <pic:spPr>
                    <a:xfrm rot="5400000">
                      <a:off x="0" y="0"/>
                      <a:ext cx="2266950" cy="7906385"/>
                    </a:xfrm>
                    <a:prstGeom prst="rect">
                      <a:avLst/>
                    </a:prstGeom>
                  </pic:spPr>
                </pic:pic>
              </a:graphicData>
            </a:graphic>
          </wp:inline>
        </w:drawing>
      </w:r>
      <w:r>
        <w:rPr>
          <w:rFonts w:hint="default"/>
          <w:lang w:val="en-US" w:eastAsia="zh-CN"/>
        </w:rPr>
        <w:drawing>
          <wp:inline distT="0" distB="0" distL="114300" distR="114300">
            <wp:extent cx="2075180" cy="7470775"/>
            <wp:effectExtent l="0" t="0" r="15875" b="1270"/>
            <wp:docPr id="66" name="图片 66" descr="新块 (1)-Model2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新块 (1)-Model2_00"/>
                    <pic:cNvPicPr>
                      <a:picLocks noChangeAspect="1"/>
                    </pic:cNvPicPr>
                  </pic:nvPicPr>
                  <pic:blipFill>
                    <a:blip r:embed="rId74"/>
                    <a:srcRect l="32481" t="6913" r="34431" b="8879"/>
                    <a:stretch>
                      <a:fillRect/>
                    </a:stretch>
                  </pic:blipFill>
                  <pic:spPr>
                    <a:xfrm rot="5400000">
                      <a:off x="0" y="0"/>
                      <a:ext cx="2075180" cy="7470775"/>
                    </a:xfrm>
                    <a:prstGeom prst="rect">
                      <a:avLst/>
                    </a:prstGeom>
                  </pic:spPr>
                </pic:pic>
              </a:graphicData>
            </a:graphic>
          </wp:inline>
        </w:drawing>
      </w:r>
    </w:p>
    <w:p>
      <w:pPr>
        <w:jc w:val="center"/>
        <w:rPr>
          <w:rFonts w:hint="eastAsia"/>
        </w:rPr>
      </w:pPr>
      <w:r>
        <w:rPr>
          <w:rFonts w:hint="eastAsia"/>
        </w:rPr>
        <w:t>湘湘阴油0659</w:t>
      </w:r>
    </w:p>
    <w:p>
      <w:pPr>
        <w:jc w:val="center"/>
        <w:rPr>
          <w:rFonts w:hint="default"/>
          <w:lang w:val="en-US" w:eastAsia="zh-CN"/>
        </w:rPr>
      </w:pPr>
      <w:r>
        <w:rPr>
          <w:rFonts w:hint="default"/>
          <w:lang w:val="en-US" w:eastAsia="zh-CN"/>
        </w:rPr>
        <w:drawing>
          <wp:inline distT="0" distB="0" distL="114300" distR="114300">
            <wp:extent cx="6932295" cy="2138680"/>
            <wp:effectExtent l="0" t="0" r="1905" b="13970"/>
            <wp:docPr id="7" name="图片 7" descr="新块 (1)-Model1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新块 (1)-Model11_00"/>
                    <pic:cNvPicPr>
                      <a:picLocks noChangeAspect="1"/>
                    </pic:cNvPicPr>
                  </pic:nvPicPr>
                  <pic:blipFill>
                    <a:blip r:embed="rId75"/>
                    <a:srcRect l="1661" t="26195" r="5365" b="33241"/>
                    <a:stretch>
                      <a:fillRect/>
                    </a:stretch>
                  </pic:blipFill>
                  <pic:spPr>
                    <a:xfrm>
                      <a:off x="0" y="0"/>
                      <a:ext cx="6932295" cy="2138680"/>
                    </a:xfrm>
                    <a:prstGeom prst="round2DiagRect">
                      <a:avLst/>
                    </a:prstGeom>
                  </pic:spPr>
                </pic:pic>
              </a:graphicData>
            </a:graphic>
          </wp:inline>
        </w:drawing>
      </w:r>
      <w:r>
        <w:rPr>
          <w:rFonts w:hint="default"/>
          <w:lang w:val="en-US" w:eastAsia="zh-CN"/>
        </w:rPr>
        <w:drawing>
          <wp:inline distT="0" distB="0" distL="114300" distR="114300">
            <wp:extent cx="8093710" cy="2272030"/>
            <wp:effectExtent l="0" t="0" r="2540" b="13970"/>
            <wp:docPr id="6" name="图片 6" descr="新块 (1)-Model33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新块 (1)-Model33_00"/>
                    <pic:cNvPicPr>
                      <a:picLocks noChangeAspect="1"/>
                    </pic:cNvPicPr>
                  </pic:nvPicPr>
                  <pic:blipFill>
                    <a:blip r:embed="rId76"/>
                    <a:srcRect l="1916" t="30531" b="30531"/>
                    <a:stretch>
                      <a:fillRect/>
                    </a:stretch>
                  </pic:blipFill>
                  <pic:spPr>
                    <a:xfrm>
                      <a:off x="0" y="0"/>
                      <a:ext cx="8093710" cy="2272030"/>
                    </a:xfrm>
                    <a:prstGeom prst="rect">
                      <a:avLst/>
                    </a:prstGeom>
                  </pic:spPr>
                </pic:pic>
              </a:graphicData>
            </a:graphic>
          </wp:inline>
        </w:drawing>
      </w:r>
    </w:p>
    <w:p>
      <w:pPr>
        <w:jc w:val="center"/>
      </w:pPr>
      <w:r>
        <w:rPr>
          <w:rFonts w:hint="eastAsia"/>
        </w:rPr>
        <w:t>湘湘阴油0530</w:t>
      </w:r>
    </w:p>
    <w:p>
      <w:pPr>
        <w:jc w:val="center"/>
        <w:rPr>
          <w:rFonts w:hint="default"/>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rPr>
          <w:rFonts w:hint="default"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en-US" w:eastAsia="zh-CN" w:bidi="ar-SA"/>
        </w:rPr>
        <w:t>附图三：项目现状示意图</w:t>
      </w:r>
    </w:p>
    <w:tbl>
      <w:tblPr>
        <w:tblStyle w:val="1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1"/>
        <w:gridCol w:w="42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tcPr>
          <w:p>
            <w:pPr>
              <w:bidi w:val="0"/>
              <w:rPr>
                <w:rFonts w:hint="default"/>
                <w:lang w:val="en-US" w:eastAsia="zh-CN"/>
              </w:rPr>
            </w:pPr>
            <w:r>
              <w:rPr>
                <w:rFonts w:hint="default"/>
                <w:lang w:val="en-US" w:eastAsia="zh-CN"/>
              </w:rPr>
              <w:drawing>
                <wp:inline distT="0" distB="0" distL="114300" distR="114300">
                  <wp:extent cx="2548255" cy="1911350"/>
                  <wp:effectExtent l="0" t="0" r="4445" b="12700"/>
                  <wp:docPr id="67" name="图片 67" descr="现状照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现状照片 (2)"/>
                          <pic:cNvPicPr>
                            <a:picLocks noChangeAspect="1"/>
                          </pic:cNvPicPr>
                        </pic:nvPicPr>
                        <pic:blipFill>
                          <a:blip r:embed="rId77"/>
                          <a:stretch>
                            <a:fillRect/>
                          </a:stretch>
                        </pic:blipFill>
                        <pic:spPr>
                          <a:xfrm>
                            <a:off x="0" y="0"/>
                            <a:ext cx="2548255" cy="1911350"/>
                          </a:xfrm>
                          <a:prstGeom prst="rect">
                            <a:avLst/>
                          </a:prstGeom>
                        </pic:spPr>
                      </pic:pic>
                    </a:graphicData>
                  </a:graphic>
                </wp:inline>
              </w:drawing>
            </w:r>
          </w:p>
        </w:tc>
        <w:tc>
          <w:tcPr>
            <w:tcW w:w="4261" w:type="dxa"/>
            <w:tcBorders>
              <w:tl2br w:val="nil"/>
              <w:tr2bl w:val="nil"/>
            </w:tcBorders>
          </w:tcPr>
          <w:p>
            <w:pPr>
              <w:bidi w:val="0"/>
              <w:rPr>
                <w:rFonts w:hint="default"/>
                <w:lang w:val="en-US" w:eastAsia="zh-CN"/>
              </w:rPr>
            </w:pPr>
            <w:r>
              <w:rPr>
                <w:rFonts w:hint="default"/>
                <w:lang w:val="en-US" w:eastAsia="zh-CN"/>
              </w:rPr>
              <w:drawing>
                <wp:inline distT="0" distB="0" distL="114300" distR="114300">
                  <wp:extent cx="2548255" cy="1911350"/>
                  <wp:effectExtent l="0" t="0" r="4445" b="12700"/>
                  <wp:docPr id="68" name="图片 68" descr="现状照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现状照片 (3)"/>
                          <pic:cNvPicPr>
                            <a:picLocks noChangeAspect="1"/>
                          </pic:cNvPicPr>
                        </pic:nvPicPr>
                        <pic:blipFill>
                          <a:blip r:embed="rId78"/>
                          <a:stretch>
                            <a:fillRect/>
                          </a:stretch>
                        </pic:blipFill>
                        <pic:spPr>
                          <a:xfrm>
                            <a:off x="0" y="0"/>
                            <a:ext cx="2548255" cy="191135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tcPr>
          <w:p>
            <w:pPr>
              <w:bidi w:val="0"/>
              <w:rPr>
                <w:rFonts w:hint="default"/>
                <w:lang w:val="en-US" w:eastAsia="zh-CN"/>
              </w:rPr>
            </w:pPr>
            <w:r>
              <w:rPr>
                <w:rFonts w:hint="default"/>
                <w:lang w:val="en-US" w:eastAsia="zh-CN"/>
              </w:rPr>
              <w:drawing>
                <wp:inline distT="0" distB="0" distL="114300" distR="114300">
                  <wp:extent cx="2548255" cy="1911350"/>
                  <wp:effectExtent l="0" t="0" r="4445" b="12700"/>
                  <wp:docPr id="69" name="图片 69" descr="现状照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现状照片 (4)"/>
                          <pic:cNvPicPr>
                            <a:picLocks noChangeAspect="1"/>
                          </pic:cNvPicPr>
                        </pic:nvPicPr>
                        <pic:blipFill>
                          <a:blip r:embed="rId79"/>
                          <a:stretch>
                            <a:fillRect/>
                          </a:stretch>
                        </pic:blipFill>
                        <pic:spPr>
                          <a:xfrm>
                            <a:off x="0" y="0"/>
                            <a:ext cx="2548255" cy="1911350"/>
                          </a:xfrm>
                          <a:prstGeom prst="rect">
                            <a:avLst/>
                          </a:prstGeom>
                        </pic:spPr>
                      </pic:pic>
                    </a:graphicData>
                  </a:graphic>
                </wp:inline>
              </w:drawing>
            </w:r>
          </w:p>
        </w:tc>
        <w:tc>
          <w:tcPr>
            <w:tcW w:w="4261" w:type="dxa"/>
            <w:tcBorders>
              <w:tl2br w:val="nil"/>
              <w:tr2bl w:val="nil"/>
            </w:tcBorders>
          </w:tcPr>
          <w:p>
            <w:pPr>
              <w:bidi w:val="0"/>
              <w:rPr>
                <w:rFonts w:hint="default"/>
                <w:lang w:val="en-US" w:eastAsia="zh-CN"/>
              </w:rPr>
            </w:pPr>
            <w:r>
              <w:rPr>
                <w:rFonts w:hint="default"/>
                <w:lang w:val="en-US" w:eastAsia="zh-CN"/>
              </w:rPr>
              <w:drawing>
                <wp:inline distT="0" distB="0" distL="114300" distR="114300">
                  <wp:extent cx="2548255" cy="1911350"/>
                  <wp:effectExtent l="0" t="0" r="4445" b="12700"/>
                  <wp:docPr id="70" name="图片 70" descr="现状照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现状照片（1）"/>
                          <pic:cNvPicPr>
                            <a:picLocks noChangeAspect="1"/>
                          </pic:cNvPicPr>
                        </pic:nvPicPr>
                        <pic:blipFill>
                          <a:blip r:embed="rId80"/>
                          <a:stretch>
                            <a:fillRect/>
                          </a:stretch>
                        </pic:blipFill>
                        <pic:spPr>
                          <a:xfrm>
                            <a:off x="0" y="0"/>
                            <a:ext cx="2548255" cy="1911350"/>
                          </a:xfrm>
                          <a:prstGeom prst="rect">
                            <a:avLst/>
                          </a:prstGeom>
                        </pic:spPr>
                      </pic:pic>
                    </a:graphicData>
                  </a:graphic>
                </wp:inline>
              </w:drawing>
            </w:r>
          </w:p>
        </w:tc>
      </w:tr>
    </w:tbl>
    <w:p>
      <w:pPr>
        <w:pStyle w:val="16"/>
        <w:ind w:left="0" w:leftChars="0" w:firstLine="0" w:firstLineChars="0"/>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rPr>
          <w:rFonts w:hint="default"/>
          <w:lang w:val="en-US" w:eastAsia="zh-CN"/>
        </w:rPr>
      </w:pPr>
      <w:r>
        <w:rPr>
          <w:rFonts w:hint="default"/>
          <w:lang w:val="en-US" w:eastAsia="zh-CN"/>
        </w:rPr>
        <w:drawing>
          <wp:inline distT="0" distB="0" distL="114300" distR="114300">
            <wp:extent cx="5268595" cy="7450455"/>
            <wp:effectExtent l="0" t="0" r="8255" b="17145"/>
            <wp:docPr id="15" name="图片 15" descr="专家意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专家意见"/>
                    <pic:cNvPicPr>
                      <a:picLocks noChangeAspect="1"/>
                    </pic:cNvPicPr>
                  </pic:nvPicPr>
                  <pic:blipFill>
                    <a:blip r:embed="rId81"/>
                    <a:stretch>
                      <a:fillRect/>
                    </a:stretch>
                  </pic:blipFill>
                  <pic:spPr>
                    <a:xfrm>
                      <a:off x="0" y="0"/>
                      <a:ext cx="5268595" cy="7450455"/>
                    </a:xfrm>
                    <a:prstGeom prst="rect">
                      <a:avLst/>
                    </a:prstGeom>
                  </pic:spPr>
                </pic:pic>
              </a:graphicData>
            </a:graphic>
          </wp:inline>
        </w:drawing>
      </w:r>
      <w:r>
        <w:rPr>
          <w:rFonts w:hint="default"/>
          <w:lang w:val="en-US" w:eastAsia="zh-CN"/>
        </w:rPr>
        <w:drawing>
          <wp:inline distT="0" distB="0" distL="114300" distR="114300">
            <wp:extent cx="5268595" cy="7450455"/>
            <wp:effectExtent l="0" t="0" r="8255" b="17145"/>
            <wp:docPr id="64" name="图片 64" descr="专家意见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专家意见 (2)"/>
                    <pic:cNvPicPr>
                      <a:picLocks noChangeAspect="1"/>
                    </pic:cNvPicPr>
                  </pic:nvPicPr>
                  <pic:blipFill>
                    <a:blip r:embed="rId82"/>
                    <a:stretch>
                      <a:fillRect/>
                    </a:stretch>
                  </pic:blipFill>
                  <pic:spPr>
                    <a:xfrm>
                      <a:off x="0" y="0"/>
                      <a:ext cx="5268595" cy="7450455"/>
                    </a:xfrm>
                    <a:prstGeom prst="rect">
                      <a:avLst/>
                    </a:prstGeom>
                  </pic:spPr>
                </pic:pic>
              </a:graphicData>
            </a:graphic>
          </wp:inline>
        </w:drawing>
      </w:r>
      <w:r>
        <w:rPr>
          <w:rFonts w:hint="default"/>
          <w:lang w:val="en-US" w:eastAsia="zh-CN"/>
        </w:rPr>
        <w:drawing>
          <wp:inline distT="0" distB="0" distL="114300" distR="114300">
            <wp:extent cx="5268595" cy="7450455"/>
            <wp:effectExtent l="0" t="0" r="8255" b="17145"/>
            <wp:docPr id="71" name="图片 71" descr="签到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签到表"/>
                    <pic:cNvPicPr>
                      <a:picLocks noChangeAspect="1"/>
                    </pic:cNvPicPr>
                  </pic:nvPicPr>
                  <pic:blipFill>
                    <a:blip r:embed="rId83"/>
                    <a:stretch>
                      <a:fillRect/>
                    </a:stretch>
                  </pic:blipFill>
                  <pic:spPr>
                    <a:xfrm>
                      <a:off x="0" y="0"/>
                      <a:ext cx="5268595" cy="7450455"/>
                    </a:xfrm>
                    <a:prstGeom prst="rect">
                      <a:avLst/>
                    </a:prstGeom>
                  </pic:spPr>
                </pic:pic>
              </a:graphicData>
            </a:graphic>
          </wp:inline>
        </w:drawing>
      </w:r>
    </w:p>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Narrow">
    <w:panose1 w:val="020B0606020202030204"/>
    <w:charset w:val="00"/>
    <w:family w:val="swiss"/>
    <w:pitch w:val="default"/>
    <w:sig w:usb0="00000287" w:usb1="00000800" w:usb2="00000000" w:usb3="00000000" w:csb0="2000009F" w:csb1="DFD70000"/>
  </w:font>
  <w:font w:name="新宋体-18030">
    <w:altName w:val="宋体"/>
    <w:panose1 w:val="00000000000000000000"/>
    <w:charset w:val="00"/>
    <w:family w:val="auto"/>
    <w:pitch w:val="default"/>
    <w:sig w:usb0="00000000" w:usb1="00000000" w:usb2="00000000" w:usb3="00000000" w:csb0="00040001" w:csb1="00000000"/>
  </w:font>
  <w:font w:name="Verdana">
    <w:panose1 w:val="020B0604030504040204"/>
    <w:charset w:val="00"/>
    <w:family w:val="swiss"/>
    <w:pitch w:val="default"/>
    <w:sig w:usb0="A00006FF" w:usb1="4000205B" w:usb2="00000010" w:usb3="00000000" w:csb0="2000019F" w:csb1="00000000"/>
  </w:font>
  <w:font w:name="仿宋_GB2312">
    <w:panose1 w:val="02010609030101010101"/>
    <w:charset w:val="86"/>
    <w:family w:val="modern"/>
    <w:pitch w:val="default"/>
    <w:sig w:usb0="00000001" w:usb1="080E0000" w:usb2="00000000" w:usb3="00000000" w:csb0="00040000" w:csb1="00000000"/>
  </w:font>
  <w:font w:name="方正小标宋_GBK">
    <w:altName w:val="微软雅黑"/>
    <w:panose1 w:val="03000509000000000000"/>
    <w:charset w:val="86"/>
    <w:family w:val="script"/>
    <w:pitch w:val="default"/>
    <w:sig w:usb0="00000000" w:usb1="00000000" w:usb2="00000010" w:usb3="00000000" w:csb0="00040000" w:csb1="00000000"/>
  </w:font>
  <w:font w:name="楷体_GB2312">
    <w:altName w:val="楷体"/>
    <w:panose1 w:val="02010609030101010101"/>
    <w:charset w:val="86"/>
    <w:family w:val="modern"/>
    <w:pitch w:val="default"/>
    <w:sig w:usb0="00000000" w:usb1="00000000" w:usb2="00000010" w:usb3="00000000" w:csb0="00040000" w:csb1="00000000"/>
  </w:font>
  <w:font w:name="华文仿宋">
    <w:panose1 w:val="02010600040101010101"/>
    <w:charset w:val="86"/>
    <w:family w:val="auto"/>
    <w:pitch w:val="default"/>
    <w:sig w:usb0="00000287" w:usb1="080F0000" w:usb2="00000000" w:usb3="00000000" w:csb0="0004009F" w:csb1="DFD70000"/>
  </w:font>
  <w:font w:name="仿宋">
    <w:panose1 w:val="02010609060101010101"/>
    <w:charset w:val="86"/>
    <w:family w:val="auto"/>
    <w:pitch w:val="default"/>
    <w:sig w:usb0="800002BF" w:usb1="38CF7CFA" w:usb2="00000016" w:usb3="00000000" w:csb0="00040001" w:csb1="00000000"/>
  </w:font>
  <w:font w:name="Helvetica">
    <w:altName w:val="Arial"/>
    <w:panose1 w:val="00000000000000000000"/>
    <w:charset w:val="00"/>
    <w:family w:val="auto"/>
    <w:pitch w:val="default"/>
    <w:sig w:usb0="00000000" w:usb1="00000000" w:usb2="00000000" w:usb3="00000000" w:csb0="00000000" w:csb1="00000000"/>
  </w:font>
  <w:font w:name="微软雅黑">
    <w:panose1 w:val="020B0503020204020204"/>
    <w:charset w:val="86"/>
    <w:family w:val="auto"/>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 w:name="Arial">
    <w:panose1 w:val="020B0604020202020204"/>
    <w:charset w:val="00"/>
    <w:family w:val="auto"/>
    <w:pitch w:val="default"/>
    <w:sig w:usb0="E0002EFF" w:usb1="C000785B" w:usb2="00000009" w:usb3="00000000" w:csb0="400001FF" w:csb1="FFFF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framePr w:wrap="around" w:vAnchor="text" w:hAnchor="margin" w:xAlign="outside" w:y="1"/>
      <w:rPr>
        <w:rStyle w:val="20"/>
        <w:rFonts w:ascii="宋体" w:hAnsi="宋体"/>
        <w:sz w:val="28"/>
        <w:szCs w:val="28"/>
      </w:rPr>
    </w:pPr>
  </w:p>
  <w:p>
    <w:pPr>
      <w:pStyle w:val="12"/>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framePr w:wrap="around" w:vAnchor="text" w:hAnchor="margin" w:xAlign="center" w:y="1"/>
      <w:rPr>
        <w:rStyle w:val="20"/>
      </w:rPr>
    </w:pPr>
    <w:r>
      <w:fldChar w:fldCharType="begin"/>
    </w:r>
    <w:r>
      <w:rPr>
        <w:rStyle w:val="20"/>
      </w:rPr>
      <w:instrText xml:space="preserve">PAGE  </w:instrText>
    </w:r>
    <w:r>
      <w:fldChar w:fldCharType="end"/>
    </w:r>
  </w:p>
  <w:p>
    <w:pPr>
      <w:pStyle w:val="12"/>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right="360"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right="360"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right="360"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framePr w:wrap="around" w:vAnchor="text" w:hAnchor="margin" w:xAlign="outside" w:y="1"/>
      <w:rPr>
        <w:rStyle w:val="20"/>
        <w:rFonts w:ascii="宋体" w:hAnsi="宋体"/>
        <w:sz w:val="28"/>
        <w:szCs w:val="28"/>
      </w:rPr>
    </w:pPr>
    <w:r>
      <w:rPr>
        <w:rStyle w:val="20"/>
        <w:rFonts w:hint="eastAsia" w:ascii="宋体" w:hAnsi="宋体"/>
        <w:sz w:val="28"/>
        <w:szCs w:val="28"/>
      </w:rPr>
      <w:t>—</w:t>
    </w:r>
    <w:r>
      <w:rPr>
        <w:rStyle w:val="20"/>
        <w:rFonts w:hint="eastAsia" w:ascii="宋体" w:hAnsi="宋体"/>
        <w:sz w:val="20"/>
      </w:rPr>
      <w:t xml:space="preserve">  </w:t>
    </w:r>
    <w:r>
      <w:rPr>
        <w:rStyle w:val="20"/>
        <w:rFonts w:ascii="宋体" w:hAnsi="宋体"/>
        <w:sz w:val="26"/>
        <w:szCs w:val="26"/>
      </w:rPr>
      <w:fldChar w:fldCharType="begin"/>
    </w:r>
    <w:r>
      <w:rPr>
        <w:rStyle w:val="20"/>
        <w:rFonts w:ascii="宋体" w:hAnsi="宋体"/>
        <w:sz w:val="26"/>
        <w:szCs w:val="26"/>
      </w:rPr>
      <w:instrText xml:space="preserve">PAGE  </w:instrText>
    </w:r>
    <w:r>
      <w:rPr>
        <w:rStyle w:val="20"/>
        <w:rFonts w:ascii="宋体" w:hAnsi="宋体"/>
        <w:sz w:val="26"/>
        <w:szCs w:val="26"/>
      </w:rPr>
      <w:fldChar w:fldCharType="separate"/>
    </w:r>
    <w:r>
      <w:rPr>
        <w:rStyle w:val="20"/>
        <w:rFonts w:ascii="宋体" w:hAnsi="宋体"/>
        <w:sz w:val="26"/>
        <w:szCs w:val="26"/>
      </w:rPr>
      <w:t>9</w:t>
    </w:r>
    <w:r>
      <w:rPr>
        <w:rStyle w:val="20"/>
        <w:rFonts w:ascii="宋体" w:hAnsi="宋体"/>
        <w:sz w:val="26"/>
        <w:szCs w:val="26"/>
      </w:rPr>
      <w:fldChar w:fldCharType="end"/>
    </w:r>
    <w:r>
      <w:rPr>
        <w:rStyle w:val="20"/>
        <w:rFonts w:hint="eastAsia" w:ascii="宋体" w:hAnsi="宋体"/>
        <w:sz w:val="20"/>
      </w:rPr>
      <w:t xml:space="preserve">  </w:t>
    </w:r>
    <w:r>
      <w:rPr>
        <w:rStyle w:val="20"/>
        <w:rFonts w:hint="eastAsia" w:ascii="宋体" w:hAnsi="宋体"/>
        <w:sz w:val="28"/>
        <w:szCs w:val="28"/>
      </w:rPr>
      <w:t>—</w:t>
    </w:r>
  </w:p>
  <w:p>
    <w:pPr>
      <w:pStyle w:val="12"/>
      <w:ind w:right="360" w:firstLine="360"/>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framePr w:wrap="around" w:vAnchor="text" w:hAnchor="margin" w:xAlign="center" w:y="1"/>
      <w:rPr>
        <w:rStyle w:val="20"/>
        <w:rFonts w:ascii="宋体" w:hAnsi="宋体"/>
        <w:sz w:val="28"/>
        <w:szCs w:val="28"/>
      </w:rPr>
    </w:pPr>
    <w:r>
      <w:rPr>
        <w:rStyle w:val="20"/>
        <w:rFonts w:hint="eastAsia" w:ascii="宋体" w:hAnsi="宋体"/>
        <w:sz w:val="28"/>
        <w:szCs w:val="28"/>
      </w:rPr>
      <w:t>—</w:t>
    </w:r>
    <w:r>
      <w:rPr>
        <w:rStyle w:val="20"/>
        <w:rFonts w:hint="eastAsia" w:ascii="宋体" w:hAnsi="宋体"/>
        <w:sz w:val="20"/>
      </w:rPr>
      <w:t xml:space="preserve">  </w:t>
    </w:r>
    <w:r>
      <w:rPr>
        <w:rStyle w:val="20"/>
        <w:rFonts w:ascii="宋体" w:hAnsi="宋体"/>
        <w:sz w:val="26"/>
        <w:szCs w:val="26"/>
      </w:rPr>
      <w:fldChar w:fldCharType="begin"/>
    </w:r>
    <w:r>
      <w:rPr>
        <w:rStyle w:val="20"/>
        <w:rFonts w:ascii="宋体" w:hAnsi="宋体"/>
        <w:sz w:val="26"/>
        <w:szCs w:val="26"/>
      </w:rPr>
      <w:instrText xml:space="preserve">PAGE  </w:instrText>
    </w:r>
    <w:r>
      <w:rPr>
        <w:rStyle w:val="20"/>
        <w:rFonts w:ascii="宋体" w:hAnsi="宋体"/>
        <w:sz w:val="26"/>
        <w:szCs w:val="26"/>
      </w:rPr>
      <w:fldChar w:fldCharType="separate"/>
    </w:r>
    <w:r>
      <w:rPr>
        <w:rStyle w:val="20"/>
        <w:rFonts w:ascii="宋体" w:hAnsi="宋体"/>
        <w:sz w:val="26"/>
        <w:szCs w:val="26"/>
      </w:rPr>
      <w:t>10</w:t>
    </w:r>
    <w:r>
      <w:rPr>
        <w:rStyle w:val="20"/>
        <w:rFonts w:ascii="宋体" w:hAnsi="宋体"/>
        <w:sz w:val="26"/>
        <w:szCs w:val="26"/>
      </w:rPr>
      <w:fldChar w:fldCharType="end"/>
    </w:r>
    <w:r>
      <w:rPr>
        <w:rStyle w:val="20"/>
        <w:rFonts w:hint="eastAsia" w:ascii="宋体" w:hAnsi="宋体"/>
        <w:sz w:val="20"/>
      </w:rPr>
      <w:t xml:space="preserve">  </w:t>
    </w:r>
    <w:r>
      <w:rPr>
        <w:rStyle w:val="20"/>
        <w:rFonts w:hint="eastAsia" w:ascii="宋体" w:hAnsi="宋体"/>
        <w:sz w:val="28"/>
        <w:szCs w:val="28"/>
      </w:rPr>
      <w:t>—</w:t>
    </w:r>
  </w:p>
  <w:p>
    <w:pPr>
      <w:pStyle w:val="12"/>
      <w:ind w:right="360" w:firstLine="360"/>
      <w:jc w:val="cen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9D0F0E3"/>
    <w:multiLevelType w:val="singleLevel"/>
    <w:tmpl w:val="F9D0F0E3"/>
    <w:lvl w:ilvl="0" w:tentative="0">
      <w:start w:val="1"/>
      <w:numFmt w:val="decimal"/>
      <w:suff w:val="nothing"/>
      <w:lvlText w:val="(%1）"/>
      <w:lvlJc w:val="left"/>
      <w:pPr>
        <w:ind w:left="150"/>
      </w:pPr>
    </w:lvl>
  </w:abstractNum>
  <w:abstractNum w:abstractNumId="1">
    <w:nsid w:val="FC801096"/>
    <w:multiLevelType w:val="singleLevel"/>
    <w:tmpl w:val="FC801096"/>
    <w:lvl w:ilvl="0" w:tentative="0">
      <w:start w:val="4"/>
      <w:numFmt w:val="decimal"/>
      <w:lvlText w:val="(%1)"/>
      <w:lvlJc w:val="left"/>
      <w:pPr>
        <w:tabs>
          <w:tab w:val="left" w:pos="312"/>
        </w:tabs>
      </w:pPr>
    </w:lvl>
  </w:abstractNum>
  <w:abstractNum w:abstractNumId="2">
    <w:nsid w:val="FE3B02B6"/>
    <w:multiLevelType w:val="singleLevel"/>
    <w:tmpl w:val="FE3B02B6"/>
    <w:lvl w:ilvl="0" w:tentative="0">
      <w:start w:val="1"/>
      <w:numFmt w:val="decimal"/>
      <w:suff w:val="nothing"/>
      <w:lvlText w:val="%1、"/>
      <w:lvlJc w:val="left"/>
    </w:lvl>
  </w:abstractNum>
  <w:abstractNum w:abstractNumId="3">
    <w:nsid w:val="00000006"/>
    <w:multiLevelType w:val="multilevel"/>
    <w:tmpl w:val="00000006"/>
    <w:lvl w:ilvl="0" w:tentative="0">
      <w:start w:val="3"/>
      <w:numFmt w:val="decimal"/>
      <w:suff w:val="nothing"/>
      <w:lvlText w:val="%1、"/>
      <w:lvlJc w:val="left"/>
    </w:lvl>
    <w:lvl w:ilvl="1" w:tentative="0">
      <w:start w:val="1"/>
      <w:numFmt w:val="lowerLetter"/>
      <w:lvlText w:val="%2)"/>
      <w:lvlJc w:val="left"/>
      <w:pPr>
        <w:tabs>
          <w:tab w:val="left" w:pos="840"/>
        </w:tabs>
        <w:ind w:left="840" w:hanging="420"/>
      </w:pPr>
    </w:lvl>
    <w:lvl w:ilvl="2" w:tentative="0">
      <w:start w:val="1"/>
      <w:numFmt w:val="lowerRoman"/>
      <w:pStyle w:val="44"/>
      <w:lvlText w:val="%3."/>
      <w:lvlJc w:val="right"/>
      <w:pPr>
        <w:tabs>
          <w:tab w:val="left" w:pos="1260"/>
        </w:tabs>
        <w:ind w:left="1260" w:hanging="420"/>
      </w:pPr>
    </w:lvl>
    <w:lvl w:ilvl="3" w:tentative="0">
      <w:start w:val="1"/>
      <w:numFmt w:val="decimal"/>
      <w:pStyle w:val="43"/>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4">
    <w:nsid w:val="4A1131F1"/>
    <w:multiLevelType w:val="singleLevel"/>
    <w:tmpl w:val="4A1131F1"/>
    <w:lvl w:ilvl="0" w:tentative="0">
      <w:start w:val="1"/>
      <w:numFmt w:val="decimal"/>
      <w:suff w:val="nothing"/>
      <w:lvlText w:val="（%1）"/>
      <w:lvlJc w:val="left"/>
    </w:lvl>
  </w:abstractNum>
  <w:abstractNum w:abstractNumId="5">
    <w:nsid w:val="6BE6A05C"/>
    <w:multiLevelType w:val="singleLevel"/>
    <w:tmpl w:val="6BE6A05C"/>
    <w:lvl w:ilvl="0" w:tentative="0">
      <w:start w:val="1"/>
      <w:numFmt w:val="chineseCounting"/>
      <w:suff w:val="nothing"/>
      <w:lvlText w:val="%1、"/>
      <w:lvlJc w:val="left"/>
      <w:rPr>
        <w:rFonts w:hint="eastAsia"/>
      </w:rPr>
    </w:lvl>
  </w:abstractNum>
  <w:num w:numId="1">
    <w:abstractNumId w:val="3"/>
  </w:num>
  <w:num w:numId="2">
    <w:abstractNumId w:val="5"/>
  </w:num>
  <w:num w:numId="3">
    <w:abstractNumId w:val="4"/>
  </w:num>
  <w:num w:numId="4">
    <w:abstractNumId w:val="0"/>
  </w:num>
  <w:num w:numId="5">
    <w:abstractNumId w:val="1"/>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483961BA"/>
    <w:rsid w:val="09D42316"/>
    <w:rsid w:val="0D1F7EFA"/>
    <w:rsid w:val="118870AD"/>
    <w:rsid w:val="11A53EC4"/>
    <w:rsid w:val="16B073DE"/>
    <w:rsid w:val="1E7411D1"/>
    <w:rsid w:val="29705916"/>
    <w:rsid w:val="2A776004"/>
    <w:rsid w:val="2AE84D5C"/>
    <w:rsid w:val="2EFB3637"/>
    <w:rsid w:val="304B1D9F"/>
    <w:rsid w:val="335B17CB"/>
    <w:rsid w:val="44B84E9B"/>
    <w:rsid w:val="45261862"/>
    <w:rsid w:val="4A6109DB"/>
    <w:rsid w:val="4ACC452B"/>
    <w:rsid w:val="4D0925EF"/>
    <w:rsid w:val="4EC8040A"/>
    <w:rsid w:val="5BDE758E"/>
    <w:rsid w:val="5E0F1087"/>
    <w:rsid w:val="5FDC056E"/>
    <w:rsid w:val="616B4BC3"/>
    <w:rsid w:val="6859633C"/>
    <w:rsid w:val="68F70074"/>
    <w:rsid w:val="6E4830C2"/>
    <w:rsid w:val="70846561"/>
    <w:rsid w:val="72750150"/>
    <w:rsid w:val="74326733"/>
    <w:rsid w:val="785225B8"/>
    <w:rsid w:val="7C072737"/>
    <w:rsid w:val="7DD864C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iPriority="99"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2"/>
    <w:basedOn w:val="1"/>
    <w:next w:val="1"/>
    <w:qFormat/>
    <w:uiPriority w:val="0"/>
    <w:pPr>
      <w:keepNext/>
      <w:keepLines/>
      <w:tabs>
        <w:tab w:val="left" w:pos="630"/>
      </w:tabs>
      <w:spacing w:before="260" w:after="120" w:line="360" w:lineRule="auto"/>
      <w:ind w:left="936" w:hanging="576"/>
      <w:outlineLvl w:val="1"/>
    </w:pPr>
    <w:rPr>
      <w:b/>
      <w:sz w:val="32"/>
    </w:rPr>
  </w:style>
  <w:style w:type="paragraph" w:styleId="5">
    <w:name w:val="heading 4"/>
    <w:basedOn w:val="1"/>
    <w:next w:val="1"/>
    <w:qFormat/>
    <w:uiPriority w:val="0"/>
    <w:pPr>
      <w:keepNext/>
      <w:keepLines/>
      <w:spacing w:before="280" w:after="290" w:line="376" w:lineRule="auto"/>
      <w:outlineLvl w:val="3"/>
    </w:pPr>
    <w:rPr>
      <w:rFonts w:ascii="Arial" w:hAnsi="Arial" w:eastAsia="黑体"/>
      <w:b/>
      <w:bCs/>
      <w:sz w:val="28"/>
      <w:szCs w:val="28"/>
    </w:rPr>
  </w:style>
  <w:style w:type="character" w:default="1" w:styleId="19">
    <w:name w:val="Default Paragraph Font"/>
    <w:semiHidden/>
    <w:qFormat/>
    <w:uiPriority w:val="0"/>
  </w:style>
  <w:style w:type="table" w:default="1" w:styleId="17">
    <w:name w:val="Normal Table"/>
    <w:semiHidden/>
    <w:qFormat/>
    <w:uiPriority w:val="0"/>
    <w:tblPr>
      <w:tblCellMar>
        <w:top w:w="0" w:type="dxa"/>
        <w:left w:w="108" w:type="dxa"/>
        <w:bottom w:w="0" w:type="dxa"/>
        <w:right w:w="108" w:type="dxa"/>
      </w:tblCellMar>
    </w:tblPr>
  </w:style>
  <w:style w:type="paragraph" w:customStyle="1" w:styleId="2">
    <w:name w:val="Default"/>
    <w:basedOn w:val="3"/>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3">
    <w:name w:val="！正文 Alt+0"/>
    <w:basedOn w:val="1"/>
    <w:qFormat/>
    <w:uiPriority w:val="0"/>
    <w:pPr>
      <w:spacing w:line="360" w:lineRule="auto"/>
      <w:ind w:firstLine="200" w:firstLineChars="200"/>
    </w:pPr>
    <w:rPr>
      <w:rFonts w:ascii="Times New Roman" w:hAnsi="Times New Roman"/>
      <w:sz w:val="28"/>
      <w:szCs w:val="28"/>
    </w:rPr>
  </w:style>
  <w:style w:type="paragraph" w:styleId="6">
    <w:name w:val="Normal Indent"/>
    <w:basedOn w:val="1"/>
    <w:qFormat/>
    <w:uiPriority w:val="0"/>
    <w:pPr>
      <w:spacing w:after="120" w:line="400" w:lineRule="exact"/>
      <w:ind w:firstLine="480" w:firstLineChars="200"/>
    </w:pPr>
    <w:rPr>
      <w:sz w:val="24"/>
      <w:szCs w:val="20"/>
    </w:rPr>
  </w:style>
  <w:style w:type="paragraph" w:styleId="7">
    <w:name w:val="caption"/>
    <w:basedOn w:val="1"/>
    <w:next w:val="1"/>
    <w:qFormat/>
    <w:uiPriority w:val="0"/>
    <w:pPr>
      <w:jc w:val="center"/>
    </w:pPr>
    <w:rPr>
      <w:rFonts w:ascii="Arial Narrow" w:hAnsi="Arial Narrow"/>
      <w:b/>
      <w:sz w:val="24"/>
      <w:szCs w:val="20"/>
    </w:rPr>
  </w:style>
  <w:style w:type="paragraph" w:styleId="8">
    <w:name w:val="annotation text"/>
    <w:basedOn w:val="1"/>
    <w:uiPriority w:val="0"/>
    <w:pPr>
      <w:jc w:val="left"/>
    </w:pPr>
  </w:style>
  <w:style w:type="paragraph" w:styleId="9">
    <w:name w:val="Body Text"/>
    <w:basedOn w:val="1"/>
    <w:next w:val="1"/>
    <w:unhideWhenUsed/>
    <w:qFormat/>
    <w:uiPriority w:val="99"/>
    <w:pPr>
      <w:spacing w:line="500" w:lineRule="exact"/>
      <w:ind w:firstLine="880" w:firstLineChars="200"/>
    </w:pPr>
    <w:rPr>
      <w:rFonts w:ascii="宋体" w:hAnsi="宋体"/>
      <w:sz w:val="24"/>
    </w:rPr>
  </w:style>
  <w:style w:type="paragraph" w:styleId="10">
    <w:name w:val="Body Text Indent"/>
    <w:basedOn w:val="1"/>
    <w:next w:val="11"/>
    <w:qFormat/>
    <w:uiPriority w:val="0"/>
    <w:pPr>
      <w:spacing w:after="120"/>
      <w:ind w:left="420" w:leftChars="200"/>
    </w:pPr>
    <w:rPr>
      <w:kern w:val="0"/>
      <w:sz w:val="24"/>
      <w:szCs w:val="20"/>
    </w:rPr>
  </w:style>
  <w:style w:type="paragraph" w:customStyle="1" w:styleId="11">
    <w:name w:val="样式 正文文本缩进 + 行距: 1.5 倍行距"/>
    <w:basedOn w:val="10"/>
    <w:qFormat/>
    <w:uiPriority w:val="0"/>
    <w:pPr>
      <w:spacing w:before="0" w:after="120"/>
      <w:ind w:left="90" w:leftChars="32" w:firstLine="560" w:firstLineChars="200"/>
    </w:pPr>
    <w:rPr>
      <w:rFonts w:ascii="Times New Roman" w:cs="宋体"/>
    </w:rPr>
  </w:style>
  <w:style w:type="paragraph" w:styleId="12">
    <w:name w:val="footer"/>
    <w:basedOn w:val="1"/>
    <w:qFormat/>
    <w:uiPriority w:val="99"/>
    <w:pPr>
      <w:tabs>
        <w:tab w:val="center" w:pos="4153"/>
        <w:tab w:val="right" w:pos="8306"/>
      </w:tabs>
      <w:snapToGrid w:val="0"/>
      <w:jc w:val="left"/>
    </w:pPr>
    <w:rPr>
      <w:kern w:val="0"/>
      <w:sz w:val="18"/>
      <w:szCs w:val="20"/>
    </w:rPr>
  </w:style>
  <w:style w:type="paragraph" w:styleId="13">
    <w:name w:val="toc 1"/>
    <w:basedOn w:val="1"/>
    <w:next w:val="1"/>
    <w:qFormat/>
    <w:uiPriority w:val="0"/>
  </w:style>
  <w:style w:type="paragraph" w:styleId="14">
    <w:name w:val="Normal (Web)"/>
    <w:basedOn w:val="1"/>
    <w:qFormat/>
    <w:uiPriority w:val="0"/>
    <w:pPr>
      <w:widowControl/>
      <w:spacing w:before="100" w:beforeAutospacing="1" w:after="100" w:afterAutospacing="1"/>
      <w:jc w:val="left"/>
    </w:pPr>
    <w:rPr>
      <w:rFonts w:ascii="宋体" w:hAnsi="宋体"/>
      <w:kern w:val="0"/>
      <w:sz w:val="24"/>
      <w:szCs w:val="20"/>
    </w:rPr>
  </w:style>
  <w:style w:type="paragraph" w:styleId="15">
    <w:name w:val="Body Text First Indent"/>
    <w:basedOn w:val="9"/>
    <w:next w:val="1"/>
    <w:qFormat/>
    <w:uiPriority w:val="0"/>
    <w:pPr>
      <w:spacing w:after="120" w:line="240" w:lineRule="auto"/>
      <w:ind w:firstLine="420" w:firstLineChars="100"/>
    </w:pPr>
    <w:rPr>
      <w:sz w:val="21"/>
    </w:rPr>
  </w:style>
  <w:style w:type="paragraph" w:styleId="16">
    <w:name w:val="Body Text First Indent 2"/>
    <w:basedOn w:val="10"/>
    <w:next w:val="1"/>
    <w:unhideWhenUsed/>
    <w:qFormat/>
    <w:uiPriority w:val="0"/>
    <w:pPr>
      <w:spacing w:after="120" w:line="360" w:lineRule="auto"/>
      <w:ind w:firstLine="420"/>
    </w:pPr>
  </w:style>
  <w:style w:type="table" w:styleId="18">
    <w:name w:val="Table Grid"/>
    <w:basedOn w:val="1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0">
    <w:name w:val="page number"/>
    <w:basedOn w:val="19"/>
    <w:qFormat/>
    <w:uiPriority w:val="0"/>
  </w:style>
  <w:style w:type="character" w:styleId="21">
    <w:name w:val="Hyperlink"/>
    <w:basedOn w:val="19"/>
    <w:qFormat/>
    <w:uiPriority w:val="0"/>
    <w:rPr>
      <w:color w:val="0000FF"/>
      <w:u w:val="single"/>
    </w:rPr>
  </w:style>
  <w:style w:type="character" w:styleId="22">
    <w:name w:val="annotation reference"/>
    <w:basedOn w:val="19"/>
    <w:semiHidden/>
    <w:qFormat/>
    <w:uiPriority w:val="0"/>
    <w:rPr>
      <w:sz w:val="21"/>
    </w:rPr>
  </w:style>
  <w:style w:type="paragraph" w:customStyle="1" w:styleId="23">
    <w:name w:val="xl27"/>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新宋体-18030" w:hAnsi="新宋体-18030" w:eastAsia="新宋体-18030" w:cs="新宋体-18030"/>
      <w:kern w:val="0"/>
      <w:sz w:val="24"/>
    </w:rPr>
  </w:style>
  <w:style w:type="paragraph" w:customStyle="1" w:styleId="24">
    <w:name w:val="表字体"/>
    <w:basedOn w:val="1"/>
    <w:next w:val="1"/>
    <w:qFormat/>
    <w:uiPriority w:val="0"/>
    <w:pPr>
      <w:jc w:val="center"/>
    </w:pPr>
    <w:rPr>
      <w:rFonts w:ascii="Times New Roman" w:hAnsi="Times New Roman" w:eastAsia="宋体"/>
    </w:rPr>
  </w:style>
  <w:style w:type="paragraph" w:customStyle="1" w:styleId="25">
    <w:name w:val="ctrl+~  正文"/>
    <w:basedOn w:val="1"/>
    <w:qFormat/>
    <w:uiPriority w:val="0"/>
    <w:pPr>
      <w:spacing w:line="480" w:lineRule="exact"/>
      <w:ind w:firstLine="480" w:firstLineChars="200"/>
    </w:pPr>
    <w:rPr>
      <w:rFonts w:eastAsia="Times New Roman"/>
      <w:sz w:val="24"/>
      <w:szCs w:val="20"/>
    </w:rPr>
  </w:style>
  <w:style w:type="paragraph" w:customStyle="1" w:styleId="26">
    <w:name w:val="样式 (符号) 宋体 小四 行距: 1.5 倍行距"/>
    <w:basedOn w:val="1"/>
    <w:qFormat/>
    <w:uiPriority w:val="0"/>
    <w:pPr>
      <w:spacing w:line="360" w:lineRule="auto"/>
      <w:ind w:firstLine="480" w:firstLineChars="200"/>
    </w:pPr>
    <w:rPr>
      <w:rFonts w:ascii="Calibri" w:hAnsi="宋体" w:cs="宋体"/>
      <w:sz w:val="24"/>
      <w:szCs w:val="21"/>
    </w:rPr>
  </w:style>
  <w:style w:type="paragraph" w:customStyle="1" w:styleId="27">
    <w:name w:val="表格题注"/>
    <w:qFormat/>
    <w:uiPriority w:val="0"/>
    <w:pPr>
      <w:jc w:val="center"/>
    </w:pPr>
    <w:rPr>
      <w:rFonts w:ascii="Calibri" w:hAnsi="Calibri" w:eastAsia="宋体" w:cs="Times New Roman"/>
      <w:b/>
      <w:sz w:val="21"/>
      <w:szCs w:val="22"/>
      <w:lang w:val="en-US" w:eastAsia="zh-CN" w:bidi="ar-SA"/>
    </w:rPr>
  </w:style>
  <w:style w:type="paragraph" w:customStyle="1" w:styleId="28">
    <w:name w:val="表格文字"/>
    <w:basedOn w:val="14"/>
    <w:next w:val="6"/>
    <w:qFormat/>
    <w:uiPriority w:val="0"/>
    <w:pPr>
      <w:widowControl w:val="0"/>
      <w:snapToGrid w:val="0"/>
      <w:spacing w:before="0" w:beforeAutospacing="0" w:after="120" w:afterAutospacing="0"/>
      <w:ind w:firstLine="420" w:firstLineChars="100"/>
      <w:jc w:val="center"/>
      <w:textAlignment w:val="center"/>
    </w:pPr>
    <w:rPr>
      <w:rFonts w:ascii="Calibri" w:hAnsi="Calibri"/>
      <w:kern w:val="2"/>
      <w:sz w:val="21"/>
      <w:szCs w:val="18"/>
    </w:rPr>
  </w:style>
  <w:style w:type="paragraph" w:customStyle="1" w:styleId="29">
    <w:name w:val="报告书正文"/>
    <w:basedOn w:val="1"/>
    <w:qFormat/>
    <w:uiPriority w:val="0"/>
    <w:pPr>
      <w:spacing w:line="300" w:lineRule="auto"/>
      <w:ind w:firstLine="200" w:firstLineChars="200"/>
    </w:pPr>
    <w:rPr>
      <w:sz w:val="24"/>
      <w:szCs w:val="20"/>
    </w:rPr>
  </w:style>
  <w:style w:type="paragraph" w:customStyle="1" w:styleId="30">
    <w:name w:val="表格"/>
    <w:basedOn w:val="31"/>
    <w:next w:val="1"/>
    <w:qFormat/>
    <w:uiPriority w:val="0"/>
    <w:pPr>
      <w:tabs>
        <w:tab w:val="left" w:pos="2700"/>
        <w:tab w:val="left" w:pos="6300"/>
      </w:tabs>
      <w:adjustRightInd w:val="0"/>
      <w:snapToGrid w:val="0"/>
      <w:spacing w:beforeLines="10" w:afterLines="10" w:line="259" w:lineRule="auto"/>
      <w:jc w:val="center"/>
    </w:pPr>
    <w:rPr>
      <w:rFonts w:ascii="宋体"/>
      <w:kern w:val="0"/>
      <w:szCs w:val="20"/>
    </w:rPr>
  </w:style>
  <w:style w:type="paragraph" w:customStyle="1" w:styleId="31">
    <w:name w:val="表头"/>
    <w:basedOn w:val="15"/>
    <w:qFormat/>
    <w:uiPriority w:val="0"/>
    <w:pPr>
      <w:tabs>
        <w:tab w:val="left" w:pos="2700"/>
        <w:tab w:val="left" w:pos="6300"/>
      </w:tabs>
      <w:spacing w:after="93" w:afterLines="30" w:line="500" w:lineRule="exact"/>
      <w:jc w:val="center"/>
    </w:pPr>
    <w:rPr>
      <w:rFonts w:ascii="黑体" w:eastAsia="黑体"/>
    </w:rPr>
  </w:style>
  <w:style w:type="paragraph" w:customStyle="1" w:styleId="32">
    <w:name w:val="列出段落"/>
    <w:basedOn w:val="1"/>
    <w:qFormat/>
    <w:uiPriority w:val="34"/>
    <w:pPr>
      <w:ind w:firstLine="420" w:firstLineChars="200"/>
    </w:pPr>
  </w:style>
  <w:style w:type="paragraph" w:customStyle="1" w:styleId="33">
    <w:name w:val=" Char Char Char1 Char Char Char Char"/>
    <w:basedOn w:val="1"/>
    <w:qFormat/>
    <w:uiPriority w:val="0"/>
    <w:pPr>
      <w:widowControl/>
      <w:spacing w:after="160" w:line="240" w:lineRule="exact"/>
      <w:jc w:val="left"/>
    </w:pPr>
    <w:rPr>
      <w:rFonts w:ascii="Verdana" w:hAnsi="Verdana"/>
      <w:kern w:val="0"/>
      <w:sz w:val="24"/>
      <w:lang w:eastAsia="en-US"/>
    </w:rPr>
  </w:style>
  <w:style w:type="paragraph" w:customStyle="1" w:styleId="34">
    <w:name w:val="样式 正文缩进正文（首行缩进两字） + 宋体 行距: 1.5 倍行距"/>
    <w:basedOn w:val="6"/>
    <w:qFormat/>
    <w:uiPriority w:val="0"/>
    <w:pPr>
      <w:adjustRightInd w:val="0"/>
      <w:spacing w:line="300" w:lineRule="auto"/>
      <w:ind w:firstLine="482"/>
      <w:jc w:val="left"/>
      <w:textAlignment w:val="baseline"/>
    </w:pPr>
    <w:rPr>
      <w:rFonts w:ascii="宋体" w:hAnsi="宋体"/>
      <w:sz w:val="24"/>
    </w:rPr>
  </w:style>
  <w:style w:type="paragraph" w:customStyle="1" w:styleId="35">
    <w:name w:val="5文章(治)"/>
    <w:basedOn w:val="1"/>
    <w:qFormat/>
    <w:uiPriority w:val="0"/>
    <w:pPr>
      <w:spacing w:line="500" w:lineRule="exact"/>
      <w:ind w:firstLine="560" w:firstLineChars="200"/>
    </w:pPr>
    <w:rPr>
      <w:rFonts w:hAnsi="宋体"/>
      <w:color w:val="0000FF"/>
      <w:kern w:val="28"/>
    </w:rPr>
  </w:style>
  <w:style w:type="paragraph" w:customStyle="1" w:styleId="36">
    <w:name w:val="Body text|1"/>
    <w:basedOn w:val="1"/>
    <w:qFormat/>
    <w:uiPriority w:val="0"/>
    <w:pPr>
      <w:spacing w:line="406" w:lineRule="auto"/>
      <w:ind w:firstLine="400"/>
    </w:pPr>
    <w:rPr>
      <w:rFonts w:ascii="宋体" w:hAnsi="宋体" w:cs="宋体"/>
      <w:lang w:val="zh-TW" w:eastAsia="zh-TW" w:bidi="zh-TW"/>
    </w:rPr>
  </w:style>
  <w:style w:type="paragraph" w:customStyle="1" w:styleId="37">
    <w:name w:val="Other|1"/>
    <w:basedOn w:val="1"/>
    <w:qFormat/>
    <w:uiPriority w:val="0"/>
    <w:pPr>
      <w:spacing w:line="276" w:lineRule="auto"/>
      <w:ind w:firstLine="400"/>
    </w:pPr>
    <w:rPr>
      <w:rFonts w:ascii="宋体" w:hAnsi="宋体" w:cs="宋体"/>
      <w:lang w:val="zh-TW" w:eastAsia="zh-TW" w:bidi="zh-TW"/>
    </w:rPr>
  </w:style>
  <w:style w:type="paragraph" w:customStyle="1" w:styleId="38">
    <w:name w:val="Body text|3"/>
    <w:basedOn w:val="1"/>
    <w:qFormat/>
    <w:uiPriority w:val="0"/>
    <w:pPr>
      <w:spacing w:line="315" w:lineRule="exact"/>
    </w:pPr>
    <w:rPr>
      <w:rFonts w:ascii="宋体" w:hAnsi="宋体" w:cs="宋体"/>
      <w:sz w:val="20"/>
      <w:lang w:val="zh-TW" w:eastAsia="zh-TW" w:bidi="zh-TW"/>
    </w:rPr>
  </w:style>
  <w:style w:type="paragraph" w:customStyle="1" w:styleId="39">
    <w:name w:val="正  文"/>
    <w:basedOn w:val="1"/>
    <w:next w:val="1"/>
    <w:qFormat/>
    <w:uiPriority w:val="0"/>
    <w:pPr>
      <w:spacing w:line="360" w:lineRule="auto"/>
      <w:ind w:firstLine="560" w:firstLineChars="200"/>
    </w:pPr>
    <w:rPr>
      <w:rFonts w:ascii="宋体" w:hAnsi="宋体" w:cs="仿宋_GB2312"/>
      <w:sz w:val="24"/>
      <w:szCs w:val="28"/>
    </w:rPr>
  </w:style>
  <w:style w:type="paragraph" w:customStyle="1" w:styleId="40">
    <w:name w:val="Heading #3|1"/>
    <w:basedOn w:val="1"/>
    <w:qFormat/>
    <w:uiPriority w:val="0"/>
    <w:pPr>
      <w:spacing w:after="80"/>
      <w:ind w:firstLine="240"/>
      <w:outlineLvl w:val="2"/>
    </w:pPr>
    <w:rPr>
      <w:rFonts w:ascii="宋体" w:hAnsi="宋体" w:cs="宋体"/>
      <w:sz w:val="26"/>
      <w:szCs w:val="26"/>
      <w:lang w:val="zh-TW" w:eastAsia="zh-TW" w:bidi="zh-TW"/>
    </w:rPr>
  </w:style>
  <w:style w:type="paragraph" w:customStyle="1" w:styleId="41">
    <w:name w:val="四级条标题"/>
    <w:basedOn w:val="42"/>
    <w:next w:val="46"/>
    <w:qFormat/>
    <w:uiPriority w:val="0"/>
    <w:pPr>
      <w:tabs>
        <w:tab w:val="left" w:pos="1260"/>
      </w:tabs>
      <w:outlineLvl w:val="5"/>
    </w:pPr>
    <w:rPr>
      <w:szCs w:val="20"/>
    </w:rPr>
  </w:style>
  <w:style w:type="paragraph" w:customStyle="1" w:styleId="42">
    <w:name w:val="三级条标题"/>
    <w:basedOn w:val="43"/>
    <w:next w:val="46"/>
    <w:qFormat/>
    <w:uiPriority w:val="0"/>
    <w:pPr>
      <w:numPr>
        <w:numId w:val="0"/>
      </w:numPr>
      <w:tabs>
        <w:tab w:val="left" w:pos="1260"/>
      </w:tabs>
      <w:outlineLvl w:val="4"/>
    </w:pPr>
  </w:style>
  <w:style w:type="paragraph" w:customStyle="1" w:styleId="43">
    <w:name w:val="二级条标题"/>
    <w:basedOn w:val="44"/>
    <w:next w:val="46"/>
    <w:qFormat/>
    <w:uiPriority w:val="0"/>
    <w:pPr>
      <w:numPr>
        <w:ilvl w:val="3"/>
      </w:numPr>
      <w:tabs>
        <w:tab w:val="left" w:pos="1260"/>
      </w:tabs>
      <w:outlineLvl w:val="3"/>
    </w:pPr>
  </w:style>
  <w:style w:type="paragraph" w:customStyle="1" w:styleId="44">
    <w:name w:val="一级条标题"/>
    <w:basedOn w:val="45"/>
    <w:next w:val="46"/>
    <w:qFormat/>
    <w:uiPriority w:val="0"/>
    <w:pPr>
      <w:numPr>
        <w:ilvl w:val="2"/>
        <w:numId w:val="1"/>
      </w:numPr>
      <w:spacing w:beforeLines="0" w:afterLines="0"/>
      <w:outlineLvl w:val="2"/>
    </w:pPr>
  </w:style>
  <w:style w:type="paragraph" w:customStyle="1" w:styleId="45">
    <w:name w:val="章标题"/>
    <w:next w:val="46"/>
    <w:qFormat/>
    <w:uiPriority w:val="0"/>
    <w:pPr>
      <w:spacing w:beforeLines="50" w:afterLines="50"/>
      <w:jc w:val="both"/>
      <w:outlineLvl w:val="1"/>
    </w:pPr>
    <w:rPr>
      <w:rFonts w:ascii="黑体" w:hAnsi="Calibri" w:eastAsia="黑体" w:cs="Times New Roman"/>
      <w:sz w:val="21"/>
      <w:szCs w:val="22"/>
      <w:lang w:val="en-US" w:eastAsia="zh-CN" w:bidi="ar-SA"/>
    </w:rPr>
  </w:style>
  <w:style w:type="paragraph" w:customStyle="1" w:styleId="46">
    <w:name w:val="段"/>
    <w:qFormat/>
    <w:uiPriority w:val="0"/>
    <w:pPr>
      <w:autoSpaceDE w:val="0"/>
      <w:autoSpaceDN w:val="0"/>
      <w:ind w:firstLine="200" w:firstLineChars="200"/>
      <w:jc w:val="both"/>
    </w:pPr>
    <w:rPr>
      <w:rFonts w:ascii="宋体" w:hAnsi="Calibri" w:eastAsia="宋体" w:cs="Times New Roman"/>
      <w:sz w:val="21"/>
      <w:szCs w:val="22"/>
      <w:lang w:val="en-US" w:eastAsia="zh-CN" w:bidi="ar-SA"/>
    </w:rPr>
  </w:style>
  <w:style w:type="paragraph" w:customStyle="1" w:styleId="47">
    <w:name w:val="表文字"/>
    <w:basedOn w:val="1"/>
    <w:qFormat/>
    <w:uiPriority w:val="0"/>
    <w:pPr>
      <w:jc w:val="center"/>
    </w:pPr>
    <w:rPr>
      <w:kern w:val="10"/>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6" Type="http://schemas.openxmlformats.org/officeDocument/2006/relationships/fontTable" Target="fontTable.xml"/><Relationship Id="rId85" Type="http://schemas.openxmlformats.org/officeDocument/2006/relationships/numbering" Target="numbering.xml"/><Relationship Id="rId84" Type="http://schemas.openxmlformats.org/officeDocument/2006/relationships/customXml" Target="../customXml/item1.xml"/><Relationship Id="rId83" Type="http://schemas.openxmlformats.org/officeDocument/2006/relationships/image" Target="media/image73.jpeg"/><Relationship Id="rId82" Type="http://schemas.openxmlformats.org/officeDocument/2006/relationships/image" Target="media/image72.jpeg"/><Relationship Id="rId81" Type="http://schemas.openxmlformats.org/officeDocument/2006/relationships/image" Target="media/image71.jpeg"/><Relationship Id="rId80" Type="http://schemas.openxmlformats.org/officeDocument/2006/relationships/image" Target="media/image70.jpeg"/><Relationship Id="rId8" Type="http://schemas.openxmlformats.org/officeDocument/2006/relationships/footer" Target="footer6.xml"/><Relationship Id="rId79" Type="http://schemas.openxmlformats.org/officeDocument/2006/relationships/image" Target="media/image69.jpeg"/><Relationship Id="rId78" Type="http://schemas.openxmlformats.org/officeDocument/2006/relationships/image" Target="media/image68.jpeg"/><Relationship Id="rId77" Type="http://schemas.openxmlformats.org/officeDocument/2006/relationships/image" Target="media/image67.jpeg"/><Relationship Id="rId76" Type="http://schemas.openxmlformats.org/officeDocument/2006/relationships/image" Target="media/image66.jpeg"/><Relationship Id="rId75" Type="http://schemas.openxmlformats.org/officeDocument/2006/relationships/image" Target="media/image65.jpeg"/><Relationship Id="rId74" Type="http://schemas.openxmlformats.org/officeDocument/2006/relationships/image" Target="media/image64.jpeg"/><Relationship Id="rId73" Type="http://schemas.openxmlformats.org/officeDocument/2006/relationships/image" Target="media/image63.jpeg"/><Relationship Id="rId72" Type="http://schemas.openxmlformats.org/officeDocument/2006/relationships/image" Target="media/image62.png"/><Relationship Id="rId71" Type="http://schemas.openxmlformats.org/officeDocument/2006/relationships/image" Target="media/image61.jpeg"/><Relationship Id="rId70" Type="http://schemas.openxmlformats.org/officeDocument/2006/relationships/image" Target="media/image60.png"/><Relationship Id="rId7" Type="http://schemas.openxmlformats.org/officeDocument/2006/relationships/footer" Target="footer5.xml"/><Relationship Id="rId69" Type="http://schemas.openxmlformats.org/officeDocument/2006/relationships/image" Target="media/image59.jpeg"/><Relationship Id="rId68" Type="http://schemas.openxmlformats.org/officeDocument/2006/relationships/image" Target="media/image58.jpeg"/><Relationship Id="rId67" Type="http://schemas.openxmlformats.org/officeDocument/2006/relationships/image" Target="media/image57.jpeg"/><Relationship Id="rId66" Type="http://schemas.openxmlformats.org/officeDocument/2006/relationships/image" Target="media/image56.jpeg"/><Relationship Id="rId65" Type="http://schemas.openxmlformats.org/officeDocument/2006/relationships/image" Target="media/image55.jpeg"/><Relationship Id="rId64" Type="http://schemas.openxmlformats.org/officeDocument/2006/relationships/image" Target="media/image54.jpeg"/><Relationship Id="rId63" Type="http://schemas.openxmlformats.org/officeDocument/2006/relationships/image" Target="media/image53.jpeg"/><Relationship Id="rId62" Type="http://schemas.openxmlformats.org/officeDocument/2006/relationships/image" Target="media/image52.jpeg"/><Relationship Id="rId61" Type="http://schemas.openxmlformats.org/officeDocument/2006/relationships/image" Target="media/image51.jpeg"/><Relationship Id="rId60" Type="http://schemas.openxmlformats.org/officeDocument/2006/relationships/image" Target="media/image50.jpeg"/><Relationship Id="rId6" Type="http://schemas.openxmlformats.org/officeDocument/2006/relationships/footer" Target="footer4.xml"/><Relationship Id="rId59" Type="http://schemas.openxmlformats.org/officeDocument/2006/relationships/image" Target="media/image49.jpeg"/><Relationship Id="rId58" Type="http://schemas.openxmlformats.org/officeDocument/2006/relationships/image" Target="media/image48.jpeg"/><Relationship Id="rId57" Type="http://schemas.openxmlformats.org/officeDocument/2006/relationships/image" Target="media/image47.jpeg"/><Relationship Id="rId56" Type="http://schemas.openxmlformats.org/officeDocument/2006/relationships/image" Target="media/image46.jpeg"/><Relationship Id="rId55" Type="http://schemas.openxmlformats.org/officeDocument/2006/relationships/image" Target="media/image45.jpeg"/><Relationship Id="rId54" Type="http://schemas.openxmlformats.org/officeDocument/2006/relationships/image" Target="media/image44.jpeg"/><Relationship Id="rId53" Type="http://schemas.openxmlformats.org/officeDocument/2006/relationships/image" Target="media/image43.jpeg"/><Relationship Id="rId52" Type="http://schemas.openxmlformats.org/officeDocument/2006/relationships/image" Target="media/image42.jpeg"/><Relationship Id="rId51" Type="http://schemas.openxmlformats.org/officeDocument/2006/relationships/image" Target="media/image41.jpeg"/><Relationship Id="rId50" Type="http://schemas.openxmlformats.org/officeDocument/2006/relationships/image" Target="media/image40.jpeg"/><Relationship Id="rId5" Type="http://schemas.openxmlformats.org/officeDocument/2006/relationships/footer" Target="footer3.xml"/><Relationship Id="rId49" Type="http://schemas.openxmlformats.org/officeDocument/2006/relationships/image" Target="media/image39.jpeg"/><Relationship Id="rId48" Type="http://schemas.openxmlformats.org/officeDocument/2006/relationships/image" Target="media/image38.jpeg"/><Relationship Id="rId47" Type="http://schemas.openxmlformats.org/officeDocument/2006/relationships/image" Target="media/image37.jpeg"/><Relationship Id="rId46" Type="http://schemas.openxmlformats.org/officeDocument/2006/relationships/image" Target="media/image36.jpeg"/><Relationship Id="rId45" Type="http://schemas.openxmlformats.org/officeDocument/2006/relationships/image" Target="media/image35.jpeg"/><Relationship Id="rId44" Type="http://schemas.openxmlformats.org/officeDocument/2006/relationships/image" Target="media/image34.jpeg"/><Relationship Id="rId43" Type="http://schemas.openxmlformats.org/officeDocument/2006/relationships/image" Target="media/image33.jpeg"/><Relationship Id="rId42" Type="http://schemas.openxmlformats.org/officeDocument/2006/relationships/image" Target="media/image32.jpeg"/><Relationship Id="rId41" Type="http://schemas.openxmlformats.org/officeDocument/2006/relationships/image" Target="media/image31.jpeg"/><Relationship Id="rId40" Type="http://schemas.openxmlformats.org/officeDocument/2006/relationships/image" Target="media/image30.jpeg"/><Relationship Id="rId4" Type="http://schemas.openxmlformats.org/officeDocument/2006/relationships/footer" Target="footer2.xml"/><Relationship Id="rId39" Type="http://schemas.openxmlformats.org/officeDocument/2006/relationships/image" Target="media/image29.jpeg"/><Relationship Id="rId38" Type="http://schemas.openxmlformats.org/officeDocument/2006/relationships/image" Target="media/image28.jpeg"/><Relationship Id="rId37" Type="http://schemas.openxmlformats.org/officeDocument/2006/relationships/image" Target="media/image27.jpeg"/><Relationship Id="rId36" Type="http://schemas.openxmlformats.org/officeDocument/2006/relationships/image" Target="media/image26.jpeg"/><Relationship Id="rId35" Type="http://schemas.openxmlformats.org/officeDocument/2006/relationships/image" Target="media/image25.jpeg"/><Relationship Id="rId34" Type="http://schemas.openxmlformats.org/officeDocument/2006/relationships/image" Target="media/image24.jpeg"/><Relationship Id="rId33" Type="http://schemas.openxmlformats.org/officeDocument/2006/relationships/image" Target="media/image23.jpeg"/><Relationship Id="rId32" Type="http://schemas.openxmlformats.org/officeDocument/2006/relationships/image" Target="media/image22.jpeg"/><Relationship Id="rId31" Type="http://schemas.openxmlformats.org/officeDocument/2006/relationships/image" Target="media/image21.jpeg"/><Relationship Id="rId30" Type="http://schemas.openxmlformats.org/officeDocument/2006/relationships/image" Target="media/image20.jpeg"/><Relationship Id="rId3" Type="http://schemas.openxmlformats.org/officeDocument/2006/relationships/footer" Target="footer1.xml"/><Relationship Id="rId29" Type="http://schemas.openxmlformats.org/officeDocument/2006/relationships/image" Target="media/image19.jpeg"/><Relationship Id="rId28" Type="http://schemas.openxmlformats.org/officeDocument/2006/relationships/image" Target="media/image18.jpeg"/><Relationship Id="rId27" Type="http://schemas.openxmlformats.org/officeDocument/2006/relationships/image" Target="media/image17.jpeg"/><Relationship Id="rId26" Type="http://schemas.openxmlformats.org/officeDocument/2006/relationships/image" Target="media/image16.png"/><Relationship Id="rId25" Type="http://schemas.openxmlformats.org/officeDocument/2006/relationships/image" Target="media/image15.jpeg"/><Relationship Id="rId24" Type="http://schemas.openxmlformats.org/officeDocument/2006/relationships/image" Target="media/image14.jpeg"/><Relationship Id="rId23" Type="http://schemas.openxmlformats.org/officeDocument/2006/relationships/image" Target="media/image13.png"/><Relationship Id="rId22" Type="http://schemas.openxmlformats.org/officeDocument/2006/relationships/image" Target="media/image12.jpeg"/><Relationship Id="rId21" Type="http://schemas.openxmlformats.org/officeDocument/2006/relationships/image" Target="media/image11.jpeg"/><Relationship Id="rId20" Type="http://schemas.openxmlformats.org/officeDocument/2006/relationships/image" Target="media/image10.jpeg"/><Relationship Id="rId2" Type="http://schemas.openxmlformats.org/officeDocument/2006/relationships/settings" Target="settings.xml"/><Relationship Id="rId19" Type="http://schemas.openxmlformats.org/officeDocument/2006/relationships/image" Target="media/image9.jpeg"/><Relationship Id="rId18" Type="http://schemas.openxmlformats.org/officeDocument/2006/relationships/image" Target="media/image8.jpe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jpeg"/><Relationship Id="rId14" Type="http://schemas.openxmlformats.org/officeDocument/2006/relationships/image" Target="media/image4.jpeg"/><Relationship Id="rId13" Type="http://schemas.openxmlformats.org/officeDocument/2006/relationships/image" Target="media/image3.jpeg"/><Relationship Id="rId12" Type="http://schemas.openxmlformats.org/officeDocument/2006/relationships/image" Target="media/image2.jpeg"/><Relationship Id="rId11" Type="http://schemas.openxmlformats.org/officeDocument/2006/relationships/image" Target="media/image1.jpe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8</TotalTime>
  <ScaleCrop>false</ScaleCrop>
  <LinksUpToDate>false</LinksUpToDate>
  <CharactersWithSpaces>0</CharactersWithSpaces>
  <Application>WPS Office_11.1.0.10314_F1E327BC-269C-435d-A152-05C5408002CA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2021-09-17T00:13:00Z</dcterms:created>
  <dc:creator>Dufour不是豆腐</dc:creator>
  <cp:lastModifiedBy>arker</cp:lastModifiedBy>
  <cp:lastPrinted>2022-01-06T06:06:00Z</cp:lastPrinted>
  <dcterms:modified xsi:type="dcterms:W3CDTF">2023-03-31T01:23:57Z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y fmtid="{D5CDD505-2E9C-101B-9397-08002B2CF9AE}" pid="3" name="ICV">
    <vt:lpwstr>355928CDBB0B4682A4DFF4A05E1E767B</vt:lpwstr>
  </property>
</Properties>
</file>