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湘阴县政协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2021年整体支出绩效自评报告</w:t>
      </w:r>
    </w:p>
    <w:p>
      <w:pPr>
        <w:spacing w:line="4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一、部门（单位）概况</w:t>
      </w:r>
      <w:bookmarkStart w:id="0" w:name="_GoBack"/>
      <w:bookmarkEnd w:id="0"/>
    </w:p>
    <w:p>
      <w:pPr>
        <w:spacing w:line="400" w:lineRule="exact"/>
        <w:ind w:firstLine="280" w:firstLineChars="1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（一）基本情况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部门概况: 政协湘阴县委员会机关设（一）办事机构1个：办公室（加挂县政协信访办公室牌子），办公室内设事业机构1个：湘阴县政协机关事务中心（县政协宣传信息中心）。（二）专门委员会6个：委员学习联络委员会、提案委员会、经济科技和外事委员会、农业农村和人口资源环境委员会、文教卫体和文史委员会、社会法制和民族宗教委员会。整个机关现有编制31个，现有在职在岗人数31人，行政人员28人、事业人员3人。全部纳入2021年预算编制范围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主要职能: 政协湘阴县委员会机关的机构职能编制是“精简、统一、效能”的原则，从有利于完善政治协商制度，结合湘阴实际，努力实现完善机关职能，理顺工作关系，发挥整体功能，政治协商、民主监督、参政议政。</w:t>
      </w:r>
    </w:p>
    <w:p>
      <w:pPr>
        <w:spacing w:line="400" w:lineRule="exact"/>
        <w:ind w:firstLine="560" w:firstLineChars="2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（二）整体支出规模、使用方向和主要内容、涉及范围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整体支出 537.32万元,其中:基本支出398.32万元(工资福利支出333.68万元,一般商品和服务支出64.64万元);项目支出139万元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二、整体支出管理及使用情况</w:t>
      </w:r>
    </w:p>
    <w:p>
      <w:pPr>
        <w:spacing w:line="600" w:lineRule="exact"/>
        <w:ind w:firstLine="562" w:firstLineChars="200"/>
        <w:rPr>
          <w:rFonts w:hint="eastAsia"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（一）基本支出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基本支出398.32万元(工资福利支出333.68万元,一般商品和服务支出64.64万元);</w:t>
      </w:r>
    </w:p>
    <w:p>
      <w:pPr>
        <w:spacing w:line="600" w:lineRule="exact"/>
        <w:ind w:firstLine="562" w:firstLineChars="200"/>
        <w:rPr>
          <w:rFonts w:hint="eastAsia"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（二）专项支出</w:t>
      </w:r>
    </w:p>
    <w:p>
      <w:pPr>
        <w:ind w:firstLine="420" w:firstLineChars="150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项目支出139万元:</w:t>
      </w:r>
      <w:r>
        <w:rPr>
          <w:rFonts w:hint="eastAsia" w:ascii="仿宋_GB2312" w:hAnsi="仿宋_GB2312" w:eastAsia="仿宋_GB2312" w:cs="仿宋_GB2312"/>
          <w:color w:val="000000"/>
          <w:sz w:val="24"/>
        </w:rPr>
        <w:t>省市、县委员履职费54万</w:t>
      </w:r>
      <w:r>
        <w:rPr>
          <w:rFonts w:hint="eastAsia" w:ascii="仿宋" w:hAnsi="仿宋" w:eastAsia="仿宋" w:cs="黑体"/>
          <w:bCs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、专委会、界别活动费14万</w:t>
      </w:r>
      <w:r>
        <w:rPr>
          <w:rFonts w:hint="eastAsia" w:ascii="仿宋" w:hAnsi="仿宋" w:eastAsia="仿宋" w:cs="黑体"/>
          <w:bCs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、常委会会议5万</w:t>
      </w:r>
      <w:r>
        <w:rPr>
          <w:rFonts w:hint="eastAsia" w:ascii="仿宋" w:hAnsi="仿宋" w:eastAsia="仿宋" w:cs="黑体"/>
          <w:bCs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、乡镇、县直政协联络办专题活动23万</w:t>
      </w:r>
      <w:r>
        <w:rPr>
          <w:rFonts w:hint="eastAsia" w:ascii="仿宋" w:hAnsi="仿宋" w:eastAsia="仿宋" w:cs="黑体"/>
          <w:bCs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、委员（日常）学习培训7万</w:t>
      </w:r>
      <w:r>
        <w:rPr>
          <w:rFonts w:hint="eastAsia" w:ascii="仿宋" w:hAnsi="仿宋" w:eastAsia="仿宋" w:cs="黑体"/>
          <w:bCs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、网络平台维护（政协云）8万</w:t>
      </w:r>
      <w:r>
        <w:rPr>
          <w:rFonts w:hint="eastAsia" w:ascii="仿宋" w:hAnsi="仿宋" w:eastAsia="仿宋" w:cs="黑体"/>
          <w:bCs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、党报党刊、委员学习资料即《人民政协报》《湘声报》19万元、老干活动9万</w:t>
      </w:r>
      <w:r>
        <w:rPr>
          <w:rFonts w:hint="eastAsia" w:ascii="仿宋" w:hAnsi="仿宋" w:eastAsia="仿宋" w:cs="黑体"/>
          <w:bCs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。</w:t>
      </w:r>
      <w:r>
        <w:rPr>
          <w:rFonts w:hint="eastAsia" w:ascii="仿宋" w:hAnsi="仿宋" w:eastAsia="仿宋" w:cs="黑体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6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专项资金安排落实、总投入等情况分析</w:t>
      </w:r>
    </w:p>
    <w:p>
      <w:pPr>
        <w:spacing w:line="400" w:lineRule="exact"/>
        <w:ind w:left="320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黑体"/>
          <w:bCs/>
          <w:sz w:val="28"/>
          <w:szCs w:val="28"/>
        </w:rPr>
        <w:t xml:space="preserve"> 我单位严格按政府相关文件进行资金拨付，合理安排资金，做到了规范、有序。</w:t>
      </w:r>
    </w:p>
    <w:p>
      <w:pPr>
        <w:spacing w:line="400" w:lineRule="exact"/>
        <w:ind w:left="548"/>
        <w:rPr>
          <w:rFonts w:hint="eastAsia" w:ascii="仿宋" w:hAnsi="仿宋" w:eastAsia="仿宋" w:cs="黑体"/>
          <w:bCs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专项资金实际使用情况分析</w:t>
      </w:r>
    </w:p>
    <w:p>
      <w:pPr>
        <w:spacing w:line="400" w:lineRule="exact"/>
        <w:ind w:left="32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黑体"/>
          <w:bCs/>
          <w:sz w:val="28"/>
          <w:szCs w:val="28"/>
        </w:rPr>
        <w:t xml:space="preserve">  本次专项拨款139万，2021年下达各单位及协会资金到位率和及时率为100%。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专项资金管理情况分析</w:t>
      </w:r>
    </w:p>
    <w:p>
      <w:pPr>
        <w:spacing w:line="400" w:lineRule="exact"/>
        <w:ind w:left="32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黑体"/>
          <w:bCs/>
          <w:sz w:val="28"/>
          <w:szCs w:val="28"/>
        </w:rPr>
        <w:t>我单位制定了项目绩效管理办法和财务管理制度，保障了项目管理工作的有章可循和有序开展。项目资金未发现截留、挪用等违规问题。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三、部门（单位）专项组织实施情况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（一）专项组织情况分析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黑体"/>
          <w:bCs/>
          <w:sz w:val="28"/>
          <w:szCs w:val="28"/>
        </w:rPr>
        <w:t xml:space="preserve"> </w:t>
      </w:r>
      <w:r>
        <w:rPr>
          <w:rFonts w:ascii="仿宋" w:hAnsi="仿宋" w:eastAsia="仿宋" w:cs="黑体"/>
          <w:bCs/>
          <w:sz w:val="28"/>
          <w:szCs w:val="28"/>
        </w:rPr>
        <w:t>我单位专项工作均已于20</w:t>
      </w:r>
      <w:r>
        <w:rPr>
          <w:rFonts w:hint="eastAsia" w:ascii="仿宋" w:hAnsi="仿宋" w:eastAsia="仿宋" w:cs="黑体"/>
          <w:bCs/>
          <w:sz w:val="28"/>
          <w:szCs w:val="28"/>
        </w:rPr>
        <w:t>21</w:t>
      </w:r>
      <w:r>
        <w:rPr>
          <w:rFonts w:ascii="仿宋" w:hAnsi="仿宋" w:eastAsia="仿宋" w:cs="黑体"/>
          <w:bCs/>
          <w:sz w:val="28"/>
          <w:szCs w:val="28"/>
        </w:rPr>
        <w:t>年完成，完成了年度绩效目标。所有项目的日常管理工作均按照我单位相关管理制度执行，建立了工作计划、实施方案、日常有监督的管理机制。</w:t>
      </w:r>
    </w:p>
    <w:p>
      <w:pPr>
        <w:spacing w:line="40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（二）专项管理情况分析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  </w:t>
      </w:r>
      <w:r>
        <w:rPr>
          <w:rFonts w:ascii="仿宋" w:hAnsi="仿宋" w:eastAsia="仿宋" w:cs="黑体"/>
          <w:bCs/>
          <w:sz w:val="28"/>
          <w:szCs w:val="28"/>
        </w:rPr>
        <w:t>我单位</w:t>
      </w:r>
      <w:r>
        <w:rPr>
          <w:rFonts w:hint="eastAsia" w:ascii="仿宋" w:hAnsi="仿宋" w:eastAsia="仿宋" w:cs="黑体"/>
          <w:bCs/>
          <w:sz w:val="28"/>
          <w:szCs w:val="28"/>
        </w:rPr>
        <w:t>2021</w:t>
      </w:r>
      <w:r>
        <w:rPr>
          <w:rFonts w:ascii="仿宋" w:hAnsi="仿宋" w:eastAsia="仿宋" w:cs="黑体"/>
          <w:bCs/>
          <w:sz w:val="28"/>
          <w:szCs w:val="28"/>
        </w:rPr>
        <w:t>年专项，从项目立项、资金落实、业务管理到财务管理、项目产出，</w:t>
      </w:r>
      <w:r>
        <w:rPr>
          <w:rFonts w:hint="eastAsia" w:ascii="仿宋" w:hAnsi="仿宋" w:eastAsia="仿宋" w:cs="黑体"/>
          <w:bCs/>
          <w:sz w:val="28"/>
          <w:szCs w:val="28"/>
        </w:rPr>
        <w:t>5</w:t>
      </w:r>
      <w:r>
        <w:rPr>
          <w:rFonts w:ascii="仿宋" w:hAnsi="仿宋" w:eastAsia="仿宋" w:cs="黑体"/>
          <w:bCs/>
          <w:sz w:val="28"/>
          <w:szCs w:val="28"/>
        </w:rPr>
        <w:t>项指标</w:t>
      </w:r>
      <w:r>
        <w:rPr>
          <w:rFonts w:hint="eastAsia" w:ascii="仿宋" w:hAnsi="仿宋" w:eastAsia="仿宋" w:cs="黑体"/>
          <w:bCs/>
          <w:sz w:val="28"/>
          <w:szCs w:val="28"/>
        </w:rPr>
        <w:t>完成100%。</w:t>
      </w:r>
      <w:r>
        <w:rPr>
          <w:rFonts w:ascii="仿宋" w:hAnsi="仿宋" w:eastAsia="仿宋" w:cs="黑体"/>
          <w:bCs/>
          <w:sz w:val="28"/>
          <w:szCs w:val="28"/>
        </w:rPr>
        <w:t>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  </w:t>
      </w:r>
      <w:r>
        <w:rPr>
          <w:rFonts w:ascii="仿宋" w:hAnsi="仿宋" w:eastAsia="仿宋" w:cs="黑体"/>
          <w:bCs/>
          <w:sz w:val="28"/>
          <w:szCs w:val="28"/>
        </w:rPr>
        <w:t>1、项目立项：项目的申请、设立过程符合相关要求，设定的绩效目标合理，绩效指标细化、明确、清晰、可衡量。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  </w:t>
      </w:r>
      <w:r>
        <w:rPr>
          <w:rFonts w:ascii="仿宋" w:hAnsi="仿宋" w:eastAsia="仿宋" w:cs="黑体"/>
          <w:bCs/>
          <w:sz w:val="28"/>
          <w:szCs w:val="28"/>
        </w:rPr>
        <w:t>2、资金落实：资金落实到位情况良好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  </w:t>
      </w:r>
      <w:r>
        <w:rPr>
          <w:rFonts w:ascii="仿宋" w:hAnsi="仿宋" w:eastAsia="仿宋" w:cs="黑体"/>
          <w:bCs/>
          <w:sz w:val="28"/>
          <w:szCs w:val="28"/>
        </w:rPr>
        <w:t>3、业务管理：管理制度健全、制度执行有效、项目质量可控。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  </w:t>
      </w:r>
      <w:r>
        <w:rPr>
          <w:rFonts w:ascii="仿宋" w:hAnsi="仿宋" w:eastAsia="仿宋" w:cs="黑体"/>
          <w:bCs/>
          <w:sz w:val="28"/>
          <w:szCs w:val="28"/>
        </w:rPr>
        <w:t>4、财务管理：管理制度健全、资金使用合规、财务监控有效。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 xml:space="preserve">   </w:t>
      </w:r>
      <w:r>
        <w:rPr>
          <w:rFonts w:ascii="仿宋" w:hAnsi="仿宋" w:eastAsia="仿宋" w:cs="黑体"/>
          <w:bCs/>
          <w:sz w:val="28"/>
          <w:szCs w:val="28"/>
        </w:rPr>
        <w:t>5、项目产出：项目完成率100%、完成及时率100%</w:t>
      </w:r>
      <w:r>
        <w:rPr>
          <w:rFonts w:hint="eastAsia" w:ascii="仿宋" w:hAnsi="仿宋" w:eastAsia="仿宋" w:cs="黑体"/>
          <w:bCs/>
          <w:sz w:val="28"/>
          <w:szCs w:val="28"/>
        </w:rPr>
        <w:t>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四、部门（单位）整体支出绩效情况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整体支出 537.32万元,其中:基本支出398.32万元(工资福利支出333.68万元,一般商品和服务支出64.64万元);项目支出139万元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00" w:lineRule="exact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五、存在的主要问题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firstLine="300" w:firstLineChars="100"/>
        <w:jc w:val="left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Helvetica Neue" w:hAnsi="Helvetica Neue" w:cs="Helvetica Neue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黑体"/>
          <w:bCs/>
          <w:sz w:val="28"/>
          <w:szCs w:val="28"/>
        </w:rPr>
        <w:t xml:space="preserve"> 因部分工作是根据上级相关要求和年中工作需要开展，未纳入预算，实行一事一议;另外还有部分不可预见经费的追加，无法纳入预算，导致预算执行存在偏差。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六、有关建议</w:t>
      </w:r>
    </w:p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firstLine="560" w:firstLineChars="200"/>
        <w:jc w:val="left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严格预算执行，避免无预算、超预算。提高资金使用率。进一步完善、明确和细化各项费用支出。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微软雅黑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FE2CC6"/>
    <w:multiLevelType w:val="multilevel"/>
    <w:tmpl w:val="6BFE2CC6"/>
    <w:lvl w:ilvl="0" w:tentative="0">
      <w:start w:val="1"/>
      <w:numFmt w:val="decimal"/>
      <w:lvlText w:val="%1、"/>
      <w:lvlJc w:val="left"/>
      <w:pPr>
        <w:ind w:left="10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80" w:hanging="480"/>
      </w:pPr>
    </w:lvl>
    <w:lvl w:ilvl="2" w:tentative="0">
      <w:start w:val="1"/>
      <w:numFmt w:val="lowerRoman"/>
      <w:lvlText w:val="%3."/>
      <w:lvlJc w:val="right"/>
      <w:pPr>
        <w:ind w:left="1760" w:hanging="480"/>
      </w:pPr>
    </w:lvl>
    <w:lvl w:ilvl="3" w:tentative="0">
      <w:start w:val="1"/>
      <w:numFmt w:val="decimal"/>
      <w:lvlText w:val="%4."/>
      <w:lvlJc w:val="left"/>
      <w:pPr>
        <w:ind w:left="2240" w:hanging="480"/>
      </w:pPr>
    </w:lvl>
    <w:lvl w:ilvl="4" w:tentative="0">
      <w:start w:val="1"/>
      <w:numFmt w:val="lowerLetter"/>
      <w:lvlText w:val="%5)"/>
      <w:lvlJc w:val="left"/>
      <w:pPr>
        <w:ind w:left="2720" w:hanging="480"/>
      </w:pPr>
    </w:lvl>
    <w:lvl w:ilvl="5" w:tentative="0">
      <w:start w:val="1"/>
      <w:numFmt w:val="lowerRoman"/>
      <w:lvlText w:val="%6."/>
      <w:lvlJc w:val="right"/>
      <w:pPr>
        <w:ind w:left="3200" w:hanging="480"/>
      </w:pPr>
    </w:lvl>
    <w:lvl w:ilvl="6" w:tentative="0">
      <w:start w:val="1"/>
      <w:numFmt w:val="decimal"/>
      <w:lvlText w:val="%7."/>
      <w:lvlJc w:val="left"/>
      <w:pPr>
        <w:ind w:left="3680" w:hanging="480"/>
      </w:pPr>
    </w:lvl>
    <w:lvl w:ilvl="7" w:tentative="0">
      <w:start w:val="1"/>
      <w:numFmt w:val="lowerLetter"/>
      <w:lvlText w:val="%8)"/>
      <w:lvlJc w:val="left"/>
      <w:pPr>
        <w:ind w:left="4160" w:hanging="480"/>
      </w:pPr>
    </w:lvl>
    <w:lvl w:ilvl="8" w:tentative="0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32D61"/>
    <w:rsid w:val="7173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2022-04-13T01:39:00Z</dcterms:created>
  <dc:creator>江瑜</dc:creator>
  <cp:lastModifiedBy>江瑜</cp:lastModifiedBy>
  <dcterms:modified xsi:type="dcterms:W3CDTF">2022-04-13T01:42:16Z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E083137A765241A88AD0E6F4F296785A</vt:lpwstr>
  </property>
</Properties>
</file>