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bookmarkStart w:id="0" w:name="_GoBack"/>
      <w:bookmarkEnd w:id="0"/>
    </w:p>
    <w:p>
      <w:pPr>
        <w:spacing w:line="440" w:lineRule="exact"/>
        <w:ind w:firstLine="723" w:firstLineChars="200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湘阴县政协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2021年项目支出绩效自评报告</w:t>
      </w:r>
    </w:p>
    <w:p>
      <w:pPr>
        <w:spacing w:line="440" w:lineRule="exact"/>
        <w:ind w:firstLine="723" w:firstLineChars="200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1"/>
        </w:numPr>
        <w:spacing w:line="440" w:lineRule="exac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项目基本概况</w:t>
      </w:r>
    </w:p>
    <w:p>
      <w:pPr>
        <w:spacing w:line="4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</w:rPr>
        <w:t xml:space="preserve">项目支出139万元:省市、县委员履职费54万元、专委会、界别活动费14万元、常委会会议5万元、乡镇、县直政协联络办专题活动23万元、委员（日常）学习培训7万元、网络平台维护（政协云）8万元、党报党刊、委员学习资料即《人民政协报》《湘声报》19万元、老干活动9万元。      </w:t>
      </w:r>
      <w:r>
        <w:rPr>
          <w:rFonts w:hint="eastAsia" w:ascii="仿宋" w:hAnsi="仿宋" w:eastAsia="仿宋" w:cs="黑体"/>
          <w:bCs/>
          <w:sz w:val="32"/>
          <w:szCs w:val="32"/>
        </w:rPr>
        <w:t xml:space="preserve">              </w:t>
      </w:r>
    </w:p>
    <w:p>
      <w:pPr>
        <w:numPr>
          <w:ilvl w:val="0"/>
          <w:numId w:val="1"/>
        </w:numPr>
        <w:spacing w:line="440" w:lineRule="exac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项目资金使用及管理情况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4F4A4A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4F4A4A"/>
          <w:sz w:val="30"/>
          <w:szCs w:val="30"/>
          <w:shd w:val="clear" w:color="auto" w:fill="FFFFFF"/>
        </w:rPr>
        <w:t>1、</w:t>
      </w:r>
      <w:r>
        <w:rPr>
          <w:rFonts w:ascii="楷体" w:hAnsi="楷体" w:eastAsia="楷体" w:cs="楷体"/>
          <w:color w:val="4F4A4A"/>
          <w:sz w:val="30"/>
          <w:szCs w:val="30"/>
          <w:shd w:val="clear" w:color="auto" w:fill="FFFFFF"/>
        </w:rPr>
        <w:t>项目资金到位情况分析</w:t>
      </w:r>
      <w:r>
        <w:rPr>
          <w:rFonts w:hint="eastAsia" w:ascii="楷体" w:hAnsi="楷体" w:eastAsia="楷体" w:cs="楷体"/>
          <w:color w:val="4F4A4A"/>
          <w:sz w:val="30"/>
          <w:szCs w:val="30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4F4A4A"/>
          <w:sz w:val="32"/>
          <w:szCs w:val="32"/>
          <w:shd w:val="clear" w:color="auto" w:fill="FFFFFF"/>
        </w:rPr>
        <w:t>项目共支出经费139万元，全部来自县财政，资金到位率100%。项目支出严格按照财务有关规定执行，资金使用与项目内容高度吻合。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4F4A4A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4F4A4A"/>
          <w:sz w:val="30"/>
          <w:szCs w:val="30"/>
          <w:shd w:val="clear" w:color="auto" w:fill="FFFFFF"/>
        </w:rPr>
        <w:t>2、项目资金管理情况分析。</w:t>
      </w:r>
      <w:r>
        <w:rPr>
          <w:rFonts w:hint="eastAsia" w:ascii="仿宋" w:hAnsi="仿宋" w:eastAsia="仿宋" w:cs="仿宋"/>
          <w:color w:val="4F4A4A"/>
          <w:sz w:val="32"/>
          <w:szCs w:val="32"/>
          <w:shd w:val="clear" w:color="auto" w:fill="FFFFFF"/>
        </w:rPr>
        <w:t>项目经费严格按照单位的财务制度和预算支出范围的使用。县财政局国库支付局统一支付，按照项目计划安排和实际工作情况开支，做到了专款专用。</w:t>
      </w:r>
    </w:p>
    <w:p>
      <w:pPr>
        <w:numPr>
          <w:ilvl w:val="0"/>
          <w:numId w:val="1"/>
        </w:numPr>
        <w:spacing w:line="440" w:lineRule="exac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项目组织实施情况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00"/>
        <w:rPr>
          <w:rFonts w:hint="eastAsia" w:ascii="仿宋" w:hAnsi="仿宋" w:eastAsia="仿宋" w:cs="仿宋"/>
          <w:color w:val="4F4A4A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F4A4A"/>
          <w:sz w:val="32"/>
          <w:szCs w:val="32"/>
          <w:shd w:val="clear" w:color="auto" w:fill="FFFFFF"/>
        </w:rPr>
        <w:t xml:space="preserve"> 按照绩效自评要求，机关组织成立绩效评价工作小组，组织学习国家法律法规、制定了建立绩效管理制度。着重核查2021年我单位财政预算批复执行及整体部门支出情况。</w:t>
      </w:r>
    </w:p>
    <w:p>
      <w:pPr>
        <w:numPr>
          <w:ilvl w:val="0"/>
          <w:numId w:val="1"/>
        </w:numPr>
        <w:spacing w:line="440" w:lineRule="exac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综合评价情况及评价结论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  <w:t xml:space="preserve"> 我单位对财政专项资金的分配、使用和管理按照先有办法、后分资金、专款专用、独立核算、统一支付、严格把关的原则进行管理。严格执行预算，规范了资金审批和支付程序，提高了资金的使用效率。认真开展专项资金绩效管理，在资金分配中的项目申报、评审和安排，均按规定严格执行，各项重点项目资金安排都保证及时到位，每一笔收支都做到有依据、有凭证、有程序。确保专项资金依法管理与使用。没有发生专项资金挤占、挪用、截流等违规现象。</w:t>
      </w:r>
    </w:p>
    <w:p>
      <w:pPr>
        <w:spacing w:line="440" w:lineRule="exact"/>
        <w:ind w:firstLine="600" w:firstLineChars="200"/>
        <w:rPr>
          <w:rFonts w:hint="eastAsia" w:eastAsia="仿宋_GB2312"/>
          <w:sz w:val="30"/>
          <w:szCs w:val="30"/>
        </w:rPr>
      </w:pPr>
    </w:p>
    <w:p>
      <w:pPr>
        <w:numPr>
          <w:ilvl w:val="0"/>
          <w:numId w:val="1"/>
        </w:numPr>
        <w:spacing w:line="440" w:lineRule="exact"/>
        <w:ind w:left="1668" w:leftChars="0" w:hanging="1080" w:firstLineChars="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项目主要绩效情况分析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00"/>
        <w:rPr>
          <w:rFonts w:hint="default" w:ascii="仿宋" w:hAnsi="仿宋" w:eastAsia="仿宋" w:cs="仿宋"/>
          <w:color w:val="4F4A4A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F4A4A"/>
          <w:sz w:val="32"/>
          <w:szCs w:val="32"/>
          <w:shd w:val="clear" w:color="auto" w:fill="FFFFFF"/>
          <w:lang w:val="en-US" w:eastAsia="zh-CN"/>
        </w:rPr>
        <w:t>2021年度累计开展常务委员活动10次，开展情况按照年初预设计划完成，开展委员培训5次，委员培训到位率高达99%，培训内容符合相关政策及规定，政协委员提案办结率为100%，充分发挥政协工作的积极性，政协工作服务经济社会发展，关注民生福祉，为增加人民群众获得感发声致力社会建设，为构建和谐美丽幸福湘阴支招。政协专项在进行过程中得到政协委员的高度认可，各级领导的高度重视，2021年工作圆满完成。2021年度实际支出控制在预算内，未出现超支情况。</w:t>
      </w:r>
    </w:p>
    <w:p>
      <w:pPr>
        <w:spacing w:line="440" w:lineRule="exac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    （六）存在问题和改进措施</w:t>
      </w:r>
    </w:p>
    <w:p>
      <w:pP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  <w:t xml:space="preserve">    1、存在问题</w:t>
      </w:r>
    </w:p>
    <w:p>
      <w:pP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  <w:t xml:space="preserve">      </w:t>
      </w:r>
      <w:r>
        <w:rPr>
          <w:rFonts w:ascii="Calibri" w:hAnsi="Calibri" w:eastAsia="仿宋" w:cs="Calibri"/>
          <w:color w:val="4F4A4A"/>
          <w:kern w:val="0"/>
          <w:sz w:val="32"/>
          <w:szCs w:val="32"/>
          <w:shd w:val="clear" w:color="auto" w:fill="FFFFFF"/>
          <w:lang w:bidi="ar"/>
        </w:rPr>
        <w:t>①</w:t>
      </w:r>
      <w: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  <w:t>计划投入资金与实到资金存在差距;</w:t>
      </w:r>
    </w:p>
    <w:p>
      <w:pP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  <w:t xml:space="preserve">      </w:t>
      </w:r>
      <w:r>
        <w:rPr>
          <w:rFonts w:ascii="Calibri" w:hAnsi="Calibri" w:eastAsia="仿宋" w:cs="Calibri"/>
          <w:color w:val="4F4A4A"/>
          <w:kern w:val="0"/>
          <w:sz w:val="32"/>
          <w:szCs w:val="32"/>
          <w:shd w:val="clear" w:color="auto" w:fill="FFFFFF"/>
          <w:lang w:bidi="ar"/>
        </w:rPr>
        <w:t>②</w:t>
      </w:r>
      <w: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  <w:t>缺乏项目管理办法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  <w:t>改进措施</w:t>
      </w:r>
    </w:p>
    <w:p>
      <w:pPr>
        <w:jc w:val="center"/>
        <w:rPr>
          <w:rFonts w:hint="eastAsia" w:eastAsia="仿宋_GB2312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  <w:t>进一步完善项目绩效管理工作，结合实际制定符合本单位项目的管理办法，并严格执行，从而增强财务管理制度的生命力</w:t>
      </w:r>
      <w:r>
        <w:rPr>
          <w:rFonts w:hint="eastAsia" w:eastAsia="仿宋_GB2312"/>
          <w:b/>
          <w:bCs/>
          <w:sz w:val="28"/>
          <w:szCs w:val="28"/>
        </w:rPr>
        <w:t>五、评价报告综述（文字部分）</w:t>
      </w:r>
    </w:p>
    <w:p>
      <w:pPr>
        <w:spacing w:line="44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440" w:lineRule="exac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项目基本概况</w:t>
      </w:r>
    </w:p>
    <w:p>
      <w:pPr>
        <w:spacing w:line="4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</w:rPr>
        <w:t xml:space="preserve">项目支出139万元:省市、县委员履职费54万元、专委会、界别活动费14万元、常委会会议5万元、乡镇、县直政协联络办专题活动23万元、委员（日常）学习培训7万元、网络平台维护（政协云）8万元、党报党刊、委员学习资料即《人民政协报》《湘声报》19万元、老干活动9万元。      </w:t>
      </w:r>
      <w:r>
        <w:rPr>
          <w:rFonts w:hint="eastAsia" w:ascii="仿宋" w:hAnsi="仿宋" w:eastAsia="仿宋" w:cs="黑体"/>
          <w:bCs/>
          <w:sz w:val="32"/>
          <w:szCs w:val="32"/>
        </w:rPr>
        <w:t xml:space="preserve">              </w:t>
      </w:r>
    </w:p>
    <w:p>
      <w:pPr>
        <w:numPr>
          <w:ilvl w:val="0"/>
          <w:numId w:val="1"/>
        </w:numPr>
        <w:spacing w:line="440" w:lineRule="exac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项目资金使用及管理情况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4F4A4A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4F4A4A"/>
          <w:sz w:val="30"/>
          <w:szCs w:val="30"/>
          <w:shd w:val="clear" w:color="auto" w:fill="FFFFFF"/>
        </w:rPr>
        <w:t>1、</w:t>
      </w:r>
      <w:r>
        <w:rPr>
          <w:rFonts w:ascii="楷体" w:hAnsi="楷体" w:eastAsia="楷体" w:cs="楷体"/>
          <w:color w:val="4F4A4A"/>
          <w:sz w:val="30"/>
          <w:szCs w:val="30"/>
          <w:shd w:val="clear" w:color="auto" w:fill="FFFFFF"/>
        </w:rPr>
        <w:t>项目资金到位情况分析</w:t>
      </w:r>
      <w:r>
        <w:rPr>
          <w:rFonts w:hint="eastAsia" w:ascii="楷体" w:hAnsi="楷体" w:eastAsia="楷体" w:cs="楷体"/>
          <w:color w:val="4F4A4A"/>
          <w:sz w:val="30"/>
          <w:szCs w:val="30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4F4A4A"/>
          <w:sz w:val="32"/>
          <w:szCs w:val="32"/>
          <w:shd w:val="clear" w:color="auto" w:fill="FFFFFF"/>
        </w:rPr>
        <w:t>项目共支出经费139万元，全部来自县财政，资金到位率100%。项目支出严格按照财务有关规定执行，资金使用与项目内容高度吻合。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00" w:firstLineChars="200"/>
        <w:rPr>
          <w:rFonts w:ascii="仿宋" w:hAnsi="仿宋" w:eastAsia="仿宋" w:cs="仿宋"/>
          <w:color w:val="4F4A4A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4F4A4A"/>
          <w:sz w:val="30"/>
          <w:szCs w:val="30"/>
          <w:shd w:val="clear" w:color="auto" w:fill="FFFFFF"/>
        </w:rPr>
        <w:t>2、项目资金管理情况分析。</w:t>
      </w:r>
      <w:r>
        <w:rPr>
          <w:rFonts w:hint="eastAsia" w:ascii="仿宋" w:hAnsi="仿宋" w:eastAsia="仿宋" w:cs="仿宋"/>
          <w:color w:val="4F4A4A"/>
          <w:sz w:val="32"/>
          <w:szCs w:val="32"/>
          <w:shd w:val="clear" w:color="auto" w:fill="FFFFFF"/>
        </w:rPr>
        <w:t>项目经费严格按照单位的财务制度和预算支出范围的使用。县财政局国库支付局统一支付，按照项目计划安排和实际工作情况开支，做到了专款专用。</w:t>
      </w:r>
    </w:p>
    <w:p>
      <w:pPr>
        <w:numPr>
          <w:ilvl w:val="0"/>
          <w:numId w:val="1"/>
        </w:numPr>
        <w:spacing w:line="440" w:lineRule="exac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项目组织实施情况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00"/>
        <w:rPr>
          <w:rFonts w:hint="eastAsia" w:ascii="仿宋" w:hAnsi="仿宋" w:eastAsia="仿宋" w:cs="仿宋"/>
          <w:color w:val="4F4A4A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F4A4A"/>
          <w:sz w:val="32"/>
          <w:szCs w:val="32"/>
          <w:shd w:val="clear" w:color="auto" w:fill="FFFFFF"/>
        </w:rPr>
        <w:t xml:space="preserve"> 按照绩效自评要求，机关组织成立绩效评价工作小组，组织学习国家法律法规、制定了建立绩效管理制度。着重核查2021年我单位财政预算批复执行及整体部门支出情况。</w:t>
      </w:r>
    </w:p>
    <w:p>
      <w:pPr>
        <w:numPr>
          <w:ilvl w:val="0"/>
          <w:numId w:val="1"/>
        </w:numPr>
        <w:spacing w:line="440" w:lineRule="exac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综合评价情况及评价结论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  <w:t xml:space="preserve"> 我单位对财政专项资金的分配、使用和管理按照先有办法、后分资金、专款专用、独立核算、统一支付、严格把关的原则进行管理。严格执行预算，规范了资金审批和支付程序，提高了资金的使用效率。认真开展专项资金绩效管理，在资金分配中的项目申报、评审和安排，均按规定严格执行，各项重点项目资金安排都保证及时到位，每一笔收支都做到有依据、有凭证、有程序。确保专项资金依法管理与使用。没有发生专项资金挤占、挪用、截流等违规现象。</w:t>
      </w:r>
    </w:p>
    <w:p>
      <w:pPr>
        <w:spacing w:line="440" w:lineRule="exact"/>
        <w:ind w:firstLine="600" w:firstLineChars="200"/>
        <w:rPr>
          <w:rFonts w:hint="eastAsia" w:eastAsia="仿宋_GB2312"/>
          <w:sz w:val="30"/>
          <w:szCs w:val="30"/>
        </w:rPr>
      </w:pPr>
    </w:p>
    <w:p>
      <w:pPr>
        <w:numPr>
          <w:ilvl w:val="0"/>
          <w:numId w:val="1"/>
        </w:numPr>
        <w:spacing w:line="440" w:lineRule="exact"/>
        <w:ind w:left="1668" w:leftChars="0" w:hanging="1080" w:firstLineChars="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项目主要绩效情况分析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00"/>
        <w:rPr>
          <w:rFonts w:hint="default" w:ascii="仿宋" w:hAnsi="仿宋" w:eastAsia="仿宋" w:cs="仿宋"/>
          <w:color w:val="4F4A4A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F4A4A"/>
          <w:sz w:val="32"/>
          <w:szCs w:val="32"/>
          <w:shd w:val="clear" w:color="auto" w:fill="FFFFFF"/>
          <w:lang w:val="en-US" w:eastAsia="zh-CN"/>
        </w:rPr>
        <w:t>2021年度累计开展常务委员活动10次，开展情况按照年初预设计划完成，开展委员培训5次，委员培训到位率高达99%，培训内容符合相关政策及规定，政协委员提案办结率为100%，充分发挥政协工作的积极性，政协工作服务经济社会发展，关注民生福祉，为增加人民群众获得感发声致力社会建设，为构建和谐美丽幸福湘阴支招。政协专项在进行过程中得到政协委员的高度认可，各级领导的高度重视，2021年工作圆满完成。2021年度实际支出控制在预算内，未出现超支情况。</w:t>
      </w:r>
    </w:p>
    <w:p>
      <w:pPr>
        <w:spacing w:line="440" w:lineRule="exac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    （六）存在问题和改进措施</w:t>
      </w:r>
    </w:p>
    <w:p>
      <w:pP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  <w:t xml:space="preserve">    1、存在问题</w:t>
      </w:r>
    </w:p>
    <w:p>
      <w:pP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  <w:t xml:space="preserve">      </w:t>
      </w:r>
      <w:r>
        <w:rPr>
          <w:rFonts w:ascii="Calibri" w:hAnsi="Calibri" w:eastAsia="仿宋" w:cs="Calibri"/>
          <w:color w:val="4F4A4A"/>
          <w:kern w:val="0"/>
          <w:sz w:val="32"/>
          <w:szCs w:val="32"/>
          <w:shd w:val="clear" w:color="auto" w:fill="FFFFFF"/>
          <w:lang w:bidi="ar"/>
        </w:rPr>
        <w:t>①</w:t>
      </w:r>
      <w: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  <w:t>计划投入资金与实到资金存在差距;</w:t>
      </w:r>
    </w:p>
    <w:p>
      <w:pP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  <w:t xml:space="preserve">      </w:t>
      </w:r>
      <w:r>
        <w:rPr>
          <w:rFonts w:ascii="Calibri" w:hAnsi="Calibri" w:eastAsia="仿宋" w:cs="Calibri"/>
          <w:color w:val="4F4A4A"/>
          <w:kern w:val="0"/>
          <w:sz w:val="32"/>
          <w:szCs w:val="32"/>
          <w:shd w:val="clear" w:color="auto" w:fill="FFFFFF"/>
          <w:lang w:bidi="ar"/>
        </w:rPr>
        <w:t>②</w:t>
      </w:r>
      <w: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  <w:t>缺乏项目管理办法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  <w:t>改进措施</w:t>
      </w:r>
    </w:p>
    <w:p>
      <w:pPr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bidi="ar"/>
        </w:rPr>
        <w:t>进一步完善项目绩效管理工作，结合实际制定符合本单位项目的管理办法，并严格执行，从而增强财务管理制度的生命力</w:t>
      </w:r>
      <w:r>
        <w:rPr>
          <w:rFonts w:hint="eastAsia" w:ascii="仿宋" w:hAnsi="仿宋" w:eastAsia="仿宋" w:cs="仿宋"/>
          <w:color w:val="4F4A4A"/>
          <w:kern w:val="0"/>
          <w:sz w:val="32"/>
          <w:szCs w:val="32"/>
          <w:shd w:val="clear" w:color="auto" w:fill="FFFFFF"/>
          <w:lang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A318E3"/>
    <w:multiLevelType w:val="singleLevel"/>
    <w:tmpl w:val="C6A318E3"/>
    <w:lvl w:ilvl="0" w:tentative="0">
      <w:start w:val="2"/>
      <w:numFmt w:val="decimal"/>
      <w:suff w:val="nothing"/>
      <w:lvlText w:val="%1、"/>
      <w:lvlJc w:val="left"/>
      <w:pPr>
        <w:ind w:left="785" w:firstLine="0"/>
      </w:pPr>
    </w:lvl>
  </w:abstractNum>
  <w:abstractNum w:abstractNumId="1">
    <w:nsid w:val="44036D6C"/>
    <w:multiLevelType w:val="multilevel"/>
    <w:tmpl w:val="44036D6C"/>
    <w:lvl w:ilvl="0" w:tentative="0">
      <w:start w:val="1"/>
      <w:numFmt w:val="japaneseCounting"/>
      <w:lvlText w:val="（%1）"/>
      <w:lvlJc w:val="left"/>
      <w:pPr>
        <w:ind w:left="1668" w:hanging="10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48" w:hanging="480"/>
      </w:pPr>
    </w:lvl>
    <w:lvl w:ilvl="2" w:tentative="0">
      <w:start w:val="1"/>
      <w:numFmt w:val="lowerRoman"/>
      <w:lvlText w:val="%3."/>
      <w:lvlJc w:val="right"/>
      <w:pPr>
        <w:ind w:left="2028" w:hanging="480"/>
      </w:pPr>
    </w:lvl>
    <w:lvl w:ilvl="3" w:tentative="0">
      <w:start w:val="1"/>
      <w:numFmt w:val="decimal"/>
      <w:lvlText w:val="%4."/>
      <w:lvlJc w:val="left"/>
      <w:pPr>
        <w:ind w:left="2508" w:hanging="480"/>
      </w:pPr>
    </w:lvl>
    <w:lvl w:ilvl="4" w:tentative="0">
      <w:start w:val="1"/>
      <w:numFmt w:val="lowerLetter"/>
      <w:lvlText w:val="%5)"/>
      <w:lvlJc w:val="left"/>
      <w:pPr>
        <w:ind w:left="2988" w:hanging="480"/>
      </w:pPr>
    </w:lvl>
    <w:lvl w:ilvl="5" w:tentative="0">
      <w:start w:val="1"/>
      <w:numFmt w:val="lowerRoman"/>
      <w:lvlText w:val="%6."/>
      <w:lvlJc w:val="right"/>
      <w:pPr>
        <w:ind w:left="3468" w:hanging="480"/>
      </w:pPr>
    </w:lvl>
    <w:lvl w:ilvl="6" w:tentative="0">
      <w:start w:val="1"/>
      <w:numFmt w:val="decimal"/>
      <w:lvlText w:val="%7."/>
      <w:lvlJc w:val="left"/>
      <w:pPr>
        <w:ind w:left="3948" w:hanging="480"/>
      </w:pPr>
    </w:lvl>
    <w:lvl w:ilvl="7" w:tentative="0">
      <w:start w:val="1"/>
      <w:numFmt w:val="lowerLetter"/>
      <w:lvlText w:val="%8)"/>
      <w:lvlJc w:val="left"/>
      <w:pPr>
        <w:ind w:left="4428" w:hanging="480"/>
      </w:pPr>
    </w:lvl>
    <w:lvl w:ilvl="8" w:tentative="0">
      <w:start w:val="1"/>
      <w:numFmt w:val="lowerRoman"/>
      <w:lvlText w:val="%9."/>
      <w:lvlJc w:val="right"/>
      <w:pPr>
        <w:ind w:left="490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A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江瑜</cp:lastModifiedBy>
  <dcterms:modified xsi:type="dcterms:W3CDTF">2022-04-13T01:47:02Z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323887E06C5D42C199EBD64936FD751C</vt:lpwstr>
  </property>
</Properties>
</file>