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pacing w:line="360" w:lineRule="auto"/>
        <w:rPr>
          <w:rFonts w:hint="eastAsia" w:ascii="Times New Roman" w:hAnsi="Times New Roman" w:eastAsia="楷体_GB2312" w:cs="Times New Roman"/>
          <w:b/>
          <w:sz w:val="36"/>
          <w:szCs w:val="36"/>
          <w:lang w:val="en-US" w:eastAsia="zh-CN"/>
        </w:rPr>
      </w:pPr>
      <w:bookmarkStart w:id="0" w:name="_Toc450121029"/>
      <w:bookmarkStart w:id="1" w:name="_Toc451526477"/>
      <w:r>
        <w:rPr>
          <w:rFonts w:hint="eastAsia" w:ascii="Times New Roman" w:hAnsi="Times New Roman" w:eastAsia="楷体_GB2312" w:cs="Times New Roman"/>
          <w:b/>
          <w:sz w:val="36"/>
          <w:szCs w:val="36"/>
          <w:lang w:val="en-US" w:eastAsia="zh-CN"/>
        </w:rPr>
        <w:t xml:space="preserve">  </w:t>
      </w:r>
    </w:p>
    <w:p>
      <w:pPr>
        <w:adjustRightInd w:val="0"/>
        <w:spacing w:line="360" w:lineRule="auto"/>
        <w:jc w:val="center"/>
        <w:rPr>
          <w:rFonts w:ascii="Times New Roman" w:hAnsi="Times New Roman" w:eastAsia="楷体_GB2312" w:cs="Times New Roman"/>
          <w:b/>
          <w:sz w:val="36"/>
          <w:szCs w:val="36"/>
        </w:rPr>
      </w:pPr>
      <w:r>
        <w:rPr>
          <w:rFonts w:ascii="Times New Roman" w:hAnsi="Times New Roman" w:eastAsia="楷体_GB2312" w:cs="Times New Roman"/>
          <w:b/>
          <w:sz w:val="36"/>
          <w:szCs w:val="36"/>
        </w:rPr>
        <w:t>湘阴县南湖洲镇</w:t>
      </w:r>
      <w:r>
        <w:rPr>
          <w:rFonts w:hint="eastAsia" w:ascii="Times New Roman" w:hAnsi="Times New Roman" w:eastAsia="楷体_GB2312" w:cs="Times New Roman"/>
          <w:b/>
          <w:sz w:val="36"/>
          <w:szCs w:val="36"/>
        </w:rPr>
        <w:t>南湖水厂</w:t>
      </w:r>
    </w:p>
    <w:p>
      <w:pPr>
        <w:adjustRightInd w:val="0"/>
        <w:spacing w:line="360" w:lineRule="auto"/>
        <w:jc w:val="center"/>
        <w:rPr>
          <w:rFonts w:ascii="Times New Roman" w:hAnsi="Times New Roman" w:eastAsia="宋体" w:cs="Times New Roman"/>
          <w:sz w:val="24"/>
          <w:szCs w:val="20"/>
        </w:rPr>
      </w:pPr>
      <w:r>
        <w:rPr>
          <w:rFonts w:hint="eastAsia" w:ascii="Times New Roman" w:hAnsi="Times New Roman" w:eastAsia="楷体_GB2312" w:cs="Times New Roman"/>
          <w:b/>
          <w:sz w:val="36"/>
          <w:szCs w:val="36"/>
        </w:rPr>
        <w:t>地下水</w:t>
      </w:r>
      <w:r>
        <w:rPr>
          <w:rFonts w:ascii="Times New Roman" w:hAnsi="Times New Roman" w:eastAsia="楷体_GB2312" w:cs="Times New Roman"/>
          <w:b/>
          <w:sz w:val="36"/>
          <w:szCs w:val="36"/>
        </w:rPr>
        <w:t>饮用水源</w:t>
      </w:r>
      <w:r>
        <w:rPr>
          <w:rFonts w:hint="eastAsia" w:ascii="Times New Roman" w:hAnsi="Times New Roman" w:eastAsia="楷体_GB2312" w:cs="Times New Roman"/>
          <w:b/>
          <w:sz w:val="36"/>
          <w:szCs w:val="36"/>
        </w:rPr>
        <w:t>保护区</w:t>
      </w:r>
      <w:r>
        <w:rPr>
          <w:rFonts w:ascii="Times New Roman" w:hAnsi="Times New Roman" w:eastAsia="楷体_GB2312" w:cs="Times New Roman"/>
          <w:b/>
          <w:sz w:val="36"/>
          <w:szCs w:val="36"/>
        </w:rPr>
        <w:t>划分</w:t>
      </w:r>
    </w:p>
    <w:p>
      <w:pPr>
        <w:adjustRightInd w:val="0"/>
        <w:spacing w:line="360" w:lineRule="auto"/>
        <w:rPr>
          <w:rFonts w:ascii="Times New Roman" w:hAnsi="Times New Roman" w:eastAsia="宋体" w:cs="Times New Roman"/>
          <w:sz w:val="24"/>
          <w:szCs w:val="20"/>
        </w:rPr>
      </w:pPr>
    </w:p>
    <w:p>
      <w:pPr>
        <w:adjustRightInd w:val="0"/>
        <w:spacing w:line="360" w:lineRule="auto"/>
        <w:rPr>
          <w:rFonts w:ascii="Times New Roman" w:hAnsi="Times New Roman" w:eastAsia="宋体" w:cs="Times New Roman"/>
          <w:sz w:val="24"/>
          <w:szCs w:val="20"/>
        </w:rPr>
      </w:pPr>
    </w:p>
    <w:p>
      <w:pPr>
        <w:adjustRightInd w:val="0"/>
        <w:spacing w:line="360" w:lineRule="auto"/>
        <w:rPr>
          <w:rFonts w:ascii="Times New Roman" w:hAnsi="Times New Roman" w:eastAsia="楷体_GB2312" w:cs="Times New Roman"/>
          <w:b/>
          <w:spacing w:val="-20"/>
          <w:szCs w:val="21"/>
        </w:rPr>
      </w:pPr>
    </w:p>
    <w:p>
      <w:pPr>
        <w:spacing w:line="360" w:lineRule="auto"/>
        <w:jc w:val="center"/>
        <w:rPr>
          <w:rFonts w:ascii="Times New Roman" w:hAnsi="Times New Roman" w:eastAsia="黑体" w:cs="Times New Roman"/>
          <w:b/>
          <w:sz w:val="44"/>
          <w:szCs w:val="44"/>
        </w:rPr>
      </w:pPr>
      <w:r>
        <w:rPr>
          <w:rFonts w:ascii="Times New Roman" w:hAnsi="Times New Roman" w:eastAsia="黑体" w:cs="Times New Roman"/>
          <w:b/>
          <w:sz w:val="44"/>
          <w:szCs w:val="44"/>
        </w:rPr>
        <w:t>技</w:t>
      </w:r>
    </w:p>
    <w:p>
      <w:pPr>
        <w:spacing w:line="360" w:lineRule="auto"/>
        <w:jc w:val="center"/>
        <w:rPr>
          <w:rFonts w:ascii="Times New Roman" w:hAnsi="Times New Roman" w:eastAsia="黑体" w:cs="Times New Roman"/>
          <w:b/>
          <w:sz w:val="44"/>
          <w:szCs w:val="44"/>
        </w:rPr>
      </w:pPr>
      <w:r>
        <w:rPr>
          <w:rFonts w:ascii="Times New Roman" w:hAnsi="Times New Roman" w:eastAsia="黑体" w:cs="Times New Roman"/>
          <w:b/>
          <w:sz w:val="44"/>
          <w:szCs w:val="44"/>
        </w:rPr>
        <w:t>术</w:t>
      </w:r>
    </w:p>
    <w:p>
      <w:pPr>
        <w:spacing w:line="360" w:lineRule="auto"/>
        <w:jc w:val="center"/>
        <w:rPr>
          <w:rFonts w:ascii="Times New Roman" w:hAnsi="Times New Roman" w:eastAsia="黑体" w:cs="Times New Roman"/>
          <w:b/>
          <w:sz w:val="44"/>
          <w:szCs w:val="44"/>
        </w:rPr>
      </w:pPr>
      <w:r>
        <w:rPr>
          <w:rFonts w:ascii="Times New Roman" w:hAnsi="Times New Roman" w:eastAsia="黑体" w:cs="Times New Roman"/>
          <w:b/>
          <w:sz w:val="44"/>
          <w:szCs w:val="44"/>
        </w:rPr>
        <w:t>报</w:t>
      </w:r>
    </w:p>
    <w:p>
      <w:pPr>
        <w:spacing w:line="360" w:lineRule="auto"/>
        <w:jc w:val="center"/>
        <w:rPr>
          <w:rFonts w:ascii="Times New Roman" w:hAnsi="Times New Roman" w:eastAsia="黑体" w:cs="Times New Roman"/>
          <w:b/>
          <w:sz w:val="44"/>
          <w:szCs w:val="44"/>
        </w:rPr>
      </w:pPr>
      <w:r>
        <w:rPr>
          <w:rFonts w:ascii="Times New Roman" w:hAnsi="Times New Roman" w:eastAsia="黑体" w:cs="Times New Roman"/>
          <w:b/>
          <w:sz w:val="44"/>
          <w:szCs w:val="44"/>
        </w:rPr>
        <w:t>告</w:t>
      </w:r>
    </w:p>
    <w:p>
      <w:pPr>
        <w:spacing w:line="360" w:lineRule="auto"/>
        <w:rPr>
          <w:rFonts w:ascii="Times New Roman" w:hAnsi="Times New Roman" w:eastAsia="宋体" w:cs="Times New Roman"/>
          <w:b/>
          <w:sz w:val="44"/>
        </w:rPr>
      </w:pPr>
      <w:r>
        <w:rPr>
          <w:rFonts w:ascii="Times New Roman" w:hAnsi="Times New Roman" w:eastAsia="宋体" w:cs="Times New Roman"/>
          <w:b/>
          <w:sz w:val="44"/>
        </w:rPr>
        <w:t xml:space="preserve">  </w:t>
      </w: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jc w:val="center"/>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项目实施单位：湘阴县人民政府</w:t>
      </w:r>
    </w:p>
    <w:p>
      <w:pPr>
        <w:spacing w:line="360" w:lineRule="auto"/>
        <w:jc w:val="center"/>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编制单位：湖南润美环保科技有限公司</w:t>
      </w:r>
    </w:p>
    <w:p>
      <w:pPr>
        <w:spacing w:line="360" w:lineRule="auto"/>
        <w:jc w:val="center"/>
        <w:rPr>
          <w:rFonts w:ascii="Times New Roman" w:hAnsi="Times New Roman" w:eastAsia="楷体_GB2312" w:cs="Times New Roman"/>
          <w:b/>
          <w:sz w:val="28"/>
          <w:szCs w:val="28"/>
        </w:rPr>
        <w:sectPr>
          <w:headerReference r:id="rId5" w:type="first"/>
          <w:footerReference r:id="rId8" w:type="first"/>
          <w:headerReference r:id="rId3" w:type="default"/>
          <w:footerReference r:id="rId6" w:type="default"/>
          <w:headerReference r:id="rId4" w:type="even"/>
          <w:footerReference r:id="rId7" w:type="even"/>
          <w:pgSz w:w="11907" w:h="16840"/>
          <w:pgMar w:top="1440" w:right="1800" w:bottom="1440" w:left="1800" w:header="851" w:footer="1134" w:gutter="0"/>
          <w:pgBorders>
            <w:top w:val="none" w:sz="0" w:space="0"/>
            <w:left w:val="none" w:sz="0" w:space="0"/>
            <w:bottom w:val="none" w:sz="0" w:space="0"/>
            <w:right w:val="none" w:sz="0" w:space="0"/>
          </w:pgBorders>
          <w:pgNumType w:fmt="decimal"/>
          <w:cols w:space="720" w:num="1"/>
        </w:sectPr>
      </w:pPr>
      <w:r>
        <w:rPr>
          <w:rFonts w:ascii="Times New Roman" w:hAnsi="Times New Roman" w:eastAsia="楷体_GB2312" w:cs="Times New Roman"/>
          <w:b/>
          <w:sz w:val="28"/>
          <w:szCs w:val="28"/>
        </w:rPr>
        <w:t>二O一九年</w:t>
      </w:r>
      <w:r>
        <w:rPr>
          <w:rFonts w:hint="eastAsia" w:ascii="Times New Roman" w:hAnsi="Times New Roman" w:eastAsia="楷体_GB2312" w:cs="Times New Roman"/>
          <w:b/>
          <w:sz w:val="28"/>
          <w:szCs w:val="28"/>
          <w:lang w:eastAsia="zh-CN"/>
        </w:rPr>
        <w:t>九</w:t>
      </w:r>
      <w:r>
        <w:rPr>
          <w:rFonts w:ascii="Times New Roman" w:hAnsi="Times New Roman" w:eastAsia="楷体_GB2312" w:cs="Times New Roman"/>
          <w:b/>
          <w:sz w:val="28"/>
          <w:szCs w:val="28"/>
        </w:rPr>
        <w:t>月</w:t>
      </w:r>
    </w:p>
    <w:p>
      <w:pPr>
        <w:pStyle w:val="14"/>
        <w:tabs>
          <w:tab w:val="right" w:leader="dot" w:pos="8306"/>
        </w:tabs>
        <w:spacing w:line="360" w:lineRule="auto"/>
        <w:jc w:val="center"/>
        <w:rPr>
          <w:rFonts w:ascii="Times New Roman" w:hAnsi="Times New Roman" w:cs="Times New Roman"/>
          <w:b/>
          <w:sz w:val="30"/>
          <w:szCs w:val="30"/>
        </w:rPr>
      </w:pPr>
      <w:r>
        <w:rPr>
          <w:rFonts w:ascii="Times New Roman" w:hAnsi="Times New Roman" w:cs="Times New Roman"/>
          <w:b/>
          <w:sz w:val="30"/>
          <w:szCs w:val="30"/>
        </w:rPr>
        <w:t>目   录</w:t>
      </w:r>
      <w:bookmarkStart w:id="189" w:name="_GoBack"/>
      <w:bookmarkEnd w:id="189"/>
    </w:p>
    <w:p>
      <w:pPr>
        <w:pStyle w:val="14"/>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"1-4" \h \z \u </w:instrText>
      </w:r>
      <w:r>
        <w:rPr>
          <w:rFonts w:ascii="Times New Roman" w:hAnsi="Times New Roman" w:cs="Times New Roman"/>
          <w:sz w:val="24"/>
          <w:szCs w:val="24"/>
        </w:rPr>
        <w:fldChar w:fldCharType="separate"/>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_Toc3706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第一章 总论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_Toc3706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_Toc3703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 工作背景与意义</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_Toc3703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_Toc15922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1.2划定依据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_Toc15922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_Toc10525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1.2.1 相关法律法规、规章</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_Toc10525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_Toc7794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1.2.2技术标准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_Toc7794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_Toc28389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1.2.3 相关文件、规划资料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_Toc28389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_Toc13351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 区划原则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_Toc13351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_Toc10429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1.4. 区划范围</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_Toc10429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_Toc1370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 工作过程与总体成果</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_Toc1370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_Toc27158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1.5.1技术路线</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_Toc27158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_Toc3862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1.5.2工作内容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_Toc3862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_Toc7596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第二章 饮用水水源保护区背景分析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_Toc7596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_Toc21406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2.1自然状况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_Toc21406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_Toc15707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2.1.1地理位置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_Toc15707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_Toc2908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2.1.2地形地貌</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_Toc2908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_Toc13793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2.1.3地质条件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_Toc13793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_Toc5670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2.1.3.1 地质背景</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_Toc5670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_Toc15749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2.1.3.2区域地层岩性</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_Toc15749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_Toc30672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2.1.3.3 地质构造</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_Toc30672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_Toc23785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2.1.3.4 水文地质条件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_Toc23785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_Toc16929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lang w:val="en-US" w:eastAsia="zh-CN"/>
        </w:rPr>
        <w:t>2.1.4地表水文概况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_Toc16929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_Toc9119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气候、气象特征</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_Toc9119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_Toc8102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2.2饮用水水源地所在区域的社会经济状况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_Toc8102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_Toc3640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2.2.1 行政区划</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_Toc3640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_Toc3585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2.2.2人口与城镇化</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_Toc3585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_Toc4573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2.2.3 经济现状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_Toc4573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_Toc2964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2.3 用水及供水状况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_Toc2964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_Toc8637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 饮用水水源地基础状况分析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_Toc8637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_Toc23494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2.4.1饮用水水源地基本情况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_Toc23494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_Toc25807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2.4.2</w:t>
      </w:r>
      <w:r>
        <w:rPr>
          <w:rFonts w:hint="eastAsia" w:asciiTheme="minorEastAsia" w:hAnsiTheme="minorEastAsia" w:eastAsiaTheme="minorEastAsia" w:cstheme="minorEastAsia"/>
          <w:sz w:val="24"/>
          <w:szCs w:val="24"/>
          <w:lang w:eastAsia="zh-CN"/>
        </w:rPr>
        <w:t>地表水环境功能区划及相邻水域情况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_Toc25807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_Toc24116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饮用水水源地水环境质量评价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_Toc24116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_Toc18105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.1 水质监测数据的选取</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_Toc18105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_Toc6272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.2 水质评价标准及方法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_Toc6272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_Toc9434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.3 水质评价结果</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_Toc9434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_Toc20394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饮用水水源地污染状况分析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_Toc20394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_Toc8400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保护区范围内</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_Toc8400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_Toc13583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 xml:space="preserve"> 1km范围内的其他情况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_Toc13583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_Toc11241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饮用水水源地生态环境分析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_Toc11241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_Toc3206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饮用水水源地环境管理现状分析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_Toc3206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_Toc15201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.1饮用水水源地管理机制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_Toc15201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_Toc7214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.2饮用水水源地保护现状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_Toc7214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_Toc21344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第三章 饮用水水源地保护区划分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_Toc21344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_Toc31724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3.1 饮用水水源保护区划分的技术方法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_Toc31724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_Toc18195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3.2</w:t>
      </w:r>
      <w:r>
        <w:rPr>
          <w:rFonts w:hint="eastAsia" w:asciiTheme="minorEastAsia" w:hAnsiTheme="minorEastAsia" w:eastAsiaTheme="minorEastAsia" w:cstheme="minorEastAsia"/>
          <w:bCs/>
          <w:sz w:val="24"/>
          <w:szCs w:val="24"/>
        </w:rPr>
        <w:t>南湖水厂地下水饮用水水源保护区的初步划分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_Toc18195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_Toc18864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3.2.1</w:t>
      </w:r>
      <w:r>
        <w:rPr>
          <w:rFonts w:hint="eastAsia" w:asciiTheme="minorEastAsia" w:hAnsiTheme="minorEastAsia" w:eastAsiaTheme="minorEastAsia" w:cstheme="minorEastAsia"/>
          <w:bCs/>
          <w:sz w:val="24"/>
          <w:szCs w:val="24"/>
        </w:rPr>
        <w:t>一级保护区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_Toc18864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_Toc15954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3.2.2</w:t>
      </w:r>
      <w:r>
        <w:rPr>
          <w:rFonts w:hint="eastAsia" w:asciiTheme="minorEastAsia" w:hAnsiTheme="minorEastAsia" w:eastAsiaTheme="minorEastAsia" w:cstheme="minorEastAsia"/>
          <w:bCs/>
          <w:sz w:val="24"/>
          <w:szCs w:val="24"/>
        </w:rPr>
        <w:t>二级保护区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_Toc15954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_Toc12530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3.2.3</w:t>
      </w:r>
      <w:r>
        <w:rPr>
          <w:rFonts w:hint="eastAsia" w:asciiTheme="minorEastAsia" w:hAnsiTheme="minorEastAsia" w:eastAsiaTheme="minorEastAsia" w:cstheme="minorEastAsia"/>
          <w:bCs/>
          <w:sz w:val="24"/>
          <w:szCs w:val="24"/>
        </w:rPr>
        <w:t>准保护区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_Toc12530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_Toc21936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lang w:val="en-US" w:eastAsia="zh-CN"/>
        </w:rPr>
        <w:t>3.3 规划协调性符合性分析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_Toc21936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_Toc26376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 最终定界</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_Toc26376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_Toc5107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第四章 饮用水水源保护区划分方案与分析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_Toc5107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_Toc2889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饮用水水源保护区存在环境问题分析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_Toc2889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_Toc2103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 饮用水水源保护区污染整治措施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_Toc2103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_Toc4367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水量水质可达性分析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_Toc4367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_Toc15952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第五章 饮用水水源保护区的监督与管理措施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_Toc15952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_Toc19232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 饮用水水源保护区标志、隔离网的设置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_Toc19232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_Toc25388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5.1.1饮用水水源保护区图形标志的分类</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_Toc25388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_Toc11010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5.1.2饮用水水源保护区图形标志的内容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_Toc11010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_Toc317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5.1.3饮用水水源保护区图形标志的设立位置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_Toc7237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5.1.4饮用水水源保护区图形标志的构造</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_Toc7237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_Toc15667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5.1.5饮用水水源保护区图形标志的制作</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_Toc15667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_Toc25290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5.1.6 隔离网设置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_Toc25290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_Toc32143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5.2 饮用水水源保护区日常监测</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_Toc32143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_Toc23693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5.3 饮用水水源保护区环境监督管理要求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_Toc23693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_Toc31709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5.4 饮用水水源保护区风险防范与应急预案</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_Toc31709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_Toc19073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5.4.1 保护区内的风险定性分析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_Toc19073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_Toc29836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5.4.2 风险应急措施和应急预案</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_Toc29836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_Toc8567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第六章 饮用水源保护保障措施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_Toc8567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_Toc4802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6.1 资金保障</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_Toc4802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7"/>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_Toc11057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6.4 宣传与教育</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_Toc11057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_Toc24480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6.4.1建立公众参与机制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_Toc24480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9"/>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_Toc16652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6.4.2强化媒体宣教机制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_Toc16652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_Toc30928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附件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_Toc30928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_Toc29919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附表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_Toc29919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_Toc12370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附图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_Toc12370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spacing w:line="360" w:lineRule="auto"/>
      </w:pPr>
      <w:r>
        <w:rPr>
          <w:szCs w:val="24"/>
        </w:rPr>
        <w:fldChar w:fldCharType="end"/>
      </w:r>
    </w:p>
    <w:p>
      <w:pPr>
        <w:spacing w:line="360" w:lineRule="auto"/>
      </w:pPr>
    </w:p>
    <w:p>
      <w:pPr>
        <w:pStyle w:val="2"/>
        <w:spacing w:beforeLines="0" w:afterLines="0" w:line="360" w:lineRule="auto"/>
        <w:jc w:val="both"/>
        <w:sectPr>
          <w:footerReference r:id="rId9" w:type="default"/>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2"/>
        <w:spacing w:beforeLines="0" w:afterLines="0" w:line="360" w:lineRule="auto"/>
        <w:jc w:val="center"/>
      </w:pPr>
      <w:bookmarkStart w:id="2" w:name="_Toc3706"/>
      <w:r>
        <w:t>第一章 总论</w:t>
      </w:r>
      <w:bookmarkEnd w:id="0"/>
      <w:bookmarkEnd w:id="1"/>
      <w:bookmarkEnd w:id="2"/>
    </w:p>
    <w:p>
      <w:pPr>
        <w:pStyle w:val="3"/>
        <w:spacing w:beforeLines="0" w:afterLines="0" w:line="360" w:lineRule="auto"/>
        <w:rPr>
          <w:rFonts w:ascii="Times New Roman" w:hAnsi="Times New Roman"/>
        </w:rPr>
      </w:pPr>
      <w:bookmarkStart w:id="3" w:name="_Toc450121030"/>
      <w:bookmarkStart w:id="4" w:name="_Toc451526478"/>
      <w:bookmarkStart w:id="5" w:name="_Toc3703"/>
      <w:r>
        <w:rPr>
          <w:rFonts w:ascii="Times New Roman" w:hAnsi="Times New Roman"/>
        </w:rPr>
        <w:t xml:space="preserve">1.1 </w:t>
      </w:r>
      <w:bookmarkEnd w:id="3"/>
      <w:bookmarkEnd w:id="4"/>
      <w:r>
        <w:rPr>
          <w:rFonts w:ascii="Times New Roman" w:hAnsi="Times New Roman"/>
        </w:rPr>
        <w:t>工作背景与意义</w:t>
      </w:r>
      <w:bookmarkEnd w:id="5"/>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我国由于水源污染而引起的社会问题相当突出，饮用水源地保护问题已成为国计民生的重大问题。为保障人民饮水安全和水源地可持续开发利用，加强水污染防治和饮用水源保护工作，划分饮用水源保护区迫在眉睫。因此湖南省环保厅下发了《关于开展全省集中式饮用水水源保护区划分工作的通知》（湘环函【2015】459号），要求全省以市州、县为单位，彻底摸清辖区内集中饮用水源地的分布、水源构成、水质状况及保护区划定情况，划分水源地保护区范围，进而编制</w:t>
      </w:r>
      <w:r>
        <w:rPr>
          <w:rFonts w:hint="eastAsia" w:ascii="Times New Roman" w:hAnsi="Times New Roman" w:eastAsia="宋体" w:cs="Times New Roman"/>
          <w:sz w:val="24"/>
          <w:szCs w:val="22"/>
          <w:lang w:eastAsia="zh-CN"/>
        </w:rPr>
        <w:t>地下水</w:t>
      </w:r>
      <w:r>
        <w:rPr>
          <w:rFonts w:ascii="Times New Roman" w:hAnsi="Times New Roman" w:eastAsia="宋体" w:cs="Times New Roman"/>
          <w:sz w:val="24"/>
          <w:szCs w:val="22"/>
        </w:rPr>
        <w:t>饮用水水源保护区划分技术报告。</w:t>
      </w:r>
    </w:p>
    <w:p>
      <w:pPr>
        <w:adjustRightInd w:val="0"/>
        <w:snapToGrid w:val="0"/>
        <w:spacing w:line="360" w:lineRule="auto"/>
        <w:ind w:firstLine="480" w:firstLineChars="200"/>
        <w:rPr>
          <w:rFonts w:ascii="Times New Roman" w:hAnsi="Times New Roman" w:cs="Times New Roman"/>
          <w:szCs w:val="22"/>
        </w:rPr>
      </w:pPr>
      <w:r>
        <w:rPr>
          <w:rFonts w:ascii="Times New Roman" w:hAnsi="Times New Roman" w:eastAsia="宋体" w:cs="Times New Roman"/>
          <w:sz w:val="24"/>
          <w:szCs w:val="22"/>
        </w:rPr>
        <w:t>按照通知要求，湘阴县人民政府委托我公司承担 “湘阴县</w:t>
      </w:r>
      <w:bookmarkStart w:id="6" w:name="OLE_LINK37"/>
      <w:r>
        <w:rPr>
          <w:rFonts w:ascii="Times New Roman" w:hAnsi="Times New Roman" w:eastAsia="宋体" w:cs="Times New Roman"/>
          <w:sz w:val="24"/>
          <w:szCs w:val="22"/>
        </w:rPr>
        <w:t>南湖洲镇</w:t>
      </w:r>
      <w:bookmarkEnd w:id="6"/>
      <w:r>
        <w:rPr>
          <w:rFonts w:hint="eastAsia" w:ascii="Times New Roman" w:hAnsi="Times New Roman" w:eastAsia="宋体" w:cs="Times New Roman"/>
          <w:sz w:val="24"/>
          <w:szCs w:val="22"/>
        </w:rPr>
        <w:t>南湖水厂地下水</w:t>
      </w:r>
      <w:r>
        <w:rPr>
          <w:rFonts w:ascii="Times New Roman" w:hAnsi="Times New Roman" w:eastAsia="宋体" w:cs="Times New Roman"/>
          <w:sz w:val="24"/>
          <w:szCs w:val="22"/>
        </w:rPr>
        <w:t>饮用水源保护区划分项目技术报告”的编制工作。</w:t>
      </w:r>
    </w:p>
    <w:p>
      <w:pPr>
        <w:pStyle w:val="3"/>
        <w:spacing w:beforeLines="0" w:afterLines="0" w:line="360" w:lineRule="auto"/>
        <w:rPr>
          <w:rFonts w:ascii="Times New Roman" w:hAnsi="Times New Roman"/>
        </w:rPr>
      </w:pPr>
      <w:bookmarkStart w:id="7" w:name="_Toc15922"/>
      <w:bookmarkStart w:id="8" w:name="_Toc458323072"/>
      <w:r>
        <w:rPr>
          <w:rFonts w:ascii="Times New Roman" w:hAnsi="Times New Roman"/>
        </w:rPr>
        <w:t>1.2划定依据</w:t>
      </w:r>
      <w:bookmarkEnd w:id="7"/>
      <w:bookmarkEnd w:id="8"/>
    </w:p>
    <w:p>
      <w:pPr>
        <w:pStyle w:val="4"/>
        <w:spacing w:beforeLines="0" w:afterLines="0" w:line="360" w:lineRule="auto"/>
      </w:pPr>
      <w:bookmarkStart w:id="9" w:name="_Toc10525"/>
      <w:bookmarkStart w:id="10" w:name="_Toc458323073"/>
      <w:bookmarkStart w:id="11" w:name="_Toc451526483"/>
      <w:r>
        <w:t>1.2.1 相关法律法规、规章</w:t>
      </w:r>
      <w:bookmarkEnd w:id="9"/>
      <w:bookmarkEnd w:id="10"/>
      <w:bookmarkEnd w:id="11"/>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（1）《中华人民共和国环境保护法》（2014修订）；</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（2）《中华人民共和国水法》（2016.07修订）；</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（3）《中华人民共和国水污染防治法》（2017 年 6 月第二次修正，2018 年6 月1 日起施行）；</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（4）《饮用水水源保护区污染防治管理规定》（2010.12）</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（5）《关于废止、修改部分环保部门规章和规范性文件的决定》（部令第16号，2010.12.22）。</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（6）《湖南省湘江保护条例》（自2013年4月1日起施行）；</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（7）《湖南省饮用水水源保护条例》（自2018年1月1日起施行）；</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（8）《湖南省环境保护厅关于划定岳阳市湘阴县地下水饮用水水源保护区 复函》（湘环函[2018]236号）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（9）湘阴县人民政府办公室关于印发《湘阴县饮用水水源保护区管理办法》</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的通知(2013年8月14日)；</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（10）《生活饮用水集中式供水单位卫生规范》（卫监发[2001]161 号）</w:t>
      </w:r>
    </w:p>
    <w:p>
      <w:pPr>
        <w:pStyle w:val="4"/>
        <w:spacing w:beforeLines="0" w:afterLines="0" w:line="360" w:lineRule="auto"/>
      </w:pPr>
      <w:bookmarkStart w:id="12" w:name="_Toc458323074"/>
      <w:bookmarkStart w:id="13" w:name="_Toc7794"/>
      <w:bookmarkStart w:id="14" w:name="_Toc451526484"/>
      <w:r>
        <w:t>1.2.2技术标准</w:t>
      </w:r>
      <w:bookmarkEnd w:id="12"/>
      <w:bookmarkEnd w:id="13"/>
      <w:bookmarkEnd w:id="14"/>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1）《生活饮用水卫生标准》（GB5749-2006）；</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（2）《生活饮用水水源水质标准》（CJ3020-93）；</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（3）《地下水质量标准》（GB/T 14848-2017）；</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（4）《水资源评价导则》（SL/T238—1999）；</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（5）《饮用水水源保护区划分技术规范》（HJ338—2018）；</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（6）《饮用水水源保护区标志技术要求》（HJ/T433—2008）；</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（7）《集中式饮用水水源环境保护指南（试行）》（2012.3）；</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（8）关于印发《地表水环境质量评价办法（试行）》的通知（环办【2011】22号）；</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（9）《全国集中式生活饮用水水源地水质监测实施方案》（环办函【2012】1266号）；</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（10）《湖南省主要地表水系水环境功能区划》（DB43/023-2005）</w:t>
      </w:r>
      <w:r>
        <w:rPr>
          <w:rFonts w:hint="eastAsia" w:ascii="Times New Roman" w:hAnsi="Times New Roman" w:eastAsia="宋体" w:cs="Times New Roman"/>
          <w:sz w:val="24"/>
          <w:szCs w:val="22"/>
        </w:rPr>
        <w:t>;</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w:t>
      </w:r>
      <w:r>
        <w:rPr>
          <w:rFonts w:hint="eastAsia" w:ascii="Times New Roman" w:hAnsi="Times New Roman" w:eastAsia="宋体" w:cs="Times New Roman"/>
          <w:sz w:val="24"/>
          <w:szCs w:val="22"/>
          <w:lang w:val="en-US" w:eastAsia="zh-CN"/>
        </w:rPr>
        <w:t>1</w:t>
      </w:r>
      <w:r>
        <w:rPr>
          <w:rFonts w:hint="eastAsia" w:ascii="Times New Roman" w:hAnsi="Times New Roman" w:eastAsia="宋体" w:cs="Times New Roman"/>
          <w:sz w:val="24"/>
          <w:szCs w:val="22"/>
        </w:rPr>
        <w:t>）湖南省环境保护厅关于印发《湖南省集中式饮用水水源保护区划分工 作指南》的通知（湘环函[2016]196 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w:t>
      </w:r>
      <w:r>
        <w:rPr>
          <w:rFonts w:hint="eastAsia" w:ascii="Times New Roman" w:hAnsi="Times New Roman" w:eastAsia="宋体" w:cs="Times New Roman"/>
          <w:sz w:val="24"/>
          <w:szCs w:val="22"/>
          <w:lang w:val="en-US" w:eastAsia="zh-CN"/>
        </w:rPr>
        <w:t>2</w:t>
      </w:r>
      <w:r>
        <w:rPr>
          <w:rFonts w:hint="eastAsia" w:ascii="Times New Roman" w:hAnsi="Times New Roman" w:eastAsia="宋体" w:cs="Times New Roman"/>
          <w:sz w:val="24"/>
          <w:szCs w:val="22"/>
        </w:rPr>
        <w:t>）《集中式饮用水水源地规范化整治建设环境保护技术要求》（HJ337-2015）；</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w:t>
      </w:r>
      <w:r>
        <w:rPr>
          <w:rFonts w:hint="eastAsia" w:ascii="Times New Roman" w:hAnsi="Times New Roman" w:eastAsia="宋体" w:cs="Times New Roman"/>
          <w:sz w:val="24"/>
          <w:szCs w:val="22"/>
          <w:lang w:val="en-US" w:eastAsia="zh-CN"/>
        </w:rPr>
        <w:t>3</w:t>
      </w: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val="en-US" w:eastAsia="zh-CN"/>
        </w:rPr>
        <w:t xml:space="preserve"> </w:t>
      </w:r>
      <w:r>
        <w:rPr>
          <w:rFonts w:hint="eastAsia" w:ascii="Times New Roman" w:hAnsi="Times New Roman" w:eastAsia="宋体" w:cs="Times New Roman"/>
          <w:sz w:val="24"/>
          <w:szCs w:val="22"/>
        </w:rPr>
        <w:t>《关于答复全国集中式饮用水水源地环境保护专项行动有关问题的函》（环办环监函[2018]767 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w:t>
      </w:r>
      <w:r>
        <w:rPr>
          <w:rFonts w:hint="eastAsia" w:ascii="Times New Roman" w:hAnsi="Times New Roman" w:eastAsia="宋体" w:cs="Times New Roman"/>
          <w:sz w:val="24"/>
          <w:szCs w:val="22"/>
          <w:lang w:val="en-US" w:eastAsia="zh-CN"/>
        </w:rPr>
        <w:t>4</w:t>
      </w:r>
      <w:r>
        <w:rPr>
          <w:rFonts w:hint="eastAsia" w:ascii="Times New Roman" w:hAnsi="Times New Roman" w:eastAsia="宋体" w:cs="Times New Roman"/>
          <w:sz w:val="24"/>
          <w:szCs w:val="22"/>
        </w:rPr>
        <w:t>）《关于答复2019 年饮用水水源地环境保护专项行动有关问题的函》（环办执法函[2019]647 号）；</w:t>
      </w:r>
    </w:p>
    <w:p>
      <w:pPr>
        <w:adjustRightInd w:val="0"/>
        <w:snapToGrid w:val="0"/>
        <w:spacing w:line="360" w:lineRule="auto"/>
        <w:ind w:firstLine="480" w:firstLineChars="200"/>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w:t>
      </w:r>
      <w:r>
        <w:rPr>
          <w:rFonts w:hint="eastAsia" w:ascii="Times New Roman" w:hAnsi="Times New Roman" w:eastAsia="宋体" w:cs="Times New Roman"/>
          <w:sz w:val="24"/>
          <w:szCs w:val="22"/>
          <w:highlight w:val="none"/>
          <w:lang w:val="en-US" w:eastAsia="zh-CN"/>
        </w:rPr>
        <w:t>5</w:t>
      </w:r>
      <w:r>
        <w:rPr>
          <w:rFonts w:hint="eastAsia" w:ascii="Times New Roman" w:hAnsi="Times New Roman" w:eastAsia="宋体" w:cs="Times New Roman"/>
          <w:sz w:val="24"/>
          <w:szCs w:val="22"/>
          <w:highlight w:val="none"/>
        </w:rPr>
        <w:t>）《关于推进乡镇及以下集中式饮用水水源地生态环境保护工作的指导意见》（环水体函[2019]92 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w:t>
      </w:r>
      <w:r>
        <w:rPr>
          <w:rFonts w:hint="eastAsia" w:ascii="Times New Roman" w:hAnsi="Times New Roman" w:eastAsia="宋体" w:cs="Times New Roman"/>
          <w:sz w:val="24"/>
          <w:szCs w:val="22"/>
          <w:lang w:val="en-US" w:eastAsia="zh-CN"/>
        </w:rPr>
        <w:t>6</w:t>
      </w:r>
      <w:r>
        <w:rPr>
          <w:rFonts w:hint="eastAsia" w:ascii="Times New Roman" w:hAnsi="Times New Roman" w:eastAsia="宋体" w:cs="Times New Roman"/>
          <w:sz w:val="24"/>
          <w:szCs w:val="22"/>
        </w:rPr>
        <w:t>）《2019 年全省生态环境监测方案》（湘环办[2019]11 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w:t>
      </w:r>
      <w:r>
        <w:rPr>
          <w:rFonts w:hint="eastAsia" w:ascii="Times New Roman" w:hAnsi="Times New Roman" w:eastAsia="宋体" w:cs="Times New Roman"/>
          <w:sz w:val="24"/>
          <w:szCs w:val="22"/>
          <w:lang w:val="en-US" w:eastAsia="zh-CN"/>
        </w:rPr>
        <w:t>7</w:t>
      </w:r>
      <w:r>
        <w:rPr>
          <w:rFonts w:hint="eastAsia" w:ascii="Times New Roman" w:hAnsi="Times New Roman" w:eastAsia="宋体" w:cs="Times New Roman"/>
          <w:sz w:val="24"/>
          <w:szCs w:val="22"/>
        </w:rPr>
        <w:t>）《污染防治攻坚战“2019 年夏季攻势”任务清单》（湘生环委发[2019]4 号）。</w:t>
      </w:r>
    </w:p>
    <w:p>
      <w:pPr>
        <w:adjustRightInd w:val="0"/>
        <w:snapToGrid w:val="0"/>
        <w:spacing w:line="360" w:lineRule="auto"/>
        <w:ind w:firstLine="480" w:firstLineChars="200"/>
        <w:rPr>
          <w:rFonts w:ascii="Times New Roman" w:hAnsi="Times New Roman" w:eastAsia="宋体" w:cs="Times New Roman"/>
          <w:sz w:val="24"/>
          <w:szCs w:val="22"/>
        </w:rPr>
      </w:pPr>
    </w:p>
    <w:p>
      <w:pPr>
        <w:adjustRightInd w:val="0"/>
        <w:snapToGrid w:val="0"/>
        <w:spacing w:line="360" w:lineRule="auto"/>
        <w:ind w:firstLine="480" w:firstLineChars="200"/>
        <w:rPr>
          <w:rFonts w:ascii="Times New Roman" w:hAnsi="Times New Roman" w:eastAsia="宋体" w:cs="Times New Roman"/>
          <w:sz w:val="24"/>
          <w:szCs w:val="22"/>
        </w:rPr>
      </w:pPr>
    </w:p>
    <w:p>
      <w:pPr>
        <w:pStyle w:val="4"/>
        <w:spacing w:beforeLines="0" w:afterLines="0" w:line="360" w:lineRule="auto"/>
      </w:pPr>
      <w:bookmarkStart w:id="15" w:name="_Toc28389"/>
      <w:bookmarkStart w:id="16" w:name="_Toc458323075"/>
      <w:bookmarkStart w:id="17" w:name="_Toc451526485"/>
      <w:r>
        <w:t>1.2.3 相关文件、规划资料</w:t>
      </w:r>
      <w:bookmarkEnd w:id="15"/>
      <w:bookmarkEnd w:id="16"/>
      <w:bookmarkEnd w:id="17"/>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（1）《湖南省水功能区划》（2014年修编）；</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（2）《湘阴县县城总体规划（2008-2030）》；</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（3）《岳阳市重要饮用水水源名录》；</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w:t>
      </w:r>
      <w:r>
        <w:rPr>
          <w:rFonts w:hint="eastAsia" w:ascii="Times New Roman" w:hAnsi="Times New Roman" w:eastAsia="宋体" w:cs="Times New Roman"/>
          <w:sz w:val="24"/>
          <w:szCs w:val="22"/>
        </w:rPr>
        <w:t>4</w:t>
      </w:r>
      <w:r>
        <w:rPr>
          <w:rFonts w:ascii="Times New Roman" w:hAnsi="Times New Roman" w:eastAsia="宋体" w:cs="Times New Roman"/>
          <w:sz w:val="24"/>
          <w:szCs w:val="22"/>
        </w:rPr>
        <w:t>）湘阴县人民政府办公室关于印发《湘阴县饮用水水源保护区管理暂行办法》的通知(2013年8月14日)；</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（5）《湖南省主要地表水系水环境功能区划》（DB43/023-2005）； </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（6）水井的钻孔柱状图、成井工艺图等相关水文地质资料；</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（7）供水工程初步设计资料；</w:t>
      </w:r>
    </w:p>
    <w:p>
      <w:pPr>
        <w:adjustRightInd w:val="0"/>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rPr>
        <w:t>（8）洞庭湖区域的水文地质资</w:t>
      </w:r>
      <w:r>
        <w:rPr>
          <w:rFonts w:hint="eastAsia" w:ascii="Times New Roman" w:hAnsi="Times New Roman" w:eastAsia="宋体" w:cs="Times New Roman"/>
          <w:sz w:val="24"/>
          <w:szCs w:val="22"/>
          <w:lang w:eastAsia="zh-CN"/>
        </w:rPr>
        <w:t>料；</w:t>
      </w:r>
    </w:p>
    <w:p>
      <w:pPr>
        <w:pStyle w:val="3"/>
        <w:spacing w:beforeLines="0" w:afterLines="0" w:line="360" w:lineRule="auto"/>
        <w:rPr>
          <w:rFonts w:ascii="Times New Roman" w:hAnsi="Times New Roman"/>
        </w:rPr>
      </w:pPr>
      <w:bookmarkStart w:id="18" w:name="_Toc13351"/>
      <w:bookmarkStart w:id="19" w:name="_Toc458323076"/>
      <w:r>
        <w:rPr>
          <w:rFonts w:ascii="Times New Roman" w:hAnsi="Times New Roman"/>
        </w:rPr>
        <w:t>1.3 区划原则</w:t>
      </w:r>
      <w:bookmarkEnd w:id="18"/>
      <w:bookmarkEnd w:id="19"/>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（1）保护优先原则。为了确保水源地水质，应对保护范围内以保护为主，禁止在划定范围新建居民区、投肥养殖、畜禽养殖、限制建设开发等活动。</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（2）保护工作重心放在预防上，以防为主，防治结合。水源地保护区应根据水源地所处的地理位置、水文地质条件、供水的数量、取水方式和污染源的分布划定。</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（3）水质达标原则。满足《饮用水水源保护区划分技术规范》（HJ 338—2018）中地下水饮用水源保护区水质要求。</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（4）保护区范围科学合理原则。在确保水源水质不受污染的前提下，科学合理的划定水源保护区范围。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（5）因地制宜原则。划定的</w:t>
      </w:r>
      <w:r>
        <w:rPr>
          <w:rFonts w:hint="eastAsia" w:ascii="Times New Roman" w:hAnsi="Times New Roman" w:eastAsia="宋体" w:cs="Times New Roman"/>
          <w:sz w:val="24"/>
          <w:szCs w:val="22"/>
        </w:rPr>
        <w:t>一级保护</w:t>
      </w:r>
      <w:r>
        <w:rPr>
          <w:rFonts w:ascii="Times New Roman" w:hAnsi="Times New Roman" w:eastAsia="宋体" w:cs="Times New Roman"/>
          <w:sz w:val="24"/>
          <w:szCs w:val="22"/>
        </w:rPr>
        <w:t>保护区，应防止水源附近人类活动对水源的直接污染；</w:t>
      </w:r>
      <w:r>
        <w:rPr>
          <w:rFonts w:hint="eastAsia" w:ascii="Times New Roman" w:hAnsi="Times New Roman" w:eastAsia="宋体" w:cs="Times New Roman"/>
          <w:sz w:val="24"/>
          <w:szCs w:val="22"/>
        </w:rPr>
        <w:t>划定的二级保护区，</w:t>
      </w:r>
      <w:r>
        <w:rPr>
          <w:rFonts w:ascii="Times New Roman" w:hAnsi="Times New Roman" w:eastAsia="宋体" w:cs="Times New Roman"/>
          <w:sz w:val="24"/>
          <w:szCs w:val="22"/>
        </w:rPr>
        <w:t>应足以使所选定的主要污染物在向取水点输移（或运移）过程中，衰减到所期望的浓度水平；在正常情况下保证取水水质达到规定要求，一旦出现污染水源的突发情况，有采取紧急补救措施的时间和缓冲地带。</w:t>
      </w:r>
    </w:p>
    <w:p>
      <w:pPr>
        <w:pStyle w:val="3"/>
        <w:spacing w:beforeLines="0" w:afterLines="0" w:line="360" w:lineRule="auto"/>
        <w:rPr>
          <w:rFonts w:ascii="Times New Roman" w:hAnsi="Times New Roman"/>
        </w:rPr>
      </w:pPr>
      <w:bookmarkStart w:id="20" w:name="_Toc10429"/>
      <w:r>
        <w:rPr>
          <w:rFonts w:ascii="Times New Roman" w:hAnsi="Times New Roman"/>
        </w:rPr>
        <w:t>1.4. 区划范围</w:t>
      </w:r>
      <w:bookmarkEnd w:id="20"/>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湘阴县南湖洲镇</w:t>
      </w:r>
      <w:r>
        <w:rPr>
          <w:rFonts w:hint="eastAsia" w:ascii="Times New Roman" w:hAnsi="Times New Roman" w:eastAsia="宋体" w:cs="Times New Roman"/>
          <w:sz w:val="24"/>
          <w:szCs w:val="22"/>
        </w:rPr>
        <w:t>南湖水厂地下水</w:t>
      </w:r>
      <w:r>
        <w:rPr>
          <w:rFonts w:ascii="Times New Roman" w:hAnsi="Times New Roman" w:eastAsia="宋体" w:cs="Times New Roman"/>
          <w:sz w:val="24"/>
          <w:szCs w:val="22"/>
        </w:rPr>
        <w:t>饮用</w:t>
      </w:r>
      <w:r>
        <w:rPr>
          <w:rFonts w:hint="eastAsia" w:ascii="Times New Roman" w:hAnsi="Times New Roman" w:eastAsia="宋体" w:cs="Times New Roman"/>
          <w:sz w:val="24"/>
          <w:szCs w:val="22"/>
          <w:lang w:eastAsia="zh-CN"/>
        </w:rPr>
        <w:t>水</w:t>
      </w:r>
      <w:r>
        <w:rPr>
          <w:rFonts w:hint="eastAsia" w:ascii="Times New Roman" w:hAnsi="Times New Roman" w:eastAsia="宋体" w:cs="Times New Roman"/>
          <w:sz w:val="24"/>
          <w:szCs w:val="22"/>
        </w:rPr>
        <w:t>源</w:t>
      </w:r>
      <w:r>
        <w:rPr>
          <w:rFonts w:ascii="Times New Roman" w:hAnsi="Times New Roman" w:eastAsia="宋体" w:cs="Times New Roman"/>
          <w:sz w:val="24"/>
          <w:szCs w:val="22"/>
        </w:rPr>
        <w:t>保护区位于湘阴县南湖洲镇南湖新村，水源地为南湖洲镇内的一个水井，位于南湖水厂内。</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根据《饮用水水源保护区划分技术规范》（HJ338-2018）和《湖南省集中式</w:t>
      </w:r>
    </w:p>
    <w:p>
      <w:pPr>
        <w:adjustRightInd w:val="0"/>
        <w:snapToGrid w:val="0"/>
        <w:spacing w:line="360" w:lineRule="auto"/>
        <w:rPr>
          <w:rFonts w:ascii="Times New Roman" w:hAnsi="Times New Roman" w:eastAsia="宋体" w:cs="Times New Roman"/>
          <w:sz w:val="24"/>
          <w:szCs w:val="22"/>
        </w:rPr>
      </w:pPr>
      <w:r>
        <w:rPr>
          <w:rFonts w:ascii="Times New Roman" w:hAnsi="Times New Roman" w:eastAsia="宋体" w:cs="Times New Roman"/>
          <w:sz w:val="24"/>
          <w:szCs w:val="22"/>
        </w:rPr>
        <w:t>饮用水水源保护区划分工作指南》，确定本次</w:t>
      </w:r>
      <w:r>
        <w:rPr>
          <w:rFonts w:hint="eastAsia" w:ascii="Times New Roman" w:hAnsi="Times New Roman" w:eastAsia="宋体" w:cs="Times New Roman"/>
          <w:sz w:val="24"/>
          <w:szCs w:val="22"/>
        </w:rPr>
        <w:t>区划</w:t>
      </w:r>
      <w:r>
        <w:rPr>
          <w:rFonts w:ascii="Times New Roman" w:hAnsi="Times New Roman" w:eastAsia="宋体" w:cs="Times New Roman"/>
          <w:sz w:val="24"/>
          <w:szCs w:val="22"/>
        </w:rPr>
        <w:t>范围为水源保护区范围及</w:t>
      </w:r>
      <w:r>
        <w:rPr>
          <w:rFonts w:hint="eastAsia" w:ascii="Times New Roman" w:hAnsi="Times New Roman" w:eastAsia="宋体" w:cs="Times New Roman"/>
          <w:sz w:val="24"/>
          <w:szCs w:val="22"/>
          <w:lang w:eastAsia="zh-CN"/>
        </w:rPr>
        <w:t>取水口</w:t>
      </w:r>
      <w:r>
        <w:rPr>
          <w:rFonts w:ascii="Times New Roman" w:hAnsi="Times New Roman" w:eastAsia="宋体" w:cs="Times New Roman"/>
          <w:sz w:val="24"/>
          <w:szCs w:val="22"/>
        </w:rPr>
        <w:t>周边1</w:t>
      </w:r>
      <w:r>
        <w:rPr>
          <w:rFonts w:hint="eastAsia" w:ascii="Times New Roman" w:hAnsi="Times New Roman" w:eastAsia="宋体" w:cs="Times New Roman"/>
          <w:sz w:val="24"/>
          <w:szCs w:val="22"/>
          <w:lang w:val="en-US" w:eastAsia="zh-CN"/>
        </w:rPr>
        <w:t>k</w:t>
      </w:r>
      <w:r>
        <w:rPr>
          <w:rFonts w:ascii="Times New Roman" w:hAnsi="Times New Roman" w:eastAsia="宋体" w:cs="Times New Roman"/>
          <w:sz w:val="24"/>
          <w:szCs w:val="22"/>
        </w:rPr>
        <w:t>m区域。</w:t>
      </w:r>
    </w:p>
    <w:p>
      <w:pPr>
        <w:pStyle w:val="3"/>
        <w:spacing w:beforeLines="0" w:afterLines="0" w:line="360" w:lineRule="auto"/>
        <w:rPr>
          <w:rFonts w:ascii="Times New Roman" w:hAnsi="Times New Roman"/>
        </w:rPr>
      </w:pPr>
      <w:bookmarkStart w:id="21" w:name="_Toc1370"/>
      <w:r>
        <w:rPr>
          <w:rFonts w:ascii="Times New Roman" w:hAnsi="Times New Roman"/>
        </w:rPr>
        <w:t>1.5 工作过程与总体成果</w:t>
      </w:r>
      <w:bookmarkEnd w:id="21"/>
    </w:p>
    <w:p>
      <w:pPr>
        <w:pStyle w:val="4"/>
        <w:spacing w:beforeLines="0" w:afterLines="0" w:line="360" w:lineRule="auto"/>
      </w:pPr>
      <w:bookmarkStart w:id="22" w:name="_Toc27158"/>
      <w:bookmarkStart w:id="23" w:name="_Toc453061707"/>
      <w:bookmarkStart w:id="24" w:name="_Toc453061553"/>
      <w:r>
        <w:t>1.5.1技术路线</w:t>
      </w:r>
      <w:bookmarkEnd w:id="22"/>
      <w:bookmarkEnd w:id="23"/>
      <w:bookmarkEnd w:id="24"/>
      <w:r>
        <w:tab/>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湘阴县南湖洲镇</w:t>
      </w:r>
      <w:r>
        <w:rPr>
          <w:rFonts w:hint="eastAsia" w:ascii="Times New Roman" w:hAnsi="Times New Roman" w:eastAsia="宋体" w:cs="Times New Roman"/>
          <w:sz w:val="24"/>
          <w:szCs w:val="22"/>
          <w:lang w:eastAsia="zh-CN"/>
        </w:rPr>
        <w:t>南湖水厂地下水</w:t>
      </w:r>
      <w:r>
        <w:rPr>
          <w:rFonts w:ascii="Times New Roman" w:hAnsi="Times New Roman" w:eastAsia="宋体" w:cs="Times New Roman"/>
          <w:sz w:val="24"/>
          <w:szCs w:val="22"/>
        </w:rPr>
        <w:t>饮用水源保护区划分，按照以下技术路线开展工作：</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（1）开展饮用水水源地基础情况、水质状况、环境管理状况调查，分析水源地存在的水质和管理问题，识别水源地主要环境问题和环境风险情况</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①饮用水源地所在区域或流域自然状况（水文特征、气象等）、生态与环境状况调查、社会经济状况（辖区面积、人口、GDP、水资源利用、供水格局等）等。</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②饮用水源地基础信息：类型（如地表水、地下水，地表水是河流型还是水库或湖泊等等），地理位置、取水口位置、日供水量、服务人口、供水方式等。</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③水质调查及分析。通过收集取水口常规监测断面的监测资料以及补充监测数据，分析水源地水体水质情况，得出水源地水体水质是否满足相关标准要求。</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④污染源调查。调查水源地1km范围内工业污染源情况、农业面源污染源情况、生活污染源及其它可能污染水质的情况，支流汇入情况等（包括重要气型污染源）。</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（2）依据不同水源地技术资料的详尽程度，结合环境管理现状及要求，筛选出适宜的保护区划分方法，通过计算分析，合理确定保护区的范围，并初步确定保护区主要拐点的经纬度坐标。</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（3）进行保护区的现场勘界，最终确定主要拐点的经纬度坐标。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（4）依据最终保护区的经纬度坐标，修订保护区边界，核定保护区范围和面积。</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（5）制作保护区的图件。</w:t>
      </w:r>
    </w:p>
    <w:p>
      <w:pPr>
        <w:adjustRightInd w:val="0"/>
        <w:snapToGrid w:val="0"/>
        <w:spacing w:line="360" w:lineRule="auto"/>
        <w:ind w:firstLine="480" w:firstLineChars="200"/>
        <w:rPr>
          <w:rFonts w:ascii="Times New Roman" w:hAnsi="Times New Roman" w:cs="Times New Roman"/>
          <w:b/>
          <w:szCs w:val="21"/>
        </w:rPr>
      </w:pPr>
      <w:r>
        <w:rPr>
          <w:rFonts w:ascii="Times New Roman" w:hAnsi="Times New Roman" w:eastAsia="宋体" w:cs="Times New Roman"/>
          <w:sz w:val="24"/>
          <w:szCs w:val="22"/>
        </w:rPr>
        <w:t>（6）编制饮用水源保护区划分技术报告，完成技术方案。</w:t>
      </w:r>
    </w:p>
    <w:p>
      <w:pPr>
        <w:pStyle w:val="4"/>
        <w:spacing w:beforeLines="0" w:afterLines="0" w:line="360" w:lineRule="auto"/>
      </w:pPr>
      <w:bookmarkStart w:id="25" w:name="_Toc453061554"/>
      <w:bookmarkStart w:id="26" w:name="_Toc453061708"/>
      <w:bookmarkStart w:id="27" w:name="_Toc438805125"/>
      <w:bookmarkStart w:id="28" w:name="_Toc3862"/>
      <w:r>
        <w:t>1.5.2工作内容</w:t>
      </w:r>
      <w:bookmarkEnd w:id="25"/>
      <w:bookmarkEnd w:id="26"/>
      <w:bookmarkEnd w:id="27"/>
      <w:bookmarkEnd w:id="28"/>
      <w:r>
        <w:tab/>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（1）调查水源地及其外围的环境条件。</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（2）调查和收集水源地水资源开发利用现状及其有关资料。</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（3）调查和评价水源地水质状况，分析水源地附近及周边区域污染物对水源地水质的影响。</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（4） 结合基础资料及水质评价，分析南湖洲镇</w:t>
      </w:r>
      <w:r>
        <w:rPr>
          <w:rFonts w:hint="eastAsia" w:ascii="Times New Roman" w:hAnsi="Times New Roman" w:eastAsia="宋体" w:cs="Times New Roman"/>
          <w:sz w:val="24"/>
          <w:szCs w:val="22"/>
          <w:lang w:eastAsia="zh-CN"/>
        </w:rPr>
        <w:t>地下水</w:t>
      </w:r>
      <w:r>
        <w:rPr>
          <w:rFonts w:ascii="Times New Roman" w:hAnsi="Times New Roman" w:eastAsia="宋体" w:cs="Times New Roman"/>
          <w:sz w:val="24"/>
          <w:szCs w:val="22"/>
        </w:rPr>
        <w:t>饮用水源地基础状况。</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（5）按照技术规范的要求，提出水源保护区划分方案，计算保护区范围及边界控制条件。</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（6）对饮用水源保护区存在环境问题进行分析，提出饮用水源保护区污染整治措施。</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（7）提出饮用水源保护区的监督与管理措施。</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（8）提出饮用水源保护保障措施。</w:t>
      </w:r>
    </w:p>
    <w:p>
      <w:pPr>
        <w:adjustRightInd w:val="0"/>
        <w:snapToGrid w:val="0"/>
        <w:spacing w:line="360" w:lineRule="auto"/>
        <w:ind w:firstLine="480" w:firstLineChars="200"/>
        <w:rPr>
          <w:rFonts w:ascii="Times New Roman" w:hAnsi="Times New Roman" w:eastAsia="宋体" w:cs="Times New Roman"/>
          <w:sz w:val="24"/>
          <w:szCs w:val="22"/>
        </w:rPr>
      </w:pP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br w:type="page"/>
      </w:r>
    </w:p>
    <w:p>
      <w:pPr>
        <w:pStyle w:val="2"/>
        <w:spacing w:beforeLines="0" w:afterLines="0" w:line="360" w:lineRule="auto"/>
        <w:jc w:val="center"/>
        <w:rPr>
          <w:bCs/>
          <w:kern w:val="2"/>
          <w:szCs w:val="36"/>
        </w:rPr>
      </w:pPr>
      <w:bookmarkStart w:id="29" w:name="_Toc7596"/>
      <w:r>
        <w:t>第二章 饮用水水源保护区背景分析</w:t>
      </w:r>
      <w:bookmarkEnd w:id="29"/>
    </w:p>
    <w:p>
      <w:pPr>
        <w:pStyle w:val="3"/>
        <w:spacing w:beforeLines="0" w:afterLines="0" w:line="360" w:lineRule="auto"/>
        <w:rPr>
          <w:rFonts w:ascii="Times New Roman" w:hAnsi="Times New Roman"/>
        </w:rPr>
      </w:pPr>
      <w:bookmarkStart w:id="30" w:name="_Toc21406"/>
      <w:r>
        <w:rPr>
          <w:rFonts w:ascii="Times New Roman" w:hAnsi="Times New Roman"/>
        </w:rPr>
        <w:t>2.1自然状况</w:t>
      </w:r>
      <w:bookmarkEnd w:id="30"/>
    </w:p>
    <w:p>
      <w:pPr>
        <w:pStyle w:val="4"/>
        <w:spacing w:beforeLines="0" w:afterLines="0" w:line="360" w:lineRule="auto"/>
      </w:pPr>
      <w:bookmarkStart w:id="31" w:name="_Toc451526490"/>
      <w:bookmarkStart w:id="32" w:name="_Toc15707"/>
      <w:r>
        <w:t>2.1.1地理位置</w:t>
      </w:r>
      <w:bookmarkEnd w:id="31"/>
      <w:bookmarkEnd w:id="32"/>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湘阴县位于湖南省东北部，南洞庭湖滨，湘资两水尾闾，东邻汨罗市、西接益阳市，南界望城县、长沙市，北抵沅江市、屈原行政管理区，东经 112 °30 ′～113 ° 02′，北纬 28 °30 ′～29 °03 ′，现隶属湖南省岳阳市，土地总面积1581.5 km²，湘阴县行区划图2-1所示。</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湘阴县南湖洲镇</w:t>
      </w:r>
      <w:r>
        <w:rPr>
          <w:rFonts w:hint="eastAsia" w:ascii="Times New Roman" w:hAnsi="Times New Roman" w:eastAsia="宋体" w:cs="Times New Roman"/>
          <w:sz w:val="24"/>
          <w:szCs w:val="22"/>
          <w:lang w:eastAsia="zh-CN"/>
        </w:rPr>
        <w:t>南湖水厂地下水</w:t>
      </w:r>
      <w:r>
        <w:rPr>
          <w:rFonts w:ascii="Times New Roman" w:hAnsi="Times New Roman" w:eastAsia="宋体" w:cs="Times New Roman"/>
          <w:sz w:val="24"/>
          <w:szCs w:val="22"/>
        </w:rPr>
        <w:t>饮用水源保护区水源为南湖水厂，位于南湖</w:t>
      </w:r>
      <w:r>
        <w:rPr>
          <w:rFonts w:hint="eastAsia" w:ascii="Times New Roman" w:hAnsi="Times New Roman" w:eastAsia="宋体" w:cs="Times New Roman"/>
          <w:sz w:val="24"/>
          <w:szCs w:val="22"/>
          <w:lang w:eastAsia="zh-CN"/>
        </w:rPr>
        <w:t>新</w:t>
      </w:r>
      <w:r>
        <w:rPr>
          <w:rFonts w:ascii="Times New Roman" w:hAnsi="Times New Roman" w:eastAsia="宋体" w:cs="Times New Roman"/>
          <w:sz w:val="24"/>
          <w:szCs w:val="22"/>
        </w:rPr>
        <w:t>村内。其水源地位置（示意）见图2-2。</w:t>
      </w:r>
    </w:p>
    <w:p>
      <w:pPr>
        <w:adjustRightInd w:val="0"/>
        <w:snapToGrid w:val="0"/>
        <w:spacing w:line="360" w:lineRule="auto"/>
        <w:ind w:firstLine="420" w:firstLineChars="200"/>
        <w:jc w:val="center"/>
        <w:rPr>
          <w:rFonts w:ascii="Times New Roman" w:hAnsi="Times New Roman" w:cs="Times New Roman"/>
          <w:szCs w:val="22"/>
        </w:rPr>
      </w:pPr>
      <w:r>
        <w:rPr>
          <w:rFonts w:hint="default" w:ascii="Times New Roman" w:hAnsi="Times New Roman" w:cs="Times New Roman"/>
        </w:rPr>
        <w:drawing>
          <wp:inline distT="0" distB="0" distL="114300" distR="114300">
            <wp:extent cx="4015105" cy="4017010"/>
            <wp:effectExtent l="0" t="0" r="4445" b="254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2"/>
                    <a:stretch>
                      <a:fillRect/>
                    </a:stretch>
                  </pic:blipFill>
                  <pic:spPr>
                    <a:xfrm>
                      <a:off x="0" y="0"/>
                      <a:ext cx="4015105" cy="4017010"/>
                    </a:xfrm>
                    <a:prstGeom prst="rect">
                      <a:avLst/>
                    </a:prstGeom>
                    <a:noFill/>
                    <a:ln w="9525">
                      <a:noFill/>
                    </a:ln>
                  </pic:spPr>
                </pic:pic>
              </a:graphicData>
            </a:graphic>
          </wp:inline>
        </w:drawing>
      </w:r>
    </w:p>
    <w:p>
      <w:pPr>
        <w:adjustRightInd w:val="0"/>
        <w:snapToGrid w:val="0"/>
        <w:spacing w:line="360" w:lineRule="auto"/>
        <w:jc w:val="both"/>
        <w:rPr>
          <w:rFonts w:ascii="Times New Roman" w:hAnsi="Times New Roman" w:eastAsia="宋体" w:cs="Times New Roman"/>
          <w:b/>
          <w:szCs w:val="21"/>
        </w:rPr>
      </w:pPr>
    </w:p>
    <w:p>
      <w:pPr>
        <w:adjustRightInd w:val="0"/>
        <w:snapToGrid w:val="0"/>
        <w:spacing w:line="360" w:lineRule="auto"/>
        <w:ind w:firstLine="422" w:firstLineChars="200"/>
        <w:jc w:val="center"/>
        <w:rPr>
          <w:rFonts w:ascii="Times New Roman" w:hAnsi="Times New Roman" w:eastAsia="宋体" w:cs="Times New Roman"/>
          <w:b/>
          <w:szCs w:val="21"/>
        </w:rPr>
      </w:pPr>
      <w:r>
        <w:rPr>
          <w:rFonts w:ascii="Times New Roman" w:hAnsi="Times New Roman" w:eastAsia="宋体" w:cs="Times New Roman"/>
          <w:b/>
          <w:szCs w:val="21"/>
        </w:rPr>
        <w:t>图2-1   湘阴县行政区划图</w:t>
      </w:r>
    </w:p>
    <w:p>
      <w:pPr>
        <w:adjustRightInd w:val="0"/>
        <w:snapToGrid w:val="0"/>
        <w:spacing w:line="360" w:lineRule="auto"/>
        <w:rPr>
          <w:rFonts w:ascii="Times New Roman" w:hAnsi="Times New Roman" w:cs="Times New Roman"/>
          <w:szCs w:val="22"/>
        </w:rPr>
      </w:pPr>
    </w:p>
    <w:p>
      <w:pPr>
        <w:adjustRightInd w:val="0"/>
        <w:snapToGrid w:val="0"/>
        <w:spacing w:line="360" w:lineRule="auto"/>
        <w:rPr>
          <w:rFonts w:ascii="Times New Roman" w:hAnsi="Times New Roman" w:cs="Times New Roman"/>
          <w:szCs w:val="22"/>
        </w:rPr>
      </w:pPr>
    </w:p>
    <w:p>
      <w:pPr>
        <w:adjustRightInd w:val="0"/>
        <w:snapToGrid w:val="0"/>
        <w:spacing w:line="360" w:lineRule="auto"/>
        <w:jc w:val="center"/>
        <w:rPr>
          <w:rFonts w:ascii="Times New Roman" w:hAnsi="Times New Roman" w:cs="Times New Roman"/>
          <w:szCs w:val="22"/>
        </w:rPr>
      </w:pPr>
      <w:r>
        <w:rPr>
          <w:rFonts w:ascii="宋体" w:hAnsi="宋体" w:eastAsia="宋体" w:cs="宋体"/>
          <w:kern w:val="0"/>
          <w:sz w:val="24"/>
          <w:szCs w:val="24"/>
          <w:lang w:val="en-US" w:eastAsia="zh-CN" w:bidi="ar"/>
        </w:rPr>
        <w:drawing>
          <wp:inline distT="0" distB="0" distL="114300" distR="114300">
            <wp:extent cx="4381500" cy="3162300"/>
            <wp:effectExtent l="0" t="0" r="0" b="0"/>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13"/>
                    <a:stretch>
                      <a:fillRect/>
                    </a:stretch>
                  </pic:blipFill>
                  <pic:spPr>
                    <a:xfrm>
                      <a:off x="0" y="0"/>
                      <a:ext cx="4381500" cy="3162300"/>
                    </a:xfrm>
                    <a:prstGeom prst="rect">
                      <a:avLst/>
                    </a:prstGeom>
                    <a:noFill/>
                    <a:ln w="9525">
                      <a:noFill/>
                    </a:ln>
                  </pic:spPr>
                </pic:pic>
              </a:graphicData>
            </a:graphic>
          </wp:inline>
        </w:drawing>
      </w:r>
    </w:p>
    <w:p>
      <w:pPr>
        <w:adjustRightInd w:val="0"/>
        <w:snapToGrid w:val="0"/>
        <w:spacing w:line="360" w:lineRule="auto"/>
        <w:ind w:firstLine="422" w:firstLineChars="200"/>
        <w:jc w:val="center"/>
        <w:rPr>
          <w:rFonts w:ascii="Times New Roman" w:hAnsi="Times New Roman" w:eastAsia="宋体" w:cs="Times New Roman"/>
          <w:b/>
          <w:szCs w:val="21"/>
        </w:rPr>
      </w:pPr>
      <w:r>
        <w:rPr>
          <w:rFonts w:ascii="Times New Roman" w:hAnsi="Times New Roman" w:eastAsia="宋体" w:cs="Times New Roman"/>
          <w:b/>
          <w:szCs w:val="21"/>
        </w:rPr>
        <w:t>图2-2   水源地位置图</w:t>
      </w:r>
      <w:bookmarkStart w:id="33" w:name="_Toc451526491"/>
    </w:p>
    <w:p>
      <w:pPr>
        <w:pStyle w:val="4"/>
        <w:spacing w:beforeLines="0" w:afterLines="0" w:line="360" w:lineRule="auto"/>
      </w:pPr>
      <w:bookmarkStart w:id="34" w:name="_Toc2908"/>
      <w:r>
        <w:t>2.1.2地形地貌</w:t>
      </w:r>
      <w:bookmarkEnd w:id="33"/>
      <w:bookmarkEnd w:id="34"/>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湘阴县地貌呈低山、岗地、平原三种形态，具有三大特征：其一，地势东南高，西北低。位居幕阜山余脉走向洞庭湖凹陷处的过渡带上，地势自东南向西北递降，形成一个微向洞庭湖盆中心的倾斜面。最高处青山庵，海拔552.4m，最低处濠河口河底，低于黄海水平面4.3m米。其二，以滨湖平原为主体，呈块状分布。地处湘江大断裂带，构成低山、岗地；西盘下切，形成滨湖平原。除去江河湖泊及其它水面，滨湖、江河、溪谷3种平原共702.11 km²，占全县总面积的44.4%，岗地占13.59%，低山占1.51%。其三，河湖交汇，水域广阔。山岗地区水系发育不良，北部平原、湖洲地区河湖交汇。</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highlight w:val="none"/>
        </w:rPr>
        <w:t>本水源地处于湘阴县西部平原区。</w:t>
      </w:r>
      <w:r>
        <w:rPr>
          <w:rFonts w:hint="eastAsia" w:ascii="Times New Roman" w:hAnsi="Times New Roman" w:eastAsia="宋体" w:cs="Times New Roman"/>
          <w:sz w:val="24"/>
          <w:szCs w:val="22"/>
        </w:rPr>
        <w:t>地貌类型以平原和岗地为主，土壤以水稻土、红壤、潮土为主，土地适种性广。</w:t>
      </w:r>
      <w:bookmarkStart w:id="35" w:name="_Toc451526492"/>
    </w:p>
    <w:p>
      <w:pPr>
        <w:pStyle w:val="4"/>
        <w:spacing w:beforeLines="0" w:afterLines="0" w:line="360" w:lineRule="auto"/>
      </w:pPr>
      <w:bookmarkStart w:id="36" w:name="_Toc13793"/>
      <w:r>
        <w:t>2.1.3地质条件</w:t>
      </w:r>
      <w:bookmarkEnd w:id="35"/>
      <w:bookmarkEnd w:id="36"/>
    </w:p>
    <w:p>
      <w:pPr>
        <w:pStyle w:val="5"/>
        <w:spacing w:beforeLines="0" w:afterLines="0" w:line="360" w:lineRule="auto"/>
        <w:rPr>
          <w:rFonts w:ascii="Times New Roman" w:hAnsi="Times New Roman" w:cs="Times New Roman"/>
        </w:rPr>
      </w:pPr>
      <w:bookmarkStart w:id="37" w:name="_Toc5670"/>
      <w:r>
        <w:rPr>
          <w:rFonts w:hint="eastAsia" w:ascii="Times New Roman" w:hAnsi="Times New Roman" w:cs="Times New Roman"/>
        </w:rPr>
        <w:t>2.1.3.1 地质背景</w:t>
      </w:r>
      <w:bookmarkEnd w:id="37"/>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湘阴县位于洞庭湖构造盆地的西缘，其地层条件受洞庭湖构造演化控制。评估区属于湖积盆地，出露地层主要为第四系中更新统及全新统松散层。</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洞庭湖盆地是扬子地台上的断陷盆地，形成于中生代。盆地形成之前，经受了武陵、雪峰、加里东、海西、印支期构造运动的改造、迭加，为盆地的形成奠定了基础。盆地形成的同时，在其四周形成了隆起带，东面为幕阜山隆起，西面为武陵隆起、北面为华容隆起，南西为雪峰山隆起。早白垩纪是盆地形成的初期阶段，早期燕山运动形成了桃源山间盆地，后扩展至石门一带，其它广大地区仍处于隆起剥蚀中。中晚白垩纪是盆地发展扩大阶段，燕山运动使四周上升，湖盆下降形成东起汨罗、西至澧县、南起益阳、北抵南县的浩瀚大湖。不均衡的上升和下降，在盆地内形成了北东向的凸起和凹陷，凸起和凹陷间断裂构造发育。从西至东有澧县凹陷、太阳山凹陷、常桃凹陷、目平湖凹陷、沅江—湘阴凹陷，凹陷内沉积了一套逾6000 米的红色砾、砂、泥岩多韵律组合；凸起区由元古界和古生界地层组成。至这个时期，洞庭湖拗陷盆地基本形成。第三纪喜马拉雅运动早期表现为凸起扩大，凹陷缩小，盆地萎缩，盆地周边隆起带继续上升，至第三纪末整个盆地隆起成陆。洞庭湖盆地从白垩纪拗陷成湖至第三纪末隆起成陆，标志着第一个构造旋回结束。第四纪时期，受新构造运动作用，盆地周边间歇性抬升，内部凹陷，形成以洞庭湖为中心，湘、资、沅、澧四水为主体的碟形盆地。沉积厚度逾300 米（图2-</w:t>
      </w:r>
      <w:r>
        <w:rPr>
          <w:rFonts w:hint="eastAsia" w:ascii="Times New Roman" w:hAnsi="Times New Roman" w:eastAsia="宋体" w:cs="Times New Roman"/>
          <w:sz w:val="24"/>
          <w:szCs w:val="22"/>
          <w:lang w:val="en-US" w:eastAsia="zh-CN"/>
        </w:rPr>
        <w:t>3</w:t>
      </w:r>
      <w:r>
        <w:rPr>
          <w:rFonts w:hint="eastAsia" w:ascii="Times New Roman" w:hAnsi="Times New Roman" w:eastAsia="宋体" w:cs="Times New Roman"/>
          <w:sz w:val="24"/>
          <w:szCs w:val="22"/>
        </w:rPr>
        <w:t>）。</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由图 2-</w:t>
      </w:r>
      <w:r>
        <w:rPr>
          <w:rFonts w:hint="eastAsia" w:ascii="Times New Roman" w:hAnsi="Times New Roman" w:eastAsia="宋体" w:cs="Times New Roman"/>
          <w:sz w:val="24"/>
          <w:szCs w:val="22"/>
          <w:lang w:val="en-US" w:eastAsia="zh-CN"/>
        </w:rPr>
        <w:t>3</w:t>
      </w:r>
      <w:r>
        <w:rPr>
          <w:rFonts w:hint="eastAsia" w:ascii="Times New Roman" w:hAnsi="Times New Roman" w:eastAsia="宋体" w:cs="Times New Roman"/>
          <w:sz w:val="24"/>
          <w:szCs w:val="22"/>
        </w:rPr>
        <w:t xml:space="preserve"> 可看出，湘阴县第四系厚度在 130m-180m 左右，自东部丘岗向西部湖盆逐渐增厚。</w:t>
      </w:r>
    </w:p>
    <w:p>
      <w:pPr>
        <w:adjustRightInd w:val="0"/>
        <w:snapToGrid w:val="0"/>
        <w:spacing w:line="360" w:lineRule="auto"/>
        <w:ind w:firstLine="480" w:firstLineChars="200"/>
        <w:jc w:val="center"/>
        <w:rPr>
          <w:rFonts w:ascii="Times New Roman" w:hAnsi="Times New Roman" w:eastAsia="宋体" w:cs="Times New Roman"/>
          <w:sz w:val="24"/>
          <w:szCs w:val="22"/>
        </w:rPr>
      </w:pPr>
      <w:r>
        <w:rPr>
          <w:rFonts w:hint="eastAsia" w:ascii="Times New Roman" w:hAnsi="Times New Roman" w:eastAsia="宋体" w:cs="Times New Roman"/>
          <w:sz w:val="24"/>
          <w:szCs w:val="22"/>
        </w:rPr>
        <w:drawing>
          <wp:inline distT="0" distB="0" distL="114300" distR="114300">
            <wp:extent cx="4029710" cy="2535555"/>
            <wp:effectExtent l="0" t="0" r="8890" b="17145"/>
            <wp:docPr id="1" name="1058" descr="1058"/>
            <wp:cNvGraphicFramePr/>
            <a:graphic xmlns:a="http://schemas.openxmlformats.org/drawingml/2006/main">
              <a:graphicData uri="http://schemas.openxmlformats.org/drawingml/2006/picture">
                <pic:pic xmlns:pic="http://schemas.openxmlformats.org/drawingml/2006/picture">
                  <pic:nvPicPr>
                    <pic:cNvPr id="1" name="1058" descr="1058"/>
                    <pic:cNvPicPr preferRelativeResize="0">
                      <a:picLocks noChangeArrowheads="1"/>
                    </pic:cNvPicPr>
                  </pic:nvPicPr>
                  <pic:blipFill>
                    <a:blip r:embed="rId14" cstate="print">
                      <a:clrChange>
                        <a:clrFrom>
                          <a:srgbClr val="FFFFFF"/>
                        </a:clrFrom>
                        <a:clrTo>
                          <a:srgbClr val="FFFFFF">
                            <a:alpha val="0"/>
                          </a:srgbClr>
                        </a:clrTo>
                      </a:clrChange>
                    </a:blip>
                    <a:srcRect/>
                    <a:stretch>
                      <a:fillRect/>
                    </a:stretch>
                  </pic:blipFill>
                  <pic:spPr>
                    <a:xfrm>
                      <a:off x="0" y="0"/>
                      <a:ext cx="4029710" cy="2535555"/>
                    </a:xfrm>
                    <a:custGeom>
                      <a:avLst/>
                      <a:gdLst>
                        <a:gd name="T0" fmla="*/ 0 w 8438"/>
                        <a:gd name="T1" fmla="*/ 0 h 6476"/>
                        <a:gd name="T2" fmla="*/ 0 w 8438"/>
                        <a:gd name="T3" fmla="*/ 6476 h 6476"/>
                        <a:gd name="T4" fmla="*/ 8438 w 8438"/>
                        <a:gd name="T5" fmla="*/ 6476 h 6476"/>
                        <a:gd name="T6" fmla="*/ 8438 w 8438"/>
                        <a:gd name="T7" fmla="*/ 0 h 6476"/>
                      </a:gdLst>
                      <a:ahLst/>
                      <a:cxnLst>
                        <a:cxn ang="0">
                          <a:pos x="T0" y="T1"/>
                        </a:cxn>
                        <a:cxn ang="0">
                          <a:pos x="T2" y="T3"/>
                        </a:cxn>
                        <a:cxn ang="0">
                          <a:pos x="T4" y="T5"/>
                        </a:cxn>
                        <a:cxn ang="0">
                          <a:pos x="T6" y="T7"/>
                        </a:cxn>
                      </a:cxnLst>
                      <a:rect l="0" t="0" r="r" b="b"/>
                      <a:pathLst>
                        <a:path w="8438" h="6476">
                          <a:moveTo>
                            <a:pt x="0" y="0"/>
                          </a:moveTo>
                          <a:lnTo>
                            <a:pt x="0" y="6476"/>
                          </a:lnTo>
                          <a:lnTo>
                            <a:pt x="8438" y="6476"/>
                          </a:lnTo>
                          <a:lnTo>
                            <a:pt x="8438" y="0"/>
                          </a:lnTo>
                          <a:close/>
                        </a:path>
                      </a:pathLst>
                    </a:custGeom>
                    <a:noFill/>
                    <a:ln w="9525" cap="rnd">
                      <a:noFill/>
                      <a:round/>
                    </a:ln>
                  </pic:spPr>
                </pic:pic>
              </a:graphicData>
            </a:graphic>
          </wp:inline>
        </w:drawing>
      </w:r>
    </w:p>
    <w:p>
      <w:pPr>
        <w:adjustRightInd w:val="0"/>
        <w:snapToGrid w:val="0"/>
        <w:spacing w:line="360" w:lineRule="auto"/>
        <w:ind w:firstLine="422" w:firstLineChars="200"/>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图2-</w:t>
      </w:r>
      <w:r>
        <w:rPr>
          <w:rFonts w:hint="eastAsia" w:ascii="Times New Roman" w:hAnsi="Times New Roman" w:eastAsia="宋体" w:cs="Times New Roman"/>
          <w:b/>
          <w:szCs w:val="21"/>
          <w:lang w:val="en-US" w:eastAsia="zh-CN"/>
        </w:rPr>
        <w:t>3</w:t>
      </w:r>
      <w:r>
        <w:rPr>
          <w:rFonts w:hint="eastAsia" w:ascii="Times New Roman" w:hAnsi="Times New Roman" w:eastAsia="宋体" w:cs="Times New Roman"/>
          <w:b/>
          <w:szCs w:val="21"/>
        </w:rPr>
        <w:t>洞庭湖区第四系沉</w:t>
      </w:r>
      <w:r>
        <w:rPr>
          <w:rFonts w:hint="eastAsia" w:ascii="Times New Roman" w:hAnsi="Times New Roman" w:eastAsia="宋体" w:cs="Times New Roman"/>
          <w:b/>
          <w:szCs w:val="21"/>
          <w:lang w:val="en-US" w:eastAsia="zh-CN"/>
        </w:rPr>
        <w:t>积厚度等值线图</w:t>
      </w:r>
    </w:p>
    <w:p>
      <w:pPr>
        <w:pStyle w:val="5"/>
        <w:spacing w:beforeLines="0" w:afterLines="0" w:line="360" w:lineRule="auto"/>
        <w:rPr>
          <w:rFonts w:ascii="Times New Roman" w:hAnsi="Times New Roman" w:eastAsia="宋体" w:cs="Times New Roman"/>
          <w:sz w:val="24"/>
          <w:szCs w:val="22"/>
        </w:rPr>
      </w:pPr>
      <w:bookmarkStart w:id="38" w:name="_Toc15749"/>
      <w:r>
        <w:rPr>
          <w:rFonts w:hint="eastAsia" w:ascii="Times New Roman" w:hAnsi="Times New Roman" w:cs="Times New Roman"/>
        </w:rPr>
        <w:t>2.1.3.2区域地层岩性</w:t>
      </w:r>
      <w:bookmarkEnd w:id="38"/>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根据收集的资料，本水源地所在的洞庭湖盆地为第四系。</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（1）汩罗组（Qp1m）:为河湖交互相碎屑粘土。岩性为河湖相沉积的深棕红色、灰褐色砂层、砂砾层夹砂质粘土和粉质粘土。</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（2）新开铺组（Qp2x）：岩性为河湖交互相砾石层与黄色沙砾层、粗砾层及泥砂互层。主要在县城西南的湘江两岸一带有出露。</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（3）白沙井组（Qp2b）:为冲湖积形成。岩性为棕黄色、棕红色砾石层、砂层及粘土层，具砾粘二元结构。在洞庭湖盆区周边的丘陵、东湖等地广泛出露。</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（4）马王堆组（Qp2mw）：岩性为沙砾层、含砾砂层，偶夹粘土。主要出露于东塘镇以北及楚塘附近。</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（5）下蜀组（Qp3xs）：岩性为黄褐色、棕黄、灰黄色含铁锰质结核和薄膜的砂质粘土、粉砂质粘土、粘土、粉砂，局部含淤泥质和炭化植物残骸，底部偶发育有细砾层。在县城西北部偶有出露。</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（6）洞庭湖组湖沼相沉积（Qhdl ): 岩性为灰色、灰褐色、灰黑色、棕褐色砂质粘土、粉砂、细砂粘土、含钙质粉砂质粘土、淤泥。底部偶含细砾。广泛分布于县城的西北部。</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（7）洞庭湖组河湖相沉积（Qhdal）: 岩性为河湖相灰色、灰褐 争砂质沾土、含钙质粘土。广泛分布于县城的北部一带。</w:t>
      </w:r>
    </w:p>
    <w:p>
      <w:pPr>
        <w:pStyle w:val="5"/>
        <w:spacing w:beforeLines="0" w:afterLines="0" w:line="360" w:lineRule="auto"/>
        <w:rPr>
          <w:rFonts w:hint="eastAsia" w:ascii="Times New Roman" w:hAnsi="Times New Roman" w:cs="Times New Roman"/>
        </w:rPr>
      </w:pPr>
      <w:bookmarkStart w:id="39" w:name="_Toc30672"/>
      <w:r>
        <w:rPr>
          <w:rFonts w:hint="eastAsia" w:ascii="Times New Roman" w:hAnsi="Times New Roman" w:cs="Times New Roman"/>
        </w:rPr>
        <w:t>2.1.3.3 地质构造</w:t>
      </w:r>
      <w:bookmarkEnd w:id="39"/>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洞庭湖区内的构造活动大多受区域性的大构造所制约，主要有：</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1、北东向构造</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北东向构造为区内的主控构造，在区内十分醒目。公田－东雾山－涟源断裂带（F12）：为一条区域性的规模巨大的大型复式断裂带。其东南盘上升，北西盘下降，走向NE－NNE，倾向NW，倾角70º,控制着洞庭湖区的东南边界，并控制着燕山晚期花岗岩体及K2－E1 的沉积分布。该断裂带西北侧主要为新生界地层覆盖，东南侧则主要为元古界地层和岩浆岩侵入体出露。</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2、北北东向构造</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自西至东最为：钱粮湖－刘家湖断裂带（F20-1）、岳阳－宁乡断裂带(F20-2) 两条区域性的断裂带。它们分别控制着现代东洞庭湖的东西边界。</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（1）钱粮湖－刘家湖断裂带（F20-1）：走向 10º，倾向E，倾角陡，长百余公里，东盘（下降盘）第四系齐全，厚达210 米，底板标高-180 米以下，西盘（上升盘）北部为后岗地形，基岩裸露。</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（2）岳阳－宁乡断裂带(F20-2)：为东升西降之正断层，东盘接受 Q1、Q2 的沉积，厚100米左右，一般上升为丘陵、垄岗地形。</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3、南北向构造</w:t>
      </w:r>
    </w:p>
    <w:p>
      <w:pPr>
        <w:adjustRightInd w:val="0"/>
        <w:snapToGrid w:val="0"/>
        <w:spacing w:line="360" w:lineRule="auto"/>
        <w:ind w:firstLine="480" w:firstLineChars="200"/>
        <w:rPr>
          <w:rFonts w:hint="eastAsia" w:ascii="Times New Roman" w:hAnsi="Times New Roman" w:eastAsia="宋体" w:cs="Times New Roman"/>
          <w:sz w:val="24"/>
          <w:szCs w:val="22"/>
          <w:lang w:eastAsia="zh-CN"/>
        </w:rPr>
      </w:pPr>
      <w:r>
        <w:rPr>
          <w:rFonts w:ascii="Times New Roman" w:hAnsi="Times New Roman" w:eastAsia="宋体" w:cs="Times New Roman"/>
          <w:sz w:val="24"/>
          <w:szCs w:val="22"/>
        </w:rPr>
        <w:t>区内南北向构造一般延伸不远，主要有</w:t>
      </w:r>
      <w:r>
        <w:rPr>
          <w:rFonts w:hint="eastAsia" w:ascii="Times New Roman" w:hAnsi="Times New Roman" w:eastAsia="宋体" w:cs="Times New Roman"/>
          <w:sz w:val="24"/>
          <w:szCs w:val="22"/>
          <w:lang w:eastAsia="zh-CN"/>
        </w:rPr>
        <w:t>：</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（1）大乘寺－白马寺断裂亚带（F16-2）：此断裂带位于洞庭围镇－白马寺镇一带，呈近南北走向。</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（2）福临断裂带（F17）：该断裂带由一组走向北北东向的断裂组成，主体位于评估区东部岩体区。</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4、东西向构造</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常德－桃林断裂带（F2）：由常德－桃林和蒋家咀－汩罗两条断续、平行呈带状分布的断裂亚带组成。位于评估区以北至汩罗区域内，控制着现代南洞庭湖的南北边界。</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以上区域性的构造走向以北东向为主，控制着区内的岩浆岩、地层的分布。对工作区内的地形地貌也起到了一定的控制作用。</w:t>
      </w:r>
      <w:r>
        <w:rPr>
          <w:rFonts w:ascii="Times New Roman" w:hAnsi="Times New Roman" w:eastAsia="宋体" w:cs="Times New Roman"/>
          <w:sz w:val="24"/>
          <w:szCs w:val="22"/>
        </w:rPr>
        <w:pict>
          <v:shape id="_x0000_s1026" o:spid="_x0000_s1026" o:spt="100" style="position:absolute;left:0pt;margin-left:0pt;margin-top:0pt;height:50pt;width:50pt;visibility:hidden;z-index:251659264;mso-width-relative:page;mso-height-relative:page;" coordsize="21600,21600" path="m0,0l0,8330,6990,8330,6990,0xe">
            <v:path o:connecttype="segments"/>
            <v:fill focussize="0,0"/>
            <v:stroke joinstyle="round"/>
            <v:imagedata o:title=""/>
            <o:lock v:ext="edit" selection="t"/>
          </v:shape>
        </w:pict>
      </w:r>
    </w:p>
    <w:p>
      <w:pPr>
        <w:adjustRightInd w:val="0"/>
        <w:snapToGrid w:val="0"/>
        <w:spacing w:line="360" w:lineRule="auto"/>
        <w:ind w:firstLine="480" w:firstLineChars="200"/>
        <w:jc w:val="center"/>
        <w:rPr>
          <w:rFonts w:ascii="Times New Roman" w:hAnsi="Times New Roman" w:eastAsia="宋体" w:cs="Times New Roman"/>
          <w:sz w:val="24"/>
          <w:szCs w:val="22"/>
        </w:rPr>
      </w:pPr>
      <w:r>
        <w:rPr>
          <w:rFonts w:ascii="Times New Roman" w:hAnsi="Times New Roman" w:eastAsia="宋体" w:cs="Times New Roman"/>
          <w:sz w:val="24"/>
          <w:szCs w:val="22"/>
        </w:rPr>
        <w:drawing>
          <wp:inline distT="0" distB="0" distL="114300" distR="114300">
            <wp:extent cx="3381375" cy="4686300"/>
            <wp:effectExtent l="0" t="0" r="0" b="0"/>
            <wp:docPr id="8" name="1059" descr="1059"/>
            <wp:cNvGraphicFramePr/>
            <a:graphic xmlns:a="http://schemas.openxmlformats.org/drawingml/2006/main">
              <a:graphicData uri="http://schemas.openxmlformats.org/drawingml/2006/picture">
                <pic:pic xmlns:pic="http://schemas.openxmlformats.org/drawingml/2006/picture">
                  <pic:nvPicPr>
                    <pic:cNvPr id="8" name="1059" descr="1059"/>
                    <pic:cNvPicPr preferRelativeResize="0">
                      <a:picLocks noChangeArrowheads="1"/>
                    </pic:cNvPicPr>
                  </pic:nvPicPr>
                  <pic:blipFill>
                    <a:blip r:embed="rId15" cstate="print">
                      <a:clrChange>
                        <a:clrFrom>
                          <a:srgbClr val="FFFFFF"/>
                        </a:clrFrom>
                        <a:clrTo>
                          <a:srgbClr val="FFFFFF">
                            <a:alpha val="0"/>
                          </a:srgbClr>
                        </a:clrTo>
                      </a:clrChange>
                    </a:blip>
                    <a:srcRect/>
                    <a:stretch>
                      <a:fillRect/>
                    </a:stretch>
                  </pic:blipFill>
                  <pic:spPr>
                    <a:xfrm>
                      <a:off x="0" y="0"/>
                      <a:ext cx="3381375" cy="4686300"/>
                    </a:xfrm>
                    <a:custGeom>
                      <a:avLst/>
                      <a:gdLst>
                        <a:gd name="T0" fmla="*/ 0 w 6990"/>
                        <a:gd name="T1" fmla="*/ 0 h 8330"/>
                        <a:gd name="T2" fmla="*/ 0 w 6990"/>
                        <a:gd name="T3" fmla="*/ 8330 h 8330"/>
                        <a:gd name="T4" fmla="*/ 6990 w 6990"/>
                        <a:gd name="T5" fmla="*/ 8330 h 8330"/>
                        <a:gd name="T6" fmla="*/ 6990 w 6990"/>
                        <a:gd name="T7" fmla="*/ 0 h 8330"/>
                      </a:gdLst>
                      <a:ahLst/>
                      <a:cxnLst>
                        <a:cxn ang="0">
                          <a:pos x="T0" y="T1"/>
                        </a:cxn>
                        <a:cxn ang="0">
                          <a:pos x="T2" y="T3"/>
                        </a:cxn>
                        <a:cxn ang="0">
                          <a:pos x="T4" y="T5"/>
                        </a:cxn>
                        <a:cxn ang="0">
                          <a:pos x="T6" y="T7"/>
                        </a:cxn>
                      </a:cxnLst>
                      <a:rect l="0" t="0" r="r" b="b"/>
                      <a:pathLst>
                        <a:path w="6990" h="8330">
                          <a:moveTo>
                            <a:pt x="0" y="0"/>
                          </a:moveTo>
                          <a:lnTo>
                            <a:pt x="0" y="8330"/>
                          </a:lnTo>
                          <a:lnTo>
                            <a:pt x="6990" y="8330"/>
                          </a:lnTo>
                          <a:lnTo>
                            <a:pt x="6990" y="0"/>
                          </a:lnTo>
                          <a:close/>
                        </a:path>
                      </a:pathLst>
                    </a:custGeom>
                    <a:noFill/>
                    <a:ln>
                      <a:noFill/>
                    </a:ln>
                  </pic:spPr>
                </pic:pic>
              </a:graphicData>
            </a:graphic>
          </wp:inline>
        </w:drawing>
      </w:r>
    </w:p>
    <w:p>
      <w:pPr>
        <w:adjustRightInd w:val="0"/>
        <w:snapToGrid w:val="0"/>
        <w:spacing w:line="360" w:lineRule="auto"/>
        <w:ind w:firstLine="422" w:firstLineChars="200"/>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图2-</w:t>
      </w:r>
      <w:r>
        <w:rPr>
          <w:rFonts w:hint="eastAsia" w:ascii="Times New Roman" w:hAnsi="Times New Roman" w:eastAsia="宋体" w:cs="Times New Roman"/>
          <w:b/>
          <w:szCs w:val="21"/>
          <w:lang w:val="en-US" w:eastAsia="zh-CN"/>
        </w:rPr>
        <w:t>4</w:t>
      </w:r>
      <w:r>
        <w:rPr>
          <w:rFonts w:hint="eastAsia" w:ascii="Times New Roman" w:hAnsi="Times New Roman" w:eastAsia="宋体" w:cs="Times New Roman"/>
          <w:b/>
          <w:szCs w:val="21"/>
        </w:rPr>
        <w:t xml:space="preserve"> 湖南省构造及地壳稳定性图</w:t>
      </w:r>
    </w:p>
    <w:p>
      <w:pPr>
        <w:pStyle w:val="5"/>
        <w:spacing w:beforeLines="0" w:afterLines="0" w:line="360" w:lineRule="auto"/>
        <w:rPr>
          <w:rFonts w:hint="eastAsia" w:ascii="Times New Roman" w:hAnsi="Times New Roman" w:cs="Times New Roman"/>
        </w:rPr>
      </w:pPr>
      <w:bookmarkStart w:id="40" w:name="_Toc23785"/>
      <w:r>
        <w:rPr>
          <w:rFonts w:hint="eastAsia" w:ascii="Times New Roman" w:hAnsi="Times New Roman" w:cs="Times New Roman"/>
        </w:rPr>
        <w:t>2.1.3.4 水文地质条件</w:t>
      </w:r>
      <w:bookmarkEnd w:id="40"/>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（一）含水层分布及赋水性</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1、区域特点</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ascii="Times New Roman" w:hAnsi="Times New Roman" w:eastAsia="宋体" w:cs="Times New Roman"/>
          <w:sz w:val="24"/>
          <w:szCs w:val="22"/>
        </w:rPr>
        <w:t>由图2-</w:t>
      </w:r>
      <w:r>
        <w:rPr>
          <w:rFonts w:hint="eastAsia" w:ascii="Times New Roman" w:hAnsi="Times New Roman" w:eastAsia="宋体" w:cs="Times New Roman"/>
          <w:sz w:val="24"/>
          <w:szCs w:val="22"/>
          <w:lang w:val="en-US" w:eastAsia="zh-CN"/>
        </w:rPr>
        <w:t>3</w:t>
      </w:r>
      <w:r>
        <w:rPr>
          <w:rFonts w:ascii="Times New Roman" w:hAnsi="Times New Roman" w:eastAsia="宋体" w:cs="Times New Roman"/>
          <w:sz w:val="24"/>
          <w:szCs w:val="22"/>
        </w:rPr>
        <w:t>和图2-4可知，洞庭湖盆地平原广泛分布第四系松散岩类孔隙含水层，水源地所在区第四系平均厚度超过130m，孔隙承压水是该地区最主要的含水层类型。主要含水层为全新统砂砾石层，该含水层水量丰富，单井水量可达</w:t>
      </w:r>
      <w:r>
        <w:rPr>
          <w:rFonts w:hint="default" w:ascii="Times New Roman" w:hAnsi="Times New Roman" w:eastAsia="宋体" w:cs="Times New Roman"/>
          <w:sz w:val="24"/>
          <w:szCs w:val="22"/>
        </w:rPr>
        <w:t xml:space="preserve">1000m³/d </w:t>
      </w:r>
      <w:r>
        <w:rPr>
          <w:rFonts w:ascii="Times New Roman" w:hAnsi="Times New Roman" w:eastAsia="宋体" w:cs="Times New Roman"/>
          <w:sz w:val="24"/>
          <w:szCs w:val="22"/>
        </w:rPr>
        <w:t>以上。</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2、水井钻孔成井资料</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本次收集了《湘阴县南湖洲</w:t>
      </w:r>
      <w:r>
        <w:rPr>
          <w:rFonts w:hint="eastAsia" w:ascii="Times New Roman" w:hAnsi="Times New Roman" w:eastAsia="宋体" w:cs="Times New Roman"/>
          <w:sz w:val="24"/>
          <w:szCs w:val="22"/>
          <w:lang w:eastAsia="zh-CN"/>
        </w:rPr>
        <w:t>镇南湖</w:t>
      </w:r>
      <w:r>
        <w:rPr>
          <w:rFonts w:hint="eastAsia" w:ascii="Times New Roman" w:hAnsi="Times New Roman" w:eastAsia="宋体" w:cs="Times New Roman"/>
          <w:sz w:val="24"/>
          <w:szCs w:val="22"/>
        </w:rPr>
        <w:t>水厂水井钻孔柱状图和成井工艺图》水源井在湘阴县南湖洲镇，水源地位于洞庭湖平原东南部，场地含水层主要为第四系</w:t>
      </w:r>
      <w:r>
        <w:rPr>
          <w:rFonts w:hint="eastAsia" w:ascii="Times New Roman" w:hAnsi="Times New Roman" w:eastAsia="宋体" w:cs="Times New Roman"/>
          <w:sz w:val="24"/>
          <w:szCs w:val="22"/>
          <w:lang w:eastAsia="zh-CN"/>
        </w:rPr>
        <w:t>沉积结构</w:t>
      </w: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eastAsia="zh-CN"/>
        </w:rPr>
        <w:t>砂砾石层沉积较厚，含水量十分丰富，可作为水厂取水水源，且上部具有较好的隔水层，对防止地表水和浅层地下水侵入，是个十分有利的自然条件</w:t>
      </w:r>
      <w:r>
        <w:rPr>
          <w:rFonts w:hint="eastAsia" w:ascii="Times New Roman" w:hAnsi="Times New Roman" w:eastAsia="宋体" w:cs="Times New Roman"/>
          <w:sz w:val="24"/>
          <w:szCs w:val="22"/>
        </w:rPr>
        <w:t>。</w:t>
      </w:r>
    </w:p>
    <w:p>
      <w:pPr>
        <w:adjustRightInd w:val="0"/>
        <w:snapToGrid w:val="0"/>
        <w:spacing w:line="360" w:lineRule="auto"/>
        <w:ind w:firstLine="480" w:firstLineChars="200"/>
        <w:rPr>
          <w:rFonts w:hint="eastAsia" w:eastAsia="宋体" w:asciiTheme="minorEastAsia" w:hAnsiTheme="minorEastAsia"/>
          <w:sz w:val="24"/>
          <w:lang w:eastAsia="zh-CN"/>
        </w:rPr>
      </w:pPr>
      <w:r>
        <w:rPr>
          <w:rFonts w:hint="default" w:ascii="Times New Roman" w:hAnsi="Times New Roman" w:eastAsia="宋体" w:cs="Times New Roman"/>
          <w:sz w:val="24"/>
          <w:szCs w:val="22"/>
          <w:lang w:eastAsia="zh-CN"/>
        </w:rPr>
        <w:t>取水口</w:t>
      </w:r>
      <w:r>
        <w:rPr>
          <w:rFonts w:hint="default" w:ascii="Times New Roman" w:hAnsi="Times New Roman" w:eastAsia="宋体" w:cs="Times New Roman"/>
          <w:sz w:val="24"/>
          <w:szCs w:val="22"/>
        </w:rPr>
        <w:t>（水厂东南角，取水量2000t/d，动水5.7m、静水2.</w:t>
      </w:r>
      <w:r>
        <w:rPr>
          <w:rFonts w:hint="default" w:ascii="Times New Roman" w:hAnsi="Times New Roman" w:eastAsia="宋体" w:cs="Times New Roman"/>
          <w:sz w:val="24"/>
          <w:szCs w:val="22"/>
          <w:lang w:val="en-US" w:eastAsia="zh-CN"/>
        </w:rPr>
        <w:t>8</w:t>
      </w:r>
      <w:r>
        <w:rPr>
          <w:rFonts w:hint="default" w:ascii="Times New Roman" w:hAnsi="Times New Roman" w:eastAsia="宋体" w:cs="Times New Roman"/>
          <w:sz w:val="24"/>
          <w:szCs w:val="22"/>
        </w:rPr>
        <w:t>m）</w:t>
      </w:r>
      <w:r>
        <w:rPr>
          <w:rFonts w:hint="eastAsia" w:ascii="Times New Roman" w:hAnsi="Times New Roman" w:eastAsia="宋体" w:cs="Times New Roman"/>
          <w:sz w:val="24"/>
          <w:szCs w:val="22"/>
          <w:lang w:eastAsia="zh-CN"/>
        </w:rPr>
        <w:t>。</w:t>
      </w:r>
    </w:p>
    <w:p>
      <w:pPr>
        <w:spacing w:line="360" w:lineRule="auto"/>
        <w:rPr>
          <w:rFonts w:hint="eastAsia" w:asciiTheme="minorEastAsia" w:hAnsiTheme="minorEastAsia"/>
          <w:sz w:val="24"/>
        </w:rPr>
        <w:sectPr>
          <w:footerReference r:id="rId10" w:type="default"/>
          <w:pgSz w:w="11906" w:h="16838"/>
          <w:pgMar w:top="1440" w:right="1803" w:bottom="1440" w:left="1803" w:header="850" w:footer="992" w:gutter="0"/>
          <w:pgBorders>
            <w:top w:val="none" w:sz="0" w:space="0"/>
            <w:left w:val="none" w:sz="0" w:space="0"/>
            <w:bottom w:val="none" w:sz="0" w:space="0"/>
            <w:right w:val="none" w:sz="0" w:space="0"/>
          </w:pgBorders>
          <w:pgNumType w:fmt="decimal" w:start="1"/>
          <w:cols w:space="0" w:num="1"/>
          <w:docGrid w:type="lines" w:linePitch="319" w:charSpace="0"/>
        </w:sectPr>
      </w:pPr>
    </w:p>
    <w:p>
      <w:pPr>
        <w:tabs>
          <w:tab w:val="right" w:pos="13958"/>
        </w:tabs>
        <w:jc w:val="center"/>
        <w:rPr>
          <w:rFonts w:hint="eastAsia" w:asciiTheme="minorEastAsia" w:hAnsiTheme="minorEastAsia" w:cstheme="minorBidi"/>
          <w:kern w:val="2"/>
          <w:sz w:val="24"/>
          <w:szCs w:val="24"/>
          <w:lang w:val="en-US" w:eastAsia="zh-CN" w:bidi="ar-SA"/>
        </w:rPr>
      </w:pPr>
      <w:r>
        <w:drawing>
          <wp:inline distT="0" distB="0" distL="114300" distR="114300">
            <wp:extent cx="8766175" cy="47580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8766175" cy="4758055"/>
                    </a:xfrm>
                    <a:prstGeom prst="rect">
                      <a:avLst/>
                    </a:prstGeom>
                    <a:noFill/>
                    <a:ln>
                      <a:noFill/>
                    </a:ln>
                  </pic:spPr>
                </pic:pic>
              </a:graphicData>
            </a:graphic>
          </wp:inline>
        </w:drawing>
      </w:r>
    </w:p>
    <w:p>
      <w:pPr>
        <w:adjustRightInd w:val="0"/>
        <w:snapToGrid w:val="0"/>
        <w:spacing w:line="360" w:lineRule="auto"/>
        <w:ind w:firstLine="422" w:firstLineChars="200"/>
        <w:jc w:val="center"/>
        <w:rPr>
          <w:rFonts w:hint="eastAsia" w:ascii="Times New Roman" w:hAnsi="Times New Roman" w:eastAsia="宋体" w:cs="Times New Roman"/>
          <w:b/>
          <w:szCs w:val="21"/>
          <w:lang w:val="en-US" w:eastAsia="zh-CN"/>
        </w:rPr>
        <w:sectPr>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Times New Roman" w:hAnsi="Times New Roman" w:eastAsia="宋体" w:cs="Times New Roman"/>
          <w:b/>
          <w:szCs w:val="21"/>
          <w:lang w:val="en-US" w:eastAsia="zh-CN"/>
        </w:rPr>
        <w:t>图2-5洞庭湖区水文地质图</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drawing>
          <wp:inline distT="0" distB="0" distL="114300" distR="114300">
            <wp:extent cx="4867275" cy="6648450"/>
            <wp:effectExtent l="19050" t="0" r="9525" b="0"/>
            <wp:docPr id="56" name="图片 1"/>
            <wp:cNvGraphicFramePr/>
            <a:graphic xmlns:a="http://schemas.openxmlformats.org/drawingml/2006/main">
              <a:graphicData uri="http://schemas.openxmlformats.org/drawingml/2006/picture">
                <pic:pic xmlns:pic="http://schemas.openxmlformats.org/drawingml/2006/picture">
                  <pic:nvPicPr>
                    <pic:cNvPr id="56" name="图片 1"/>
                    <pic:cNvPicPr/>
                  </pic:nvPicPr>
                  <pic:blipFill>
                    <a:blip r:embed="rId17" cstate="print">
                      <a:clrChange>
                        <a:clrFrom>
                          <a:srgbClr val="FFFFFF"/>
                        </a:clrFrom>
                        <a:clrTo>
                          <a:srgbClr val="FFFFFF">
                            <a:alpha val="0"/>
                          </a:srgbClr>
                        </a:clrTo>
                      </a:clrChange>
                    </a:blip>
                    <a:srcRect l="5903" t="7074" r="5382" b="9154"/>
                    <a:stretch>
                      <a:fillRect/>
                    </a:stretch>
                  </pic:blipFill>
                  <pic:spPr>
                    <a:xfrm>
                      <a:off x="0" y="0"/>
                      <a:ext cx="4867275" cy="6648450"/>
                    </a:xfrm>
                    <a:prstGeom prst="rect">
                      <a:avLst/>
                    </a:prstGeom>
                    <a:ln>
                      <a:noFill/>
                    </a:ln>
                  </pic:spPr>
                </pic:pic>
              </a:graphicData>
            </a:graphic>
          </wp:inline>
        </w:drawing>
      </w:r>
    </w:p>
    <w:p>
      <w:pPr>
        <w:adjustRightInd w:val="0"/>
        <w:snapToGrid w:val="0"/>
        <w:spacing w:line="360" w:lineRule="auto"/>
        <w:ind w:firstLine="422" w:firstLineChars="200"/>
        <w:jc w:val="center"/>
        <w:rPr>
          <w:rFonts w:hint="eastAsia"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图2-6  水井钻孔柱状图和成井工艺图</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（二）地下水补给、径流、排泄条件分析</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1、地下水补给</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洞庭湖东、南、西部均为丘岗区，中间为洞庭湖腹地，湖盆底为相对不透水基岩，因而从整体上看区内地下水径流方向是自丘岗区至中部洞庭湖腹地。</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地下水主要的补给来源主要包括大气降水、地表水入渗、丘岗区地下水侧向入渗等。根据《江汉-洞庭平原地下水资源及其环境问题调查（湖南）报告》，在本水源地所在区域内，表层分布连续厚层粘土，渗透系数较低，一般在0.003m/d-0.06m/d。</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一般来讲，地表水体底部的高程和地质条件决定地表水对地下水的补给能 力。资江洪道多年月平均水位为24.5m，多年平均水深约为6.0m。资江（南湖洲</w:t>
      </w:r>
      <w:r>
        <w:rPr>
          <w:rFonts w:hint="eastAsia" w:ascii="Times New Roman" w:hAnsi="Times New Roman" w:eastAsia="宋体" w:cs="Times New Roman"/>
          <w:sz w:val="24"/>
          <w:szCs w:val="22"/>
          <w:lang w:eastAsia="zh-CN"/>
        </w:rPr>
        <w:t>镇南湖</w:t>
      </w:r>
      <w:r>
        <w:rPr>
          <w:rFonts w:hint="eastAsia" w:ascii="Times New Roman" w:hAnsi="Times New Roman" w:eastAsia="宋体" w:cs="Times New Roman"/>
          <w:sz w:val="24"/>
          <w:szCs w:val="22"/>
        </w:rPr>
        <w:t>水厂附近）河底高程为 14.7 m，资江距离水井约1.</w:t>
      </w:r>
      <w:r>
        <w:rPr>
          <w:rFonts w:hint="eastAsia" w:ascii="Times New Roman" w:hAnsi="Times New Roman" w:eastAsia="宋体" w:cs="Times New Roman"/>
          <w:sz w:val="24"/>
          <w:szCs w:val="22"/>
          <w:lang w:val="en-US" w:eastAsia="zh-CN"/>
        </w:rPr>
        <w:t>2</w:t>
      </w:r>
      <w:r>
        <w:rPr>
          <w:rFonts w:hint="eastAsia" w:ascii="Times New Roman" w:hAnsi="Times New Roman" w:eastAsia="宋体" w:cs="Times New Roman"/>
          <w:sz w:val="24"/>
          <w:szCs w:val="22"/>
        </w:rPr>
        <w:t>km，区域地表水体对地下水没有直接的补给作用。</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2、地下水径流</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本区地下水系统属洞庭湖盆汇流型径流类型。周边丘岗区为地下水径流系统的源，洞庭湖腹地为地下水径流系统的排泄区。在丘岗区，地下水呈潜水状态，水力梯度较大，一般可达 3‰以上。在洞庭湖腹地地下水力梯度下降到 0.2‰以下。</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3、地下水排泄</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地下水系统的排泄方式主要包括蒸发、向地表水越流、向洞庭湖腹地侧向径流和人口开采。</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由于本区域地下水具有承压性，在平水或枯水期，部分区域地下水承压水头要高于地表水位，此时地下水可通过地表水体底部的弱透水层向上越流补给地表水体。同时，侧向补给洞庭湖腹地地下水系统是最主要排泄渠道。</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Theme="minorEastAsia" w:hAnsiTheme="minorEastAsia"/>
          <w:b/>
          <w:bCs w:val="0"/>
          <w:sz w:val="30"/>
          <w:szCs w:val="30"/>
          <w:lang w:val="en-US" w:eastAsia="zh-CN"/>
        </w:rPr>
      </w:pPr>
      <w:bookmarkStart w:id="41" w:name="_Toc16929"/>
      <w:r>
        <w:rPr>
          <w:rFonts w:hint="eastAsia" w:asciiTheme="minorEastAsia" w:hAnsiTheme="minorEastAsia"/>
          <w:b/>
          <w:bCs w:val="0"/>
          <w:sz w:val="30"/>
          <w:szCs w:val="30"/>
          <w:lang w:val="en-US" w:eastAsia="zh-CN"/>
        </w:rPr>
        <w:t>2.1.4地表水文概况</w:t>
      </w:r>
      <w:bookmarkEnd w:id="41"/>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湘阴县域内河渠纵横交错，湖泊塘堰星罗棋布，湘资两水在县内流经长度达到250 公里，内江流经长度70 余公里，共有外湖81 个，内湖78 个，水库、塘坝工程总计8244 处，总蓄引水量6471 万m³，水域面积98.6 万亩，可利用率在 55%以上，为养殖、捕捞、溉灌、航运，工业用水提供了十分充裕的水源。</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境内地表水系不发育，多年平均陆地总产水量 5.94 亿 m³，年均经流深512mm，径流系数 0.37，可开采地下水为 3.29 亿 m³，全县陆地水资源总量为9.23 亿 m³，人平均占有量 1334.7 m³，年出入境水量 2991.3 亿 m³，人均 43.3 万m³，由此可见湘阴县水资源相当丰富，但以过境水量为主，从而形成西部湖区以防洪排涝为主，东部低山岗以抗旱为主的明显差异。由于地表水系不发育，地势平坦，水力资源缺乏，全县水能理论蕴藏量仅629 千瓦。</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湘江为长江流域洞庭湖水系。流经湖南省永州市、衡阳市、株洲市、湘潭市、长沙市，至岳阳市的湘阴县注入长江水系的洞庭湖，干流全长844 公里，流域面积94660 平方公里。湘江历史最大流量23000 立方米/秒，最小流量 120 立方米/秒。长沙综合枢纽的最小下泄流量为385m³/s。</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湘江干流自沙田乡观音阁入湘阴境内，沿铁角嘴、窑头山、躲风亭、樟树港、湾河至濠河口后分东、西2 条支流。东支绕城西垸东面，经老闸口、三汊河、城关镇、黄猫滩、老鼠夹至芦林潭;西支绕城西垸西面，经东港、刘家坝、新泉寺、 魏家湾到临资口(旧名临泚口)与资水东支汇合，再经沅潭、杨雀潭、万家台、蛇口子至芦林潭、琴棋望至增挡进入岳阳县境，注入洞庭湖。</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资水：湘阴县境有干流和东支(旧谓“茈水”，1952年整理水道后称“东支”)。 于流自益阳市入湘阴县毛角口，沿南湖、洞庭区西面，经泉水村、黄口潭、赛头口、易婆塘至杨柳潭注入南洞庭湖。东支自毛角口向东，沿新泉区西面，经焦潭湾、西林港、南湖洲、关公潭、白马寺、和平闸至临资口注入湘江。湘阴段长57.4km，其中干流21.4km，东支36km。</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区域水系见附图1。</w:t>
      </w:r>
    </w:p>
    <w:p>
      <w:pPr>
        <w:pStyle w:val="4"/>
        <w:spacing w:beforeLines="0" w:afterLines="0" w:line="360" w:lineRule="auto"/>
      </w:pPr>
      <w:bookmarkStart w:id="42" w:name="_Toc451526493"/>
      <w:bookmarkStart w:id="43" w:name="_Toc9119"/>
      <w:r>
        <w:t>2.1.</w:t>
      </w:r>
      <w:r>
        <w:rPr>
          <w:rFonts w:hint="eastAsia"/>
          <w:lang w:val="en-US" w:eastAsia="zh-CN"/>
        </w:rPr>
        <w:t>5</w:t>
      </w:r>
      <w:r>
        <w:t>气候、气象特征</w:t>
      </w:r>
      <w:bookmarkEnd w:id="42"/>
      <w:bookmarkEnd w:id="43"/>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湘阴位于季风湿润气候区，四季分明，光照长，降水集中在春夏暖热季节，年平均气温为17℃，全年无霜期为223-304天，年日照1399.9-2058.9小时，年均降雨量1392.62毫米，主导风向为北风、南风、西北风，年平均风速3米/  秒。境内适宜于农作物和树木的生长，特别是对喜热的水稻、棉花等作物有利。冬季气候亦适宜种植油菜、荞头、蚕豆、小麦、绿肥和蔬菜等越冬作物。温和的气候，亦有利于各种水陆动物的生长繁殖。</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主要灾害性天气有暴雨、干旱、大风、雷雹、低温、冰冻。县气象站记载，1959~1985年的27年间，共发生此类天气141次，年均5.2次。各种灾害性天气发生次数及占此类天气总数的百分比为：暴雨25次，占17.85%；干旱23次，占16.42%次，低温31次，占22.17%；大风26次，占18.57%；雷雹13次，占9.28%，冰冻23次，占15.71%。</w:t>
      </w:r>
    </w:p>
    <w:p>
      <w:pPr>
        <w:pStyle w:val="3"/>
        <w:spacing w:beforeLines="0" w:afterLines="0" w:line="360" w:lineRule="auto"/>
        <w:rPr>
          <w:rFonts w:ascii="Times New Roman" w:hAnsi="Times New Roman"/>
        </w:rPr>
      </w:pPr>
      <w:bookmarkStart w:id="44" w:name="_Toc8102"/>
      <w:r>
        <w:rPr>
          <w:rFonts w:ascii="Times New Roman" w:hAnsi="Times New Roman"/>
        </w:rPr>
        <w:t>2.2饮用水水源地所在区域的社会经济状况</w:t>
      </w:r>
      <w:bookmarkEnd w:id="44"/>
      <w:bookmarkStart w:id="45" w:name="_Toc451526496"/>
    </w:p>
    <w:p>
      <w:pPr>
        <w:pStyle w:val="4"/>
        <w:spacing w:beforeLines="0" w:afterLines="0" w:line="360" w:lineRule="auto"/>
        <w:rPr>
          <w:rFonts w:hint="eastAsia"/>
        </w:rPr>
      </w:pPr>
      <w:bookmarkStart w:id="46" w:name="_Toc3640"/>
      <w:r>
        <w:t>2.2.1 行政区划</w:t>
      </w:r>
      <w:bookmarkEnd w:id="45"/>
      <w:bookmarkEnd w:id="46"/>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截至2015 年12 月，湘阴县下辖4乡10镇，419个行政村，总面积1581.5平方公里。包括辖文星镇、三塘镇、樟树镇、金龙镇、东塘镇、鹤龙湖镇、新泉镇、 岭北镇、湘滨镇、南湖洲镇10个镇和静河乡、六塘乡、杨林寨乡、玉华乡4个乡。</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2015 年，文星镇、石塘乡、白泥湖乡、袁家铺镇、长康镇成建制合并设立文星镇，行政区划调整后，文星镇辖63个建制村21个社区，总面积208.43km²。</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 xml:space="preserve">南湖洲镇位于湘阴县西大门，东距县城，湖洲镇地处湘阴西大门，东距县城38 公里，三面环水，依资水与益阳隔江相望，南与新泉镇为邻，东与湘滨镇相连，是抗洪英雄高建成的故乡。辖 12个行政村、5个社区、474个村民小组，总人口 </w:t>
      </w:r>
      <w:r>
        <w:rPr>
          <w:rFonts w:hint="eastAsia" w:ascii="Times New Roman" w:hAnsi="Times New Roman" w:eastAsia="宋体" w:cs="Times New Roman"/>
          <w:sz w:val="24"/>
          <w:szCs w:val="22"/>
          <w:lang w:val="en-US" w:eastAsia="zh-CN"/>
        </w:rPr>
        <w:t>6.5</w:t>
      </w:r>
      <w:r>
        <w:rPr>
          <w:rFonts w:hint="eastAsia" w:ascii="Times New Roman" w:hAnsi="Times New Roman" w:eastAsia="宋体" w:cs="Times New Roman"/>
          <w:sz w:val="24"/>
          <w:szCs w:val="22"/>
        </w:rPr>
        <w:t>万，耕地面积7.3万亩，水面1.2万亩。湘阴县南湖洲镇</w:t>
      </w:r>
      <w:r>
        <w:rPr>
          <w:rFonts w:hint="eastAsia" w:ascii="Times New Roman" w:hAnsi="Times New Roman" w:eastAsia="宋体" w:cs="Times New Roman"/>
          <w:sz w:val="24"/>
          <w:szCs w:val="22"/>
          <w:lang w:eastAsia="zh-CN"/>
        </w:rPr>
        <w:t>南湖</w:t>
      </w:r>
      <w:r>
        <w:rPr>
          <w:rFonts w:hint="eastAsia" w:ascii="Times New Roman" w:hAnsi="Times New Roman" w:eastAsia="宋体" w:cs="Times New Roman"/>
          <w:sz w:val="24"/>
          <w:szCs w:val="22"/>
        </w:rPr>
        <w:t>水厂供水工程被纳入国家农村安全饮用水工程，项目覆盖南湖</w:t>
      </w:r>
      <w:r>
        <w:rPr>
          <w:rFonts w:hint="eastAsia" w:ascii="Times New Roman" w:hAnsi="Times New Roman" w:eastAsia="宋体" w:cs="Times New Roman"/>
          <w:sz w:val="24"/>
          <w:szCs w:val="22"/>
          <w:lang w:eastAsia="zh-CN"/>
        </w:rPr>
        <w:t>集镇、南湖新村</w:t>
      </w: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eastAsia="zh-CN"/>
        </w:rPr>
        <w:t>南边社区</w:t>
      </w: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eastAsia="zh-CN"/>
        </w:rPr>
        <w:t>百福</w:t>
      </w:r>
      <w:r>
        <w:rPr>
          <w:rFonts w:hint="eastAsia" w:ascii="Times New Roman" w:hAnsi="Times New Roman" w:eastAsia="宋体" w:cs="Times New Roman"/>
          <w:sz w:val="24"/>
          <w:szCs w:val="22"/>
        </w:rPr>
        <w:t>村、</w:t>
      </w:r>
      <w:r>
        <w:rPr>
          <w:rFonts w:hint="eastAsia" w:ascii="Times New Roman" w:hAnsi="Times New Roman" w:eastAsia="宋体" w:cs="Times New Roman"/>
          <w:sz w:val="24"/>
          <w:szCs w:val="22"/>
          <w:lang w:eastAsia="zh-CN"/>
        </w:rPr>
        <w:t>镇效</w:t>
      </w:r>
      <w:r>
        <w:rPr>
          <w:rFonts w:hint="eastAsia" w:ascii="Times New Roman" w:hAnsi="Times New Roman" w:eastAsia="宋体" w:cs="Times New Roman"/>
          <w:sz w:val="24"/>
          <w:szCs w:val="22"/>
        </w:rPr>
        <w:t>村、</w:t>
      </w:r>
      <w:r>
        <w:rPr>
          <w:rFonts w:hint="eastAsia" w:ascii="Times New Roman" w:hAnsi="Times New Roman" w:eastAsia="宋体" w:cs="Times New Roman"/>
          <w:sz w:val="24"/>
          <w:szCs w:val="22"/>
          <w:lang w:eastAsia="zh-CN"/>
        </w:rPr>
        <w:t>芷泉河</w:t>
      </w:r>
      <w:r>
        <w:rPr>
          <w:rFonts w:hint="eastAsia" w:ascii="Times New Roman" w:hAnsi="Times New Roman" w:eastAsia="宋体" w:cs="Times New Roman"/>
          <w:sz w:val="24"/>
          <w:szCs w:val="22"/>
        </w:rPr>
        <w:t>村等，设计日供水规模为2600m³/d。</w:t>
      </w:r>
    </w:p>
    <w:p>
      <w:pPr>
        <w:pStyle w:val="4"/>
        <w:spacing w:beforeLines="0" w:afterLines="0" w:line="360" w:lineRule="auto"/>
      </w:pPr>
      <w:bookmarkStart w:id="47" w:name="_Toc453061568"/>
      <w:bookmarkStart w:id="48" w:name="_Toc453061722"/>
      <w:bookmarkStart w:id="49" w:name="_Toc3585"/>
      <w:r>
        <w:t>2.2.2人</w:t>
      </w:r>
      <w:bookmarkEnd w:id="47"/>
      <w:bookmarkEnd w:id="48"/>
      <w:r>
        <w:t>口与城镇化</w:t>
      </w:r>
      <w:bookmarkEnd w:id="49"/>
    </w:p>
    <w:p>
      <w:pPr>
        <w:adjustRightInd w:val="0"/>
        <w:snapToGrid w:val="0"/>
        <w:spacing w:line="360" w:lineRule="auto"/>
        <w:ind w:firstLine="480" w:firstLineChars="200"/>
        <w:jc w:val="left"/>
        <w:rPr>
          <w:rFonts w:hint="eastAsia" w:ascii="Times New Roman" w:hAnsi="Times New Roman" w:eastAsia="宋体" w:cs="Times New Roman"/>
          <w:sz w:val="24"/>
          <w:szCs w:val="22"/>
        </w:rPr>
      </w:pPr>
      <w:bookmarkStart w:id="50" w:name="_Toc451526497"/>
      <w:r>
        <w:rPr>
          <w:rFonts w:hint="eastAsia" w:ascii="Times New Roman" w:hAnsi="Times New Roman" w:eastAsia="宋体" w:cs="Times New Roman"/>
          <w:sz w:val="24"/>
          <w:szCs w:val="22"/>
        </w:rPr>
        <w:t>2017 年全县年末总人口为78.6 万人，男女性别比为110.63:100。出生人口10875 人，出生率为14.22‰；死亡人口4254 人，死亡率为5.56‰；人口自然增长率为8.66‰。常住人口70.58 万人，城镇化率为50.26%。</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南湖洲镇总人口72147，其中城镇人口16015 人。</w:t>
      </w:r>
    </w:p>
    <w:p>
      <w:pPr>
        <w:pStyle w:val="4"/>
        <w:spacing w:beforeLines="0" w:afterLines="0" w:line="360" w:lineRule="auto"/>
      </w:pPr>
      <w:bookmarkStart w:id="51" w:name="_Toc4573"/>
      <w:r>
        <w:t>2.2.3 经济现状</w:t>
      </w:r>
      <w:bookmarkEnd w:id="50"/>
      <w:bookmarkEnd w:id="51"/>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初步核算，2017年，全县完成地区生产总值360.6亿元，比上年增长 5.1%,其中第一产业增加值56.43亿元，增长4.6%；第二产业增加值190.83万元，增长4.7%；第三产业增加值 113.35亿元，增长6.2%。一、二、三次产业分别拉动GDP增长0.7、2.6、1.8个百分点，三次产业对GDP增长的贡献率分别为13.4%、51.1%、35.5%，三次产业结构为15.65：52.92：31.43。与上年比较，第一产业所占比重提升0.08个百分点，第二产业比重下降1.81个百分点，第三产业比重提升1.73个百分点。按常住人口计算，人均GDP49928元，增长3.7%。</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南湖洲镇耕地面积 4870 公顷，工业产值 23145.0 万元，农业产值 17800.0 万元，第三产业产值18975.0万元。</w:t>
      </w:r>
    </w:p>
    <w:p>
      <w:pPr>
        <w:pStyle w:val="3"/>
        <w:spacing w:beforeLines="0" w:afterLines="0" w:line="360" w:lineRule="auto"/>
        <w:rPr>
          <w:rFonts w:ascii="Times New Roman" w:hAnsi="Times New Roman"/>
        </w:rPr>
      </w:pPr>
      <w:bookmarkStart w:id="52" w:name="_Toc2964"/>
      <w:r>
        <w:rPr>
          <w:rFonts w:ascii="Times New Roman" w:hAnsi="Times New Roman"/>
        </w:rPr>
        <w:t>2.3 用水及供水状况</w:t>
      </w:r>
      <w:bookmarkEnd w:id="52"/>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湘阴县南湖洲镇生活用水供水由南湖水厂供给，该水厂于2015年5月6日开工，2015年12月18日竣工。该水厂位于南湖洲镇南湖新村，供水范围包括南湖洲镇的南湖集镇、南湖新村、南边社区</w:t>
      </w:r>
      <w:r>
        <w:rPr>
          <w:rFonts w:hint="eastAsia" w:ascii="Times New Roman" w:hAnsi="Times New Roman" w:eastAsia="宋体" w:cs="Times New Roman"/>
          <w:sz w:val="24"/>
          <w:szCs w:val="22"/>
          <w:lang w:eastAsia="zh-CN"/>
        </w:rPr>
        <w:t>、建民社区</w:t>
      </w:r>
      <w:r>
        <w:rPr>
          <w:rFonts w:hint="eastAsia" w:ascii="Times New Roman" w:hAnsi="Times New Roman" w:eastAsia="宋体" w:cs="Times New Roman"/>
          <w:sz w:val="24"/>
          <w:szCs w:val="22"/>
        </w:rPr>
        <w:t>、百福村、镇效村、芷泉河村。设计日供水规模为</w:t>
      </w:r>
      <w:bookmarkStart w:id="53" w:name="OLE_LINK55"/>
      <w:r>
        <w:rPr>
          <w:rFonts w:hint="eastAsia" w:ascii="Times New Roman" w:hAnsi="Times New Roman" w:eastAsia="宋体" w:cs="Times New Roman"/>
          <w:sz w:val="24"/>
          <w:szCs w:val="22"/>
        </w:rPr>
        <w:t>2600m3/d</w:t>
      </w:r>
      <w:bookmarkEnd w:id="53"/>
      <w:r>
        <w:rPr>
          <w:rFonts w:hint="eastAsia" w:ascii="Times New Roman" w:hAnsi="Times New Roman" w:eastAsia="宋体" w:cs="Times New Roman"/>
          <w:sz w:val="24"/>
          <w:szCs w:val="22"/>
        </w:rPr>
        <w:t>。设计供水人口为28118人。实际供水量800t/d，服务人口16400余人。</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目前水厂净水工艺流程：取水→曝气→过滤→消毒。</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现场测量照如下图2-</w:t>
      </w:r>
      <w:r>
        <w:rPr>
          <w:rFonts w:hint="eastAsia" w:ascii="Times New Roman" w:hAnsi="Times New Roman" w:eastAsia="宋体" w:cs="Times New Roman"/>
          <w:sz w:val="24"/>
          <w:szCs w:val="22"/>
          <w:lang w:val="en-US" w:eastAsia="zh-CN"/>
        </w:rPr>
        <w:t>7</w:t>
      </w:r>
      <w:r>
        <w:rPr>
          <w:rFonts w:hint="eastAsia" w:ascii="Times New Roman" w:hAnsi="Times New Roman" w:eastAsia="宋体" w:cs="Times New Roman"/>
          <w:sz w:val="24"/>
          <w:szCs w:val="22"/>
        </w:rPr>
        <w:t>，2-</w:t>
      </w:r>
      <w:r>
        <w:rPr>
          <w:rFonts w:hint="eastAsia" w:ascii="Times New Roman" w:hAnsi="Times New Roman" w:eastAsia="宋体" w:cs="Times New Roman"/>
          <w:sz w:val="24"/>
          <w:szCs w:val="22"/>
          <w:lang w:val="en-US" w:eastAsia="zh-CN"/>
        </w:rPr>
        <w:t>8</w:t>
      </w:r>
      <w:r>
        <w:rPr>
          <w:rFonts w:hint="eastAsia" w:ascii="Times New Roman" w:hAnsi="Times New Roman" w:eastAsia="宋体" w:cs="Times New Roman"/>
          <w:sz w:val="24"/>
          <w:szCs w:val="22"/>
        </w:rPr>
        <w:t>。</w:t>
      </w:r>
    </w:p>
    <w:p>
      <w:pPr>
        <w:adjustRightInd w:val="0"/>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drawing>
          <wp:inline distT="0" distB="0" distL="114935" distR="114935">
            <wp:extent cx="3813175" cy="2860040"/>
            <wp:effectExtent l="0" t="0" r="15875" b="16510"/>
            <wp:docPr id="9" name="图片 9" descr="IMG_20190814_10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90814_102750"/>
                    <pic:cNvPicPr>
                      <a:picLocks noChangeAspect="1"/>
                    </pic:cNvPicPr>
                  </pic:nvPicPr>
                  <pic:blipFill>
                    <a:blip r:embed="rId18" cstate="print"/>
                    <a:stretch>
                      <a:fillRect/>
                    </a:stretch>
                  </pic:blipFill>
                  <pic:spPr>
                    <a:xfrm>
                      <a:off x="0" y="0"/>
                      <a:ext cx="3813175" cy="2860040"/>
                    </a:xfrm>
                    <a:prstGeom prst="rect">
                      <a:avLst/>
                    </a:prstGeom>
                  </pic:spPr>
                </pic:pic>
              </a:graphicData>
            </a:graphic>
          </wp:inline>
        </w:drawing>
      </w:r>
    </w:p>
    <w:p>
      <w:pPr>
        <w:adjustRightInd w:val="0"/>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图2-</w:t>
      </w:r>
      <w:r>
        <w:rPr>
          <w:rFonts w:hint="eastAsia" w:ascii="Times New Roman" w:hAnsi="Times New Roman" w:eastAsia="宋体" w:cs="Times New Roman"/>
          <w:b/>
          <w:szCs w:val="21"/>
          <w:lang w:val="en-US" w:eastAsia="zh-CN"/>
        </w:rPr>
        <w:t>7</w:t>
      </w:r>
      <w:r>
        <w:rPr>
          <w:rFonts w:ascii="Times New Roman" w:hAnsi="Times New Roman" w:eastAsia="宋体" w:cs="Times New Roman"/>
          <w:b/>
          <w:szCs w:val="21"/>
        </w:rPr>
        <w:t xml:space="preserve">  南湖水厂现场图</w:t>
      </w:r>
    </w:p>
    <w:p>
      <w:pPr>
        <w:adjustRightInd w:val="0"/>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drawing>
          <wp:inline distT="0" distB="0" distL="114300" distR="114300">
            <wp:extent cx="3800475" cy="2755265"/>
            <wp:effectExtent l="0" t="0" r="9525" b="6985"/>
            <wp:docPr id="2" name="图片 2" descr="2464033430425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640334304256928"/>
                    <pic:cNvPicPr>
                      <a:picLocks noChangeAspect="1"/>
                    </pic:cNvPicPr>
                  </pic:nvPicPr>
                  <pic:blipFill>
                    <a:blip r:embed="rId19" cstate="print"/>
                    <a:stretch>
                      <a:fillRect/>
                    </a:stretch>
                  </pic:blipFill>
                  <pic:spPr>
                    <a:xfrm>
                      <a:off x="0" y="0"/>
                      <a:ext cx="3800475" cy="2755265"/>
                    </a:xfrm>
                    <a:prstGeom prst="rect">
                      <a:avLst/>
                    </a:prstGeom>
                  </pic:spPr>
                </pic:pic>
              </a:graphicData>
            </a:graphic>
          </wp:inline>
        </w:drawing>
      </w:r>
    </w:p>
    <w:p>
      <w:pPr>
        <w:adjustRightInd w:val="0"/>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图2-</w:t>
      </w:r>
      <w:r>
        <w:rPr>
          <w:rFonts w:hint="eastAsia" w:ascii="Times New Roman" w:hAnsi="Times New Roman" w:eastAsia="宋体" w:cs="Times New Roman"/>
          <w:b/>
          <w:szCs w:val="21"/>
          <w:lang w:val="en-US" w:eastAsia="zh-CN"/>
        </w:rPr>
        <w:t>8</w:t>
      </w:r>
      <w:r>
        <w:rPr>
          <w:rFonts w:ascii="Times New Roman" w:hAnsi="Times New Roman" w:eastAsia="宋体" w:cs="Times New Roman"/>
          <w:b/>
          <w:szCs w:val="21"/>
        </w:rPr>
        <w:t xml:space="preserve">  南湖洲镇</w:t>
      </w:r>
      <w:r>
        <w:rPr>
          <w:rFonts w:hint="eastAsia" w:ascii="Times New Roman" w:hAnsi="Times New Roman" w:eastAsia="宋体" w:cs="Times New Roman"/>
          <w:b/>
          <w:szCs w:val="21"/>
          <w:lang w:eastAsia="zh-CN"/>
        </w:rPr>
        <w:t>地下水</w:t>
      </w:r>
      <w:r>
        <w:rPr>
          <w:rFonts w:ascii="Times New Roman" w:hAnsi="Times New Roman" w:eastAsia="宋体" w:cs="Times New Roman"/>
          <w:b/>
          <w:szCs w:val="21"/>
        </w:rPr>
        <w:t>饮用水源地取水口现场图</w:t>
      </w:r>
    </w:p>
    <w:p>
      <w:pPr>
        <w:pStyle w:val="3"/>
        <w:spacing w:beforeLines="0" w:afterLines="0" w:line="360" w:lineRule="auto"/>
        <w:rPr>
          <w:rFonts w:ascii="Times New Roman" w:hAnsi="Times New Roman"/>
        </w:rPr>
      </w:pPr>
      <w:bookmarkStart w:id="54" w:name="_Toc8637"/>
      <w:r>
        <w:rPr>
          <w:rFonts w:ascii="Times New Roman" w:hAnsi="Times New Roman"/>
        </w:rPr>
        <w:t>2.4 饮用水水源地基础状况分析</w:t>
      </w:r>
      <w:bookmarkEnd w:id="54"/>
    </w:p>
    <w:p>
      <w:pPr>
        <w:pStyle w:val="4"/>
        <w:spacing w:beforeLines="0" w:afterLines="0" w:line="360" w:lineRule="auto"/>
      </w:pPr>
      <w:bookmarkStart w:id="55" w:name="_Toc23494"/>
      <w:r>
        <w:t>2.4.1饮用水水源地基本情况</w:t>
      </w:r>
      <w:bookmarkEnd w:id="55"/>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南湖洲镇</w:t>
      </w:r>
      <w:r>
        <w:rPr>
          <w:rFonts w:hint="eastAsia" w:ascii="Times New Roman" w:hAnsi="Times New Roman" w:eastAsia="宋体" w:cs="Times New Roman"/>
          <w:sz w:val="24"/>
          <w:szCs w:val="22"/>
          <w:lang w:eastAsia="zh-CN"/>
        </w:rPr>
        <w:t>南湖水厂地下水</w:t>
      </w:r>
      <w:r>
        <w:rPr>
          <w:rFonts w:hint="eastAsia" w:ascii="Times New Roman" w:hAnsi="Times New Roman" w:eastAsia="宋体" w:cs="Times New Roman"/>
          <w:sz w:val="24"/>
          <w:szCs w:val="22"/>
        </w:rPr>
        <w:t>饮用水源取水口位于南湖水厂内的一个水井，取水井地理坐标为东经112°37' 09.29"，北纬28°40 '06.52"，取水井周边</w:t>
      </w:r>
      <w:r>
        <w:rPr>
          <w:rFonts w:hint="eastAsia" w:ascii="Times New Roman" w:hAnsi="Times New Roman" w:eastAsia="宋体" w:cs="Times New Roman"/>
          <w:sz w:val="24"/>
          <w:szCs w:val="22"/>
          <w:lang w:eastAsia="zh-CN"/>
        </w:rPr>
        <w:t>无</w:t>
      </w:r>
      <w:r>
        <w:rPr>
          <w:rFonts w:hint="eastAsia" w:ascii="Times New Roman" w:hAnsi="Times New Roman" w:eastAsia="宋体" w:cs="Times New Roman"/>
          <w:sz w:val="24"/>
          <w:szCs w:val="22"/>
        </w:rPr>
        <w:t>农田。水厂供水是先从水井取水进入南湖水厂进行处理后再送达居民饮用。南湖水厂担负着南湖洲镇28118人的生产、生活供水重任。</w:t>
      </w:r>
    </w:p>
    <w:p>
      <w:pPr>
        <w:pStyle w:val="4"/>
        <w:spacing w:beforeLines="0" w:afterLines="0" w:line="360" w:lineRule="auto"/>
        <w:rPr>
          <w:rFonts w:hint="eastAsia"/>
          <w:lang w:eastAsia="zh-CN"/>
        </w:rPr>
      </w:pPr>
      <w:bookmarkStart w:id="56" w:name="_Toc25807"/>
      <w:r>
        <w:rPr>
          <w:rFonts w:hint="eastAsia"/>
          <w:lang w:val="en-US" w:eastAsia="zh-CN"/>
        </w:rPr>
        <w:t>2.4.2</w:t>
      </w:r>
      <w:r>
        <w:rPr>
          <w:rFonts w:hint="eastAsia"/>
          <w:lang w:eastAsia="zh-CN"/>
        </w:rPr>
        <w:t>地表水环境功能区划及相邻水域情况</w:t>
      </w:r>
      <w:bookmarkEnd w:id="56"/>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根据《湖南省主要地表水系水环境功能区划》（DB43/023-2005），湘阴境内湘江樟树港至浩河口水域共7.4km为渔业用水区，该水域执行 GB3838-2002 中Ⅲ类标准；浩河口至洋沙湖上游1000m（东支）水域共5.2km 为饮用水水源保护区，该水域执行 GB3838-2002 中Ⅲ类标准；洋沙湖上游1000m 至下游 200m</w:t>
      </w:r>
      <w:r>
        <w:rPr>
          <w:rFonts w:hint="eastAsia" w:ascii="Times New Roman" w:hAnsi="Times New Roman" w:eastAsia="宋体" w:cs="Times New Roman"/>
          <w:sz w:val="24"/>
          <w:szCs w:val="22"/>
          <w:lang w:eastAsia="zh-CN"/>
        </w:rPr>
        <w:t>，</w:t>
      </w:r>
      <w:r>
        <w:rPr>
          <w:rFonts w:hint="eastAsia" w:ascii="Times New Roman" w:hAnsi="Times New Roman" w:eastAsia="宋体" w:cs="Times New Roman"/>
          <w:sz w:val="24"/>
          <w:szCs w:val="22"/>
        </w:rPr>
        <w:t>共1.2km为饮用水水源保护区，该水域执行GB3838-2002 中Ⅱ类标准；洋沙湖下游200m至磊石（东支）共62.7km 为渔业用水区，该水域执行 GB3838-2002 中Ⅲ类标准。</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资江从毛角口至</w:t>
      </w:r>
      <w:r>
        <w:rPr>
          <w:rFonts w:hint="eastAsia" w:ascii="Times New Roman" w:hAnsi="Times New Roman" w:eastAsia="宋体" w:cs="Times New Roman"/>
          <w:sz w:val="24"/>
          <w:szCs w:val="22"/>
          <w:lang w:eastAsia="zh-CN"/>
        </w:rPr>
        <w:t>临资</w:t>
      </w:r>
      <w:r>
        <w:rPr>
          <w:rFonts w:hint="eastAsia" w:ascii="Times New Roman" w:hAnsi="Times New Roman" w:eastAsia="宋体" w:cs="Times New Roman"/>
          <w:sz w:val="24"/>
          <w:szCs w:val="22"/>
        </w:rPr>
        <w:t>为 DB43/023-2005 中的渔业用水区，执行GB3838-2002 中Ⅲ类标准。根据《湖南省水功能区划》（2014年修编），该河段水功能为资水洪道</w:t>
      </w:r>
      <w:r>
        <w:rPr>
          <w:rFonts w:hint="eastAsia" w:ascii="Times New Roman" w:hAnsi="Times New Roman" w:eastAsia="宋体" w:cs="Times New Roman"/>
          <w:sz w:val="24"/>
          <w:szCs w:val="22"/>
          <w:lang w:eastAsia="zh-CN"/>
        </w:rPr>
        <w:t>毛资</w:t>
      </w:r>
      <w:r>
        <w:rPr>
          <w:rFonts w:hint="eastAsia" w:ascii="Times New Roman" w:hAnsi="Times New Roman" w:eastAsia="宋体" w:cs="Times New Roman"/>
          <w:sz w:val="24"/>
          <w:szCs w:val="22"/>
        </w:rPr>
        <w:t>保留区。</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资江洪道沙杨保留区起于益阳市沙头镇，止于湘阴县杨柳潭镇全长24.5KM;资江洪道湘阴毛角口保留区起于益阳市毛角口，止于湘阴县临资口全长35.5KM， 该水域执行GB3838-2002 中Ⅲ类标准。</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根据现场调查可知，本水源地位于为资江洪道</w:t>
      </w:r>
      <w:r>
        <w:rPr>
          <w:rFonts w:hint="eastAsia" w:ascii="Times New Roman" w:hAnsi="Times New Roman" w:eastAsia="宋体" w:cs="Times New Roman"/>
          <w:sz w:val="24"/>
          <w:szCs w:val="22"/>
          <w:lang w:eastAsia="zh-CN"/>
        </w:rPr>
        <w:t>毛资</w:t>
      </w:r>
      <w:r>
        <w:rPr>
          <w:rFonts w:hint="eastAsia" w:ascii="Times New Roman" w:hAnsi="Times New Roman" w:eastAsia="宋体" w:cs="Times New Roman"/>
          <w:sz w:val="24"/>
          <w:szCs w:val="22"/>
        </w:rPr>
        <w:t>保留区，位于岳阳市湘阴县南湖洲镇</w:t>
      </w:r>
      <w:r>
        <w:rPr>
          <w:rFonts w:hint="eastAsia" w:ascii="Times New Roman" w:hAnsi="Times New Roman" w:eastAsia="宋体" w:cs="Times New Roman"/>
          <w:sz w:val="24"/>
          <w:szCs w:val="22"/>
          <w:lang w:eastAsia="zh-CN"/>
        </w:rPr>
        <w:t>南湖新村内</w:t>
      </w:r>
      <w:r>
        <w:rPr>
          <w:rFonts w:hint="eastAsia" w:ascii="Times New Roman" w:hAnsi="Times New Roman" w:eastAsia="宋体" w:cs="Times New Roman"/>
          <w:sz w:val="24"/>
          <w:szCs w:val="22"/>
        </w:rPr>
        <w:t>。水井</w:t>
      </w:r>
      <w:r>
        <w:rPr>
          <w:rFonts w:hint="eastAsia" w:ascii="Times New Roman" w:hAnsi="Times New Roman" w:eastAsia="宋体" w:cs="Times New Roman"/>
          <w:sz w:val="24"/>
          <w:szCs w:val="22"/>
          <w:lang w:eastAsia="zh-CN"/>
        </w:rPr>
        <w:t>南</w:t>
      </w:r>
      <w:r>
        <w:rPr>
          <w:rFonts w:hint="eastAsia" w:ascii="Times New Roman" w:hAnsi="Times New Roman" w:eastAsia="宋体" w:cs="Times New Roman"/>
          <w:sz w:val="24"/>
          <w:szCs w:val="22"/>
        </w:rPr>
        <w:t>距资水的直线距离约为</w:t>
      </w:r>
      <w:r>
        <w:rPr>
          <w:rFonts w:hint="eastAsia" w:ascii="Times New Roman" w:hAnsi="Times New Roman" w:eastAsia="宋体" w:cs="Times New Roman"/>
          <w:sz w:val="24"/>
          <w:szCs w:val="22"/>
          <w:lang w:val="en-US" w:eastAsia="zh-CN"/>
        </w:rPr>
        <w:t>1.1</w:t>
      </w:r>
      <w:r>
        <w:rPr>
          <w:rFonts w:hint="eastAsia" w:ascii="Times New Roman" w:hAnsi="Times New Roman" w:eastAsia="宋体" w:cs="Times New Roman"/>
          <w:sz w:val="24"/>
          <w:szCs w:val="22"/>
        </w:rPr>
        <w:t>km，</w:t>
      </w:r>
      <w:r>
        <w:rPr>
          <w:rFonts w:hint="eastAsia" w:ascii="Times New Roman" w:hAnsi="Times New Roman" w:eastAsia="宋体" w:cs="Times New Roman"/>
          <w:sz w:val="24"/>
          <w:szCs w:val="22"/>
          <w:lang w:eastAsia="zh-CN"/>
        </w:rPr>
        <w:t>西</w:t>
      </w:r>
      <w:r>
        <w:rPr>
          <w:rFonts w:hint="eastAsia" w:ascii="Times New Roman" w:hAnsi="Times New Roman" w:eastAsia="宋体" w:cs="Times New Roman"/>
          <w:sz w:val="24"/>
          <w:szCs w:val="22"/>
        </w:rPr>
        <w:t>距内河约</w:t>
      </w:r>
      <w:r>
        <w:rPr>
          <w:rFonts w:hint="eastAsia" w:ascii="Times New Roman" w:hAnsi="Times New Roman" w:eastAsia="宋体" w:cs="Times New Roman"/>
          <w:sz w:val="24"/>
          <w:szCs w:val="22"/>
          <w:lang w:val="en-US" w:eastAsia="zh-CN"/>
        </w:rPr>
        <w:t>3</w:t>
      </w:r>
      <w:r>
        <w:rPr>
          <w:rFonts w:hint="eastAsia" w:ascii="Times New Roman" w:hAnsi="Times New Roman" w:eastAsia="宋体" w:cs="Times New Roman"/>
          <w:sz w:val="24"/>
          <w:szCs w:val="22"/>
        </w:rPr>
        <w:t>.3km。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szCs w:val="21"/>
          <w:lang w:val="en-US" w:eastAsia="zh-CN"/>
        </w:rPr>
      </w:pPr>
      <w:r>
        <w:rPr>
          <w:rFonts w:ascii="Times New Roman" w:hAnsi="Times New Roman" w:eastAsia="宋体" w:cs="Times New Roman"/>
          <w:b/>
          <w:szCs w:val="21"/>
        </w:rPr>
        <w:drawing>
          <wp:inline distT="0" distB="0" distL="114300" distR="114300">
            <wp:extent cx="4008755" cy="2635250"/>
            <wp:effectExtent l="0" t="0" r="10795"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4008755" cy="2635250"/>
                    </a:xfrm>
                    <a:prstGeom prst="rect">
                      <a:avLst/>
                    </a:prstGeom>
                    <a:noFill/>
                    <a:ln w="9525">
                      <a:noFill/>
                    </a:ln>
                  </pic:spPr>
                </pic:pic>
              </a:graphicData>
            </a:graphic>
          </wp:inline>
        </w:drawing>
      </w:r>
    </w:p>
    <w:p>
      <w:pPr>
        <w:adjustRightInd w:val="0"/>
        <w:snapToGrid w:val="0"/>
        <w:spacing w:line="360" w:lineRule="auto"/>
        <w:jc w:val="center"/>
        <w:rPr>
          <w:rFonts w:ascii="Times New Roman" w:hAnsi="Times New Roman" w:eastAsia="宋体" w:cs="Times New Roman"/>
          <w:b/>
          <w:szCs w:val="21"/>
        </w:rPr>
      </w:pPr>
      <w:r>
        <w:rPr>
          <w:rFonts w:hint="eastAsia" w:ascii="Times New Roman" w:hAnsi="Times New Roman" w:eastAsia="宋体" w:cs="Times New Roman"/>
          <w:b/>
          <w:szCs w:val="21"/>
          <w:lang w:val="en-US" w:eastAsia="zh-CN"/>
        </w:rPr>
        <w:t>图2-6 主要地表水体及水厂位置示意图</w:t>
      </w:r>
    </w:p>
    <w:p>
      <w:pPr>
        <w:pStyle w:val="4"/>
        <w:spacing w:beforeLines="0" w:afterLines="0" w:line="360" w:lineRule="auto"/>
        <w:rPr>
          <w:rFonts w:hint="eastAsia"/>
        </w:rPr>
      </w:pPr>
      <w:bookmarkStart w:id="57" w:name="_Toc24116"/>
      <w:r>
        <w:t>2.4.</w:t>
      </w:r>
      <w:r>
        <w:rPr>
          <w:rFonts w:hint="eastAsia"/>
          <w:lang w:val="en-US" w:eastAsia="zh-CN"/>
        </w:rPr>
        <w:t>3</w:t>
      </w:r>
      <w:r>
        <w:t>饮用水水源地水环境质量评价</w:t>
      </w:r>
      <w:bookmarkEnd w:id="57"/>
    </w:p>
    <w:p>
      <w:pPr>
        <w:pStyle w:val="5"/>
        <w:spacing w:beforeLines="0" w:afterLines="0" w:line="360" w:lineRule="auto"/>
        <w:rPr>
          <w:rFonts w:ascii="Times New Roman" w:hAnsi="Times New Roman" w:cs="Times New Roman"/>
        </w:rPr>
      </w:pPr>
      <w:bookmarkStart w:id="58" w:name="_Toc18105"/>
      <w:bookmarkStart w:id="59" w:name="_Toc23447"/>
      <w:r>
        <w:rPr>
          <w:rFonts w:ascii="Times New Roman" w:hAnsi="Times New Roman" w:cs="Times New Roman"/>
        </w:rPr>
        <w:t>2.4.</w:t>
      </w:r>
      <w:r>
        <w:rPr>
          <w:rFonts w:hint="eastAsia" w:ascii="Times New Roman" w:hAnsi="Times New Roman" w:cs="Times New Roman"/>
          <w:lang w:val="en-US" w:eastAsia="zh-CN"/>
        </w:rPr>
        <w:t>3</w:t>
      </w:r>
      <w:r>
        <w:rPr>
          <w:rFonts w:ascii="Times New Roman" w:hAnsi="Times New Roman" w:cs="Times New Roman"/>
        </w:rPr>
        <w:t>.1 水质监测数据的选取</w:t>
      </w:r>
      <w:bookmarkEnd w:id="58"/>
      <w:bookmarkEnd w:id="59"/>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rPr>
      </w:pPr>
      <w:bookmarkStart w:id="60" w:name="_Toc16259"/>
      <w:r>
        <w:rPr>
          <w:rFonts w:hint="eastAsia" w:ascii="Times New Roman" w:hAnsi="Times New Roman" w:eastAsia="宋体" w:cs="Times New Roman"/>
          <w:sz w:val="24"/>
          <w:szCs w:val="22"/>
          <w:lang w:val="en-US" w:eastAsia="zh-CN"/>
        </w:rPr>
        <w:t>湘阴县疾病预防控制中心定期对原水、出厂水、末梢水的水质进行了监测，监测频次为原水每年监测一次、出厂水和末梢水每年监测两次，原水每次监测色度、浊度等30个指标因子，出厂水、末梢水每次监测菌落总数、总大肠菌群等30个指标因子。本报告调取湘阴县疾病预防控制中心2018年以及2019年的常规监测数据来评价湘阴县南湖洲镇南湖水厂水源地的水质情况。同时，湘阴县环境监测站委托湖南安博检测有限公司对南湖洲镇南湖水厂的原水进行采样，按照《地下水质量标准》（GB/T14848-2017）中表1的指标因子（碘化物及放射性指标除外）进行水质现状分析。</w:t>
      </w:r>
    </w:p>
    <w:p>
      <w:pPr>
        <w:pStyle w:val="5"/>
        <w:spacing w:beforeLines="0" w:afterLines="0" w:line="360" w:lineRule="auto"/>
        <w:rPr>
          <w:rFonts w:ascii="Times New Roman" w:hAnsi="Times New Roman" w:cs="Times New Roman"/>
        </w:rPr>
      </w:pPr>
      <w:bookmarkStart w:id="61" w:name="_Toc6272"/>
      <w:r>
        <w:rPr>
          <w:rFonts w:ascii="Times New Roman" w:hAnsi="Times New Roman" w:cs="Times New Roman"/>
        </w:rPr>
        <w:t>2.4.</w:t>
      </w:r>
      <w:r>
        <w:rPr>
          <w:rFonts w:hint="eastAsia" w:ascii="Times New Roman" w:hAnsi="Times New Roman" w:cs="Times New Roman"/>
          <w:lang w:val="en-US" w:eastAsia="zh-CN"/>
        </w:rPr>
        <w:t>3</w:t>
      </w:r>
      <w:r>
        <w:rPr>
          <w:rFonts w:ascii="Times New Roman" w:hAnsi="Times New Roman" w:cs="Times New Roman"/>
        </w:rPr>
        <w:t>.2 水质评价标准及方法</w:t>
      </w:r>
      <w:bookmarkEnd w:id="60"/>
      <w:bookmarkEnd w:id="61"/>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szCs w:val="22"/>
        </w:rPr>
        <w:t>依据《地下水质量标准》（GB/T14848-2017），单因子采用从优不从劣的原则，对水质进行综合评价。</w:t>
      </w:r>
    </w:p>
    <w:p>
      <w:pPr>
        <w:pStyle w:val="5"/>
        <w:spacing w:beforeLines="0" w:afterLines="0" w:line="360" w:lineRule="auto"/>
        <w:rPr>
          <w:rFonts w:ascii="Times New Roman" w:hAnsi="Times New Roman" w:cs="Times New Roman"/>
          <w:color w:val="000000" w:themeColor="text1"/>
        </w:rPr>
      </w:pPr>
      <w:bookmarkStart w:id="62" w:name="_Toc25096"/>
      <w:bookmarkStart w:id="63" w:name="_Toc438805279"/>
      <w:bookmarkStart w:id="64" w:name="_Toc9434"/>
      <w:r>
        <w:rPr>
          <w:rFonts w:ascii="Times New Roman" w:hAnsi="Times New Roman" w:cs="Times New Roman"/>
          <w:color w:val="000000" w:themeColor="text1"/>
        </w:rPr>
        <w:t>2.4.</w:t>
      </w:r>
      <w:r>
        <w:rPr>
          <w:rFonts w:hint="eastAsia" w:ascii="Times New Roman" w:hAnsi="Times New Roman" w:cs="Times New Roman"/>
          <w:color w:val="000000" w:themeColor="text1"/>
          <w:lang w:val="en-US" w:eastAsia="zh-CN"/>
        </w:rPr>
        <w:t>3</w:t>
      </w:r>
      <w:r>
        <w:rPr>
          <w:rFonts w:ascii="Times New Roman" w:hAnsi="Times New Roman" w:cs="Times New Roman"/>
          <w:color w:val="000000" w:themeColor="text1"/>
        </w:rPr>
        <w:t>.3 水质评</w:t>
      </w:r>
      <w:bookmarkEnd w:id="62"/>
      <w:bookmarkEnd w:id="63"/>
      <w:r>
        <w:rPr>
          <w:rFonts w:ascii="Times New Roman" w:hAnsi="Times New Roman" w:cs="Times New Roman"/>
          <w:color w:val="000000" w:themeColor="text1"/>
        </w:rPr>
        <w:t>价结果</w:t>
      </w:r>
      <w:bookmarkEnd w:id="64"/>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一、常规监测水质评价</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监测点位：原水、出厂水、末梢水</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监测频次：原水每年监测一次、出厂水和末梢水每年监测两次</w:t>
      </w:r>
    </w:p>
    <w:p>
      <w:pPr>
        <w:adjustRightInd w:val="0"/>
        <w:snapToGrid w:val="0"/>
        <w:spacing w:line="360" w:lineRule="auto"/>
        <w:ind w:firstLine="480" w:firstLineChars="200"/>
        <w:rPr>
          <w:rFonts w:ascii="Times New Roman" w:hAnsi="Times New Roman" w:cs="Times New Roman"/>
          <w:b/>
          <w:szCs w:val="21"/>
          <w:highlight w:val="none"/>
        </w:rPr>
      </w:pPr>
      <w:r>
        <w:rPr>
          <w:rFonts w:ascii="Times New Roman" w:hAnsi="Times New Roman" w:eastAsia="宋体" w:cs="Times New Roman"/>
          <w:sz w:val="24"/>
          <w:szCs w:val="22"/>
        </w:rPr>
        <w:t>监测指标：</w:t>
      </w:r>
      <w:r>
        <w:rPr>
          <w:rFonts w:ascii="Times New Roman" w:hAnsi="Times New Roman" w:eastAsia="宋体" w:cs="Times New Roman"/>
          <w:sz w:val="24"/>
          <w:szCs w:val="22"/>
          <w:highlight w:val="none"/>
        </w:rPr>
        <w:t>原水监测色度、浊度等30个指标因子，出厂水</w:t>
      </w:r>
      <w:r>
        <w:rPr>
          <w:rFonts w:hint="eastAsia" w:ascii="Times New Roman" w:hAnsi="Times New Roman" w:eastAsia="宋体" w:cs="Times New Roman"/>
          <w:sz w:val="24"/>
          <w:szCs w:val="22"/>
          <w:highlight w:val="none"/>
          <w:lang w:eastAsia="zh-CN"/>
        </w:rPr>
        <w:t>、末梢水</w:t>
      </w:r>
      <w:r>
        <w:rPr>
          <w:rFonts w:ascii="Times New Roman" w:hAnsi="Times New Roman" w:eastAsia="宋体" w:cs="Times New Roman"/>
          <w:sz w:val="24"/>
          <w:szCs w:val="22"/>
          <w:highlight w:val="none"/>
        </w:rPr>
        <w:t>监测菌落总数、总大肠菌群等</w:t>
      </w:r>
      <w:r>
        <w:rPr>
          <w:rFonts w:hint="eastAsia" w:ascii="Times New Roman" w:hAnsi="Times New Roman" w:eastAsia="宋体" w:cs="Times New Roman"/>
          <w:sz w:val="24"/>
          <w:szCs w:val="22"/>
          <w:highlight w:val="none"/>
          <w:lang w:val="en-US" w:eastAsia="zh-CN"/>
        </w:rPr>
        <w:t>30个指标因子</w:t>
      </w:r>
      <w:r>
        <w:rPr>
          <w:rFonts w:ascii="Times New Roman" w:hAnsi="Times New Roman" w:eastAsia="宋体" w:cs="Times New Roman"/>
          <w:sz w:val="24"/>
          <w:szCs w:val="22"/>
          <w:highlight w:val="none"/>
        </w:rPr>
        <w:t>。</w:t>
      </w:r>
    </w:p>
    <w:p>
      <w:pPr>
        <w:snapToGrid w:val="0"/>
        <w:spacing w:line="360" w:lineRule="auto"/>
        <w:rPr>
          <w:rFonts w:ascii="Times New Roman" w:hAnsi="Times New Roman" w:cs="Times New Roman"/>
          <w:b/>
          <w:szCs w:val="21"/>
        </w:rPr>
      </w:pPr>
      <w:r>
        <w:rPr>
          <w:rFonts w:ascii="Times New Roman" w:hAnsi="Times New Roman" w:cs="Times New Roman"/>
          <w:b/>
          <w:szCs w:val="21"/>
        </w:rPr>
        <w:t>表2-4-1    2018年湘阴县南湖洲镇南湖水厂原水水质常规检测明细表</w:t>
      </w:r>
    </w:p>
    <w:tbl>
      <w:tblPr>
        <w:tblStyle w:val="20"/>
        <w:tblW w:w="8852" w:type="dxa"/>
        <w:jc w:val="center"/>
        <w:tblLayout w:type="fixed"/>
        <w:tblCellMar>
          <w:top w:w="0" w:type="dxa"/>
          <w:left w:w="108" w:type="dxa"/>
          <w:bottom w:w="0" w:type="dxa"/>
          <w:right w:w="108" w:type="dxa"/>
        </w:tblCellMar>
      </w:tblPr>
      <w:tblGrid>
        <w:gridCol w:w="779"/>
        <w:gridCol w:w="2295"/>
        <w:gridCol w:w="943"/>
        <w:gridCol w:w="1511"/>
        <w:gridCol w:w="3324"/>
      </w:tblGrid>
      <w:tr>
        <w:tblPrEx>
          <w:tblCellMar>
            <w:top w:w="0" w:type="dxa"/>
            <w:left w:w="108" w:type="dxa"/>
            <w:bottom w:w="0" w:type="dxa"/>
            <w:right w:w="108" w:type="dxa"/>
          </w:tblCellMar>
        </w:tblPrEx>
        <w:trPr>
          <w:jc w:val="center"/>
        </w:trPr>
        <w:tc>
          <w:tcPr>
            <w:tcW w:w="7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22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检验项目名称</w:t>
            </w:r>
          </w:p>
        </w:tc>
        <w:tc>
          <w:tcPr>
            <w:tcW w:w="9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单位</w:t>
            </w: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检测结果</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评价标准值</w:t>
            </w:r>
          </w:p>
        </w:tc>
      </w:tr>
      <w:tr>
        <w:tblPrEx>
          <w:tblCellMar>
            <w:top w:w="0" w:type="dxa"/>
            <w:left w:w="108" w:type="dxa"/>
            <w:bottom w:w="0" w:type="dxa"/>
            <w:right w:w="108" w:type="dxa"/>
          </w:tblCellMar>
        </w:tblPrEx>
        <w:trPr>
          <w:jc w:val="center"/>
        </w:trPr>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宋体" w:cs="Times New Roman"/>
                <w:kern w:val="0"/>
                <w:szCs w:val="21"/>
              </w:rPr>
            </w:pPr>
          </w:p>
        </w:tc>
        <w:tc>
          <w:tcPr>
            <w:tcW w:w="22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宋体" w:cs="Times New Roman"/>
                <w:kern w:val="0"/>
                <w:szCs w:val="21"/>
              </w:rPr>
            </w:pPr>
          </w:p>
        </w:tc>
        <w:tc>
          <w:tcPr>
            <w:tcW w:w="94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宋体" w:cs="Times New Roman"/>
                <w:kern w:val="0"/>
                <w:szCs w:val="21"/>
              </w:rPr>
            </w:pP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2018年</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《地下水质量标准》（GB/T14848-2017）</w:t>
            </w:r>
            <w:r>
              <w:rPr>
                <w:rFonts w:ascii="Times New Roman" w:hAnsi="Times New Roman" w:eastAsia="微软雅黑" w:cs="Times New Roman"/>
                <w:kern w:val="0"/>
                <w:szCs w:val="21"/>
              </w:rPr>
              <w:t>Ⅲ</w:t>
            </w:r>
            <w:r>
              <w:rPr>
                <w:rFonts w:ascii="Times New Roman" w:hAnsi="Times New Roman" w:eastAsia="宋体" w:cs="Times New Roman"/>
                <w:kern w:val="0"/>
                <w:szCs w:val="21"/>
              </w:rPr>
              <w:t>类标准</w:t>
            </w:r>
          </w:p>
        </w:tc>
      </w:tr>
      <w:tr>
        <w:tblPrEx>
          <w:tblCellMar>
            <w:top w:w="0" w:type="dxa"/>
            <w:left w:w="108" w:type="dxa"/>
            <w:bottom w:w="0" w:type="dxa"/>
            <w:right w:w="108" w:type="dxa"/>
          </w:tblCellMar>
        </w:tblPrEx>
        <w:trPr>
          <w:trHeight w:val="9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色度</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度</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浊度</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NTU</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臭和味</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肉眼可见物</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无肉眼可见物</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铬（六价）</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PH值</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PH单位</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6.5≤PH≤8.5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铁</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≤0.3</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锰</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氯化物</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17.0</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硫酸盐</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17.2</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总硬度（以CaCO</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计）</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50.9</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≤450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耗氧量</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0.79</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氨氮</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氟化物</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0.18</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砷</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汞</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硝酸盐（以N计）</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0.91</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铅</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＜0.0025</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镉</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铜</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锌</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溶解性总固体</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131</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≤1000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铝</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＜0.008</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≤0.2</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挥发酚类（以苯酚计）</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氰化物</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26</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阴离子合成洗涤剂</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＜0.050</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≤0.3</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硒</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28</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三氯甲烷</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四氯化碳</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229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亚氯酸盐</w:t>
            </w:r>
          </w:p>
        </w:tc>
        <w:tc>
          <w:tcPr>
            <w:tcW w:w="9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332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bl>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spacing w:line="360" w:lineRule="auto"/>
        <w:jc w:val="center"/>
        <w:rPr>
          <w:rFonts w:ascii="Times New Roman" w:hAnsi="Times New Roman" w:eastAsia="宋体" w:cs="Times New Roman"/>
          <w:b/>
        </w:rPr>
      </w:pPr>
      <w:r>
        <w:rPr>
          <w:rFonts w:ascii="Times New Roman" w:hAnsi="Times New Roman" w:cs="Times New Roman"/>
          <w:b/>
          <w:szCs w:val="21"/>
        </w:rPr>
        <w:t>表2-4-2    2018年以及2019年湘阴县南湖洲镇南湖水厂出厂水水质常规检测明细表</w:t>
      </w:r>
    </w:p>
    <w:tbl>
      <w:tblPr>
        <w:tblStyle w:val="20"/>
        <w:tblW w:w="13363" w:type="dxa"/>
        <w:jc w:val="center"/>
        <w:tblLayout w:type="fixed"/>
        <w:tblCellMar>
          <w:top w:w="0" w:type="dxa"/>
          <w:left w:w="108" w:type="dxa"/>
          <w:bottom w:w="0" w:type="dxa"/>
          <w:right w:w="108" w:type="dxa"/>
        </w:tblCellMar>
      </w:tblPr>
      <w:tblGrid>
        <w:gridCol w:w="762"/>
        <w:gridCol w:w="2234"/>
        <w:gridCol w:w="1061"/>
        <w:gridCol w:w="1617"/>
        <w:gridCol w:w="1618"/>
        <w:gridCol w:w="1586"/>
        <w:gridCol w:w="1564"/>
        <w:gridCol w:w="2921"/>
      </w:tblGrid>
      <w:tr>
        <w:tblPrEx>
          <w:tblCellMar>
            <w:top w:w="0" w:type="dxa"/>
            <w:left w:w="108" w:type="dxa"/>
            <w:bottom w:w="0" w:type="dxa"/>
            <w:right w:w="108" w:type="dxa"/>
          </w:tblCellMar>
        </w:tblPrEx>
        <w:trPr>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检验项目名称</w:t>
            </w:r>
          </w:p>
        </w:tc>
        <w:tc>
          <w:tcPr>
            <w:tcW w:w="10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单位</w:t>
            </w:r>
          </w:p>
        </w:tc>
        <w:tc>
          <w:tcPr>
            <w:tcW w:w="6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评价标准值</w:t>
            </w:r>
          </w:p>
        </w:tc>
      </w:tr>
      <w:tr>
        <w:tblPrEx>
          <w:tblCellMar>
            <w:top w:w="0" w:type="dxa"/>
            <w:left w:w="108" w:type="dxa"/>
            <w:bottom w:w="0" w:type="dxa"/>
            <w:right w:w="108" w:type="dxa"/>
          </w:tblCellMar>
        </w:tblPrEx>
        <w:trPr>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宋体" w:cs="Times New Roman"/>
                <w:kern w:val="0"/>
                <w:szCs w:val="21"/>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宋体" w:cs="Times New Roman"/>
                <w:kern w:val="0"/>
                <w:szCs w:val="21"/>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宋体" w:cs="Times New Roman"/>
                <w:kern w:val="0"/>
                <w:szCs w:val="21"/>
              </w:rPr>
            </w:pP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2018年枯水期</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2019年3月</w:t>
            </w:r>
          </w:p>
        </w:tc>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《生活饮用水卫生标准》（GB5749-2006）标准限值</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色度</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度</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浊度</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NTU</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臭和味</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肉眼可见物</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无肉眼可见物</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无肉眼可见物</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无肉眼可见物</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无肉眼可见物</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铬（六价）</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PH值</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PH单位</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6.8</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9</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不小于6.5不大于8.5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铁</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w:t>
            </w:r>
            <w:r>
              <w:rPr>
                <w:rFonts w:hint="eastAsia" w:ascii="Times New Roman" w:hAnsi="Times New Roman" w:eastAsia="宋体" w:cs="Times New Roman"/>
                <w:kern w:val="0"/>
                <w:szCs w:val="21"/>
              </w:rPr>
              <w:t>3</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4</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0.3</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锰</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0.02</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w:t>
            </w:r>
          </w:p>
        </w:tc>
      </w:tr>
      <w:tr>
        <w:tblPrEx>
          <w:tblCellMar>
            <w:top w:w="0" w:type="dxa"/>
            <w:left w:w="108" w:type="dxa"/>
            <w:bottom w:w="0" w:type="dxa"/>
            <w:right w:w="108" w:type="dxa"/>
          </w:tblCellMar>
        </w:tblPrEx>
        <w:trPr>
          <w:trHeight w:val="9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氯化物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62</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7.0</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8.19</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7.15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硫酸盐</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5.03</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17.</w:t>
            </w:r>
            <w:r>
              <w:rPr>
                <w:rFonts w:hint="eastAsia" w:ascii="Times New Roman" w:hAnsi="Times New Roman" w:eastAsia="宋体" w:cs="Times New Roman"/>
                <w:kern w:val="0"/>
                <w:szCs w:val="21"/>
              </w:rPr>
              <w:t>2</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5.56</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5.14</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总硬度</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r>
              <w:rPr>
                <w:rFonts w:hint="eastAsia" w:ascii="Times New Roman" w:hAnsi="Times New Roman" w:eastAsia="宋体" w:cs="Times New Roman"/>
                <w:kern w:val="0"/>
                <w:szCs w:val="21"/>
              </w:rPr>
              <w:t>1.6</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r>
              <w:rPr>
                <w:rFonts w:hint="eastAsia" w:ascii="Times New Roman" w:hAnsi="Times New Roman" w:eastAsia="宋体" w:cs="Times New Roman"/>
                <w:kern w:val="0"/>
                <w:szCs w:val="21"/>
              </w:rPr>
              <w:t>0.9</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.1</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r>
              <w:rPr>
                <w:rFonts w:hint="eastAsia" w:ascii="Times New Roman" w:hAnsi="Times New Roman" w:eastAsia="宋体" w:cs="Times New Roman"/>
                <w:kern w:val="0"/>
                <w:szCs w:val="21"/>
              </w:rPr>
              <w:t>9.2</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耗氧量</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7</w:t>
            </w:r>
            <w:r>
              <w:rPr>
                <w:rFonts w:ascii="Times New Roman" w:hAnsi="Times New Roman" w:eastAsia="宋体" w:cs="Times New Roman"/>
                <w:kern w:val="0"/>
                <w:szCs w:val="21"/>
              </w:rPr>
              <w:t>8</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0.7</w:t>
            </w:r>
            <w:r>
              <w:rPr>
                <w:rFonts w:hint="eastAsia" w:ascii="Times New Roman" w:hAnsi="Times New Roman" w:eastAsia="宋体" w:cs="Times New Roman"/>
                <w:kern w:val="0"/>
                <w:szCs w:val="21"/>
              </w:rPr>
              <w:t>9</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79</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64</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氨氮</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06</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7</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8</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氟化物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0.18</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砷</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w:t>
            </w:r>
            <w:r>
              <w:rPr>
                <w:rFonts w:hint="eastAsia" w:ascii="Times New Roman" w:hAnsi="Times New Roman" w:eastAsia="宋体" w:cs="Times New Roman"/>
                <w:kern w:val="0"/>
                <w:szCs w:val="21"/>
              </w:rPr>
              <w:t>3</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w:t>
            </w:r>
            <w:r>
              <w:rPr>
                <w:rFonts w:hint="eastAsia" w:ascii="Times New Roman" w:hAnsi="Times New Roman" w:eastAsia="宋体" w:cs="Times New Roman"/>
                <w:kern w:val="0"/>
                <w:szCs w:val="21"/>
              </w:rPr>
              <w:t>1</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汞</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0.0007</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ind w:firstLine="210" w:firstLineChars="100"/>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w:t>
            </w:r>
            <w:r>
              <w:rPr>
                <w:rFonts w:hint="eastAsia" w:ascii="Times New Roman" w:hAnsi="Times New Roman" w:eastAsia="宋体" w:cs="Times New Roman"/>
                <w:kern w:val="0"/>
                <w:szCs w:val="21"/>
              </w:rPr>
              <w:t>2</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硝酸盐（以N计）</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1.43</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0.9</w:t>
            </w:r>
            <w:r>
              <w:rPr>
                <w:rFonts w:hint="eastAsia" w:ascii="Times New Roman" w:hAnsi="Times New Roman" w:eastAsia="宋体" w:cs="Times New Roman"/>
                <w:kern w:val="0"/>
                <w:szCs w:val="21"/>
              </w:rPr>
              <w:t>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74</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1.39</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铅</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＜0.0025</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镉</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0.005</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铜</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锌</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溶解性总固体</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3</w:t>
            </w:r>
            <w:r>
              <w:rPr>
                <w:rFonts w:ascii="Times New Roman" w:hAnsi="Times New Roman" w:eastAsia="宋体" w:cs="Times New Roman"/>
                <w:kern w:val="0"/>
                <w:szCs w:val="21"/>
              </w:rPr>
              <w:t>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r>
              <w:rPr>
                <w:rFonts w:hint="eastAsia" w:ascii="Times New Roman" w:hAnsi="Times New Roman" w:eastAsia="宋体" w:cs="Times New Roman"/>
                <w:kern w:val="0"/>
                <w:szCs w:val="21"/>
              </w:rPr>
              <w:t>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35</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38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1000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菌落总数</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cfu/mL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r>
              <w:rPr>
                <w:rFonts w:ascii="Times New Roman" w:hAnsi="Times New Roman" w:eastAsia="宋体" w:cs="Times New Roman"/>
                <w:kern w:val="0"/>
                <w:szCs w:val="21"/>
              </w:rPr>
              <w:t>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总大肠菌群</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MPN/100mL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不得检出</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铝</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＜0.008</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＜0.008</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挥发酚类（以苯酚计）</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氰化物</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阴离子合成洗涤剂</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r>
              <w:rPr>
                <w:rFonts w:hint="eastAsia" w:ascii="Times New Roman" w:hAnsi="Times New Roman" w:eastAsia="宋体" w:cs="Times New Roman"/>
                <w:kern w:val="0"/>
                <w:szCs w:val="21"/>
              </w:rPr>
              <w:t>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0.3</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硒</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三氯甲烷</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0.06</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四氯化碳</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亚氯酸盐</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06</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0.7</w:t>
            </w:r>
          </w:p>
        </w:tc>
      </w:tr>
    </w:tbl>
    <w:p>
      <w:pPr>
        <w:snapToGrid w:val="0"/>
        <w:spacing w:line="360" w:lineRule="auto"/>
        <w:jc w:val="center"/>
        <w:rPr>
          <w:rFonts w:ascii="Times New Roman" w:hAnsi="Times New Roman" w:eastAsia="宋体" w:cs="Times New Roman"/>
          <w:b/>
        </w:rPr>
      </w:pPr>
      <w:r>
        <w:rPr>
          <w:rFonts w:ascii="Times New Roman" w:hAnsi="Times New Roman" w:cs="Times New Roman"/>
          <w:b/>
          <w:szCs w:val="21"/>
        </w:rPr>
        <w:t>表2-4-3   2018年以及2019年湘阴县南湖洲镇南湖水厂末梢水水质常规检测明细表</w:t>
      </w:r>
    </w:p>
    <w:tbl>
      <w:tblPr>
        <w:tblStyle w:val="20"/>
        <w:tblW w:w="13363" w:type="dxa"/>
        <w:jc w:val="center"/>
        <w:tblLayout w:type="fixed"/>
        <w:tblCellMar>
          <w:top w:w="0" w:type="dxa"/>
          <w:left w:w="108" w:type="dxa"/>
          <w:bottom w:w="0" w:type="dxa"/>
          <w:right w:w="108" w:type="dxa"/>
        </w:tblCellMar>
      </w:tblPr>
      <w:tblGrid>
        <w:gridCol w:w="762"/>
        <w:gridCol w:w="2234"/>
        <w:gridCol w:w="1061"/>
        <w:gridCol w:w="1617"/>
        <w:gridCol w:w="1618"/>
        <w:gridCol w:w="1586"/>
        <w:gridCol w:w="1564"/>
        <w:gridCol w:w="2921"/>
      </w:tblGrid>
      <w:tr>
        <w:tblPrEx>
          <w:tblCellMar>
            <w:top w:w="0" w:type="dxa"/>
            <w:left w:w="108" w:type="dxa"/>
            <w:bottom w:w="0" w:type="dxa"/>
            <w:right w:w="108" w:type="dxa"/>
          </w:tblCellMar>
        </w:tblPrEx>
        <w:trPr>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检验项目名称</w:t>
            </w:r>
          </w:p>
        </w:tc>
        <w:tc>
          <w:tcPr>
            <w:tcW w:w="10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单位</w:t>
            </w:r>
          </w:p>
        </w:tc>
        <w:tc>
          <w:tcPr>
            <w:tcW w:w="6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评价标准值</w:t>
            </w:r>
          </w:p>
        </w:tc>
      </w:tr>
      <w:tr>
        <w:tblPrEx>
          <w:tblCellMar>
            <w:top w:w="0" w:type="dxa"/>
            <w:left w:w="108" w:type="dxa"/>
            <w:bottom w:w="0" w:type="dxa"/>
            <w:right w:w="108" w:type="dxa"/>
          </w:tblCellMar>
        </w:tblPrEx>
        <w:trPr>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宋体" w:cs="Times New Roman"/>
                <w:kern w:val="0"/>
                <w:szCs w:val="21"/>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宋体" w:cs="Times New Roman"/>
                <w:kern w:val="0"/>
                <w:szCs w:val="21"/>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宋体" w:cs="Times New Roman"/>
                <w:kern w:val="0"/>
                <w:szCs w:val="21"/>
              </w:rPr>
            </w:pP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2018年枯水期</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2019年3月</w:t>
            </w:r>
          </w:p>
        </w:tc>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《生活饮用水卫生标准》（GB5749-2006）标准限值</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色度</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度</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浊度</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NTU</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臭和味</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无异臭异味</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肉眼可见物</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无肉眼可见物</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无肉眼可见物</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无肉眼可见物</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无肉眼可见物</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铬（六价）</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PH值</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PH单位</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7</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9</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6</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6</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不小于6.5不大于8.5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铁</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02</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0.04</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0.3</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锰</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1</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氯化物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24.8</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7.0</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7.43</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7.</w:t>
            </w:r>
            <w:r>
              <w:rPr>
                <w:rFonts w:hint="eastAsia" w:ascii="Times New Roman" w:hAnsi="Times New Roman" w:eastAsia="宋体" w:cs="Times New Roman"/>
                <w:kern w:val="0"/>
                <w:szCs w:val="21"/>
              </w:rPr>
              <w:t>08</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硫酸盐</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26.6</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17.2</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5.5</w:t>
            </w:r>
            <w:r>
              <w:rPr>
                <w:rFonts w:hint="eastAsia" w:ascii="Times New Roman" w:hAnsi="Times New Roman" w:eastAsia="宋体" w:cs="Times New Roman"/>
                <w:kern w:val="0"/>
                <w:szCs w:val="21"/>
              </w:rPr>
              <w:t>2</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5.1</w:t>
            </w:r>
            <w:r>
              <w:rPr>
                <w:rFonts w:hint="eastAsia" w:ascii="Times New Roman" w:hAnsi="Times New Roman" w:eastAsia="宋体" w:cs="Times New Roman"/>
                <w:kern w:val="0"/>
                <w:szCs w:val="21"/>
              </w:rPr>
              <w:t>3</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总硬度</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r>
              <w:rPr>
                <w:rFonts w:hint="eastAsia" w:ascii="Times New Roman" w:hAnsi="Times New Roman" w:eastAsia="宋体" w:cs="Times New Roman"/>
                <w:kern w:val="0"/>
                <w:szCs w:val="21"/>
              </w:rPr>
              <w:t>5</w:t>
            </w:r>
            <w:r>
              <w:rPr>
                <w:rFonts w:ascii="Times New Roman" w:hAnsi="Times New Roman" w:eastAsia="宋体" w:cs="Times New Roman"/>
                <w:kern w:val="0"/>
                <w:szCs w:val="21"/>
              </w:rPr>
              <w:t>.6</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50.9</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51.</w:t>
            </w:r>
            <w:r>
              <w:rPr>
                <w:rFonts w:hint="eastAsia" w:ascii="Times New Roman" w:hAnsi="Times New Roman" w:eastAsia="宋体" w:cs="Times New Roman"/>
                <w:kern w:val="0"/>
                <w:szCs w:val="21"/>
              </w:rPr>
              <w:t>4</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59.</w:t>
            </w:r>
            <w:r>
              <w:rPr>
                <w:rFonts w:hint="eastAsia" w:ascii="Times New Roman" w:hAnsi="Times New Roman" w:eastAsia="宋体" w:cs="Times New Roman"/>
                <w:kern w:val="0"/>
                <w:szCs w:val="21"/>
              </w:rPr>
              <w:t>3</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耗氧量</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62</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0.7</w:t>
            </w:r>
            <w:r>
              <w:rPr>
                <w:rFonts w:hint="eastAsia" w:ascii="Times New Roman" w:hAnsi="Times New Roman" w:eastAsia="宋体" w:cs="Times New Roman"/>
                <w:kern w:val="0"/>
                <w:szCs w:val="21"/>
              </w:rPr>
              <w:t>9</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0.7</w:t>
            </w:r>
            <w:r>
              <w:rPr>
                <w:rFonts w:hint="eastAsia" w:ascii="Times New Roman" w:hAnsi="Times New Roman" w:eastAsia="宋体" w:cs="Times New Roman"/>
                <w:kern w:val="0"/>
                <w:szCs w:val="21"/>
              </w:rPr>
              <w:t>7</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0.6</w:t>
            </w:r>
            <w:r>
              <w:rPr>
                <w:rFonts w:hint="eastAsia" w:ascii="Times New Roman" w:hAnsi="Times New Roman" w:eastAsia="宋体" w:cs="Times New Roman"/>
                <w:kern w:val="0"/>
                <w:szCs w:val="21"/>
              </w:rPr>
              <w:t>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氨氮</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4</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0.07</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9</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氟化物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w:t>
            </w:r>
            <w:r>
              <w:rPr>
                <w:rFonts w:hint="eastAsia" w:ascii="Times New Roman" w:hAnsi="Times New Roman" w:eastAsia="宋体" w:cs="Times New Roman"/>
                <w:kern w:val="0"/>
                <w:szCs w:val="21"/>
              </w:rPr>
              <w:t>8</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砷</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0.001</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汞</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w:t>
            </w:r>
            <w:r>
              <w:rPr>
                <w:rFonts w:hint="eastAsia" w:ascii="Times New Roman" w:hAnsi="Times New Roman" w:eastAsia="宋体" w:cs="Times New Roman"/>
                <w:kern w:val="0"/>
                <w:szCs w:val="21"/>
              </w:rPr>
              <w:t>1</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硝酸盐（以N计）</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0.60</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91</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94</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r>
              <w:rPr>
                <w:rFonts w:hint="eastAsia" w:ascii="Times New Roman" w:hAnsi="Times New Roman" w:eastAsia="宋体" w:cs="Times New Roman"/>
                <w:kern w:val="0"/>
                <w:szCs w:val="21"/>
              </w:rPr>
              <w:t>8</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铅</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＜0.0025</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223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镉</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16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158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156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292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0.005</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铜</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锌</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溶解性总固体</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r>
              <w:rPr>
                <w:rFonts w:hint="eastAsia" w:ascii="Times New Roman" w:hAnsi="Times New Roman" w:eastAsia="宋体" w:cs="Times New Roman"/>
                <w:kern w:val="0"/>
                <w:szCs w:val="21"/>
              </w:rPr>
              <w:t>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r>
              <w:rPr>
                <w:rFonts w:hint="eastAsia" w:ascii="Times New Roman" w:hAnsi="Times New Roman" w:eastAsia="宋体" w:cs="Times New Roman"/>
                <w:kern w:val="0"/>
                <w:szCs w:val="21"/>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r>
              <w:rPr>
                <w:rFonts w:hint="eastAsia" w:ascii="Times New Roman" w:hAnsi="Times New Roman" w:eastAsia="宋体" w:cs="Times New Roman"/>
                <w:kern w:val="0"/>
                <w:szCs w:val="21"/>
              </w:rPr>
              <w:t>9</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1000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菌落总数</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cfu/mL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7</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总大肠菌群</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MPN/100mL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不得检出</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铝</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＜0.008</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＜0.008</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挥发酚类（以苯酚计）</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氰化物</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阴离子合成洗涤剂</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＜0.050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0.3</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硒</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0.01</w:t>
            </w:r>
          </w:p>
        </w:tc>
      </w:tr>
      <w:tr>
        <w:tblPrEx>
          <w:tblCellMar>
            <w:top w:w="0" w:type="dxa"/>
            <w:left w:w="108" w:type="dxa"/>
            <w:bottom w:w="0" w:type="dxa"/>
            <w:right w:w="108" w:type="dxa"/>
          </w:tblCellMar>
        </w:tblPrEx>
        <w:trPr>
          <w:trHeight w:val="9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三氯甲烷</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0.06</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四氯化碳</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＜0.0001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亚氯酸盐</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0.06</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0.7</w:t>
            </w:r>
          </w:p>
        </w:tc>
      </w:tr>
    </w:tbl>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表2-4-1分析可知，南湖水厂地下水原水水质常规监测30项指标因子全部满足《地下水质量标准》（GB/T14848-2017）Ⅲ类标准，从表2-4-2、表2-4-3分析可知，2018年以及2019年湘阴县南湖洲镇南湖水厂末梢水水质常规监测30项指标因子除总大肠菌群，其余29项指标因子全部满足《生活饮用水卫生标准》（GB5749-2006）标准限值。</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rPr>
        <w:sectPr>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Times New Roman" w:hAnsi="Times New Roman" w:eastAsia="宋体" w:cs="Times New Roman"/>
          <w:sz w:val="24"/>
          <w:szCs w:val="22"/>
          <w:lang w:val="en-US" w:eastAsia="zh-CN"/>
        </w:rPr>
        <w:t>为保证饮水安全，使此水源地的水质符合标准，在原水中加入次氯酸钠，保证游离性余氯0.3-0.5mg/L。30分钟，可以基本消毒去除大肠菌群。如此复测3天，若总大肠菌群达到《生活饮用水卫生标准》（GB5749-2006）标准限值，可持续供水，南湖水厂每日常规监测中持续监测总大肠菌群指标因子。</w:t>
      </w:r>
    </w:p>
    <w:p>
      <w:pPr>
        <w:adjustRightInd w:val="0"/>
        <w:snapToGrid w:val="0"/>
        <w:spacing w:line="360" w:lineRule="auto"/>
        <w:rPr>
          <w:rFonts w:ascii="Calibri" w:hAnsi="Calibri" w:eastAsia="宋体" w:cs="宋体"/>
          <w:b/>
          <w:bCs/>
          <w:sz w:val="24"/>
          <w:szCs w:val="22"/>
        </w:rPr>
      </w:pPr>
      <w:bookmarkStart w:id="65" w:name="_Toc458323099"/>
      <w:r>
        <w:rPr>
          <w:rFonts w:hint="eastAsia" w:ascii="Calibri" w:hAnsi="Calibri" w:eastAsia="宋体" w:cs="宋体"/>
          <w:b/>
          <w:bCs/>
          <w:sz w:val="24"/>
          <w:szCs w:val="22"/>
        </w:rPr>
        <w:t>二、现状监测水质评价</w:t>
      </w:r>
    </w:p>
    <w:p>
      <w:pPr>
        <w:adjustRightInd w:val="0"/>
        <w:snapToGrid w:val="0"/>
        <w:spacing w:line="360" w:lineRule="auto"/>
        <w:ind w:firstLine="480" w:firstLineChars="200"/>
        <w:rPr>
          <w:rFonts w:ascii="Calibri" w:hAnsi="Calibri" w:eastAsia="宋体" w:cs="宋体"/>
          <w:sz w:val="24"/>
          <w:szCs w:val="22"/>
        </w:rPr>
      </w:pPr>
      <w:r>
        <w:rPr>
          <w:rFonts w:hint="eastAsia" w:ascii="Calibri" w:hAnsi="Calibri" w:eastAsia="宋体" w:cs="宋体"/>
          <w:sz w:val="24"/>
          <w:szCs w:val="22"/>
        </w:rPr>
        <w:t>监测点位：南湖水厂原水（水井取水口）</w:t>
      </w:r>
    </w:p>
    <w:p>
      <w:pPr>
        <w:adjustRightInd w:val="0"/>
        <w:snapToGrid w:val="0"/>
        <w:spacing w:line="360" w:lineRule="auto"/>
        <w:ind w:firstLine="480" w:firstLineChars="200"/>
        <w:rPr>
          <w:rFonts w:ascii="Calibri" w:hAnsi="Calibri" w:eastAsia="宋体" w:cs="宋体"/>
          <w:sz w:val="24"/>
          <w:szCs w:val="22"/>
        </w:rPr>
      </w:pPr>
      <w:r>
        <w:rPr>
          <w:rFonts w:hint="eastAsia" w:ascii="Calibri" w:hAnsi="Calibri" w:eastAsia="宋体" w:cs="宋体"/>
          <w:sz w:val="24"/>
          <w:szCs w:val="22"/>
        </w:rPr>
        <w:t>监测频次：监测一次</w:t>
      </w:r>
    </w:p>
    <w:p>
      <w:pPr>
        <w:adjustRightInd w:val="0"/>
        <w:snapToGrid w:val="0"/>
        <w:spacing w:line="360" w:lineRule="auto"/>
        <w:ind w:firstLine="480" w:firstLineChars="200"/>
        <w:rPr>
          <w:rFonts w:ascii="Calibri" w:hAnsi="Calibri" w:eastAsia="宋体" w:cs="宋体"/>
          <w:sz w:val="24"/>
          <w:szCs w:val="22"/>
        </w:rPr>
      </w:pPr>
      <w:r>
        <w:rPr>
          <w:rFonts w:hint="eastAsia" w:ascii="Calibri" w:hAnsi="Calibri" w:eastAsia="宋体" w:cs="宋体"/>
          <w:sz w:val="24"/>
          <w:szCs w:val="22"/>
        </w:rPr>
        <w:t>监测指标：《地下水质量标准》（GB/T14848-2017）中表1中的指标因子（碘化物、放射性指标除外），共36项。</w:t>
      </w:r>
    </w:p>
    <w:p>
      <w:pPr>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表2-4-4    2019年湘阴县南湖洲镇南湖水厂原水水质检测明细表</w:t>
      </w:r>
    </w:p>
    <w:tbl>
      <w:tblPr>
        <w:tblStyle w:val="20"/>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169"/>
        <w:gridCol w:w="1375"/>
        <w:gridCol w:w="1226"/>
        <w:gridCol w:w="674"/>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restart"/>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2169" w:type="dxa"/>
            <w:vMerge w:val="restart"/>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检验项目名称</w:t>
            </w:r>
          </w:p>
        </w:tc>
        <w:tc>
          <w:tcPr>
            <w:tcW w:w="1375" w:type="dxa"/>
            <w:vMerge w:val="restart"/>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单位</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检测结果</w:t>
            </w:r>
          </w:p>
        </w:tc>
        <w:tc>
          <w:tcPr>
            <w:tcW w:w="674"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评价标准</w:t>
            </w:r>
          </w:p>
        </w:tc>
        <w:tc>
          <w:tcPr>
            <w:tcW w:w="2117"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《地下水质量标准》（GB/T14848-2017）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tcBorders>
              <w:tl2br w:val="nil"/>
              <w:tr2bl w:val="nil"/>
            </w:tcBorders>
            <w:vAlign w:val="center"/>
          </w:tcPr>
          <w:p>
            <w:pPr>
              <w:widowControl/>
              <w:spacing w:line="360" w:lineRule="auto"/>
              <w:jc w:val="center"/>
              <w:rPr>
                <w:rFonts w:ascii="Times New Roman" w:hAnsi="Times New Roman" w:eastAsia="宋体" w:cs="Times New Roman"/>
                <w:kern w:val="0"/>
                <w:szCs w:val="21"/>
              </w:rPr>
            </w:pPr>
          </w:p>
        </w:tc>
        <w:tc>
          <w:tcPr>
            <w:tcW w:w="2169" w:type="dxa"/>
            <w:vMerge w:val="continue"/>
            <w:tcBorders>
              <w:tl2br w:val="nil"/>
              <w:tr2bl w:val="nil"/>
            </w:tcBorders>
            <w:vAlign w:val="center"/>
          </w:tcPr>
          <w:p>
            <w:pPr>
              <w:widowControl/>
              <w:spacing w:line="360" w:lineRule="auto"/>
              <w:jc w:val="center"/>
              <w:rPr>
                <w:rFonts w:ascii="Times New Roman" w:hAnsi="Times New Roman" w:eastAsia="宋体" w:cs="Times New Roman"/>
                <w:kern w:val="0"/>
                <w:szCs w:val="21"/>
              </w:rPr>
            </w:pPr>
          </w:p>
        </w:tc>
        <w:tc>
          <w:tcPr>
            <w:tcW w:w="1375" w:type="dxa"/>
            <w:vMerge w:val="continue"/>
            <w:tcBorders>
              <w:tl2br w:val="nil"/>
              <w:tr2bl w:val="nil"/>
            </w:tcBorders>
            <w:vAlign w:val="center"/>
          </w:tcPr>
          <w:p>
            <w:pPr>
              <w:widowControl/>
              <w:spacing w:line="360" w:lineRule="auto"/>
              <w:jc w:val="center"/>
              <w:rPr>
                <w:rFonts w:ascii="Times New Roman" w:hAnsi="Times New Roman" w:eastAsia="宋体" w:cs="Times New Roman"/>
                <w:kern w:val="0"/>
                <w:szCs w:val="21"/>
              </w:rPr>
            </w:pP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w:t>
            </w:r>
            <w:r>
              <w:rPr>
                <w:rFonts w:hint="eastAsia" w:ascii="Times New Roman" w:hAnsi="Times New Roman" w:eastAsia="宋体" w:cs="Times New Roman"/>
                <w:kern w:val="0"/>
                <w:szCs w:val="21"/>
              </w:rPr>
              <w:t>9</w:t>
            </w:r>
            <w:r>
              <w:rPr>
                <w:rFonts w:ascii="Times New Roman" w:hAnsi="Times New Roman" w:eastAsia="宋体" w:cs="Times New Roman"/>
                <w:kern w:val="0"/>
                <w:szCs w:val="21"/>
              </w:rPr>
              <w:t>年</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评价类别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色度</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度</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臭和味</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浊度</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NTU</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0.7</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肉眼可见物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PH值</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PH单位</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7.05</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总硬度（以CaCO</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计）</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133</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溶解性总固体</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165</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硫酸盐</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27.3</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氯化物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30.1</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铁</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0.150</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锰</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铜</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锌</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铝</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挥发酚类（以苯酚计）</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阴离子</w:t>
            </w:r>
            <w:r>
              <w:rPr>
                <w:rFonts w:hint="eastAsia" w:ascii="Times New Roman" w:hAnsi="Times New Roman" w:eastAsia="宋体" w:cs="Times New Roman"/>
                <w:kern w:val="0"/>
                <w:szCs w:val="21"/>
              </w:rPr>
              <w:t>表面活性剂</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耗氧量</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0.51</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氨氮</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0.14</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硫化物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钠</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23.8</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总大肠菌群</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MPN/100mL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未检出（＜2）</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菌落总数</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CFU/mL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29</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亚</w:t>
            </w:r>
            <w:r>
              <w:rPr>
                <w:rFonts w:ascii="Times New Roman" w:hAnsi="Times New Roman" w:eastAsia="宋体" w:cs="Times New Roman"/>
                <w:kern w:val="0"/>
                <w:szCs w:val="21"/>
              </w:rPr>
              <w:t>硝酸盐（以N计）</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硝酸盐（以N计）</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2.41</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氰化物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26</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氟化物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0.061</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汞</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28</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砷</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硒</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镉</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铬（六价）</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铅</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三氯甲烷</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u</w:t>
            </w:r>
            <w:r>
              <w:rPr>
                <w:rFonts w:ascii="Times New Roman" w:hAnsi="Times New Roman" w:eastAsia="宋体" w:cs="Times New Roman"/>
                <w:kern w:val="0"/>
                <w:szCs w:val="21"/>
              </w:rPr>
              <w:t>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34</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四氯化碳</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u</w:t>
            </w:r>
            <w:r>
              <w:rPr>
                <w:rFonts w:ascii="Times New Roman" w:hAnsi="Times New Roman" w:eastAsia="宋体" w:cs="Times New Roman"/>
                <w:kern w:val="0"/>
                <w:szCs w:val="21"/>
              </w:rPr>
              <w:t>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苯</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u</w:t>
            </w:r>
            <w:r>
              <w:rPr>
                <w:rFonts w:ascii="Times New Roman" w:hAnsi="Times New Roman" w:eastAsia="宋体" w:cs="Times New Roman"/>
                <w:kern w:val="0"/>
                <w:szCs w:val="21"/>
              </w:rPr>
              <w:t>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甲苯</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u</w:t>
            </w:r>
            <w:r>
              <w:rPr>
                <w:rFonts w:ascii="Times New Roman" w:hAnsi="Times New Roman" w:eastAsia="宋体" w:cs="Times New Roman"/>
                <w:kern w:val="0"/>
                <w:szCs w:val="21"/>
              </w:rPr>
              <w:t>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bl>
    <w:p>
      <w:pPr>
        <w:adjustRightInd w:val="0"/>
        <w:snapToGrid w:val="0"/>
        <w:spacing w:line="360" w:lineRule="auto"/>
        <w:ind w:firstLine="480" w:firstLineChars="200"/>
        <w:rPr>
          <w:rFonts w:hint="eastAsia" w:ascii="Calibri" w:hAnsi="Calibri" w:eastAsia="宋体" w:cs="宋体"/>
          <w:sz w:val="24"/>
          <w:szCs w:val="22"/>
        </w:rPr>
      </w:pPr>
      <w:r>
        <w:rPr>
          <w:rFonts w:hint="eastAsia" w:ascii="Calibri" w:hAnsi="Calibri" w:eastAsia="宋体" w:cs="宋体"/>
          <w:sz w:val="24"/>
          <w:szCs w:val="22"/>
        </w:rPr>
        <w:t>从表2-4-4分析可知，依据《地下水质量标准》（GB/T14848-2017），南湖水厂地下水原水水质为Ⅲ类。</w:t>
      </w:r>
    </w:p>
    <w:p>
      <w:pPr>
        <w:pStyle w:val="4"/>
        <w:spacing w:beforeLines="0" w:afterLines="0" w:line="360" w:lineRule="auto"/>
        <w:rPr>
          <w:rFonts w:hint="eastAsia"/>
        </w:rPr>
      </w:pPr>
      <w:bookmarkStart w:id="66" w:name="_Toc20394"/>
      <w:r>
        <w:t>2.4.</w:t>
      </w:r>
      <w:r>
        <w:rPr>
          <w:rFonts w:hint="eastAsia"/>
          <w:lang w:val="en-US" w:eastAsia="zh-CN"/>
        </w:rPr>
        <w:t>4</w:t>
      </w:r>
      <w:r>
        <w:t>饮用水水源地污染状况分析</w:t>
      </w:r>
      <w:bookmarkEnd w:id="65"/>
      <w:bookmarkEnd w:id="66"/>
    </w:p>
    <w:p>
      <w:pPr>
        <w:adjustRightInd w:val="0"/>
        <w:snapToGrid w:val="0"/>
        <w:spacing w:line="360" w:lineRule="auto"/>
        <w:ind w:firstLine="480" w:firstLineChars="200"/>
        <w:rPr>
          <w:rFonts w:hint="eastAsia" w:ascii="Calibri" w:hAnsi="Calibri" w:eastAsia="宋体" w:cs="宋体"/>
          <w:sz w:val="24"/>
          <w:szCs w:val="22"/>
        </w:rPr>
      </w:pPr>
      <w:r>
        <w:rPr>
          <w:rFonts w:hint="eastAsia" w:ascii="Calibri" w:hAnsi="Calibri" w:eastAsia="宋体" w:cs="宋体"/>
          <w:sz w:val="24"/>
          <w:szCs w:val="22"/>
        </w:rPr>
        <w:t>根据《饮用水水源保护区划分技术规范》（HJ338-2018），污染调查范围分为两方面：一是调查水源地的补给区、径流区、排泄区。本水源地的重要补给区位于洞庭湖周边的山岗地，离本水源距离较远，不便于环境管理，水源地所在的洞庭湖盆地为主要排泄区。因此，结合水源地的水文地质条件，本次重点调查：取水井周边30m及1km范围内的区域。调查对象主要为取水井周边30m范围内的点源、农业面源和潜在风险源，30m以外、1km以内重大污染源和潜在风险源。主要污染源位置分布见附图3。</w:t>
      </w:r>
    </w:p>
    <w:p>
      <w:pPr>
        <w:pStyle w:val="4"/>
        <w:spacing w:beforeLines="0" w:afterLines="0" w:line="360" w:lineRule="auto"/>
      </w:pPr>
      <w:bookmarkStart w:id="67" w:name="_Toc8400"/>
      <w:r>
        <w:t>2.</w:t>
      </w:r>
      <w:r>
        <w:rPr>
          <w:rFonts w:hint="eastAsia"/>
        </w:rPr>
        <w:t>4.</w:t>
      </w:r>
      <w:r>
        <w:rPr>
          <w:rFonts w:hint="eastAsia"/>
          <w:lang w:val="en-US" w:eastAsia="zh-CN"/>
        </w:rPr>
        <w:t>5</w:t>
      </w:r>
      <w:r>
        <w:t>保护区范围内</w:t>
      </w:r>
      <w:bookmarkEnd w:id="67"/>
    </w:p>
    <w:p>
      <w:pPr>
        <w:adjustRightInd w:val="0"/>
        <w:snapToGrid w:val="0"/>
        <w:spacing w:line="360" w:lineRule="auto"/>
        <w:ind w:firstLine="480" w:firstLineChars="200"/>
        <w:rPr>
          <w:rFonts w:hint="eastAsia" w:ascii="Calibri" w:hAnsi="Calibri" w:eastAsia="宋体" w:cs="宋体"/>
          <w:sz w:val="24"/>
          <w:szCs w:val="22"/>
        </w:rPr>
      </w:pPr>
      <w:r>
        <w:rPr>
          <w:rFonts w:hint="eastAsia" w:ascii="Calibri" w:hAnsi="Calibri" w:eastAsia="宋体" w:cs="宋体"/>
          <w:sz w:val="24"/>
          <w:szCs w:val="22"/>
        </w:rPr>
        <w:t>根据现场调查核实，一级保护区范围内的主要环境问题如下：</w:t>
      </w:r>
    </w:p>
    <w:p>
      <w:pPr>
        <w:adjustRightInd w:val="0"/>
        <w:snapToGrid w:val="0"/>
        <w:spacing w:line="360" w:lineRule="auto"/>
        <w:ind w:firstLine="482" w:firstLineChars="200"/>
        <w:rPr>
          <w:rFonts w:hint="eastAsia" w:ascii="Calibri" w:hAnsi="Calibri" w:eastAsia="宋体" w:cs="宋体"/>
          <w:sz w:val="24"/>
          <w:szCs w:val="22"/>
          <w:lang w:eastAsia="zh-CN"/>
        </w:rPr>
      </w:pPr>
      <w:r>
        <w:rPr>
          <w:rFonts w:hint="eastAsia" w:ascii="Calibri" w:hAnsi="Calibri" w:eastAsia="宋体" w:cs="宋体"/>
          <w:b/>
          <w:bCs/>
          <w:sz w:val="24"/>
          <w:szCs w:val="22"/>
        </w:rPr>
        <w:t>一、</w:t>
      </w:r>
      <w:r>
        <w:rPr>
          <w:rFonts w:hint="eastAsia" w:ascii="Calibri" w:hAnsi="Calibri" w:eastAsia="宋体" w:cs="宋体"/>
          <w:b/>
          <w:bCs/>
          <w:sz w:val="24"/>
          <w:szCs w:val="22"/>
          <w:lang w:eastAsia="zh-CN"/>
        </w:rPr>
        <w:t>面源</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保护区周边无农户、农田，主要面源为水厂工作人员产生的生活污水及生活垃圾。</w:t>
      </w:r>
    </w:p>
    <w:p>
      <w:pPr>
        <w:adjustRightInd w:val="0"/>
        <w:snapToGrid w:val="0"/>
        <w:spacing w:line="360" w:lineRule="auto"/>
        <w:ind w:firstLine="482" w:firstLineChars="200"/>
        <w:rPr>
          <w:rFonts w:hint="eastAsia" w:ascii="Calibri" w:hAnsi="Calibri" w:eastAsia="宋体" w:cs="宋体"/>
          <w:b/>
          <w:bCs/>
          <w:sz w:val="24"/>
          <w:szCs w:val="22"/>
          <w:lang w:eastAsia="zh-CN"/>
        </w:rPr>
      </w:pPr>
      <w:r>
        <w:rPr>
          <w:rFonts w:hint="eastAsia" w:ascii="Calibri" w:hAnsi="Calibri" w:eastAsia="宋体" w:cs="宋体"/>
          <w:b/>
          <w:bCs/>
          <w:sz w:val="24"/>
          <w:szCs w:val="22"/>
          <w:lang w:eastAsia="zh-CN"/>
        </w:rPr>
        <w:t>二、点源</w:t>
      </w:r>
    </w:p>
    <w:p>
      <w:pPr>
        <w:adjustRightInd w:val="0"/>
        <w:snapToGrid w:val="0"/>
        <w:spacing w:line="360" w:lineRule="auto"/>
        <w:ind w:firstLine="480" w:firstLineChars="200"/>
        <w:rPr>
          <w:rFonts w:hint="eastAsia" w:ascii="Calibri" w:hAnsi="Calibri" w:eastAsia="宋体" w:cs="宋体"/>
          <w:sz w:val="24"/>
          <w:szCs w:val="22"/>
        </w:rPr>
      </w:pPr>
      <w:r>
        <w:rPr>
          <w:rFonts w:hint="eastAsia" w:ascii="Calibri" w:hAnsi="Calibri" w:eastAsia="宋体" w:cs="宋体"/>
          <w:sz w:val="24"/>
          <w:szCs w:val="22"/>
          <w:lang w:eastAsia="zh-CN"/>
        </w:rPr>
        <w:t>保护区内无</w:t>
      </w:r>
      <w:r>
        <w:rPr>
          <w:rFonts w:hint="eastAsia" w:ascii="Calibri" w:hAnsi="Calibri" w:eastAsia="宋体" w:cs="宋体"/>
          <w:sz w:val="24"/>
          <w:szCs w:val="22"/>
        </w:rPr>
        <w:t>工业企业排污口、污水处理厂排污口、货运码头、畜禽养殖场（小区）、养殖专业户</w:t>
      </w:r>
      <w:r>
        <w:rPr>
          <w:rFonts w:hint="eastAsia" w:ascii="Calibri" w:hAnsi="Calibri" w:eastAsia="宋体" w:cs="宋体"/>
          <w:sz w:val="24"/>
          <w:szCs w:val="22"/>
          <w:lang w:eastAsia="zh-CN"/>
        </w:rPr>
        <w:t>等点</w:t>
      </w:r>
      <w:r>
        <w:rPr>
          <w:rFonts w:hint="eastAsia" w:ascii="Calibri" w:hAnsi="Calibri" w:eastAsia="宋体" w:cs="宋体"/>
          <w:sz w:val="24"/>
          <w:szCs w:val="22"/>
        </w:rPr>
        <w:t>源污染。</w:t>
      </w:r>
    </w:p>
    <w:p>
      <w:pPr>
        <w:adjustRightInd w:val="0"/>
        <w:snapToGrid w:val="0"/>
        <w:spacing w:line="360" w:lineRule="auto"/>
        <w:ind w:firstLine="482" w:firstLineChars="200"/>
        <w:rPr>
          <w:rFonts w:hint="eastAsia" w:ascii="Calibri" w:hAnsi="Calibri" w:eastAsia="宋体" w:cs="宋体"/>
          <w:b/>
          <w:bCs/>
          <w:sz w:val="24"/>
          <w:szCs w:val="22"/>
        </w:rPr>
      </w:pPr>
      <w:r>
        <w:rPr>
          <w:rFonts w:hint="eastAsia" w:ascii="Calibri" w:hAnsi="Calibri" w:eastAsia="宋体" w:cs="宋体"/>
          <w:b/>
          <w:bCs/>
          <w:sz w:val="24"/>
          <w:szCs w:val="22"/>
          <w:lang w:eastAsia="zh-CN"/>
        </w:rPr>
        <w:t>三、</w:t>
      </w:r>
      <w:r>
        <w:rPr>
          <w:rFonts w:hint="eastAsia" w:ascii="Calibri" w:hAnsi="Calibri" w:eastAsia="宋体" w:cs="宋体"/>
          <w:b/>
          <w:bCs/>
          <w:sz w:val="24"/>
          <w:szCs w:val="22"/>
        </w:rPr>
        <w:t>流动源</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取水井面对车道，有行人、社会车辆通行。</w:t>
      </w:r>
    </w:p>
    <w:p>
      <w:pPr>
        <w:adjustRightInd w:val="0"/>
        <w:snapToGrid w:val="0"/>
        <w:spacing w:line="360" w:lineRule="auto"/>
        <w:ind w:firstLine="482" w:firstLineChars="200"/>
        <w:rPr>
          <w:rFonts w:hint="eastAsia" w:ascii="Calibri" w:hAnsi="Calibri" w:eastAsia="宋体" w:cs="宋体"/>
          <w:sz w:val="24"/>
          <w:szCs w:val="22"/>
        </w:rPr>
      </w:pPr>
      <w:r>
        <w:rPr>
          <w:rFonts w:hint="eastAsia" w:ascii="Calibri" w:hAnsi="Calibri" w:eastAsia="宋体" w:cs="宋体"/>
          <w:b/>
          <w:bCs/>
          <w:sz w:val="24"/>
          <w:szCs w:val="22"/>
          <w:lang w:eastAsia="zh-CN"/>
        </w:rPr>
        <w:t>四</w:t>
      </w:r>
      <w:r>
        <w:rPr>
          <w:rFonts w:hint="eastAsia" w:ascii="Calibri" w:hAnsi="Calibri" w:eastAsia="宋体" w:cs="宋体"/>
          <w:b/>
          <w:bCs/>
          <w:sz w:val="24"/>
          <w:szCs w:val="22"/>
        </w:rPr>
        <w:t>、潜在风险源</w:t>
      </w:r>
    </w:p>
    <w:p>
      <w:pPr>
        <w:adjustRightInd w:val="0"/>
        <w:snapToGrid w:val="0"/>
        <w:spacing w:line="360" w:lineRule="auto"/>
        <w:ind w:firstLine="480" w:firstLineChars="200"/>
        <w:rPr>
          <w:rFonts w:hint="eastAsia" w:ascii="Calibri" w:hAnsi="Calibri" w:eastAsia="宋体" w:cs="宋体"/>
          <w:sz w:val="24"/>
          <w:szCs w:val="22"/>
        </w:rPr>
      </w:pPr>
      <w:r>
        <w:rPr>
          <w:rFonts w:hint="eastAsia" w:ascii="Calibri" w:hAnsi="Calibri" w:eastAsia="宋体" w:cs="宋体"/>
          <w:sz w:val="24"/>
          <w:szCs w:val="22"/>
        </w:rPr>
        <w:t>一级保护区范围内无石油化工行业、垃圾填埋场、危险废弃物填埋场、加油站、污水处理设施、危险品仓储设施、尾矿库等固定潜在风险源。</w:t>
      </w:r>
    </w:p>
    <w:p>
      <w:pPr>
        <w:pStyle w:val="4"/>
        <w:spacing w:beforeLines="0" w:afterLines="0" w:line="360" w:lineRule="auto"/>
      </w:pPr>
      <w:bookmarkStart w:id="68" w:name="_Toc13583"/>
      <w:r>
        <w:t>2.4.</w:t>
      </w:r>
      <w:r>
        <w:rPr>
          <w:rFonts w:hint="eastAsia"/>
          <w:lang w:val="en-US" w:eastAsia="zh-CN"/>
        </w:rPr>
        <w:t>6</w:t>
      </w:r>
      <w:r>
        <w:rPr>
          <w:rFonts w:hint="eastAsia"/>
        </w:rPr>
        <w:t xml:space="preserve"> 1km</w:t>
      </w:r>
      <w:r>
        <w:t>范围内的其他情况</w:t>
      </w:r>
      <w:bookmarkEnd w:id="68"/>
    </w:p>
    <w:p>
      <w:pPr>
        <w:adjustRightInd w:val="0"/>
        <w:snapToGrid w:val="0"/>
        <w:spacing w:line="360" w:lineRule="auto"/>
        <w:ind w:firstLine="480" w:firstLineChars="200"/>
        <w:rPr>
          <w:rFonts w:hint="eastAsia" w:ascii="Calibri" w:hAnsi="Calibri" w:eastAsia="宋体" w:cs="宋体"/>
          <w:sz w:val="24"/>
          <w:szCs w:val="22"/>
        </w:rPr>
      </w:pPr>
      <w:r>
        <w:rPr>
          <w:rFonts w:hint="eastAsia" w:ascii="Calibri" w:hAnsi="Calibri" w:eastAsia="宋体" w:cs="宋体"/>
          <w:sz w:val="24"/>
          <w:szCs w:val="22"/>
        </w:rPr>
        <w:t>根据现场调查，本保护区外1km 以内无工业源及排污口</w:t>
      </w:r>
      <w:r>
        <w:rPr>
          <w:rFonts w:hint="eastAsia" w:ascii="Calibri" w:hAnsi="Calibri" w:eastAsia="宋体" w:cs="宋体"/>
          <w:sz w:val="24"/>
          <w:szCs w:val="22"/>
          <w:lang w:eastAsia="zh-CN"/>
        </w:rPr>
        <w:t>，</w:t>
      </w:r>
      <w:r>
        <w:rPr>
          <w:rFonts w:hint="eastAsia" w:ascii="Calibri" w:hAnsi="Calibri" w:eastAsia="宋体" w:cs="宋体"/>
          <w:sz w:val="24"/>
          <w:szCs w:val="22"/>
        </w:rPr>
        <w:t>生活源</w:t>
      </w:r>
      <w:r>
        <w:rPr>
          <w:rFonts w:hint="eastAsia" w:ascii="Calibri" w:hAnsi="Calibri" w:eastAsia="宋体" w:cs="宋体"/>
          <w:sz w:val="24"/>
          <w:szCs w:val="22"/>
          <w:lang w:eastAsia="zh-CN"/>
        </w:rPr>
        <w:t>为居民</w:t>
      </w:r>
      <w:r>
        <w:rPr>
          <w:rFonts w:hint="eastAsia" w:ascii="Calibri" w:hAnsi="Calibri" w:eastAsia="宋体" w:cs="宋体"/>
          <w:sz w:val="24"/>
          <w:szCs w:val="22"/>
        </w:rPr>
        <w:t xml:space="preserve"> 集中镇区、</w:t>
      </w:r>
      <w:r>
        <w:rPr>
          <w:rFonts w:hint="eastAsia" w:ascii="Calibri" w:hAnsi="Calibri" w:eastAsia="宋体" w:cs="宋体"/>
          <w:sz w:val="24"/>
          <w:szCs w:val="22"/>
          <w:lang w:eastAsia="zh-CN"/>
        </w:rPr>
        <w:t>农田。污染点源为距水源地</w:t>
      </w:r>
      <w:r>
        <w:rPr>
          <w:rFonts w:hint="eastAsia" w:ascii="Calibri" w:hAnsi="Calibri" w:eastAsia="宋体" w:cs="宋体"/>
          <w:sz w:val="24"/>
          <w:szCs w:val="22"/>
          <w:lang w:val="en-US" w:eastAsia="zh-CN"/>
        </w:rPr>
        <w:t>500m处有一座屠宰场（已列入湘阴县环保局日常整治范围）</w:t>
      </w:r>
      <w:r>
        <w:rPr>
          <w:rFonts w:hint="eastAsia" w:ascii="Calibri" w:hAnsi="Calibri" w:eastAsia="宋体" w:cs="宋体"/>
          <w:sz w:val="24"/>
          <w:szCs w:val="22"/>
        </w:rPr>
        <w:t>、</w:t>
      </w:r>
      <w:r>
        <w:rPr>
          <w:rFonts w:hint="eastAsia" w:ascii="Calibri" w:hAnsi="Calibri" w:eastAsia="宋体" w:cs="宋体"/>
          <w:sz w:val="24"/>
          <w:szCs w:val="22"/>
          <w:lang w:val="en-US" w:eastAsia="zh-CN"/>
        </w:rPr>
        <w:t>940m处有一座加油站，</w:t>
      </w:r>
      <w:r>
        <w:rPr>
          <w:rFonts w:hint="eastAsia" w:ascii="Calibri" w:hAnsi="Calibri" w:eastAsia="宋体" w:cs="宋体"/>
          <w:sz w:val="24"/>
          <w:szCs w:val="22"/>
          <w:lang w:eastAsia="zh-CN"/>
        </w:rPr>
        <w:t>无其他</w:t>
      </w:r>
      <w:r>
        <w:rPr>
          <w:rFonts w:hint="eastAsia" w:ascii="Calibri" w:hAnsi="Calibri" w:eastAsia="宋体" w:cs="宋体"/>
          <w:sz w:val="24"/>
          <w:szCs w:val="22"/>
        </w:rPr>
        <w:t>重大污染点源。</w:t>
      </w:r>
    </w:p>
    <w:p>
      <w:pPr>
        <w:adjustRightInd w:val="0"/>
        <w:snapToGrid w:val="0"/>
        <w:spacing w:line="360" w:lineRule="auto"/>
        <w:ind w:firstLine="480" w:firstLineChars="200"/>
        <w:rPr>
          <w:rFonts w:hint="eastAsia" w:ascii="Calibri" w:hAnsi="Calibri" w:eastAsia="宋体" w:cs="宋体"/>
          <w:sz w:val="24"/>
          <w:szCs w:val="22"/>
        </w:rPr>
      </w:pPr>
      <w:r>
        <w:rPr>
          <w:rFonts w:hint="eastAsia" w:ascii="Calibri" w:hAnsi="Calibri" w:eastAsia="宋体" w:cs="宋体"/>
          <w:sz w:val="24"/>
          <w:szCs w:val="22"/>
        </w:rPr>
        <w:t>无石油化工行业、垃圾填埋场、危险废弃物填埋场、污水处理设施、危险品仓储设施、尾矿库等固定潜在风险源。</w:t>
      </w:r>
    </w:p>
    <w:p>
      <w:pPr>
        <w:adjustRightInd w:val="0"/>
        <w:snapToGrid w:val="0"/>
        <w:spacing w:line="360" w:lineRule="auto"/>
        <w:ind w:firstLine="480" w:firstLineChars="200"/>
        <w:rPr>
          <w:rFonts w:hint="eastAsia" w:ascii="Calibri" w:hAnsi="Calibri" w:eastAsia="宋体" w:cs="宋体"/>
          <w:sz w:val="24"/>
          <w:szCs w:val="22"/>
        </w:rPr>
      </w:pPr>
      <w:r>
        <w:rPr>
          <w:rFonts w:hint="eastAsia" w:ascii="Calibri" w:hAnsi="Calibri" w:eastAsia="宋体" w:cs="宋体"/>
          <w:sz w:val="24"/>
          <w:szCs w:val="22"/>
        </w:rPr>
        <w:t>主要的污染源为</w:t>
      </w:r>
      <w:r>
        <w:rPr>
          <w:rFonts w:hint="eastAsia" w:ascii="Calibri" w:hAnsi="Calibri" w:eastAsia="宋体" w:cs="宋体"/>
          <w:sz w:val="24"/>
          <w:szCs w:val="22"/>
          <w:lang w:eastAsia="zh-CN"/>
        </w:rPr>
        <w:t>、居民生活源及加油站、屠宰场点源</w:t>
      </w:r>
      <w:r>
        <w:rPr>
          <w:rFonts w:hint="eastAsia" w:ascii="Calibri" w:hAnsi="Calibri" w:eastAsia="宋体" w:cs="宋体"/>
          <w:sz w:val="24"/>
          <w:szCs w:val="22"/>
        </w:rPr>
        <w:t>，农业种植源</w:t>
      </w:r>
      <w:r>
        <w:rPr>
          <w:rFonts w:hint="eastAsia" w:ascii="Calibri" w:hAnsi="Calibri" w:eastAsia="宋体" w:cs="宋体"/>
          <w:sz w:val="24"/>
          <w:szCs w:val="22"/>
          <w:lang w:eastAsia="zh-CN"/>
        </w:rPr>
        <w:t>、</w:t>
      </w:r>
      <w:r>
        <w:rPr>
          <w:rFonts w:hint="eastAsia" w:ascii="Calibri" w:hAnsi="Calibri" w:eastAsia="宋体" w:cs="宋体"/>
          <w:sz w:val="24"/>
          <w:szCs w:val="22"/>
        </w:rPr>
        <w:t>水井</w:t>
      </w:r>
      <w:r>
        <w:rPr>
          <w:rFonts w:hint="eastAsia" w:ascii="Calibri" w:hAnsi="Calibri" w:eastAsia="宋体" w:cs="宋体"/>
          <w:sz w:val="24"/>
          <w:szCs w:val="22"/>
          <w:lang w:eastAsia="zh-CN"/>
        </w:rPr>
        <w:t>周</w:t>
      </w:r>
      <w:r>
        <w:rPr>
          <w:rFonts w:hint="eastAsia" w:ascii="Calibri" w:hAnsi="Calibri" w:eastAsia="宋体" w:cs="宋体"/>
          <w:sz w:val="24"/>
          <w:szCs w:val="22"/>
        </w:rPr>
        <w:t>边的农田退水。</w:t>
      </w:r>
    </w:p>
    <w:p>
      <w:pPr>
        <w:pStyle w:val="4"/>
        <w:spacing w:beforeLines="0" w:afterLines="0" w:line="360" w:lineRule="auto"/>
      </w:pPr>
      <w:bookmarkStart w:id="69" w:name="_Toc11241"/>
      <w:bookmarkStart w:id="70" w:name="_Toc458323100"/>
      <w:r>
        <w:t>2.4.</w:t>
      </w:r>
      <w:r>
        <w:rPr>
          <w:rFonts w:hint="eastAsia"/>
          <w:lang w:val="en-US" w:eastAsia="zh-CN"/>
        </w:rPr>
        <w:t>7</w:t>
      </w:r>
      <w:r>
        <w:t>饮用水水源地生态环境分析</w:t>
      </w:r>
      <w:bookmarkEnd w:id="69"/>
      <w:bookmarkEnd w:id="70"/>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rPr>
        <w:t>湘阴县生态环境优良，农业生物资源极为丰富，包括11种粮食作物， 15种经济作物，10多余种水生经济作物，以及228个树种，114个鱼类品种，9个畜禽种类。全县山林24万多亩，林业用地占陆地面积的16%，森林覆盖率为12.5%，该水源地流域水源涵养林、护岸林和自然湿地的面积等统计情况</w:t>
      </w:r>
      <w:r>
        <w:rPr>
          <w:rFonts w:hint="eastAsia" w:ascii="Calibri" w:hAnsi="Calibri" w:eastAsia="宋体" w:cs="宋体"/>
          <w:sz w:val="24"/>
          <w:szCs w:val="22"/>
          <w:lang w:eastAsia="zh-CN"/>
        </w:rPr>
        <w:t>。</w:t>
      </w:r>
    </w:p>
    <w:p>
      <w:pPr>
        <w:adjustRightInd w:val="0"/>
        <w:snapToGrid w:val="0"/>
        <w:spacing w:line="360" w:lineRule="auto"/>
        <w:ind w:firstLine="480" w:firstLineChars="200"/>
        <w:rPr>
          <w:rFonts w:ascii="Times New Roman" w:hAnsi="Times New Roman" w:eastAsia="宋体" w:cs="Times New Roman"/>
          <w:sz w:val="24"/>
          <w:szCs w:val="22"/>
          <w:highlight w:val="none"/>
        </w:rPr>
      </w:pPr>
      <w:r>
        <w:rPr>
          <w:rFonts w:hint="default" w:ascii="Calibri" w:hAnsi="Calibri" w:eastAsia="宋体" w:cs="宋体"/>
          <w:sz w:val="24"/>
          <w:szCs w:val="22"/>
        </w:rPr>
        <w:t>水源地所在的南湖洲镇总面积99.1km²，人类活动较频繁，以农业生态为主。南湖洲镇的土地利用现状见附图2。</w:t>
      </w:r>
      <w:r>
        <w:rPr>
          <w:rFonts w:ascii="Times New Roman" w:hAnsi="Times New Roman" w:eastAsia="宋体" w:cs="Times New Roman"/>
          <w:sz w:val="24"/>
          <w:szCs w:val="22"/>
          <w:highlight w:val="none"/>
        </w:rPr>
        <w:t xml:space="preserve"> </w:t>
      </w:r>
      <w:bookmarkStart w:id="71" w:name="_Toc458323101"/>
    </w:p>
    <w:p>
      <w:pPr>
        <w:pStyle w:val="4"/>
        <w:spacing w:beforeLines="0" w:afterLines="0" w:line="360" w:lineRule="auto"/>
      </w:pPr>
      <w:bookmarkStart w:id="72" w:name="_Toc3206"/>
      <w:r>
        <w:t>2.4.</w:t>
      </w:r>
      <w:r>
        <w:rPr>
          <w:rFonts w:hint="eastAsia"/>
          <w:lang w:val="en-US" w:eastAsia="zh-CN"/>
        </w:rPr>
        <w:t>8</w:t>
      </w:r>
      <w:r>
        <w:t>饮用水水源地环境管理现状分析</w:t>
      </w:r>
      <w:bookmarkEnd w:id="71"/>
      <w:bookmarkEnd w:id="72"/>
      <w:bookmarkStart w:id="73" w:name="_Toc458323102"/>
    </w:p>
    <w:p>
      <w:pPr>
        <w:pStyle w:val="5"/>
        <w:spacing w:beforeLines="0" w:afterLines="0" w:line="360" w:lineRule="auto"/>
        <w:rPr>
          <w:rFonts w:ascii="Times New Roman" w:hAnsi="Times New Roman" w:cs="Times New Roman"/>
        </w:rPr>
      </w:pPr>
      <w:bookmarkStart w:id="74" w:name="_Toc15201"/>
      <w:r>
        <w:rPr>
          <w:rFonts w:ascii="Times New Roman" w:hAnsi="Times New Roman" w:cs="Times New Roman"/>
        </w:rPr>
        <w:t>2.4.</w:t>
      </w:r>
      <w:r>
        <w:rPr>
          <w:rFonts w:hint="eastAsia" w:ascii="Times New Roman" w:hAnsi="Times New Roman" w:cs="Times New Roman"/>
          <w:lang w:val="en-US" w:eastAsia="zh-CN"/>
        </w:rPr>
        <w:t>8</w:t>
      </w:r>
      <w:r>
        <w:rPr>
          <w:rFonts w:ascii="Times New Roman" w:hAnsi="Times New Roman" w:cs="Times New Roman"/>
        </w:rPr>
        <w:t>.1饮用水水源地管理机制</w:t>
      </w:r>
      <w:bookmarkEnd w:id="73"/>
      <w:bookmarkEnd w:id="74"/>
    </w:p>
    <w:p>
      <w:pPr>
        <w:adjustRightInd w:val="0"/>
        <w:snapToGrid w:val="0"/>
        <w:spacing w:line="360" w:lineRule="auto"/>
        <w:ind w:firstLine="480" w:firstLineChars="200"/>
        <w:rPr>
          <w:rFonts w:hint="eastAsia" w:ascii="Calibri" w:hAnsi="Calibri" w:eastAsia="宋体" w:cs="宋体"/>
          <w:sz w:val="24"/>
          <w:szCs w:val="22"/>
        </w:rPr>
      </w:pPr>
      <w:r>
        <w:rPr>
          <w:rFonts w:hint="eastAsia" w:ascii="Calibri" w:hAnsi="Calibri" w:eastAsia="宋体" w:cs="宋体"/>
          <w:sz w:val="24"/>
          <w:szCs w:val="22"/>
        </w:rPr>
        <w:t>南湖洲镇</w:t>
      </w:r>
      <w:r>
        <w:rPr>
          <w:rFonts w:hint="eastAsia" w:ascii="Calibri" w:hAnsi="Calibri" w:eastAsia="宋体" w:cs="宋体"/>
          <w:sz w:val="24"/>
          <w:szCs w:val="22"/>
          <w:lang w:eastAsia="zh-CN"/>
        </w:rPr>
        <w:t>南湖水厂地下水</w:t>
      </w:r>
      <w:r>
        <w:rPr>
          <w:rFonts w:hint="eastAsia" w:ascii="Calibri" w:hAnsi="Calibri" w:eastAsia="宋体" w:cs="宋体"/>
          <w:sz w:val="24"/>
          <w:szCs w:val="22"/>
        </w:rPr>
        <w:t>饮用水源地现由湘阴县水利局直接管理，湘阴县环保局监督管理，水厂外围是公路，有危险物品通过的潜在危险。</w:t>
      </w:r>
    </w:p>
    <w:p>
      <w:pPr>
        <w:pStyle w:val="5"/>
        <w:spacing w:beforeLines="0" w:afterLines="0" w:line="360" w:lineRule="auto"/>
        <w:rPr>
          <w:rFonts w:ascii="Times New Roman" w:hAnsi="Times New Roman" w:cs="Times New Roman"/>
        </w:rPr>
      </w:pPr>
      <w:bookmarkStart w:id="75" w:name="_Toc7214"/>
      <w:r>
        <w:rPr>
          <w:rFonts w:ascii="Times New Roman" w:hAnsi="Times New Roman" w:cs="Times New Roman"/>
        </w:rPr>
        <w:t>2.4.</w:t>
      </w:r>
      <w:r>
        <w:rPr>
          <w:rFonts w:hint="eastAsia" w:ascii="Times New Roman" w:hAnsi="Times New Roman" w:cs="Times New Roman"/>
          <w:lang w:val="en-US" w:eastAsia="zh-CN"/>
        </w:rPr>
        <w:t>8</w:t>
      </w:r>
      <w:r>
        <w:rPr>
          <w:rFonts w:ascii="Times New Roman" w:hAnsi="Times New Roman" w:cs="Times New Roman"/>
        </w:rPr>
        <w:t>.2饮用水水源地保护现状</w:t>
      </w:r>
      <w:bookmarkEnd w:id="75"/>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湘阴县人民政府已于2013 年 8 月制定出台了《湘阴县饮用水水源保护区管理暂行办法》，并以规范性文件形式（湘阴政办发【2013】39号）下发到各乡、镇人民政府及县直有关单位遵照执行。目前南湖洲镇南湖水厂地下水饮用水水源地的保护现状如下：</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（一）保护区划分情况：正在进行保护区的划分工作。</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（二）标志标牌的设置情况：一级保护区边界的界标设置不完善。</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（三）防护隔离设施的设置情况：目前，水井未设隔离防护网。</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（四）日常监测与监控</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根据湘环办【2019】11号《2019全省生态环境监测方案》，监测频次为每季度采样监测1次，每两年（偶数年）开展一次水质常规监测。目前，湘阴县疾病预防控制中心定期对原水、出厂水、末梢水的水质进行了监测，监测频次为原水每年监测一次、出厂水和末梢水每年监测两次，原水每次监测色度、浊度等30个指标因子，出厂水、末梢水每次监测菌落总数、总大肠菌群等</w:t>
      </w:r>
      <w:r>
        <w:rPr>
          <w:rFonts w:hint="eastAsia" w:ascii="Calibri" w:hAnsi="Calibri" w:eastAsia="宋体" w:cs="宋体"/>
          <w:sz w:val="24"/>
          <w:szCs w:val="22"/>
          <w:lang w:val="en-US" w:eastAsia="zh-CN"/>
        </w:rPr>
        <w:t>30</w:t>
      </w:r>
      <w:r>
        <w:rPr>
          <w:rFonts w:hint="eastAsia" w:ascii="Calibri" w:hAnsi="Calibri" w:eastAsia="宋体" w:cs="宋体"/>
          <w:sz w:val="24"/>
          <w:szCs w:val="22"/>
          <w:lang w:eastAsia="zh-CN"/>
        </w:rPr>
        <w:t>个指标因子。南湖水厂每周将对出厂水和末梢水送至和平水厂进行一次常规监测，每次监测总大肠菌群、菌落总数、余氯或二氧化氯、色度、浊度、PH、肉眼可见物、臭和味共8个监测指标因子。水井位于南湖水厂院内。</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本地下水水源地属于中小型供水规模，无视频监控设施建设要求。</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Calibri" w:hAnsi="Calibri" w:eastAsia="宋体" w:cs="宋体"/>
          <w:sz w:val="24"/>
          <w:szCs w:val="22"/>
          <w:lang w:eastAsia="zh-CN"/>
        </w:rPr>
        <w:t>建议：有条件的基础上，增加视频监控。</w:t>
      </w:r>
      <w:r>
        <w:rPr>
          <w:rFonts w:ascii="Times New Roman" w:hAnsi="Times New Roman" w:eastAsia="宋体" w:cs="Times New Roman"/>
          <w:sz w:val="24"/>
          <w:szCs w:val="22"/>
        </w:rPr>
        <w:br w:type="page"/>
      </w:r>
    </w:p>
    <w:p>
      <w:pPr>
        <w:pStyle w:val="2"/>
        <w:spacing w:beforeLines="0" w:afterLines="0" w:line="360" w:lineRule="auto"/>
        <w:jc w:val="center"/>
      </w:pPr>
      <w:bookmarkStart w:id="76" w:name="_Toc21344"/>
      <w:bookmarkStart w:id="77" w:name="_Toc458323104"/>
      <w:r>
        <w:t>第三章 饮用水水源地保护区划分</w:t>
      </w:r>
      <w:bookmarkEnd w:id="76"/>
      <w:bookmarkEnd w:id="77"/>
    </w:p>
    <w:p>
      <w:pPr>
        <w:pStyle w:val="3"/>
        <w:spacing w:beforeLines="0" w:afterLines="0" w:line="360" w:lineRule="auto"/>
        <w:rPr>
          <w:rFonts w:ascii="Times New Roman" w:hAnsi="Times New Roman"/>
        </w:rPr>
      </w:pPr>
      <w:bookmarkStart w:id="78" w:name="_Toc31724"/>
      <w:bookmarkStart w:id="79" w:name="_Toc458323105"/>
      <w:r>
        <w:rPr>
          <w:rFonts w:ascii="Times New Roman" w:hAnsi="Times New Roman"/>
        </w:rPr>
        <w:t>3.1 饮用水水源保护区划分的技术方法</w:t>
      </w:r>
      <w:bookmarkEnd w:id="78"/>
      <w:bookmarkEnd w:id="79"/>
    </w:p>
    <w:p>
      <w:pPr>
        <w:adjustRightInd w:val="0"/>
        <w:snapToGrid w:val="0"/>
        <w:spacing w:line="360" w:lineRule="auto"/>
        <w:ind w:firstLine="480" w:firstLineChars="200"/>
        <w:rPr>
          <w:rFonts w:hint="eastAsia" w:ascii="Calibri" w:hAnsi="Calibri" w:eastAsia="宋体" w:cs="宋体"/>
          <w:sz w:val="24"/>
          <w:szCs w:val="22"/>
          <w:lang w:eastAsia="zh-CN"/>
        </w:rPr>
      </w:pPr>
      <w:bookmarkStart w:id="80" w:name="_Toc458323108"/>
      <w:bookmarkStart w:id="81" w:name="_Toc453061587"/>
      <w:bookmarkStart w:id="82" w:name="_Toc453061741"/>
      <w:r>
        <w:rPr>
          <w:rFonts w:hint="eastAsia" w:ascii="Calibri" w:hAnsi="Calibri" w:eastAsia="宋体" w:cs="宋体"/>
          <w:sz w:val="24"/>
          <w:szCs w:val="22"/>
          <w:lang w:eastAsia="zh-CN"/>
        </w:rPr>
        <w:t>一、《饮用水水源保护区划分技术规范》（HJ338-2018）</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该水源地为中小型水源地（日开采能力小于5万立方米），类型为孔隙承压 水，因此，采用《饮用水水源保护区划分技术规范》（HJ338-2018）推荐的类比经验法，小型孔隙水承压水水源保护区划分方法为：</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（一）一级保护区</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将上部潜水的一级保护区作为承压水的一级保护区，划定方法同孔隙潜水小型水源地。</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szCs w:val="21"/>
        </w:rPr>
      </w:pPr>
      <w:r>
        <w:rPr>
          <w:rFonts w:hint="eastAsia" w:ascii="Times New Roman" w:hAnsi="Times New Roman" w:cs="Times New Roman"/>
          <w:b/>
          <w:szCs w:val="21"/>
        </w:rPr>
        <w:t>表3-1 孔隙水潜水型水源地保护区范围经验值</w:t>
      </w:r>
    </w:p>
    <w:tbl>
      <w:tblPr>
        <w:tblStyle w:val="20"/>
        <w:tblW w:w="549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5"/>
        <w:gridCol w:w="2250"/>
        <w:gridCol w:w="22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03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介质类型</w:t>
            </w:r>
          </w:p>
        </w:tc>
        <w:tc>
          <w:tcPr>
            <w:tcW w:w="2250"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一级保护区半径R（m）</w:t>
            </w:r>
          </w:p>
        </w:tc>
        <w:tc>
          <w:tcPr>
            <w:tcW w:w="220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二级保护区半径R（m）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03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细砂</w:t>
            </w:r>
          </w:p>
        </w:tc>
        <w:tc>
          <w:tcPr>
            <w:tcW w:w="2250"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30</w:t>
            </w:r>
          </w:p>
        </w:tc>
        <w:tc>
          <w:tcPr>
            <w:tcW w:w="220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03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中砂</w:t>
            </w:r>
          </w:p>
        </w:tc>
        <w:tc>
          <w:tcPr>
            <w:tcW w:w="2250"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w:t>
            </w:r>
          </w:p>
        </w:tc>
        <w:tc>
          <w:tcPr>
            <w:tcW w:w="220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03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粗砂</w:t>
            </w:r>
          </w:p>
        </w:tc>
        <w:tc>
          <w:tcPr>
            <w:tcW w:w="2250"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100</w:t>
            </w:r>
          </w:p>
        </w:tc>
        <w:tc>
          <w:tcPr>
            <w:tcW w:w="220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03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砾石</w:t>
            </w:r>
          </w:p>
        </w:tc>
        <w:tc>
          <w:tcPr>
            <w:tcW w:w="2250"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200</w:t>
            </w:r>
          </w:p>
        </w:tc>
        <w:tc>
          <w:tcPr>
            <w:tcW w:w="220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03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卵石</w:t>
            </w:r>
          </w:p>
        </w:tc>
        <w:tc>
          <w:tcPr>
            <w:tcW w:w="2250"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500</w:t>
            </w:r>
          </w:p>
        </w:tc>
        <w:tc>
          <w:tcPr>
            <w:tcW w:w="2205" w:type="dxa"/>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5000</w:t>
            </w:r>
          </w:p>
        </w:tc>
      </w:tr>
    </w:tbl>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（二）二级保护区</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不设二级保护区。</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（三）准保护区</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将水源补给区划为准保护区。</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二、环水体函[2019]92 号文的相关规定</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保护区划分为一级保护区和二级保护区。各地在保障农村水源地水质安全的前提下，结合当地实际，因地制宜合理确定农村饮用水水源保护区。原则上，地下水型保护区，以取水口为中心，径向距离不小于30米的区域。</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outlineLvl w:val="1"/>
        <w:rPr>
          <w:rFonts w:ascii="Arial" w:hAnsi="Arial" w:eastAsia="Arial" w:cs="Arial"/>
          <w:b/>
          <w:bCs/>
          <w:sz w:val="32"/>
        </w:rPr>
      </w:pPr>
      <w:bookmarkStart w:id="83" w:name="_Toc18195"/>
      <w:r>
        <w:rPr>
          <w:rFonts w:hint="eastAsia" w:ascii="宋体" w:hAnsi="宋体" w:eastAsia="宋体" w:cs="宋体"/>
          <w:b/>
          <w:bCs/>
          <w:sz w:val="32"/>
          <w:lang w:val="en-US" w:eastAsia="zh-CN"/>
        </w:rPr>
        <w:t>3.2</w:t>
      </w:r>
      <w:r>
        <w:rPr>
          <w:rFonts w:hint="eastAsia" w:ascii="宋体" w:hAnsi="宋体" w:eastAsia="宋体" w:cs="宋体"/>
          <w:b/>
          <w:bCs/>
          <w:sz w:val="32"/>
        </w:rPr>
        <w:t>南湖</w:t>
      </w:r>
      <w:r>
        <w:rPr>
          <w:rFonts w:ascii="宋体" w:hAnsi="宋体" w:eastAsia="宋体" w:cs="宋体"/>
          <w:b/>
          <w:bCs/>
          <w:sz w:val="32"/>
        </w:rPr>
        <w:t>水厂地下水饮用水水源保护区的初步划分</w:t>
      </w:r>
      <w:bookmarkEnd w:id="8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Calibri" w:hAnsi="Calibri" w:eastAsia="宋体" w:cs="宋体"/>
          <w:sz w:val="24"/>
          <w:szCs w:val="22"/>
          <w:lang w:eastAsia="zh-CN"/>
        </w:rPr>
      </w:pPr>
      <w:r>
        <w:rPr>
          <w:rFonts w:hint="eastAsia" w:ascii="Calibri" w:hAnsi="Calibri" w:eastAsia="宋体" w:cs="宋体"/>
          <w:sz w:val="24"/>
          <w:szCs w:val="22"/>
          <w:lang w:eastAsia="zh-CN"/>
        </w:rPr>
        <w:t>为了便于开展日常环境管理工作，依据保护区划分的原则，结合水源保护区的区位、地形、水文地质条件等特点，确定南湖水厂地下水饮用水源保护区划分调整方案为拟设一级保护区，不设二级保护区和准保护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outlineLvl w:val="2"/>
        <w:rPr>
          <w:b/>
          <w:bCs/>
          <w:spacing w:val="1"/>
          <w:sz w:val="30"/>
        </w:rPr>
      </w:pPr>
      <w:bookmarkStart w:id="84" w:name="_Toc18864"/>
      <w:r>
        <w:rPr>
          <w:rFonts w:hint="eastAsia" w:ascii="宋体" w:hAnsi="宋体" w:eastAsia="宋体" w:cs="宋体"/>
          <w:b/>
          <w:bCs/>
          <w:sz w:val="30"/>
          <w:lang w:val="en-US" w:eastAsia="zh-CN"/>
        </w:rPr>
        <w:t>3.2.1</w:t>
      </w:r>
      <w:r>
        <w:rPr>
          <w:rFonts w:ascii="宋体" w:hAnsi="宋体" w:eastAsia="宋体" w:cs="宋体"/>
          <w:b/>
          <w:bCs/>
          <w:sz w:val="30"/>
        </w:rPr>
        <w:t>一级保护区</w:t>
      </w:r>
      <w:bookmarkEnd w:id="84"/>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（一）划分方法的确定</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由于本水源地的上部为粘土隔水层，取水层承压水上部无潜水，所以直接采用HJ338-2018 中的经验值法确定保护区范围。</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（二）单井保护区范围的确定</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本水源地上层为粘土层，其渗透系数远小于HJ338-2018 中4.5.2.1表1中的细砂，直接取细砂的经验值30m，因此单井保护区半径R取30m。</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（三）井群保护区范围的确定</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按 HJ338-2018 中的 4.5.2.3，对于集中式供水水源地，井群内间距大于一级保护区半径的2倍时，可以分别对每口井进行一级保护区划分；井群内间距小于等于一级保护区半径的2倍时，则以外围井的外接多边形为边界，向外径向距离为一级保护区半径的多边形区域。</w:t>
      </w:r>
    </w:p>
    <w:p>
      <w:pPr>
        <w:adjustRightInd w:val="0"/>
        <w:snapToGrid w:val="0"/>
        <w:spacing w:line="360" w:lineRule="auto"/>
        <w:ind w:firstLine="480" w:firstLineChars="200"/>
        <w:rPr>
          <w:rFonts w:ascii="宋体" w:hAnsi="宋体" w:eastAsia="宋体" w:cs="宋体"/>
          <w:sz w:val="24"/>
        </w:rPr>
      </w:pPr>
      <w:r>
        <w:rPr>
          <w:rFonts w:hint="eastAsia" w:ascii="Calibri" w:hAnsi="Calibri" w:eastAsia="宋体" w:cs="宋体"/>
          <w:sz w:val="24"/>
          <w:szCs w:val="22"/>
          <w:lang w:eastAsia="zh-CN"/>
        </w:rPr>
        <w:t>南湖水厂水井，属于单井保护区，因此，本水源地一级保护区划分方案为：以取水井为中心，半径30米的圆形区域，南面以道路迎心侧路肩为界。</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outlineLvl w:val="2"/>
        <w:rPr>
          <w:b/>
          <w:bCs/>
          <w:spacing w:val="1"/>
          <w:sz w:val="30"/>
        </w:rPr>
      </w:pPr>
      <w:bookmarkStart w:id="85" w:name="_Toc15954"/>
      <w:r>
        <w:rPr>
          <w:rFonts w:hint="eastAsia" w:ascii="宋体" w:hAnsi="宋体" w:eastAsia="宋体" w:cs="宋体"/>
          <w:b/>
          <w:bCs/>
          <w:sz w:val="30"/>
          <w:lang w:val="en-US" w:eastAsia="zh-CN"/>
        </w:rPr>
        <w:t>3.2.2</w:t>
      </w:r>
      <w:r>
        <w:rPr>
          <w:rFonts w:ascii="宋体" w:hAnsi="宋体" w:eastAsia="宋体" w:cs="宋体"/>
          <w:b/>
          <w:bCs/>
          <w:sz w:val="30"/>
        </w:rPr>
        <w:t>二级保护区</w:t>
      </w:r>
      <w:bookmarkEnd w:id="85"/>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本项目取水水源为第四系松散层中的孔隙承压水，根据HJ338-2018，不设二 级保护区。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outlineLvl w:val="2"/>
        <w:rPr>
          <w:b/>
          <w:bCs/>
          <w:spacing w:val="1"/>
          <w:sz w:val="30"/>
        </w:rPr>
      </w:pPr>
      <w:bookmarkStart w:id="86" w:name="_Toc12530"/>
      <w:r>
        <w:rPr>
          <w:rFonts w:hint="eastAsia" w:ascii="宋体" w:hAnsi="宋体" w:eastAsia="宋体" w:cs="宋体"/>
          <w:b/>
          <w:bCs/>
          <w:sz w:val="30"/>
          <w:lang w:val="en-US" w:eastAsia="zh-CN"/>
        </w:rPr>
        <w:t>3.2.3</w:t>
      </w:r>
      <w:r>
        <w:rPr>
          <w:rFonts w:ascii="宋体" w:hAnsi="宋体" w:eastAsia="宋体" w:cs="宋体"/>
          <w:b/>
          <w:bCs/>
          <w:sz w:val="30"/>
        </w:rPr>
        <w:t>准保护区</w:t>
      </w:r>
      <w:bookmarkEnd w:id="86"/>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1、根据本报告2.1.3 章节，本区域的主要地表水资江不切割水源地所在区域地层中的弱透水层和含水层，不具备直接补给条件。</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2、本水源地承压水的重要补给区为洞庭湖周边的丘岗区，且目前该地质单元的边界条件不清，划分后也不便于环境管理。</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 xml:space="preserve">结合环水体函[2019]92 号文的相关规定，综上，本水源地不设准保护区。 </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南湖水厂地下水饮用水水源保护区范围见表3-2。</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szCs w:val="21"/>
        </w:rPr>
      </w:pPr>
      <w:r>
        <w:rPr>
          <w:rFonts w:hint="eastAsia" w:ascii="Times New Roman" w:hAnsi="Times New Roman" w:cs="Times New Roman"/>
          <w:b/>
          <w:szCs w:val="21"/>
        </w:rPr>
        <w:t>表3-2 地下水饮用水水源保护区的范围</w:t>
      </w:r>
    </w:p>
    <w:tbl>
      <w:tblPr>
        <w:tblStyle w:val="20"/>
        <w:tblW w:w="4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128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保护区级别</w:t>
            </w:r>
          </w:p>
        </w:tc>
        <w:tc>
          <w:tcPr>
            <w:tcW w:w="276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保护区范围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128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一级</w:t>
            </w:r>
          </w:p>
        </w:tc>
        <w:tc>
          <w:tcPr>
            <w:tcW w:w="276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rPr>
              <w:t>以取水井为中心，半径30米的圆形区域，南面以道路迎心侧路肩为界</w:t>
            </w:r>
          </w:p>
        </w:tc>
      </w:tr>
      <w:bookmarkEnd w:id="80"/>
      <w:bookmarkEnd w:id="81"/>
      <w:bookmarkEnd w:id="82"/>
    </w:tbl>
    <w:p>
      <w:pPr>
        <w:pStyle w:val="3"/>
        <w:adjustRightInd/>
        <w:snapToGrid/>
        <w:spacing w:beforeLines="0" w:afterLines="0" w:line="360" w:lineRule="auto"/>
        <w:jc w:val="both"/>
        <w:rPr>
          <w:rFonts w:hint="default" w:ascii="Times New Roman" w:hAnsi="Times New Roman" w:cs="Times New Roman"/>
          <w:bCs w:val="0"/>
          <w:lang w:val="en-US" w:eastAsia="zh-CN"/>
        </w:rPr>
      </w:pPr>
      <w:bookmarkStart w:id="87" w:name="_Toc24996"/>
      <w:bookmarkStart w:id="88" w:name="_Toc32073"/>
      <w:bookmarkStart w:id="89" w:name="_Toc21936"/>
      <w:bookmarkStart w:id="90" w:name="_Toc458323116"/>
      <w:r>
        <w:rPr>
          <w:rFonts w:hint="default" w:ascii="Times New Roman" w:hAnsi="Times New Roman" w:cs="Times New Roman"/>
          <w:bCs w:val="0"/>
          <w:lang w:val="en-US" w:eastAsia="zh-CN"/>
        </w:rPr>
        <w:t>3.3 规划协调性符合性分析</w:t>
      </w:r>
      <w:bookmarkEnd w:id="87"/>
      <w:bookmarkEnd w:id="88"/>
      <w:bookmarkEnd w:id="89"/>
    </w:p>
    <w:p>
      <w:pPr>
        <w:adjustRightInd w:val="0"/>
        <w:snapToGrid w:val="0"/>
        <w:spacing w:line="360" w:lineRule="auto"/>
        <w:ind w:firstLine="480"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根据以上划分结果，初步划定的饮用水水源保护区不属于自然保护区等生态敏感区，同时，保护区土地利用类型以建设用地和农业用地为主。</w:t>
      </w:r>
    </w:p>
    <w:p>
      <w:pPr>
        <w:adjustRightInd w:val="0"/>
        <w:snapToGrid w:val="0"/>
        <w:spacing w:line="360" w:lineRule="auto"/>
        <w:ind w:firstLine="480"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根据《湘阴县县城总体规划（2008-2030）》</w:t>
      </w:r>
      <w:r>
        <w:rPr>
          <w:rFonts w:hint="default" w:ascii="Times New Roman" w:hAnsi="Times New Roman" w:eastAsia="宋体" w:cs="Times New Roman"/>
          <w:sz w:val="24"/>
          <w:szCs w:val="22"/>
          <w:lang w:eastAsia="zh-CN" w:bidi="ar"/>
        </w:rPr>
        <w:t>，</w:t>
      </w:r>
      <w:r>
        <w:rPr>
          <w:rFonts w:hint="default" w:ascii="Times New Roman" w:hAnsi="Times New Roman" w:eastAsia="宋体" w:cs="Times New Roman"/>
          <w:sz w:val="24"/>
          <w:szCs w:val="22"/>
          <w:lang w:bidi="ar"/>
        </w:rPr>
        <w:t>本水源地所在的</w:t>
      </w:r>
      <w:r>
        <w:rPr>
          <w:rFonts w:hint="eastAsia" w:ascii="Times New Roman" w:hAnsi="Times New Roman" w:cs="Times New Roman"/>
          <w:sz w:val="24"/>
          <w:szCs w:val="22"/>
          <w:lang w:eastAsia="zh-CN" w:bidi="ar"/>
        </w:rPr>
        <w:t>南湖洲</w:t>
      </w:r>
      <w:r>
        <w:rPr>
          <w:rFonts w:hint="default" w:ascii="Times New Roman" w:hAnsi="Times New Roman" w:eastAsia="宋体" w:cs="Times New Roman"/>
          <w:sz w:val="24"/>
          <w:szCs w:val="22"/>
          <w:lang w:eastAsia="zh-CN" w:bidi="ar"/>
        </w:rPr>
        <w:t>镇</w:t>
      </w:r>
      <w:r>
        <w:rPr>
          <w:rFonts w:hint="default" w:ascii="Times New Roman" w:hAnsi="Times New Roman" w:eastAsia="宋体" w:cs="Times New Roman"/>
          <w:sz w:val="24"/>
          <w:szCs w:val="22"/>
          <w:lang w:bidi="ar"/>
        </w:rPr>
        <w:t>规划为第一产业主导区；除了</w:t>
      </w:r>
      <w:r>
        <w:rPr>
          <w:rFonts w:hint="eastAsia" w:ascii="Times New Roman" w:hAnsi="Times New Roman" w:cs="Times New Roman"/>
          <w:sz w:val="24"/>
          <w:szCs w:val="22"/>
          <w:lang w:eastAsia="zh-CN" w:bidi="ar"/>
        </w:rPr>
        <w:t>南湖洲镇</w:t>
      </w:r>
      <w:r>
        <w:rPr>
          <w:rFonts w:hint="default" w:ascii="Times New Roman" w:hAnsi="Times New Roman" w:eastAsia="宋体" w:cs="Times New Roman"/>
          <w:sz w:val="24"/>
          <w:szCs w:val="22"/>
          <w:lang w:eastAsia="zh-CN" w:bidi="ar"/>
        </w:rPr>
        <w:t>集镇</w:t>
      </w:r>
      <w:r>
        <w:rPr>
          <w:rFonts w:hint="default" w:ascii="Times New Roman" w:hAnsi="Times New Roman" w:eastAsia="宋体" w:cs="Times New Roman"/>
          <w:sz w:val="24"/>
          <w:szCs w:val="22"/>
          <w:lang w:bidi="ar"/>
        </w:rPr>
        <w:t>所在地有城镇开发建设用地外，其他区域均为限制开发区和禁止开发区；在本次保护区范围内</w:t>
      </w:r>
      <w:r>
        <w:rPr>
          <w:rFonts w:hint="default" w:ascii="Times New Roman" w:hAnsi="Times New Roman" w:eastAsia="宋体" w:cs="Times New Roman"/>
          <w:sz w:val="24"/>
          <w:szCs w:val="22"/>
          <w:lang w:eastAsia="zh-CN" w:bidi="ar"/>
        </w:rPr>
        <w:t>无</w:t>
      </w:r>
      <w:r>
        <w:rPr>
          <w:rFonts w:hint="default" w:ascii="Times New Roman" w:hAnsi="Times New Roman" w:eastAsia="宋体" w:cs="Times New Roman"/>
          <w:sz w:val="24"/>
          <w:szCs w:val="22"/>
          <w:lang w:bidi="ar"/>
        </w:rPr>
        <w:t>交通规划。</w:t>
      </w:r>
    </w:p>
    <w:p>
      <w:pPr>
        <w:adjustRightInd w:val="0"/>
        <w:snapToGrid w:val="0"/>
        <w:spacing w:line="360" w:lineRule="auto"/>
        <w:ind w:firstLine="480" w:firstLineChars="200"/>
        <w:jc w:val="left"/>
        <w:rPr>
          <w:rFonts w:hint="default" w:ascii="Times New Roman" w:hAnsi="Times New Roman" w:eastAsia="宋体" w:cs="Times New Roman"/>
          <w:sz w:val="24"/>
          <w:szCs w:val="22"/>
          <w:lang w:eastAsia="zh-CN" w:bidi="ar"/>
        </w:rPr>
      </w:pPr>
      <w:r>
        <w:rPr>
          <w:rFonts w:hint="default" w:ascii="Times New Roman" w:hAnsi="Times New Roman" w:eastAsia="宋体" w:cs="Times New Roman"/>
          <w:sz w:val="24"/>
          <w:szCs w:val="22"/>
          <w:lang w:bidi="ar"/>
        </w:rPr>
        <w:t>综上所述，该饮用水源保护区的划分与城市总体规划、土地利用总体规划、交通发展规划</w:t>
      </w:r>
      <w:r>
        <w:rPr>
          <w:rFonts w:hint="default" w:ascii="Times New Roman" w:hAnsi="Times New Roman" w:eastAsia="宋体" w:cs="Times New Roman"/>
          <w:sz w:val="24"/>
          <w:szCs w:val="22"/>
          <w:lang w:eastAsia="zh-CN" w:bidi="ar"/>
        </w:rPr>
        <w:t>基本</w:t>
      </w:r>
      <w:r>
        <w:rPr>
          <w:rFonts w:hint="default" w:ascii="Times New Roman" w:hAnsi="Times New Roman" w:eastAsia="宋体" w:cs="Times New Roman"/>
          <w:sz w:val="24"/>
          <w:szCs w:val="22"/>
          <w:lang w:bidi="ar"/>
        </w:rPr>
        <w:t>相协调一致</w:t>
      </w:r>
      <w:r>
        <w:rPr>
          <w:rFonts w:hint="default" w:ascii="Times New Roman" w:hAnsi="Times New Roman" w:eastAsia="宋体" w:cs="Times New Roman"/>
          <w:sz w:val="24"/>
          <w:szCs w:val="22"/>
          <w:lang w:eastAsia="zh-CN" w:bidi="ar"/>
        </w:rPr>
        <w:t>。</w:t>
      </w:r>
    </w:p>
    <w:p>
      <w:pPr>
        <w:pStyle w:val="3"/>
        <w:spacing w:beforeLines="0" w:afterLines="0" w:line="360" w:lineRule="auto"/>
        <w:rPr>
          <w:rFonts w:ascii="Times New Roman" w:hAnsi="Times New Roman"/>
        </w:rPr>
      </w:pPr>
      <w:bookmarkStart w:id="91" w:name="_Toc26376"/>
      <w:r>
        <w:rPr>
          <w:rFonts w:ascii="Times New Roman" w:hAnsi="Times New Roman"/>
        </w:rPr>
        <w:t>3.</w:t>
      </w:r>
      <w:r>
        <w:rPr>
          <w:rFonts w:hint="eastAsia" w:ascii="Times New Roman" w:hAnsi="Times New Roman"/>
          <w:lang w:val="en-US" w:eastAsia="zh-CN"/>
        </w:rPr>
        <w:t>4</w:t>
      </w:r>
      <w:r>
        <w:rPr>
          <w:rFonts w:ascii="Times New Roman" w:hAnsi="Times New Roman"/>
        </w:rPr>
        <w:t xml:space="preserve"> 最终定界</w:t>
      </w:r>
      <w:bookmarkEnd w:id="90"/>
      <w:bookmarkEnd w:id="91"/>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为了便于开展日常环境管理工作，依据保护区划分的分析、结合水源保护区的地形、地标、地物特点，确定湘阴县南湖洲镇南湖水厂地下水饮用水源保护区划分为一级保护区，不设二级保护区和准保护区。</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①利用目前世界较为先进的卫星地图Google Earth（谷歌）进行定位，标出南湖洲镇取水口、取水口半径</w:t>
      </w:r>
      <w:r>
        <w:rPr>
          <w:rFonts w:hint="eastAsia" w:ascii="Calibri" w:hAnsi="Calibri" w:eastAsia="宋体" w:cs="宋体"/>
          <w:sz w:val="24"/>
          <w:szCs w:val="22"/>
          <w:lang w:val="en-US" w:eastAsia="zh-CN"/>
        </w:rPr>
        <w:t>30</w:t>
      </w:r>
      <w:r>
        <w:rPr>
          <w:rFonts w:hint="eastAsia" w:ascii="Calibri" w:hAnsi="Calibri" w:eastAsia="宋体" w:cs="宋体"/>
          <w:sz w:val="24"/>
          <w:szCs w:val="22"/>
          <w:lang w:eastAsia="zh-CN"/>
        </w:rPr>
        <w:t>m等重要点位的大致地理位置，并记录经纬度坐标。</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②采用GPS智能测绘仪器进行实地测量，现场验证重要点位的准确性，并对其经纬度进行校核。</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③利用专业测绘技术对界线拐点经纬度再次进行校核。</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④将经过现场验证确定后，以不同颜色绘制出保护区范围示意图。</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按照上述程序以及现场的实际情况，确定了湘阴县南湖洲镇南湖水厂地下水饮用水源保护区边界为：</w:t>
      </w:r>
    </w:p>
    <w:p>
      <w:pPr>
        <w:adjustRightInd w:val="0"/>
        <w:snapToGrid w:val="0"/>
        <w:spacing w:line="360" w:lineRule="auto"/>
        <w:ind w:firstLine="480" w:firstLineChars="200"/>
        <w:rPr>
          <w:rFonts w:hint="eastAsia" w:ascii="Calibri" w:hAnsi="Calibri" w:eastAsia="宋体" w:cs="宋体"/>
          <w:sz w:val="24"/>
          <w:szCs w:val="22"/>
          <w:lang w:eastAsia="zh-CN"/>
        </w:rPr>
      </w:pPr>
      <w:r>
        <w:rPr>
          <w:rFonts w:hint="eastAsia" w:ascii="Calibri" w:hAnsi="Calibri" w:eastAsia="宋体" w:cs="宋体"/>
          <w:sz w:val="24"/>
          <w:szCs w:val="22"/>
          <w:lang w:eastAsia="zh-CN"/>
        </w:rPr>
        <w:t>以取水井为中心，半径30米的圆形区域，南面以道路迎心侧路肩为界。保护区详情见附图2（湘阴县南湖洲镇南湖水厂地下水饮用水源保护区划分结果图）。</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szCs w:val="21"/>
        </w:rPr>
      </w:pPr>
      <w:r>
        <w:rPr>
          <w:rFonts w:hint="eastAsia" w:ascii="Times New Roman" w:hAnsi="Times New Roman" w:cs="Times New Roman"/>
          <w:b/>
          <w:szCs w:val="21"/>
        </w:rPr>
        <w:t>表3-3 取水井中心坐标和一级保护区边界坐标一览表</w:t>
      </w:r>
    </w:p>
    <w:tbl>
      <w:tblPr>
        <w:tblStyle w:val="20"/>
        <w:tblW w:w="599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0"/>
        <w:gridCol w:w="1689"/>
        <w:gridCol w:w="696"/>
        <w:gridCol w:w="1448"/>
        <w:gridCol w:w="13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79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井编号</w:t>
            </w:r>
          </w:p>
        </w:tc>
        <w:tc>
          <w:tcPr>
            <w:tcW w:w="5207"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边界坐标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79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p>
        </w:tc>
        <w:tc>
          <w:tcPr>
            <w:tcW w:w="168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取水井中心坐标</w:t>
            </w:r>
          </w:p>
        </w:tc>
        <w:tc>
          <w:tcPr>
            <w:tcW w:w="69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边界顶端编号</w:t>
            </w:r>
          </w:p>
        </w:tc>
        <w:tc>
          <w:tcPr>
            <w:tcW w:w="2822"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边界顶端坐标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79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p>
        </w:tc>
        <w:tc>
          <w:tcPr>
            <w:tcW w:w="168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p>
        </w:tc>
        <w:tc>
          <w:tcPr>
            <w:tcW w:w="69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p>
        </w:tc>
        <w:tc>
          <w:tcPr>
            <w:tcW w:w="14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经度</w:t>
            </w:r>
          </w:p>
        </w:tc>
        <w:tc>
          <w:tcPr>
            <w:tcW w:w="13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纬度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79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eastAsia" w:ascii="Times New Roman" w:hAnsi="Times New Roman" w:eastAsia="宋体" w:cs="Times New Roman"/>
                <w:kern w:val="0"/>
                <w:szCs w:val="21"/>
              </w:rPr>
              <w:t>取水</w:t>
            </w:r>
            <w:r>
              <w:rPr>
                <w:rFonts w:hint="default" w:ascii="Times New Roman" w:hAnsi="Times New Roman" w:eastAsia="宋体" w:cs="Times New Roman"/>
                <w:kern w:val="0"/>
                <w:szCs w:val="21"/>
              </w:rPr>
              <w:t>井</w:t>
            </w:r>
          </w:p>
        </w:tc>
        <w:tc>
          <w:tcPr>
            <w:tcW w:w="168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E112°37′9″</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N28°40′6.25″</w:t>
            </w:r>
          </w:p>
        </w:tc>
        <w:tc>
          <w:tcPr>
            <w:tcW w:w="6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A1</w:t>
            </w:r>
          </w:p>
        </w:tc>
        <w:tc>
          <w:tcPr>
            <w:tcW w:w="14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112°37'10.38"</w:t>
            </w:r>
          </w:p>
        </w:tc>
        <w:tc>
          <w:tcPr>
            <w:tcW w:w="13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28°40'06.37"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79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rPr>
            </w:pPr>
          </w:p>
        </w:tc>
        <w:tc>
          <w:tcPr>
            <w:tcW w:w="168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p>
        </w:tc>
        <w:tc>
          <w:tcPr>
            <w:tcW w:w="6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A2</w:t>
            </w:r>
          </w:p>
        </w:tc>
        <w:tc>
          <w:tcPr>
            <w:tcW w:w="14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112°37'09.40"</w:t>
            </w:r>
          </w:p>
        </w:tc>
        <w:tc>
          <w:tcPr>
            <w:tcW w:w="13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28°40'07.52"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79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rPr>
            </w:pPr>
          </w:p>
        </w:tc>
        <w:tc>
          <w:tcPr>
            <w:tcW w:w="168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p>
        </w:tc>
        <w:tc>
          <w:tcPr>
            <w:tcW w:w="6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A3</w:t>
            </w:r>
          </w:p>
        </w:tc>
        <w:tc>
          <w:tcPr>
            <w:tcW w:w="14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112°37'08.20"</w:t>
            </w:r>
          </w:p>
        </w:tc>
        <w:tc>
          <w:tcPr>
            <w:tcW w:w="13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28°40'06.33"</w:t>
            </w:r>
          </w:p>
        </w:tc>
      </w:tr>
    </w:tbl>
    <w:p>
      <w:pPr>
        <w:spacing w:line="360" w:lineRule="auto"/>
        <w:jc w:val="both"/>
        <w:rPr>
          <w:b/>
          <w:bCs/>
          <w:sz w:val="36"/>
          <w:szCs w:val="36"/>
        </w:rPr>
      </w:pPr>
      <w:bookmarkStart w:id="92" w:name="_Toc458323117"/>
    </w:p>
    <w:p>
      <w:pPr>
        <w:spacing w:line="360" w:lineRule="auto"/>
        <w:jc w:val="center"/>
        <w:rPr>
          <w:b/>
          <w:bCs/>
          <w:sz w:val="36"/>
          <w:szCs w:val="36"/>
        </w:rPr>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
        <w:spacing w:beforeLines="0" w:afterLines="0" w:line="360" w:lineRule="auto"/>
        <w:jc w:val="center"/>
      </w:pPr>
      <w:bookmarkStart w:id="93" w:name="_Toc5107"/>
      <w:r>
        <w:t>第四章 饮用水水源保护区划分方案与分析</w:t>
      </w:r>
      <w:bookmarkEnd w:id="92"/>
      <w:bookmarkEnd w:id="93"/>
    </w:p>
    <w:p>
      <w:pPr>
        <w:pStyle w:val="3"/>
        <w:spacing w:beforeLines="0" w:afterLines="0" w:line="360" w:lineRule="auto"/>
        <w:rPr>
          <w:rFonts w:ascii="Times New Roman" w:hAnsi="Times New Roman"/>
        </w:rPr>
      </w:pPr>
      <w:bookmarkStart w:id="94" w:name="_Toc2889"/>
      <w:bookmarkStart w:id="95" w:name="_Toc458323119"/>
      <w:r>
        <w:rPr>
          <w:rFonts w:ascii="Times New Roman" w:hAnsi="Times New Roman"/>
        </w:rPr>
        <w:t>4.</w:t>
      </w:r>
      <w:r>
        <w:rPr>
          <w:rFonts w:hint="eastAsia" w:ascii="Times New Roman" w:hAnsi="Times New Roman"/>
          <w:lang w:val="en-US" w:eastAsia="zh-CN"/>
        </w:rPr>
        <w:t>1</w:t>
      </w:r>
      <w:r>
        <w:rPr>
          <w:rFonts w:ascii="Times New Roman" w:hAnsi="Times New Roman"/>
        </w:rPr>
        <w:t>饮用水水源保护区存在环境问题分析</w:t>
      </w:r>
      <w:bookmarkEnd w:id="94"/>
      <w:bookmarkEnd w:id="9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 每年常规监测不符合相关要求。2019年未按《2019 年全省生态环境监测方案》的要求监测相关的指标。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 根据2.4.4章节污染状况调查结果，饮用水水源地存在的环境问题情况汇总见表4-1，其位置分布见附图3。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一级保护区存在的主要问题：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（1）标志标牌设置需要完善。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（2）保护区范围内有南湖洲水厂工作人员。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（3）取水井毗邻村道，有行人、社会车辆通行，不涉及危险品的运输。</w:t>
      </w:r>
    </w:p>
    <w:p>
      <w:pPr>
        <w:pStyle w:val="3"/>
        <w:spacing w:beforeLines="0" w:afterLines="0" w:line="360" w:lineRule="auto"/>
        <w:rPr>
          <w:rFonts w:ascii="Times New Roman" w:hAnsi="Times New Roman"/>
        </w:rPr>
      </w:pPr>
      <w:bookmarkStart w:id="96" w:name="_Toc458323120"/>
      <w:bookmarkStart w:id="97" w:name="_Toc2103"/>
      <w:r>
        <w:rPr>
          <w:rFonts w:ascii="Times New Roman" w:hAnsi="Times New Roman"/>
        </w:rPr>
        <w:t>4.</w:t>
      </w:r>
      <w:r>
        <w:rPr>
          <w:rFonts w:hint="eastAsia" w:ascii="Times New Roman" w:hAnsi="Times New Roman"/>
          <w:lang w:val="en-US" w:eastAsia="zh-CN"/>
        </w:rPr>
        <w:t>2</w:t>
      </w:r>
      <w:r>
        <w:rPr>
          <w:rFonts w:ascii="Times New Roman" w:hAnsi="Times New Roman"/>
        </w:rPr>
        <w:t xml:space="preserve"> 饮用水水源保护区污染整治措施</w:t>
      </w:r>
      <w:bookmarkEnd w:id="96"/>
      <w:bookmarkEnd w:id="97"/>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针对本次划定的饮用水水源保护区内存在的环境问题，根据《湖南省饮用水</w:t>
      </w:r>
    </w:p>
    <w:p>
      <w:pPr>
        <w:adjustRightInd w:val="0"/>
        <w:snapToGrid w:val="0"/>
        <w:spacing w:line="360" w:lineRule="auto"/>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水源保护条例》，结合《集中式饮用水水源地规范化整治建设环境保护技术要求》（HJ/T337-2015）、《关于答复全国集中式饮用水水源地环境保护专项行动有关问题的函》（环办环监函[2018]767 号）、《关于答复2019 年饮用水水源地环境保护专项行动有关问题的函》（环办执法函[2019]647 号）、环水体函[2019]92号文的相关要求，一级保护区拟采取以下整治措施：</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szCs w:val="21"/>
          <w:lang w:val="en-US" w:eastAsia="zh-CN"/>
        </w:rPr>
      </w:pPr>
      <w:r>
        <w:rPr>
          <w:rFonts w:hint="eastAsia" w:ascii="Times New Roman" w:hAnsi="Times New Roman" w:cs="Times New Roman"/>
          <w:b/>
          <w:szCs w:val="21"/>
          <w:lang w:eastAsia="zh-CN"/>
        </w:rPr>
        <w:t>表</w:t>
      </w:r>
      <w:r>
        <w:rPr>
          <w:rFonts w:hint="eastAsia" w:ascii="Times New Roman" w:hAnsi="Times New Roman" w:cs="Times New Roman"/>
          <w:b/>
          <w:szCs w:val="21"/>
          <w:lang w:val="en-US" w:eastAsia="zh-CN"/>
        </w:rPr>
        <w:t>4-1一级保护区内主要污染源及整治措施一览表</w:t>
      </w:r>
    </w:p>
    <w:tbl>
      <w:tblPr>
        <w:tblStyle w:val="21"/>
        <w:tblW w:w="8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692"/>
        <w:gridCol w:w="1065"/>
        <w:gridCol w:w="1185"/>
        <w:gridCol w:w="1995"/>
        <w:gridCol w:w="1305"/>
        <w:gridCol w:w="73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98" w:name="_Toc11598"/>
            <w:bookmarkStart w:id="99" w:name="_Toc26463"/>
            <w:bookmarkStart w:id="100" w:name="_Toc28795"/>
            <w:bookmarkStart w:id="101" w:name="_Toc21745"/>
            <w:bookmarkStart w:id="102" w:name="_Toc23476"/>
            <w:r>
              <w:rPr>
                <w:rFonts w:hint="eastAsia" w:ascii="Times New Roman" w:hAnsi="Times New Roman" w:eastAsia="宋体" w:cs="Times New Roman"/>
                <w:kern w:val="0"/>
                <w:szCs w:val="21"/>
                <w:lang w:val="en-US" w:eastAsia="zh-CN"/>
              </w:rPr>
              <w:t>序号</w:t>
            </w:r>
            <w:bookmarkEnd w:id="98"/>
            <w:bookmarkEnd w:id="99"/>
            <w:bookmarkEnd w:id="100"/>
            <w:bookmarkEnd w:id="101"/>
            <w:bookmarkEnd w:id="102"/>
          </w:p>
        </w:tc>
        <w:tc>
          <w:tcPr>
            <w:tcW w:w="69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03" w:name="_Toc8607"/>
            <w:bookmarkStart w:id="104" w:name="_Toc1355"/>
            <w:bookmarkStart w:id="105" w:name="_Toc5026"/>
            <w:bookmarkStart w:id="106" w:name="_Toc30764"/>
            <w:bookmarkStart w:id="107" w:name="_Toc6668"/>
            <w:r>
              <w:rPr>
                <w:rFonts w:hint="eastAsia" w:ascii="Times New Roman" w:hAnsi="Times New Roman" w:eastAsia="宋体" w:cs="Times New Roman"/>
                <w:kern w:val="0"/>
                <w:szCs w:val="21"/>
                <w:lang w:val="en-US" w:eastAsia="zh-CN"/>
              </w:rPr>
              <w:t>源类型</w:t>
            </w:r>
            <w:bookmarkEnd w:id="103"/>
            <w:bookmarkEnd w:id="104"/>
            <w:bookmarkEnd w:id="105"/>
            <w:bookmarkEnd w:id="106"/>
            <w:bookmarkEnd w:id="107"/>
          </w:p>
        </w:tc>
        <w:tc>
          <w:tcPr>
            <w:tcW w:w="10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污染源名称</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主要污染因素</w:t>
            </w:r>
          </w:p>
        </w:tc>
        <w:tc>
          <w:tcPr>
            <w:tcW w:w="199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08" w:name="_Toc10489"/>
            <w:bookmarkStart w:id="109" w:name="_Toc21405"/>
            <w:bookmarkStart w:id="110" w:name="_Toc30010"/>
            <w:bookmarkStart w:id="111" w:name="_Toc27203"/>
            <w:bookmarkStart w:id="112" w:name="_Toc5370"/>
            <w:r>
              <w:rPr>
                <w:rFonts w:hint="eastAsia" w:ascii="Times New Roman" w:hAnsi="Times New Roman" w:eastAsia="宋体" w:cs="Times New Roman"/>
                <w:kern w:val="0"/>
                <w:szCs w:val="21"/>
                <w:lang w:val="en-US" w:eastAsia="zh-CN"/>
              </w:rPr>
              <w:t>整治措施</w:t>
            </w:r>
            <w:bookmarkEnd w:id="108"/>
            <w:bookmarkEnd w:id="109"/>
            <w:bookmarkEnd w:id="110"/>
            <w:bookmarkEnd w:id="111"/>
            <w:bookmarkEnd w:id="112"/>
          </w:p>
        </w:tc>
        <w:tc>
          <w:tcPr>
            <w:tcW w:w="130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效果</w:t>
            </w:r>
          </w:p>
        </w:tc>
        <w:tc>
          <w:tcPr>
            <w:tcW w:w="73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完成期限</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13" w:name="_Toc27507"/>
            <w:bookmarkStart w:id="114" w:name="_Toc18809"/>
            <w:bookmarkStart w:id="115" w:name="_Toc22136"/>
            <w:bookmarkStart w:id="116" w:name="_Toc24622"/>
            <w:bookmarkStart w:id="117" w:name="_Toc1939"/>
            <w:r>
              <w:rPr>
                <w:rFonts w:hint="eastAsia" w:ascii="Times New Roman" w:hAnsi="Times New Roman" w:eastAsia="宋体" w:cs="Times New Roman"/>
                <w:kern w:val="0"/>
                <w:szCs w:val="21"/>
                <w:lang w:val="en-US" w:eastAsia="zh-CN"/>
              </w:rPr>
              <w:t>1</w:t>
            </w:r>
            <w:bookmarkEnd w:id="113"/>
            <w:bookmarkEnd w:id="114"/>
            <w:bookmarkEnd w:id="115"/>
            <w:bookmarkEnd w:id="116"/>
            <w:bookmarkEnd w:id="117"/>
          </w:p>
        </w:tc>
        <w:tc>
          <w:tcPr>
            <w:tcW w:w="69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面源</w:t>
            </w:r>
          </w:p>
        </w:tc>
        <w:tc>
          <w:tcPr>
            <w:tcW w:w="10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18" w:name="_Toc7025"/>
            <w:bookmarkStart w:id="119" w:name="_Toc24931"/>
            <w:r>
              <w:rPr>
                <w:rFonts w:hint="eastAsia" w:ascii="Times New Roman" w:hAnsi="Times New Roman" w:eastAsia="宋体" w:cs="Times New Roman"/>
                <w:kern w:val="0"/>
                <w:szCs w:val="21"/>
                <w:lang w:val="en-US" w:eastAsia="zh-CN"/>
              </w:rPr>
              <w:t>水厂工作人员</w:t>
            </w:r>
            <w:bookmarkEnd w:id="118"/>
            <w:bookmarkEnd w:id="119"/>
          </w:p>
        </w:tc>
        <w:tc>
          <w:tcPr>
            <w:tcW w:w="118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生活污水、生活垃圾</w:t>
            </w:r>
          </w:p>
        </w:tc>
        <w:tc>
          <w:tcPr>
            <w:tcW w:w="199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20" w:name="_Toc2963"/>
            <w:bookmarkStart w:id="121" w:name="_Toc23869"/>
            <w:r>
              <w:rPr>
                <w:rFonts w:hint="eastAsia" w:ascii="Times New Roman" w:hAnsi="Times New Roman" w:eastAsia="宋体" w:cs="Times New Roman"/>
                <w:kern w:val="0"/>
                <w:szCs w:val="21"/>
                <w:lang w:val="en-US" w:eastAsia="zh-CN"/>
              </w:rPr>
              <w:t>①1套四格净化池</w:t>
            </w:r>
            <w:bookmarkEnd w:id="120"/>
            <w:bookmarkEnd w:id="121"/>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②2个垃圾桶</w:t>
            </w:r>
          </w:p>
        </w:tc>
        <w:tc>
          <w:tcPr>
            <w:tcW w:w="130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22" w:name="_Toc17562"/>
            <w:bookmarkStart w:id="123" w:name="_Toc6529"/>
            <w:r>
              <w:rPr>
                <w:rFonts w:hint="eastAsia" w:ascii="Times New Roman" w:hAnsi="Times New Roman" w:eastAsia="宋体" w:cs="Times New Roman"/>
                <w:kern w:val="0"/>
                <w:szCs w:val="21"/>
                <w:lang w:val="en-US" w:eastAsia="zh-CN"/>
              </w:rPr>
              <w:t>生活污水处理可削减COD、氨氮</w:t>
            </w:r>
            <w:bookmarkEnd w:id="122"/>
            <w:bookmarkEnd w:id="123"/>
          </w:p>
        </w:tc>
        <w:tc>
          <w:tcPr>
            <w:tcW w:w="73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24" w:name="_Toc25450"/>
            <w:bookmarkStart w:id="125" w:name="_Toc8181"/>
            <w:bookmarkStart w:id="126" w:name="_Toc5656"/>
            <w:bookmarkStart w:id="127" w:name="_Toc24653"/>
            <w:bookmarkStart w:id="128" w:name="_Toc25075"/>
            <w:r>
              <w:rPr>
                <w:rFonts w:hint="eastAsia" w:ascii="Times New Roman" w:hAnsi="Times New Roman" w:eastAsia="宋体" w:cs="Times New Roman"/>
                <w:kern w:val="0"/>
                <w:szCs w:val="21"/>
                <w:lang w:val="en-US" w:eastAsia="zh-CN"/>
              </w:rPr>
              <w:t>2020.12.30</w:t>
            </w:r>
            <w:bookmarkEnd w:id="124"/>
            <w:bookmarkEnd w:id="125"/>
            <w:bookmarkEnd w:id="126"/>
            <w:bookmarkEnd w:id="127"/>
            <w:bookmarkEnd w:id="128"/>
          </w:p>
        </w:tc>
        <w:tc>
          <w:tcPr>
            <w:tcW w:w="109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属地乡镇、村委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29" w:name="_Toc1773"/>
            <w:bookmarkStart w:id="130" w:name="_Toc6651"/>
            <w:r>
              <w:rPr>
                <w:rFonts w:hint="eastAsia" w:ascii="Times New Roman" w:hAnsi="Times New Roman" w:eastAsia="宋体" w:cs="Times New Roman"/>
                <w:kern w:val="0"/>
                <w:szCs w:val="21"/>
                <w:lang w:val="en-US" w:eastAsia="zh-CN"/>
              </w:rPr>
              <w:t>2</w:t>
            </w:r>
            <w:bookmarkEnd w:id="129"/>
            <w:bookmarkEnd w:id="130"/>
          </w:p>
        </w:tc>
        <w:tc>
          <w:tcPr>
            <w:tcW w:w="69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流动源</w:t>
            </w:r>
          </w:p>
        </w:tc>
        <w:tc>
          <w:tcPr>
            <w:tcW w:w="10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取水井毗邻村道</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行人、社会车辆</w:t>
            </w:r>
          </w:p>
        </w:tc>
        <w:tc>
          <w:tcPr>
            <w:tcW w:w="199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在保护区边界设立2块交通警示牌，2块界标，水厂门前设1块宣传牌</w:t>
            </w:r>
          </w:p>
        </w:tc>
        <w:tc>
          <w:tcPr>
            <w:tcW w:w="130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31" w:name="_Toc21501"/>
            <w:bookmarkStart w:id="132" w:name="_Toc13670"/>
            <w:r>
              <w:rPr>
                <w:rFonts w:hint="eastAsia" w:ascii="Times New Roman" w:hAnsi="Times New Roman" w:eastAsia="宋体" w:cs="Times New Roman"/>
                <w:kern w:val="0"/>
                <w:szCs w:val="21"/>
                <w:lang w:val="en-US" w:eastAsia="zh-CN"/>
              </w:rPr>
              <w:t>警示作用</w:t>
            </w:r>
            <w:bookmarkEnd w:id="131"/>
            <w:bookmarkEnd w:id="132"/>
          </w:p>
        </w:tc>
        <w:tc>
          <w:tcPr>
            <w:tcW w:w="73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bookmarkStart w:id="133" w:name="_Toc5565"/>
            <w:bookmarkStart w:id="134" w:name="_Toc8085"/>
            <w:r>
              <w:rPr>
                <w:rFonts w:hint="eastAsia" w:ascii="Times New Roman" w:hAnsi="Times New Roman" w:eastAsia="宋体" w:cs="Times New Roman"/>
                <w:kern w:val="0"/>
                <w:szCs w:val="21"/>
                <w:lang w:val="en-US" w:eastAsia="zh-CN"/>
              </w:rPr>
              <w:t>2020.12.30</w:t>
            </w:r>
            <w:bookmarkEnd w:id="133"/>
            <w:bookmarkEnd w:id="134"/>
          </w:p>
        </w:tc>
        <w:tc>
          <w:tcPr>
            <w:tcW w:w="109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县水利局</w:t>
            </w:r>
          </w:p>
        </w:tc>
      </w:tr>
    </w:tbl>
    <w:p>
      <w:pPr>
        <w:pStyle w:val="3"/>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ascii="Times New Roman" w:hAnsi="Times New Roman"/>
        </w:rPr>
      </w:pPr>
      <w:bookmarkStart w:id="135" w:name="_Toc3732"/>
      <w:bookmarkStart w:id="136" w:name="_Toc4367"/>
      <w:bookmarkStart w:id="137" w:name="_Toc458323121"/>
      <w:r>
        <w:rPr>
          <w:rFonts w:ascii="Times New Roman" w:hAnsi="Times New Roman"/>
        </w:rPr>
        <w:t>4.</w:t>
      </w:r>
      <w:r>
        <w:rPr>
          <w:rFonts w:hint="eastAsia" w:ascii="Times New Roman" w:hAnsi="Times New Roman"/>
          <w:lang w:val="en-US" w:eastAsia="zh-CN"/>
        </w:rPr>
        <w:t>3</w:t>
      </w:r>
      <w:r>
        <w:rPr>
          <w:rFonts w:ascii="Times New Roman" w:hAnsi="Times New Roman"/>
        </w:rPr>
        <w:t>水量水质可达性分析</w:t>
      </w:r>
      <w:bookmarkEnd w:id="135"/>
      <w:bookmarkEnd w:id="136"/>
      <w:bookmarkEnd w:id="137"/>
    </w:p>
    <w:p>
      <w:pPr>
        <w:pageBreakBefore w:val="0"/>
        <w:widowControl w:val="0"/>
        <w:kinsoku/>
        <w:wordWrap/>
        <w:overflowPunct/>
        <w:topLinePunct w:val="0"/>
        <w:bidi w:val="0"/>
        <w:adjustRightInd/>
        <w:spacing w:beforeLines="0" w:afterLines="0" w:line="360" w:lineRule="auto"/>
        <w:ind w:firstLine="476"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本</w:t>
      </w:r>
      <w:r>
        <w:rPr>
          <w:rFonts w:hint="default" w:ascii="Times New Roman" w:hAnsi="Times New Roman" w:eastAsia="宋体" w:cs="Times New Roman"/>
          <w:sz w:val="24"/>
          <w:szCs w:val="24"/>
        </w:rPr>
        <w:t>水厂的设计取水量</w:t>
      </w:r>
      <w:r>
        <w:rPr>
          <w:rFonts w:hint="default" w:ascii="Times New Roman" w:hAnsi="Times New Roman" w:eastAsia="宋体" w:cs="Times New Roman"/>
          <w:spacing w:val="29"/>
          <w:sz w:val="24"/>
          <w:szCs w:val="24"/>
        </w:rPr>
        <w:t>为</w:t>
      </w:r>
      <w:r>
        <w:rPr>
          <w:rFonts w:hint="default" w:ascii="Times New Roman" w:hAnsi="Times New Roman" w:eastAsia="Times New Roman" w:cs="Times New Roman"/>
          <w:sz w:val="24"/>
          <w:szCs w:val="24"/>
        </w:rPr>
        <w:t>2</w:t>
      </w:r>
      <w:r>
        <w:rPr>
          <w:rFonts w:hint="default" w:ascii="Times New Roman" w:hAnsi="Times New Roman" w:eastAsia="宋体" w:cs="Times New Roman"/>
          <w:sz w:val="24"/>
          <w:szCs w:val="24"/>
          <w:lang w:val="en-US" w:eastAsia="zh-CN"/>
        </w:rPr>
        <w:t>600</w:t>
      </w:r>
      <w:r>
        <w:rPr>
          <w:rFonts w:hint="default" w:ascii="Times New Roman" w:hAnsi="Times New Roman" w:eastAsia="Times New Roman" w:cs="Times New Roman"/>
          <w:sz w:val="24"/>
          <w:szCs w:val="24"/>
        </w:rPr>
        <w:t>m</w:t>
      </w:r>
      <w:r>
        <w:rPr>
          <w:rFonts w:hint="default" w:ascii="Times New Roman" w:hAnsi="Times New Roman" w:eastAsia="宋体" w:cs="Times New Roman"/>
          <w:sz w:val="24"/>
          <w:szCs w:val="24"/>
        </w:rPr>
        <w:t>³</w:t>
      </w:r>
      <w:r>
        <w:rPr>
          <w:rFonts w:hint="default" w:ascii="Times New Roman" w:hAnsi="Times New Roman" w:eastAsia="Times New Roman" w:cs="Times New Roman"/>
          <w:sz w:val="24"/>
          <w:szCs w:val="24"/>
        </w:rPr>
        <w:t>/d</w:t>
      </w:r>
      <w:r>
        <w:rPr>
          <w:rFonts w:hint="default" w:ascii="Times New Roman" w:hAnsi="Times New Roman" w:eastAsia="宋体" w:cs="Times New Roman"/>
          <w:sz w:val="24"/>
          <w:szCs w:val="24"/>
        </w:rPr>
        <w:t>，实际用水量为</w:t>
      </w:r>
      <w:r>
        <w:rPr>
          <w:rFonts w:hint="default" w:ascii="Times New Roman" w:hAnsi="Times New Roman" w:eastAsia="宋体" w:cs="Times New Roman"/>
          <w:spacing w:val="-29"/>
          <w:sz w:val="24"/>
          <w:szCs w:val="24"/>
        </w:rPr>
        <w:t xml:space="preserve"> </w:t>
      </w:r>
      <w:r>
        <w:rPr>
          <w:rFonts w:hint="default" w:ascii="Times New Roman" w:hAnsi="Times New Roman" w:eastAsia="宋体" w:cs="Times New Roman"/>
          <w:sz w:val="24"/>
          <w:szCs w:val="24"/>
          <w:lang w:val="en-US" w:eastAsia="zh-CN"/>
        </w:rPr>
        <w:t>800</w:t>
      </w:r>
      <w:r>
        <w:rPr>
          <w:rFonts w:hint="default" w:ascii="Times New Roman" w:hAnsi="Times New Roman" w:eastAsia="Times New Roman" w:cs="Times New Roman"/>
          <w:sz w:val="24"/>
          <w:szCs w:val="24"/>
        </w:rPr>
        <w:t>m</w:t>
      </w:r>
      <w:r>
        <w:rPr>
          <w:rFonts w:hint="default" w:ascii="Times New Roman" w:hAnsi="Times New Roman" w:eastAsia="宋体" w:cs="Times New Roman"/>
          <w:sz w:val="24"/>
          <w:szCs w:val="24"/>
        </w:rPr>
        <w:t>³</w:t>
      </w:r>
      <w:r>
        <w:rPr>
          <w:rFonts w:hint="default" w:ascii="Times New Roman" w:hAnsi="Times New Roman" w:eastAsia="Times New Roman" w:cs="Times New Roman"/>
          <w:sz w:val="24"/>
          <w:szCs w:val="24"/>
        </w:rPr>
        <w:t>/d</w:t>
      </w:r>
      <w:r>
        <w:rPr>
          <w:rFonts w:hint="default" w:ascii="Times New Roman" w:hAnsi="Times New Roman" w:eastAsia="宋体" w:cs="Times New Roman"/>
          <w:sz w:val="24"/>
          <w:szCs w:val="24"/>
        </w:rPr>
        <w:t>，根据《集中式</w:t>
      </w:r>
    </w:p>
    <w:p>
      <w:pPr>
        <w:pageBreakBefore w:val="0"/>
        <w:widowControl w:val="0"/>
        <w:kinsoku/>
        <w:wordWrap/>
        <w:overflowPunct/>
        <w:topLinePunct w:val="0"/>
        <w:autoSpaceDE w:val="0"/>
        <w:autoSpaceDN w:val="0"/>
        <w:bidi w:val="0"/>
        <w:adjustRightInd/>
        <w:snapToGrid w:val="0"/>
        <w:spacing w:before="31" w:after="0" w:line="360" w:lineRule="auto"/>
        <w:ind w:left="0" w:right="0" w:firstLine="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饮</w:t>
      </w:r>
      <w:r>
        <w:rPr>
          <w:rFonts w:hint="default" w:ascii="Times New Roman" w:hAnsi="Times New Roman" w:eastAsia="宋体" w:cs="Times New Roman"/>
          <w:sz w:val="24"/>
          <w:szCs w:val="24"/>
        </w:rPr>
        <w:t>用水水源地环境保护状况评估技术规范</w:t>
      </w:r>
      <w:r>
        <w:rPr>
          <w:rFonts w:hint="default" w:ascii="Times New Roman" w:hAnsi="Times New Roman" w:eastAsia="宋体" w:cs="Times New Roman"/>
          <w:spacing w:val="-19"/>
          <w:sz w:val="24"/>
          <w:szCs w:val="24"/>
        </w:rPr>
        <w:t>》</w:t>
      </w:r>
      <w:r>
        <w:rPr>
          <w:rFonts w:hint="default" w:ascii="Times New Roman" w:hAnsi="Times New Roman" w:eastAsia="宋体" w:cs="Times New Roman"/>
          <w:sz w:val="24"/>
          <w:szCs w:val="24"/>
        </w:rPr>
        <w:t>（</w:t>
      </w:r>
      <w:r>
        <w:rPr>
          <w:rFonts w:hint="default" w:ascii="Times New Roman" w:hAnsi="Times New Roman" w:eastAsia="Times New Roman" w:cs="Times New Roman"/>
          <w:sz w:val="24"/>
          <w:szCs w:val="24"/>
        </w:rPr>
        <w:t>HJ774-2015</w:t>
      </w:r>
      <w:r>
        <w:rPr>
          <w:rFonts w:hint="default" w:ascii="Times New Roman" w:hAnsi="Times New Roman" w:eastAsia="宋体" w:cs="Times New Roman"/>
          <w:spacing w:val="-11"/>
          <w:sz w:val="24"/>
          <w:szCs w:val="24"/>
        </w:rPr>
        <w:t>）</w:t>
      </w:r>
      <w:r>
        <w:rPr>
          <w:rFonts w:hint="default" w:ascii="Times New Roman" w:hAnsi="Times New Roman" w:eastAsia="宋体" w:cs="Times New Roman"/>
          <w:spacing w:val="-10"/>
          <w:sz w:val="24"/>
          <w:szCs w:val="24"/>
        </w:rPr>
        <w:t>，</w:t>
      </w:r>
      <w:r>
        <w:rPr>
          <w:rFonts w:hint="default" w:ascii="Times New Roman" w:hAnsi="Times New Roman" w:eastAsia="宋体" w:cs="Times New Roman"/>
          <w:sz w:val="24"/>
          <w:szCs w:val="24"/>
        </w:rPr>
        <w:t>实际取水量小于或等于设计取水量时，水量保证率</w:t>
      </w:r>
      <w:r>
        <w:rPr>
          <w:rFonts w:hint="default" w:ascii="Times New Roman" w:hAnsi="Times New Roman" w:eastAsia="宋体" w:cs="Times New Roman"/>
          <w:spacing w:val="30"/>
          <w:sz w:val="24"/>
          <w:szCs w:val="24"/>
        </w:rPr>
        <w:t>为</w:t>
      </w:r>
      <w:r>
        <w:rPr>
          <w:rFonts w:hint="default" w:ascii="Times New Roman" w:hAnsi="Times New Roman" w:eastAsia="Times New Roman" w:cs="Times New Roman"/>
          <w:sz w:val="24"/>
          <w:szCs w:val="24"/>
        </w:rPr>
        <w:t>100%</w:t>
      </w:r>
      <w:r>
        <w:rPr>
          <w:rFonts w:hint="default" w:ascii="Times New Roman" w:hAnsi="Times New Roman" w:eastAsia="宋体" w:cs="Times New Roman"/>
          <w:sz w:val="24"/>
          <w:szCs w:val="24"/>
        </w:rPr>
        <w:t>。</w:t>
      </w:r>
    </w:p>
    <w:p>
      <w:pPr>
        <w:pStyle w:val="2"/>
        <w:bidi w:val="0"/>
      </w:pPr>
      <w:r>
        <w:br w:type="page"/>
      </w:r>
      <w:bookmarkStart w:id="138" w:name="_Toc15952"/>
      <w:r>
        <w:t>第五章 饮用水水源保护区的监督与管理措施</w:t>
      </w:r>
      <w:bookmarkEnd w:id="138"/>
    </w:p>
    <w:p>
      <w:pPr>
        <w:pStyle w:val="3"/>
        <w:spacing w:beforeLines="0" w:afterLines="0" w:line="360" w:lineRule="auto"/>
        <w:rPr>
          <w:rFonts w:ascii="Times New Roman" w:hAnsi="Times New Roman"/>
        </w:rPr>
      </w:pPr>
      <w:bookmarkStart w:id="139" w:name="_Toc19232"/>
      <w:r>
        <w:rPr>
          <w:rFonts w:ascii="Times New Roman" w:hAnsi="Times New Roman"/>
        </w:rPr>
        <w:t>5.1 饮用水水源保护区标志、隔离网的设置</w:t>
      </w:r>
      <w:bookmarkEnd w:id="139"/>
    </w:p>
    <w:p>
      <w:pPr>
        <w:pStyle w:val="4"/>
        <w:spacing w:beforeLines="0" w:afterLines="0" w:line="360" w:lineRule="auto"/>
      </w:pPr>
      <w:bookmarkStart w:id="140" w:name="_Toc25388"/>
      <w:bookmarkStart w:id="141" w:name="_Toc453061602"/>
      <w:bookmarkStart w:id="142" w:name="_Toc453061756"/>
      <w:r>
        <w:t>5.1.1饮用水水源保护区图形标志的分类</w:t>
      </w:r>
      <w:bookmarkEnd w:id="140"/>
      <w:bookmarkEnd w:id="141"/>
      <w:bookmarkEnd w:id="142"/>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依据《饮用水水源保护区标志技术要求》（HJ/T433—2008），饮用水水源保护区标志包括饮用水水源保护区界标、饮用水水源保护区交通警示牌和饮用水水源保护区宣传牌。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（1）饮用水水源保护区界标：是在饮用水水源保护区的地理边界设立的标志。标识饮用水水源保护区的范围，并警示人们需谨慎行为。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（2）饮用水水源保护区交通警示牌：警示车辆、船舶或行人进入饮用水水源保护区道路或航道，需谨慎驾驶或谨慎行为的标志。</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饮用水水源保护区交通警示牌又分为：饮用水水源保护区道路警示牌和饮用水水源保护区航道警示牌。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（3）饮用水水源保护区宣传牌：根据实际需要，为保护当地饮用水水源而对过往人群进行宣传教育所设立的标志。</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饮用水水源保护区图形标志如图5-1所示，其具体尺寸比例、颜色等见图5-2，饮用水水源保护区图形标的尺寸可根据实际情况按比例缩放。</w:t>
      </w:r>
    </w:p>
    <w:p>
      <w:pPr>
        <w:widowControl/>
        <w:spacing w:line="360" w:lineRule="auto"/>
        <w:jc w:val="left"/>
        <w:rPr>
          <w:rFonts w:ascii="Times New Roman" w:hAnsi="Times New Roman" w:eastAsia="仿宋_GB2312" w:cs="Times New Roman"/>
          <w:kern w:val="0"/>
        </w:rPr>
      </w:pPr>
      <w:r>
        <w:rPr>
          <w:rFonts w:ascii="Times New Roman" w:hAnsi="Times New Roman" w:eastAsia="仿宋_GB2312" w:cs="Times New Roman"/>
          <w:kern w:val="0"/>
        </w:rPr>
        <w:drawing>
          <wp:inline distT="0" distB="0" distL="0" distR="0">
            <wp:extent cx="2452370" cy="2379345"/>
            <wp:effectExtent l="0" t="0" r="508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52370" cy="2379345"/>
                    </a:xfrm>
                    <a:prstGeom prst="rect">
                      <a:avLst/>
                    </a:prstGeom>
                    <a:noFill/>
                    <a:ln>
                      <a:noFill/>
                    </a:ln>
                  </pic:spPr>
                </pic:pic>
              </a:graphicData>
            </a:graphic>
          </wp:inline>
        </w:drawing>
      </w:r>
      <w:r>
        <w:rPr>
          <w:rFonts w:ascii="Times New Roman" w:hAnsi="Times New Roman" w:eastAsia="仿宋_GB2312" w:cs="Times New Roman"/>
          <w:kern w:val="0"/>
          <w:szCs w:val="28"/>
        </w:rPr>
        <w:drawing>
          <wp:inline distT="0" distB="0" distL="0" distR="0">
            <wp:extent cx="2562225" cy="2435860"/>
            <wp:effectExtent l="0" t="0" r="952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62225" cy="2435860"/>
                    </a:xfrm>
                    <a:prstGeom prst="rect">
                      <a:avLst/>
                    </a:prstGeom>
                    <a:noFill/>
                    <a:ln>
                      <a:noFill/>
                    </a:ln>
                  </pic:spPr>
                </pic:pic>
              </a:graphicData>
            </a:graphic>
          </wp:inline>
        </w:drawing>
      </w:r>
    </w:p>
    <w:p>
      <w:pPr>
        <w:widowControl/>
        <w:spacing w:line="360" w:lineRule="auto"/>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图5-1饮用水水源保护区图形标志图</w:t>
      </w:r>
      <w:r>
        <w:rPr>
          <w:rFonts w:hint="eastAsia" w:ascii="Times New Roman" w:hAnsi="Times New Roman" w:eastAsia="仿宋_GB2312" w:cs="Times New Roman"/>
          <w:b/>
          <w:kern w:val="0"/>
          <w:szCs w:val="21"/>
          <w:lang w:val="en-US" w:eastAsia="zh-CN"/>
        </w:rPr>
        <w:t xml:space="preserve">      </w:t>
      </w:r>
      <w:r>
        <w:rPr>
          <w:rFonts w:ascii="Times New Roman" w:hAnsi="Times New Roman" w:eastAsia="仿宋_GB2312" w:cs="Times New Roman"/>
          <w:b/>
          <w:kern w:val="0"/>
          <w:szCs w:val="21"/>
        </w:rPr>
        <w:t>5-2饮用水水源保护区图形标志尺寸比例示意图</w:t>
      </w:r>
    </w:p>
    <w:p>
      <w:pPr>
        <w:pStyle w:val="4"/>
        <w:spacing w:beforeLines="0" w:afterLines="0" w:line="360" w:lineRule="auto"/>
      </w:pPr>
      <w:bookmarkStart w:id="143" w:name="_Toc11010"/>
      <w:bookmarkStart w:id="144" w:name="_Toc453061757"/>
      <w:bookmarkStart w:id="145" w:name="_Toc438805143"/>
      <w:bookmarkStart w:id="146" w:name="_Toc453061603"/>
      <w:r>
        <w:t>5.1.2饮用水水源保护区图形标志的内容</w:t>
      </w:r>
      <w:bookmarkEnd w:id="143"/>
      <w:bookmarkEnd w:id="144"/>
      <w:bookmarkEnd w:id="145"/>
      <w:bookmarkEnd w:id="146"/>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（1）界标内容</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界标正面的上方为饮用水水源保护区图形标。中下方书写饮用水水源保护区名称，如 ：饮用水水源一级保护区、饮用水水源二级保护区等。下方为"监督管理电话：XXXXXXXX"等 。监督管理方面的信息，监督管理电话一般为当地环境保护行政主管部门联系电话。饮用水水源保护区界标正面内容的示意图如图5-3。</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界标背面的上方用清晰、易懂的图形或文字说明根据《饮用水水源保护区标志技术要求》（HJ/T433—2008）划定的饮用水水源保护区范围，以标明保护区准确地理坐标和范围参数等为宜。中下方书写饮用水水源保护区具体的管理要求，可引用《中华人民共和国水污染防治法》以及其它有关法律法规中关于饮用水水源保护区的条款和内容。最下方靠右处书写"XX 政府 XX 年设立"字样。饮用水水源保护区界标背面内容的示意图如图5-4。</w:t>
      </w:r>
    </w:p>
    <w:p>
      <w:pPr>
        <w:spacing w:line="360" w:lineRule="auto"/>
        <w:rPr>
          <w:rFonts w:ascii="Times New Roman" w:hAnsi="Times New Roman" w:cs="Times New Roman"/>
        </w:rPr>
      </w:pPr>
      <w:r>
        <w:rPr>
          <w:rFonts w:ascii="Times New Roman" w:hAnsi="Times New Roman" w:cs="Times New Roman"/>
        </w:rPr>
        <w:drawing>
          <wp:inline distT="0" distB="0" distL="0" distR="0">
            <wp:extent cx="5314950" cy="34575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314312" cy="3457160"/>
                    </a:xfrm>
                    <a:prstGeom prst="rect">
                      <a:avLst/>
                    </a:prstGeom>
                    <a:noFill/>
                  </pic:spPr>
                </pic:pic>
              </a:graphicData>
            </a:graphic>
          </wp:inline>
        </w:drawing>
      </w:r>
    </w:p>
    <w:p>
      <w:pPr>
        <w:spacing w:line="360" w:lineRule="auto"/>
        <w:rPr>
          <w:rFonts w:ascii="Times New Roman" w:hAnsi="Times New Roman" w:cs="Times New Roman"/>
          <w:b/>
          <w:szCs w:val="21"/>
        </w:rPr>
      </w:pPr>
      <w:r>
        <w:rPr>
          <w:rFonts w:ascii="Times New Roman" w:hAnsi="Times New Roman" w:cs="Times New Roman"/>
          <w:b/>
          <w:szCs w:val="21"/>
        </w:rPr>
        <w:t>图5-3  饮用水水源保护区界标正面示意图     图5-4 饮用水水源保护区界标背面示意图</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（2）交通警示牌内容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饮用水水源保护区道路警示牌:一般公路如图5-5，高速公路如图5-6。</w:t>
      </w:r>
    </w:p>
    <w:p>
      <w:pPr>
        <w:autoSpaceDE w:val="0"/>
        <w:autoSpaceDN w:val="0"/>
        <w:spacing w:line="360" w:lineRule="auto"/>
        <w:jc w:val="center"/>
        <w:rPr>
          <w:rFonts w:ascii="Times New Roman" w:hAnsi="Times New Roman" w:eastAsia="仿宋_GB2312" w:cs="Times New Roman"/>
          <w:b/>
          <w:kern w:val="0"/>
          <w:szCs w:val="28"/>
        </w:rPr>
      </w:pPr>
      <w:r>
        <w:rPr>
          <w:rFonts w:ascii="Times New Roman" w:hAnsi="Times New Roman" w:eastAsia="仿宋_GB2312" w:cs="Times New Roman"/>
          <w:kern w:val="0"/>
          <w:szCs w:val="28"/>
        </w:rPr>
        <w:drawing>
          <wp:inline distT="0" distB="0" distL="0" distR="0">
            <wp:extent cx="3571875" cy="14954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71875" cy="1495425"/>
                    </a:xfrm>
                    <a:prstGeom prst="rect">
                      <a:avLst/>
                    </a:prstGeom>
                    <a:noFill/>
                    <a:ln>
                      <a:noFill/>
                    </a:ln>
                  </pic:spPr>
                </pic:pic>
              </a:graphicData>
            </a:graphic>
          </wp:inline>
        </w:drawing>
      </w:r>
    </w:p>
    <w:p>
      <w:pPr>
        <w:autoSpaceDE w:val="0"/>
        <w:autoSpaceDN w:val="0"/>
        <w:spacing w:line="360" w:lineRule="auto"/>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图5-5    饮用水水源保护区道路警示牌示意图（一般道路）</w:t>
      </w:r>
    </w:p>
    <w:p>
      <w:pPr>
        <w:autoSpaceDE w:val="0"/>
        <w:autoSpaceDN w:val="0"/>
        <w:spacing w:line="360" w:lineRule="auto"/>
        <w:jc w:val="center"/>
        <w:rPr>
          <w:rFonts w:ascii="Times New Roman" w:hAnsi="Times New Roman" w:eastAsia="仿宋_GB2312" w:cs="Times New Roman"/>
          <w:kern w:val="0"/>
          <w:szCs w:val="28"/>
        </w:rPr>
      </w:pPr>
      <w:r>
        <w:rPr>
          <w:rFonts w:ascii="Times New Roman" w:hAnsi="Times New Roman" w:eastAsia="仿宋_GB2312" w:cs="Times New Roman"/>
          <w:kern w:val="0"/>
          <w:szCs w:val="28"/>
        </w:rPr>
        <w:drawing>
          <wp:inline distT="0" distB="0" distL="0" distR="0">
            <wp:extent cx="3590925" cy="14668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590925" cy="1466850"/>
                    </a:xfrm>
                    <a:prstGeom prst="rect">
                      <a:avLst/>
                    </a:prstGeom>
                    <a:noFill/>
                    <a:ln>
                      <a:noFill/>
                    </a:ln>
                  </pic:spPr>
                </pic:pic>
              </a:graphicData>
            </a:graphic>
          </wp:inline>
        </w:drawing>
      </w:r>
    </w:p>
    <w:p>
      <w:pPr>
        <w:autoSpaceDE w:val="0"/>
        <w:autoSpaceDN w:val="0"/>
        <w:spacing w:line="360" w:lineRule="auto"/>
        <w:jc w:val="center"/>
        <w:rPr>
          <w:rFonts w:ascii="Times New Roman" w:hAnsi="Times New Roman" w:eastAsia="仿宋_GB2312" w:cs="Times New Roman"/>
          <w:kern w:val="0"/>
          <w:szCs w:val="21"/>
        </w:rPr>
      </w:pPr>
      <w:r>
        <w:rPr>
          <w:rFonts w:ascii="Times New Roman" w:hAnsi="Times New Roman" w:eastAsia="仿宋_GB2312" w:cs="Times New Roman"/>
          <w:b/>
          <w:kern w:val="0"/>
          <w:szCs w:val="21"/>
        </w:rPr>
        <w:t xml:space="preserve">图5-6  </w:t>
      </w:r>
      <w:r>
        <w:rPr>
          <w:rFonts w:ascii="Times New Roman" w:hAnsi="Times New Roman" w:eastAsia="仿宋_GB2312" w:cs="Times New Roman"/>
          <w:kern w:val="0"/>
          <w:szCs w:val="21"/>
        </w:rPr>
        <w:t xml:space="preserve">  </w:t>
      </w:r>
      <w:r>
        <w:rPr>
          <w:rFonts w:ascii="Times New Roman" w:hAnsi="Times New Roman" w:eastAsia="仿宋_GB2312" w:cs="Times New Roman"/>
          <w:b/>
          <w:kern w:val="0"/>
          <w:szCs w:val="21"/>
        </w:rPr>
        <w:t>饮用水水源保护区道路警示牌示意图（高速公路）</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在驶离饮用水水源保护区的路侧，可设立驶离告示牌，一般公路如图5-7，高速公路如图5-8。</w:t>
      </w:r>
    </w:p>
    <w:p>
      <w:pPr>
        <w:autoSpaceDE w:val="0"/>
        <w:autoSpaceDN w:val="0"/>
        <w:spacing w:line="360" w:lineRule="auto"/>
        <w:jc w:val="center"/>
        <w:rPr>
          <w:rFonts w:ascii="Times New Roman" w:hAnsi="Times New Roman" w:eastAsia="仿宋_GB2312" w:cs="Times New Roman"/>
          <w:kern w:val="0"/>
          <w:szCs w:val="28"/>
        </w:rPr>
      </w:pPr>
      <w:r>
        <w:rPr>
          <w:rFonts w:ascii="Times New Roman" w:hAnsi="Times New Roman" w:eastAsia="仿宋_GB2312" w:cs="Times New Roman"/>
          <w:kern w:val="0"/>
          <w:szCs w:val="28"/>
        </w:rPr>
        <w:drawing>
          <wp:inline distT="0" distB="0" distL="0" distR="0">
            <wp:extent cx="3524250" cy="14382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524250" cy="1438275"/>
                    </a:xfrm>
                    <a:prstGeom prst="rect">
                      <a:avLst/>
                    </a:prstGeom>
                    <a:noFill/>
                    <a:ln>
                      <a:noFill/>
                    </a:ln>
                  </pic:spPr>
                </pic:pic>
              </a:graphicData>
            </a:graphic>
          </wp:inline>
        </w:drawing>
      </w:r>
    </w:p>
    <w:p>
      <w:pPr>
        <w:autoSpaceDE w:val="0"/>
        <w:autoSpaceDN w:val="0"/>
        <w:spacing w:line="360" w:lineRule="auto"/>
        <w:jc w:val="center"/>
        <w:rPr>
          <w:rFonts w:ascii="Times New Roman" w:hAnsi="Times New Roman" w:eastAsia="仿宋_GB2312" w:cs="Times New Roman"/>
          <w:kern w:val="0"/>
          <w:szCs w:val="21"/>
        </w:rPr>
      </w:pPr>
      <w:r>
        <w:rPr>
          <w:rFonts w:ascii="Times New Roman" w:hAnsi="Times New Roman" w:eastAsia="仿宋_GB2312" w:cs="Times New Roman"/>
          <w:b/>
          <w:kern w:val="0"/>
          <w:szCs w:val="21"/>
        </w:rPr>
        <w:t>图5-7  驶离饮用水水源保护区道路告示牌示意图（一般道路）</w:t>
      </w:r>
    </w:p>
    <w:p>
      <w:pPr>
        <w:autoSpaceDE w:val="0"/>
        <w:autoSpaceDN w:val="0"/>
        <w:spacing w:line="360" w:lineRule="auto"/>
        <w:jc w:val="center"/>
        <w:rPr>
          <w:rFonts w:ascii="Times New Roman" w:hAnsi="Times New Roman" w:eastAsia="仿宋_GB2312" w:cs="Times New Roman"/>
          <w:kern w:val="0"/>
          <w:szCs w:val="28"/>
        </w:rPr>
      </w:pPr>
      <w:r>
        <w:rPr>
          <w:rFonts w:ascii="Times New Roman" w:hAnsi="Times New Roman" w:eastAsia="仿宋_GB2312" w:cs="Times New Roman"/>
          <w:kern w:val="0"/>
          <w:szCs w:val="28"/>
        </w:rPr>
        <w:drawing>
          <wp:inline distT="0" distB="0" distL="0" distR="0">
            <wp:extent cx="3571875" cy="14763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571875" cy="1476375"/>
                    </a:xfrm>
                    <a:prstGeom prst="rect">
                      <a:avLst/>
                    </a:prstGeom>
                    <a:noFill/>
                    <a:ln>
                      <a:noFill/>
                    </a:ln>
                  </pic:spPr>
                </pic:pic>
              </a:graphicData>
            </a:graphic>
          </wp:inline>
        </w:drawing>
      </w:r>
    </w:p>
    <w:p>
      <w:pPr>
        <w:autoSpaceDE w:val="0"/>
        <w:autoSpaceDN w:val="0"/>
        <w:spacing w:line="360" w:lineRule="auto"/>
        <w:jc w:val="center"/>
        <w:rPr>
          <w:rFonts w:ascii="Times New Roman" w:hAnsi="Times New Roman" w:eastAsia="仿宋_GB2312" w:cs="Times New Roman"/>
          <w:kern w:val="0"/>
          <w:szCs w:val="21"/>
        </w:rPr>
      </w:pPr>
      <w:r>
        <w:rPr>
          <w:rFonts w:ascii="Times New Roman" w:hAnsi="Times New Roman" w:eastAsia="仿宋_GB2312" w:cs="Times New Roman"/>
          <w:b/>
          <w:kern w:val="0"/>
          <w:szCs w:val="21"/>
        </w:rPr>
        <w:t>图5-8  驶离饮用水水源保护区道路告示牌示意图（高速公路）</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（3）宣传牌内容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各地方政府可根据实际需求设计宣传牌上的图形和文字，如介绍当地饮用水水源保护区的地形地貌、划分情况、保护现状、管理要求等。</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饮用水水源保护区宣传牌宜在明显位置采用饮用水水源保护区图形标</w:t>
      </w:r>
      <w:r>
        <w:rPr>
          <w:rFonts w:hint="eastAsia" w:ascii="Times New Roman" w:hAnsi="Times New Roman" w:eastAsia="宋体" w:cs="Times New Roman"/>
          <w:sz w:val="24"/>
          <w:szCs w:val="22"/>
          <w:lang w:eastAsia="zh-CN"/>
        </w:rPr>
        <w:t>志</w:t>
      </w:r>
      <w:r>
        <w:rPr>
          <w:rFonts w:ascii="Times New Roman" w:hAnsi="Times New Roman" w:eastAsia="宋体" w:cs="Times New Roman"/>
          <w:sz w:val="24"/>
          <w:szCs w:val="22"/>
        </w:rPr>
        <w:t>。</w:t>
      </w:r>
    </w:p>
    <w:p>
      <w:pPr>
        <w:pStyle w:val="4"/>
        <w:spacing w:beforeLines="0" w:afterLines="0" w:line="360" w:lineRule="auto"/>
      </w:pPr>
      <w:bookmarkStart w:id="147" w:name="_Toc453061758"/>
      <w:bookmarkStart w:id="148" w:name="_Toc438805144"/>
      <w:bookmarkStart w:id="149" w:name="_Toc317"/>
      <w:bookmarkStart w:id="150" w:name="_Toc453061604"/>
      <w:r>
        <w:t>5.1.3饮用水水源保护区图形标志的设立位置</w:t>
      </w:r>
      <w:bookmarkEnd w:id="147"/>
      <w:bookmarkEnd w:id="148"/>
      <w:bookmarkEnd w:id="149"/>
      <w:bookmarkEnd w:id="150"/>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（1）界标设立位置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饮用水水源保护区界标的设立位置应以根据《饮用水水源保护区标志技术要求》（HJ/T433—2008）最终确定的各级保护区界线进行设置，应充分考虑保护区地形、地标、地物的特点。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饮用水水源保护区界标一般设立于保护区陆域界线的顶点处。</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饮用水水源保护区陆域范围为矩形或接近矩形时（如某些河流型饮用水水源保护区），宜在陆域外侧两顶点处设置界标；</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饮用水水源保护区陆域范围为弧形或接近弧形时（如某些湖库型饮用水水源保护区），宜在陆域两个弧端点及弧顶处设置界标；</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饮用水水源保护区陆域范围为圆形或接近圆形时，宜在陆域四个方向的端点处设置界标；</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在划定的陆域范围内，可根据环境管理需要在人群易见、活动处设立界标。</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饮用水水源保护区界标的设立应综合考虑饮用水水源一级保护区、二级保护区和准保护区的界标设立数量和分布而进行设置。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（2）饮用水水源保护区交通警示牌的设立位置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饮用水水源保护区交通警示牌设在保护区的道路的进入点及驶出点。</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饮用水水源保护区道路警示牌设置于一级保护区、二级保护区和准保护区范围内的主干道旁。道路警示牌的具体设立位置应符合GB5768的相关要求。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饮用水水源保护区航道警示牌的具体设立位置应符合GB5863的相关要求。</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（3）饮用水水源保护区宣传牌的设立位置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饮用水水源保护区宣传牌的设立位置可根据实际需要在适当的位置设立饮用水源</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ascii="Times New Roman" w:hAnsi="Times New Roman" w:eastAsia="宋体" w:cs="Times New Roman"/>
          <w:sz w:val="24"/>
          <w:szCs w:val="22"/>
        </w:rPr>
        <w:t>（4</w:t>
      </w:r>
      <w:r>
        <w:rPr>
          <w:rFonts w:hint="eastAsia" w:ascii="Times New Roman" w:hAnsi="Times New Roman" w:eastAsia="宋体" w:cs="Times New Roman"/>
          <w:sz w:val="24"/>
          <w:szCs w:val="22"/>
          <w:lang w:eastAsia="zh-CN"/>
        </w:rPr>
        <w:t>）</w:t>
      </w:r>
      <w:r>
        <w:rPr>
          <w:rFonts w:hint="default" w:ascii="Times New Roman" w:hAnsi="Times New Roman" w:eastAsia="宋体" w:cs="Times New Roman"/>
          <w:sz w:val="24"/>
          <w:szCs w:val="22"/>
        </w:rPr>
        <w:t>危险化学品禁运标志牌的设立位置</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按交通部门的要求在道路驶入口设置相应的危险品禁运标志牌。可以与交通警示牌合设，内容要求分开标识。</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lang w:eastAsia="zh-CN"/>
        </w:rPr>
        <w:t>（</w:t>
      </w:r>
      <w:r>
        <w:rPr>
          <w:rFonts w:hint="eastAsia" w:ascii="Times New Roman" w:hAnsi="Times New Roman" w:eastAsia="宋体" w:cs="Times New Roman"/>
          <w:sz w:val="24"/>
          <w:szCs w:val="22"/>
          <w:lang w:val="en-US" w:eastAsia="zh-CN"/>
        </w:rPr>
        <w:t>5</w:t>
      </w:r>
      <w:r>
        <w:rPr>
          <w:rFonts w:hint="eastAsia" w:ascii="Times New Roman" w:hAnsi="Times New Roman" w:eastAsia="宋体" w:cs="Times New Roman"/>
          <w:sz w:val="24"/>
          <w:szCs w:val="22"/>
          <w:lang w:eastAsia="zh-CN"/>
        </w:rPr>
        <w:t>）</w:t>
      </w:r>
      <w:r>
        <w:rPr>
          <w:rFonts w:ascii="Times New Roman" w:hAnsi="Times New Roman" w:eastAsia="宋体" w:cs="Times New Roman"/>
          <w:sz w:val="24"/>
          <w:szCs w:val="22"/>
        </w:rPr>
        <w:t>饮用水水源保护区标志设置情况</w:t>
      </w:r>
    </w:p>
    <w:p>
      <w:pPr>
        <w:adjustRightInd w:val="0"/>
        <w:snapToGrid w:val="0"/>
        <w:spacing w:line="360" w:lineRule="auto"/>
        <w:ind w:firstLine="480" w:firstLineChars="200"/>
        <w:rPr>
          <w:rFonts w:ascii="Times New Roman" w:hAnsi="Times New Roman" w:eastAsia="宋体" w:cs="Times New Roman"/>
          <w:sz w:val="24"/>
          <w:szCs w:val="22"/>
          <w:highlight w:val="none"/>
        </w:rPr>
      </w:pPr>
      <w:r>
        <w:rPr>
          <w:rFonts w:ascii="Times New Roman" w:hAnsi="Times New Roman" w:eastAsia="宋体" w:cs="Times New Roman"/>
          <w:sz w:val="24"/>
          <w:szCs w:val="22"/>
        </w:rPr>
        <w:t>根据饮用水源保护区标志设置的相关规定，结合南湖洲镇</w:t>
      </w:r>
      <w:r>
        <w:rPr>
          <w:rFonts w:hint="eastAsia" w:ascii="Times New Roman" w:hAnsi="Times New Roman" w:eastAsia="宋体" w:cs="Times New Roman"/>
          <w:sz w:val="24"/>
          <w:szCs w:val="22"/>
          <w:lang w:eastAsia="zh-CN"/>
        </w:rPr>
        <w:t>地下水</w:t>
      </w:r>
      <w:r>
        <w:rPr>
          <w:rFonts w:ascii="Times New Roman" w:hAnsi="Times New Roman" w:eastAsia="宋体" w:cs="Times New Roman"/>
          <w:sz w:val="24"/>
          <w:szCs w:val="22"/>
        </w:rPr>
        <w:t>饮用水源保护区划分边界的具体情况，</w:t>
      </w:r>
      <w:bookmarkStart w:id="151" w:name="OLE_LINK35"/>
      <w:r>
        <w:rPr>
          <w:rFonts w:ascii="Times New Roman" w:hAnsi="Times New Roman" w:eastAsia="宋体" w:cs="Times New Roman"/>
          <w:sz w:val="24"/>
          <w:szCs w:val="22"/>
        </w:rPr>
        <w:t>南湖洲镇</w:t>
      </w:r>
      <w:bookmarkEnd w:id="151"/>
      <w:r>
        <w:rPr>
          <w:rFonts w:hint="eastAsia" w:ascii="Times New Roman" w:hAnsi="Times New Roman" w:eastAsia="宋体" w:cs="Times New Roman"/>
          <w:sz w:val="24"/>
          <w:szCs w:val="22"/>
          <w:lang w:eastAsia="zh-CN"/>
        </w:rPr>
        <w:t>南湖水厂地下水</w:t>
      </w:r>
      <w:r>
        <w:rPr>
          <w:rFonts w:ascii="Times New Roman" w:hAnsi="Times New Roman" w:eastAsia="宋体" w:cs="Times New Roman"/>
          <w:sz w:val="24"/>
          <w:szCs w:val="22"/>
        </w:rPr>
        <w:t>饮用水水源保护区标志设置的具体情况</w:t>
      </w:r>
      <w:r>
        <w:rPr>
          <w:rFonts w:ascii="Times New Roman" w:hAnsi="Times New Roman" w:eastAsia="宋体" w:cs="Times New Roman"/>
          <w:sz w:val="24"/>
          <w:szCs w:val="22"/>
          <w:highlight w:val="none"/>
        </w:rPr>
        <w:t>如表5-1所示。</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highlight w:val="none"/>
        </w:rPr>
        <w:t>基本以水井</w:t>
      </w:r>
      <w:r>
        <w:rPr>
          <w:rFonts w:hint="eastAsia" w:ascii="Times New Roman" w:hAnsi="Times New Roman" w:eastAsia="宋体" w:cs="Times New Roman"/>
          <w:sz w:val="24"/>
          <w:szCs w:val="22"/>
          <w:highlight w:val="none"/>
          <w:lang w:eastAsia="zh-CN"/>
        </w:rPr>
        <w:t>为中心</w:t>
      </w:r>
      <w:r>
        <w:rPr>
          <w:rFonts w:ascii="Times New Roman" w:hAnsi="Times New Roman" w:eastAsia="宋体" w:cs="Times New Roman"/>
          <w:sz w:val="24"/>
          <w:szCs w:val="22"/>
          <w:highlight w:val="none"/>
        </w:rPr>
        <w:t>半径</w:t>
      </w:r>
      <w:r>
        <w:rPr>
          <w:rFonts w:hint="eastAsia" w:ascii="Times New Roman" w:hAnsi="Times New Roman" w:eastAsia="宋体" w:cs="Times New Roman"/>
          <w:sz w:val="24"/>
          <w:szCs w:val="22"/>
          <w:highlight w:val="none"/>
        </w:rPr>
        <w:t>30</w:t>
      </w:r>
      <w:r>
        <w:rPr>
          <w:rFonts w:ascii="Times New Roman" w:hAnsi="Times New Roman" w:eastAsia="宋体" w:cs="Times New Roman"/>
          <w:sz w:val="24"/>
          <w:szCs w:val="22"/>
          <w:highlight w:val="none"/>
        </w:rPr>
        <w:t>米的圆圈为界。详情见附图6</w:t>
      </w:r>
      <w:r>
        <w:rPr>
          <w:rFonts w:ascii="Times New Roman" w:hAnsi="Times New Roman" w:eastAsia="宋体" w:cs="Times New Roman"/>
          <w:sz w:val="24"/>
          <w:szCs w:val="22"/>
        </w:rPr>
        <w:t>（</w:t>
      </w:r>
      <w:bookmarkStart w:id="152" w:name="OLE_LINK51"/>
      <w:r>
        <w:rPr>
          <w:rFonts w:ascii="Times New Roman" w:hAnsi="Times New Roman" w:eastAsia="宋体" w:cs="Times New Roman"/>
          <w:sz w:val="24"/>
          <w:szCs w:val="22"/>
        </w:rPr>
        <w:t>南湖洲镇</w:t>
      </w:r>
      <w:bookmarkEnd w:id="152"/>
      <w:r>
        <w:rPr>
          <w:rFonts w:hint="eastAsia" w:ascii="Times New Roman" w:hAnsi="Times New Roman" w:eastAsia="宋体" w:cs="Times New Roman"/>
          <w:sz w:val="24"/>
          <w:szCs w:val="22"/>
          <w:lang w:eastAsia="zh-CN"/>
        </w:rPr>
        <w:t>南湖水厂地下水</w:t>
      </w:r>
      <w:r>
        <w:rPr>
          <w:rFonts w:ascii="Times New Roman" w:hAnsi="Times New Roman" w:eastAsia="宋体" w:cs="Times New Roman"/>
          <w:sz w:val="24"/>
          <w:szCs w:val="22"/>
        </w:rPr>
        <w:t>饮用水水源保护区标志设置图）。</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szCs w:val="21"/>
          <w:lang w:val="en-US" w:eastAsia="zh-CN"/>
        </w:rPr>
      </w:pPr>
      <w:bookmarkStart w:id="153" w:name="OLE_LINK53"/>
      <w:r>
        <w:rPr>
          <w:rFonts w:hint="eastAsia" w:ascii="Times New Roman" w:hAnsi="Times New Roman" w:cs="Times New Roman"/>
          <w:b/>
          <w:szCs w:val="21"/>
          <w:lang w:val="en-US" w:eastAsia="zh-CN"/>
        </w:rPr>
        <w:t>表5-1  湘阴县南湖洲镇地下水饮用水源保护区标志设置明细表</w:t>
      </w:r>
    </w:p>
    <w:tbl>
      <w:tblPr>
        <w:tblStyle w:val="21"/>
        <w:tblW w:w="773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5"/>
        <w:gridCol w:w="1324"/>
        <w:gridCol w:w="1965"/>
        <w:gridCol w:w="735"/>
        <w:gridCol w:w="870"/>
        <w:gridCol w:w="20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bookmarkStart w:id="154" w:name="OLE_LINK50"/>
            <w:r>
              <w:rPr>
                <w:rFonts w:hint="eastAsia" w:ascii="Times New Roman" w:hAnsi="Times New Roman" w:cs="Times New Roman"/>
                <w:b w:val="0"/>
                <w:bCs/>
                <w:szCs w:val="21"/>
                <w:lang w:val="en-US" w:eastAsia="zh-CN"/>
              </w:rPr>
              <w:t>序号</w:t>
            </w:r>
          </w:p>
        </w:tc>
        <w:tc>
          <w:tcPr>
            <w:tcW w:w="1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标志名称</w:t>
            </w:r>
          </w:p>
        </w:tc>
        <w:tc>
          <w:tcPr>
            <w:tcW w:w="19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设置位置</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数量</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标号</w:t>
            </w:r>
          </w:p>
        </w:tc>
        <w:tc>
          <w:tcPr>
            <w:tcW w:w="2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3"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1</w:t>
            </w:r>
          </w:p>
        </w:tc>
        <w:tc>
          <w:tcPr>
            <w:tcW w:w="1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界标</w:t>
            </w:r>
          </w:p>
        </w:tc>
        <w:tc>
          <w:tcPr>
            <w:tcW w:w="19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保护区边界</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2</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J1~J2</w:t>
            </w:r>
          </w:p>
        </w:tc>
        <w:tc>
          <w:tcPr>
            <w:tcW w:w="2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根据实际情况调整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2</w:t>
            </w:r>
          </w:p>
        </w:tc>
        <w:tc>
          <w:tcPr>
            <w:tcW w:w="1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交通警示牌</w:t>
            </w:r>
          </w:p>
        </w:tc>
        <w:tc>
          <w:tcPr>
            <w:tcW w:w="19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乡村公路边</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2</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T1~T2</w:t>
            </w:r>
          </w:p>
        </w:tc>
        <w:tc>
          <w:tcPr>
            <w:tcW w:w="2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根据实际情况调整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3</w:t>
            </w:r>
          </w:p>
        </w:tc>
        <w:tc>
          <w:tcPr>
            <w:tcW w:w="1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宣传牌</w:t>
            </w:r>
          </w:p>
        </w:tc>
        <w:tc>
          <w:tcPr>
            <w:tcW w:w="19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水厂及人口密集区</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1</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X1</w:t>
            </w:r>
          </w:p>
        </w:tc>
        <w:tc>
          <w:tcPr>
            <w:tcW w:w="2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szCs w:val="21"/>
                <w:lang w:val="en-US" w:eastAsia="zh-CN"/>
              </w:rPr>
            </w:pPr>
            <w:r>
              <w:rPr>
                <w:rFonts w:hint="eastAsia" w:ascii="Times New Roman" w:hAnsi="Times New Roman" w:cs="Times New Roman"/>
                <w:b w:val="0"/>
                <w:bCs/>
                <w:szCs w:val="21"/>
                <w:lang w:val="en-US" w:eastAsia="zh-CN"/>
              </w:rPr>
              <w:t>根据实际情况调整</w:t>
            </w:r>
          </w:p>
        </w:tc>
      </w:tr>
      <w:bookmarkEnd w:id="153"/>
      <w:bookmarkEnd w:id="154"/>
    </w:tbl>
    <w:p>
      <w:pPr>
        <w:pStyle w:val="4"/>
        <w:spacing w:beforeLines="0" w:afterLines="0" w:line="360" w:lineRule="auto"/>
      </w:pPr>
      <w:bookmarkStart w:id="155" w:name="_Toc438805145"/>
      <w:bookmarkStart w:id="156" w:name="_Toc7237"/>
      <w:bookmarkStart w:id="157" w:name="_Toc453061759"/>
      <w:bookmarkStart w:id="158" w:name="_Toc453061605"/>
      <w:r>
        <w:t>5.1.4饮用水水源保护区图形标志的构造</w:t>
      </w:r>
      <w:bookmarkEnd w:id="155"/>
      <w:bookmarkEnd w:id="156"/>
      <w:bookmarkEnd w:id="157"/>
      <w:bookmarkEnd w:id="158"/>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（1）颜色</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饮用水水源保护区图形标的基本色为蓝色，"两滴水"为绿色，"饮用水杯"为白色,文字为蓝色。</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饮用水水源保护区道路警示牌的颜色一般道路为蓝底、白边，图案背景和文字为白色。</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饮用水水源保护区宣传牌颜色由各地方政府根据实际情况确定。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（2）尺寸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饮用水水源保护区标志的尺寸见《饮用水水源保护区标志技术要求》（HJ/T433—2008）附录B。</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饮用水水源保护区标志的尺寸可根据实际情况按比例缩放。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（3） 支持方式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饮用水水源保护区界标宜采用双柱式的支持方式，尺寸可参考 GB5768。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饮用水水源保护区交通警示牌的支持方式形式可多样，但必须符合GB5768和GB5863 的规定。</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饮用水水源保护区宣传牌的支持方式由地方主管部门根据实际情况确定。</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标志柱的结构设计可参考GB576中交通标志柱的结构设计进行。</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（4）材质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饮用水水源保护区标志应遵循耐久、经济的原则，宜采用铝合金板、合成树脂类板材等材质。饮用水水源保护区界标如有必要，也可采用大理石等材质。 </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标志表面宜采用反光材料。道路警示牌的反光性能按照 GB5768 执行。</w:t>
      </w:r>
    </w:p>
    <w:p>
      <w:pPr>
        <w:pStyle w:val="4"/>
        <w:spacing w:beforeLines="0" w:afterLines="0" w:line="360" w:lineRule="auto"/>
      </w:pPr>
      <w:bookmarkStart w:id="159" w:name="_Toc453061606"/>
      <w:bookmarkStart w:id="160" w:name="_Toc15667"/>
      <w:bookmarkStart w:id="161" w:name="_Toc453061760"/>
      <w:bookmarkStart w:id="162" w:name="_Toc438805146"/>
      <w:r>
        <w:t>5.1.5饮用水水源保护区图形标志的制作</w:t>
      </w:r>
      <w:bookmarkEnd w:id="159"/>
      <w:bookmarkEnd w:id="160"/>
      <w:bookmarkEnd w:id="161"/>
      <w:bookmarkEnd w:id="162"/>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饮用水水源保护区标志由各级地方人民政府设立，国家环境保护行政主管部门统一监制。</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标志的加工要求、外观质量及其测试方法可参照JT/T279的有关规定执行。</w:t>
      </w:r>
    </w:p>
    <w:p>
      <w:pPr>
        <w:pStyle w:val="4"/>
        <w:spacing w:beforeLines="0" w:afterLines="0" w:line="360" w:lineRule="auto"/>
      </w:pPr>
      <w:bookmarkStart w:id="163" w:name="_Toc25290"/>
      <w:bookmarkStart w:id="164" w:name="_Toc453061607"/>
      <w:bookmarkStart w:id="165" w:name="_Toc453061761"/>
      <w:r>
        <w:t>5.1.6 隔离网设置</w:t>
      </w:r>
      <w:bookmarkEnd w:id="163"/>
      <w:bookmarkEnd w:id="164"/>
      <w:bookmarkEnd w:id="165"/>
    </w:p>
    <w:p>
      <w:pPr>
        <w:adjustRightInd w:val="0"/>
        <w:snapToGrid w:val="0"/>
        <w:spacing w:line="360" w:lineRule="auto"/>
        <w:ind w:firstLine="420" w:firstLineChars="200"/>
        <w:jc w:val="left"/>
        <w:rPr>
          <w:rFonts w:hint="eastAsia" w:ascii="Calibri" w:hAnsi="Calibri" w:eastAsia="宋体" w:cs="宋体"/>
          <w:sz w:val="24"/>
          <w:szCs w:val="22"/>
          <w:lang w:val="en-US" w:eastAsia="zh-CN" w:bidi="ar"/>
        </w:rPr>
      </w:pPr>
      <w:r>
        <w:rPr>
          <w:rFonts w:hint="eastAsia"/>
          <w:lang w:val="en-US" w:eastAsia="zh-CN"/>
        </w:rPr>
        <w:t xml:space="preserve">   </w:t>
      </w:r>
      <w:r>
        <w:rPr>
          <w:rFonts w:hint="eastAsia" w:ascii="Calibri" w:hAnsi="Calibri" w:eastAsia="宋体" w:cs="宋体"/>
          <w:sz w:val="24"/>
          <w:szCs w:val="22"/>
          <w:lang w:eastAsia="zh-CN" w:bidi="ar"/>
        </w:rPr>
        <w:t>保护区边界周围</w:t>
      </w:r>
      <w:r>
        <w:rPr>
          <w:rFonts w:hint="eastAsia" w:ascii="Calibri" w:hAnsi="Calibri" w:eastAsia="宋体" w:cs="宋体"/>
          <w:sz w:val="24"/>
          <w:szCs w:val="22"/>
          <w:lang w:val="en-US" w:eastAsia="zh-CN" w:bidi="ar"/>
        </w:rPr>
        <w:t>设置隔离网，共165m。</w:t>
      </w:r>
    </w:p>
    <w:p>
      <w:pPr>
        <w:pStyle w:val="3"/>
        <w:spacing w:beforeLines="0" w:afterLines="0" w:line="360" w:lineRule="auto"/>
        <w:rPr>
          <w:rFonts w:ascii="Times New Roman" w:hAnsi="Times New Roman"/>
        </w:rPr>
      </w:pPr>
      <w:bookmarkStart w:id="166" w:name="_Toc32143"/>
      <w:r>
        <w:rPr>
          <w:rFonts w:ascii="Times New Roman" w:hAnsi="Times New Roman"/>
        </w:rPr>
        <w:t>5.2 饮用水水源保护区日常监测</w:t>
      </w:r>
      <w:bookmarkEnd w:id="166"/>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饮用水水源保护区后续日常检测要求依据环办函【2012】1266 号《全国集中式生活饮用水水源地水质监测实施方案》和《2019年全省生态环境监测方案》进行日常监测。</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1、监测点位</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具备采样条件的，在抽水井采样。如不具备采样条件，在自来水厂的汇水区 （加氯前）采样。</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2、监测采样频次及要求</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地下水饮用水水源地每季度采样监测1次，如遇异常情况，则须加密监测，每2年开展1次水质全分析监测。</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可委托具备全分析能力并取得计量认证的其他环境监测单位，或委托所属省级环境监测站完成全分析工作。在地方环保主管部门许可条件下，可适当发挥相关检测机构的作用。</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3、监测指标</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日常监测：《地下水质量标准》（GB/T 14848-2017）中表1中的39项，并统计取水量。全分析指标为《地下水质量标准》（GB/T 14848-2017）中的93项。</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4、水质监测结果及时上报</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湘阴县环境监测站于7 月15 日及次年 1 月15 日前向省（区、市）环境监测中心（站）报送上一季度地下水饮用水水源地水质监测数据。</w:t>
      </w:r>
    </w:p>
    <w:p>
      <w:pPr>
        <w:pStyle w:val="3"/>
        <w:spacing w:beforeLines="0" w:afterLines="0" w:line="360" w:lineRule="auto"/>
        <w:rPr>
          <w:rFonts w:ascii="Times New Roman" w:hAnsi="Times New Roman"/>
        </w:rPr>
      </w:pPr>
      <w:bookmarkStart w:id="167" w:name="_Toc23693"/>
      <w:r>
        <w:rPr>
          <w:rFonts w:ascii="Times New Roman" w:hAnsi="Times New Roman"/>
        </w:rPr>
        <w:t>5.3 饮用水水源保护区环境监督管理要求</w:t>
      </w:r>
      <w:bookmarkEnd w:id="167"/>
    </w:p>
    <w:p>
      <w:pPr>
        <w:adjustRightInd w:val="0"/>
        <w:snapToGrid w:val="0"/>
        <w:spacing w:line="360" w:lineRule="auto"/>
        <w:ind w:firstLine="480" w:firstLineChars="200"/>
        <w:rPr>
          <w:rFonts w:hint="eastAsia" w:ascii="Times New Roman" w:hAnsi="Times New Roman" w:eastAsia="宋体" w:cs="Times New Roman"/>
          <w:sz w:val="24"/>
          <w:szCs w:val="22"/>
          <w:lang w:eastAsia="zh-CN"/>
        </w:rPr>
      </w:pPr>
      <w:r>
        <w:rPr>
          <w:rFonts w:hint="eastAsia" w:ascii="Times New Roman" w:hAnsi="Times New Roman" w:eastAsia="宋体" w:cs="Times New Roman"/>
          <w:sz w:val="24"/>
          <w:szCs w:val="22"/>
        </w:rPr>
        <w:t>根据《湖南省饮用水水源保护条例》，在饮用水水源保护区禁止以下行为</w:t>
      </w:r>
      <w:r>
        <w:rPr>
          <w:rFonts w:hint="eastAsia" w:ascii="Times New Roman" w:hAnsi="Times New Roman" w:eastAsia="宋体" w:cs="Times New Roman"/>
          <w:sz w:val="24"/>
          <w:szCs w:val="22"/>
          <w:lang w:eastAsia="zh-CN"/>
        </w:rPr>
        <w:t>：</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一、保护区内全部禁止</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（一）新建、扩建水上加油站、油库、制药、造纸、化工等严重污染水体的 建设项目，或者改建增加排污量的建设项目；</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（二）使用毒鱼、炸鱼等方法进行捕捞；</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（三）排放倾倒工业废渣、城镇垃圾、医疗垃圾和其他废弃物，或者贮存、堆放固体废弃物和其他污染物；</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（四）使用剧毒和高残留农药，滥用化肥；</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（五）投肥养鱼；</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（六）其他可能污染饮用水水体的行为。</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二、在饮用水水源二级保护区内，还禁止下列行为：</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（一）设置排污口；</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（二）新建、改建、扩建排放污染物的建设项目；</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（三）设置畜禽养殖场、养殖小区；</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（四）设置装卸垃圾、油类及其他有毒有害物品的码头；</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（五）水上运输剧毒化学品及国家禁止运输的其他危险化学品；</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（六）使用农药。</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三、在饮用水水源一级保护区内，除了二级保护区的禁止行为外，还禁止下列行为：</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（一）新建、改建、扩建与供水设施和保护水源无关的建设项目；在饮用水水源一级保护区划定前已建成的与供水设施和保护水源无关的建设项目，由县级以上人民政府责令拆除或者关闭。</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（二）水上餐饮；</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（三）网箱养殖、旅游、游泳、垂钓。</w:t>
      </w:r>
    </w:p>
    <w:p>
      <w:pPr>
        <w:pStyle w:val="3"/>
        <w:spacing w:beforeLines="0" w:afterLines="0" w:line="360" w:lineRule="auto"/>
        <w:rPr>
          <w:rFonts w:hint="eastAsia" w:ascii="Times New Roman" w:hAnsi="Times New Roman"/>
        </w:rPr>
      </w:pPr>
      <w:bookmarkStart w:id="168" w:name="_Toc31709"/>
      <w:r>
        <w:rPr>
          <w:rFonts w:ascii="Times New Roman" w:hAnsi="Times New Roman"/>
        </w:rPr>
        <w:t>5.4 饮用水水源保护区风险防范与应急预案</w:t>
      </w:r>
      <w:bookmarkEnd w:id="168"/>
    </w:p>
    <w:p>
      <w:pPr>
        <w:pStyle w:val="4"/>
        <w:spacing w:beforeLines="0" w:afterLines="0" w:line="360" w:lineRule="auto"/>
        <w:rPr>
          <w:rFonts w:hint="eastAsia"/>
        </w:rPr>
      </w:pPr>
      <w:bookmarkStart w:id="169" w:name="_Toc19073"/>
      <w:r>
        <w:rPr>
          <w:rFonts w:hint="eastAsia"/>
        </w:rPr>
        <w:t>5.4.1 保护区内的风险定性分析</w:t>
      </w:r>
      <w:bookmarkEnd w:id="169"/>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《湖南省饮用水水源保护条例》在“第五章 监督管理”中，对饮用水水源保护区的环境监督管理有明确要求：</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1、湘阴县人民政府应当组织协调县环境保护局、水务局等有关部门，按照各自职责定期对饮用水水源水质进行监测，整合监测资源，加强水质在线监测监控和预警能力建设，完善监测信息系统和共享机制。饮用水供水单位应当加强对饮用水水源取水口的水质监测工作，发现异常情况的，应当采取有效措施，并按照有关规定向环境保护主管部门报告。</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2、饮用水水源保护区的水质应当不低于国家规定的标准。一级保护区的水质应达到国家《地下水质量标准》Ⅲ类水质标准，并符合国家《生活饮用水卫生标准》的各项要求。饮用水水源水质信息统一由县湘阴县环境保护局每半年在门户网站或者当地主要媒体上公开。</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3、湘阴县环境保护局应当会同县水务局定期组织开展对饮用水水源水质、水量和水源保护情况的综合评估，并将评估结果报告本级人民政府。</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4、在突发水污染事件等特殊时段，湘阴县环境保护局、水务局和卫生计生等主管部门以及有关单位应当扩大监测范围，增加监测频次和项目，及时掌握饮用水水质水量状况，发现异常情况的，应当及时向本级人民政府报告，并采取有效措施防止污染饮用水水源。</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5、湘阴县环境保护局、水务局等部门应当建立巡查制度，对饮用水水源保护区进行巡查。发现问题应当及时采取措施并向有关主管部门报告。</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6、湘阴县环境保护局应当会同有关部门加强对饮用水水源保护区及有关区域内污染物排放情况的监督检查，定期开展安全隐患排查，发现饮用水水源受到污染或者可能受到污染的，应当根据相应情况及时制止和查处。</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（一）风险源评价指标</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参照《集中式饮用水水源环境保护指南（试行）》中附件三，分析潜在事件， 筛选风险源。水源地保护区域风险源评价指标如下：</w:t>
      </w:r>
    </w:p>
    <w:p>
      <w:pPr>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1、固定源</w:t>
      </w:r>
    </w:p>
    <w:p>
      <w:pPr>
        <w:pStyle w:val="3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r>
        <w:rPr>
          <w:rFonts w:hint="eastAsia" w:ascii="Calibri" w:hAnsi="Calibri" w:eastAsia="宋体" w:cs="Times New Roman"/>
          <w:b/>
          <w:kern w:val="2"/>
          <w:sz w:val="21"/>
          <w:szCs w:val="21"/>
          <w:lang w:val="en-US" w:eastAsia="zh-CN" w:bidi="ar-SA"/>
        </w:rPr>
        <w:t>表</w:t>
      </w:r>
      <w:r>
        <w:rPr>
          <w:rFonts w:hint="eastAsia" w:cs="Times New Roman"/>
          <w:b/>
          <w:kern w:val="2"/>
          <w:sz w:val="21"/>
          <w:szCs w:val="21"/>
          <w:lang w:val="en-US" w:eastAsia="zh-CN" w:bidi="ar-SA"/>
        </w:rPr>
        <w:t>5</w:t>
      </w:r>
      <w:r>
        <w:rPr>
          <w:rFonts w:hint="eastAsia" w:ascii="Calibri" w:hAnsi="Calibri" w:eastAsia="宋体" w:cs="Times New Roman"/>
          <w:b/>
          <w:kern w:val="2"/>
          <w:sz w:val="21"/>
          <w:szCs w:val="21"/>
          <w:lang w:val="en-US" w:eastAsia="zh-CN" w:bidi="ar-SA"/>
        </w:rPr>
        <w:t>-</w:t>
      </w:r>
      <w:r>
        <w:rPr>
          <w:rFonts w:hint="eastAsia" w:cs="Times New Roman"/>
          <w:b/>
          <w:kern w:val="2"/>
          <w:sz w:val="21"/>
          <w:szCs w:val="21"/>
          <w:lang w:val="en-US" w:eastAsia="zh-CN" w:bidi="ar-SA"/>
        </w:rPr>
        <w:t>2</w:t>
      </w:r>
      <w:r>
        <w:rPr>
          <w:rFonts w:hint="eastAsia" w:ascii="Calibri" w:hAnsi="Calibri" w:eastAsia="宋体" w:cs="Times New Roman"/>
          <w:b/>
          <w:kern w:val="2"/>
          <w:sz w:val="21"/>
          <w:szCs w:val="21"/>
          <w:lang w:val="en-US" w:eastAsia="zh-CN" w:bidi="ar-SA"/>
        </w:rPr>
        <w:t xml:space="preserve"> 固定源评价指标及评分值（Rp）</w:t>
      </w:r>
    </w:p>
    <w:tbl>
      <w:tblPr>
        <w:tblStyle w:val="20"/>
        <w:tblW w:w="0" w:type="auto"/>
        <w:jc w:val="center"/>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918"/>
        <w:gridCol w:w="793"/>
        <w:gridCol w:w="827"/>
        <w:gridCol w:w="879"/>
        <w:gridCol w:w="827"/>
        <w:gridCol w:w="842"/>
        <w:gridCol w:w="805"/>
        <w:gridCol w:w="713"/>
        <w:gridCol w:w="767"/>
        <w:gridCol w:w="851"/>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499" w:type="dxa"/>
            <w:gridSpan w:val="3"/>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2474" w:type="dxa"/>
            <w:gridSpan w:val="3"/>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331" w:type="dxa"/>
            <w:gridSpan w:val="3"/>
            <w:tcBorders>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79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（P1）</w:t>
            </w:r>
          </w:p>
        </w:tc>
        <w:tc>
          <w:tcPr>
            <w:tcW w:w="879"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42"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（P2）</w:t>
            </w:r>
          </w:p>
        </w:tc>
        <w:tc>
          <w:tcPr>
            <w:tcW w:w="805"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c>
          <w:tcPr>
            <w:tcW w:w="71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值</w:t>
            </w:r>
          </w:p>
        </w:tc>
        <w:tc>
          <w:tcPr>
            <w:tcW w:w="76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（P3）</w:t>
            </w:r>
          </w:p>
        </w:tc>
        <w:tc>
          <w:tcPr>
            <w:tcW w:w="851" w:type="dxa"/>
            <w:tcBorders>
              <w:top w:val="single" w:color="000000" w:sz="4" w:space="0"/>
              <w:left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石油化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工行业</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（个）</w:t>
            </w:r>
          </w:p>
        </w:tc>
        <w:tc>
          <w:tcPr>
            <w:tcW w:w="793"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842"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76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垃圾填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（处）</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&gt;3</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危险废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弃物填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（处）</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尾矿库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&gt;4</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&gt;6</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加油站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&gt;8</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油品储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罐（座）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&gt;7</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码头吞</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吐量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（万吨/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年）</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&gt;0.1, &lt;1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&gt;50</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&gt;50</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污水处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理设施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（万吨/ 年）</w:t>
            </w:r>
          </w:p>
        </w:tc>
        <w:tc>
          <w:tcPr>
            <w:tcW w:w="79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842"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20~30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&gt;30</w:t>
            </w:r>
          </w:p>
        </w:tc>
        <w:tc>
          <w:tcPr>
            <w:tcW w:w="76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pStyle w:val="3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p>
    <w:p>
      <w:pPr>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2、流动源</w:t>
      </w:r>
    </w:p>
    <w:p>
      <w:pPr>
        <w:pStyle w:val="3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r>
        <w:rPr>
          <w:rFonts w:hint="eastAsia" w:ascii="Calibri" w:hAnsi="Calibri" w:eastAsia="宋体" w:cs="Times New Roman"/>
          <w:b/>
          <w:kern w:val="2"/>
          <w:sz w:val="21"/>
          <w:szCs w:val="21"/>
          <w:lang w:val="en-US" w:eastAsia="zh-CN" w:bidi="ar-SA"/>
        </w:rPr>
        <w:t>表</w:t>
      </w:r>
      <w:r>
        <w:rPr>
          <w:rFonts w:hint="eastAsia" w:cs="Times New Roman"/>
          <w:b/>
          <w:kern w:val="2"/>
          <w:sz w:val="21"/>
          <w:szCs w:val="21"/>
          <w:lang w:val="en-US" w:eastAsia="zh-CN" w:bidi="ar-SA"/>
        </w:rPr>
        <w:t>5</w:t>
      </w:r>
      <w:r>
        <w:rPr>
          <w:rFonts w:hint="eastAsia" w:ascii="Calibri" w:hAnsi="Calibri" w:eastAsia="宋体" w:cs="Times New Roman"/>
          <w:b/>
          <w:kern w:val="2"/>
          <w:sz w:val="21"/>
          <w:szCs w:val="21"/>
          <w:lang w:val="en-US" w:eastAsia="zh-CN" w:bidi="ar-SA"/>
        </w:rPr>
        <w:t>-</w:t>
      </w:r>
      <w:r>
        <w:rPr>
          <w:rFonts w:hint="eastAsia" w:cs="Times New Roman"/>
          <w:b/>
          <w:kern w:val="2"/>
          <w:sz w:val="21"/>
          <w:szCs w:val="21"/>
          <w:lang w:val="en-US" w:eastAsia="zh-CN" w:bidi="ar-SA"/>
        </w:rPr>
        <w:t>3</w:t>
      </w:r>
      <w:r>
        <w:rPr>
          <w:rFonts w:hint="eastAsia" w:ascii="Calibri" w:hAnsi="Calibri" w:eastAsia="宋体" w:cs="Times New Roman"/>
          <w:b/>
          <w:kern w:val="2"/>
          <w:sz w:val="21"/>
          <w:szCs w:val="21"/>
          <w:lang w:val="en-US" w:eastAsia="zh-CN" w:bidi="ar-SA"/>
        </w:rPr>
        <w:t xml:space="preserve"> 流动源评价指标及评分值（Rf）</w:t>
      </w:r>
    </w:p>
    <w:tbl>
      <w:tblPr>
        <w:tblStyle w:val="20"/>
        <w:tblW w:w="9178" w:type="dxa"/>
        <w:tblInd w:w="-318" w:type="dxa"/>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434"/>
        <w:gridCol w:w="689"/>
        <w:gridCol w:w="838"/>
        <w:gridCol w:w="721"/>
        <w:gridCol w:w="2263"/>
        <w:gridCol w:w="889"/>
        <w:gridCol w:w="659"/>
        <w:gridCol w:w="1302"/>
        <w:gridCol w:w="593"/>
        <w:gridCol w:w="790"/>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248"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3811"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685" w:type="dxa"/>
            <w:gridSpan w:val="3"/>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6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3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（F1）</w:t>
            </w:r>
          </w:p>
        </w:tc>
        <w:tc>
          <w:tcPr>
            <w:tcW w:w="721"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目评分</w:t>
            </w:r>
          </w:p>
        </w:tc>
        <w:tc>
          <w:tcPr>
            <w:tcW w:w="22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（F2）</w:t>
            </w:r>
          </w:p>
        </w:tc>
        <w:tc>
          <w:tcPr>
            <w:tcW w:w="65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30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59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（F3）</w:t>
            </w:r>
          </w:p>
        </w:tc>
        <w:tc>
          <w:tcPr>
            <w:tcW w:w="790"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tcBorders>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运</w:t>
            </w:r>
          </w:p>
        </w:tc>
        <w:tc>
          <w:tcPr>
            <w:tcW w:w="68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危险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品运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输或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L&gt;2r</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L&lt;2r</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d</w:t>
            </w:r>
          </w:p>
        </w:tc>
        <w:tc>
          <w:tcPr>
            <w:tcW w:w="838"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tc>
        <w:tc>
          <w:tcPr>
            <w:tcW w:w="721"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b w:val="0"/>
                <w:bCs/>
                <w:sz w:val="21"/>
                <w:szCs w:val="21"/>
                <w:lang w:val="en-US" w:eastAsia="zh-CN"/>
              </w:rPr>
            </w:pPr>
            <w:r>
              <w:rPr>
                <w:rFonts w:hint="eastAsia" w:ascii="Calibri" w:hAnsi="Calibri"/>
                <w:b w:val="0"/>
                <w:bCs/>
                <w:sz w:val="21"/>
                <w:szCs w:val="21"/>
                <w:lang w:val="en-US" w:eastAsia="zh-CN"/>
              </w:rPr>
              <w:t>0</w:t>
            </w:r>
          </w:p>
        </w:tc>
        <w:tc>
          <w:tcPr>
            <w:tcW w:w="226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有路仅可行走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有路但不能通行机动车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有机动车通行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有运输路线且长度较短L&lt;rd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rd&lt;L&lt;2rd或有小型桥梁</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L&gt;2rd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有危险品运输；或有单车道跨线桥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有危险品运输且L&gt;2rd</w:t>
            </w:r>
          </w:p>
        </w:tc>
        <w:tc>
          <w:tcPr>
            <w:tcW w:w="88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65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c>
          <w:tcPr>
            <w:tcW w:w="1302"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有危险品运输且rd&lt;L&lt;2rd 有危险品运输且L&gt;2rd</w:t>
            </w:r>
          </w:p>
        </w:tc>
        <w:tc>
          <w:tcPr>
            <w:tcW w:w="59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tc>
        <w:tc>
          <w:tcPr>
            <w:tcW w:w="790" w:type="dxa"/>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tcBorders>
              <w:top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舶</w:t>
            </w:r>
          </w:p>
        </w:tc>
        <w:tc>
          <w:tcPr>
            <w:tcW w:w="6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3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21"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22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航线L&gt;2rd</w:t>
            </w:r>
          </w:p>
        </w:tc>
        <w:tc>
          <w:tcPr>
            <w:tcW w:w="8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65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c>
          <w:tcPr>
            <w:tcW w:w="130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航线L&gt;2rd</w:t>
            </w:r>
          </w:p>
        </w:tc>
        <w:tc>
          <w:tcPr>
            <w:tcW w:w="59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tc>
        <w:tc>
          <w:tcPr>
            <w:tcW w:w="790"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autoSpaceDE w:val="0"/>
        <w:autoSpaceDN w:val="0"/>
        <w:snapToGrid w:val="0"/>
        <w:spacing w:line="360" w:lineRule="auto"/>
        <w:ind w:left="60"/>
        <w:rPr>
          <w:rFonts w:ascii="宋体" w:hAnsi="宋体" w:eastAsia="宋体" w:cs="宋体"/>
          <w:szCs w:val="21"/>
        </w:rPr>
      </w:pPr>
      <w:r>
        <w:rPr>
          <w:rFonts w:ascii="宋体" w:hAnsi="宋体" w:eastAsia="宋体" w:cs="宋体"/>
          <w:szCs w:val="21"/>
        </w:rPr>
        <w:t>注：</w:t>
      </w:r>
      <w:r>
        <w:rPr>
          <w:rFonts w:eastAsia="Times New Roman"/>
          <w:spacing w:val="52"/>
          <w:szCs w:val="21"/>
        </w:rPr>
        <w:t>L</w:t>
      </w:r>
      <w:r>
        <w:rPr>
          <w:rFonts w:ascii="宋体" w:hAnsi="宋体" w:eastAsia="宋体" w:cs="宋体"/>
          <w:szCs w:val="21"/>
        </w:rPr>
        <w:t>为公路或铁路的路线长度；</w:t>
      </w:r>
      <w:r>
        <w:rPr>
          <w:rFonts w:eastAsia="Times New Roman"/>
          <w:szCs w:val="21"/>
        </w:rPr>
        <w:t>r</w:t>
      </w:r>
      <w:r>
        <w:rPr>
          <w:rFonts w:eastAsia="Times New Roman"/>
          <w:spacing w:val="33"/>
          <w:position w:val="-2"/>
          <w:szCs w:val="21"/>
        </w:rPr>
        <w:t>d</w:t>
      </w:r>
      <w:r>
        <w:rPr>
          <w:rFonts w:ascii="宋体" w:hAnsi="宋体" w:eastAsia="宋体" w:cs="宋体"/>
          <w:szCs w:val="21"/>
        </w:rPr>
        <w:t>为风险源所在保护区范围的当量半径。</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3、非点源</w:t>
      </w:r>
    </w:p>
    <w:p>
      <w:pPr>
        <w:pStyle w:val="3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r>
        <w:rPr>
          <w:rFonts w:hint="eastAsia" w:ascii="Calibri" w:hAnsi="Calibri" w:eastAsia="宋体" w:cs="Times New Roman"/>
          <w:b/>
          <w:kern w:val="2"/>
          <w:sz w:val="21"/>
          <w:szCs w:val="21"/>
          <w:lang w:val="en-US" w:eastAsia="zh-CN" w:bidi="ar-SA"/>
        </w:rPr>
        <w:t>表</w:t>
      </w:r>
      <w:r>
        <w:rPr>
          <w:rFonts w:hint="eastAsia" w:cs="Times New Roman"/>
          <w:b/>
          <w:kern w:val="2"/>
          <w:sz w:val="21"/>
          <w:szCs w:val="21"/>
          <w:lang w:val="en-US" w:eastAsia="zh-CN" w:bidi="ar-SA"/>
        </w:rPr>
        <w:t>5</w:t>
      </w:r>
      <w:r>
        <w:rPr>
          <w:rFonts w:hint="eastAsia" w:ascii="Calibri" w:hAnsi="Calibri" w:eastAsia="宋体" w:cs="Times New Roman"/>
          <w:b/>
          <w:kern w:val="2"/>
          <w:sz w:val="21"/>
          <w:szCs w:val="21"/>
          <w:lang w:val="en-US" w:eastAsia="zh-CN" w:bidi="ar-SA"/>
        </w:rPr>
        <w:t>-</w:t>
      </w:r>
      <w:r>
        <w:rPr>
          <w:rFonts w:hint="eastAsia" w:cs="Times New Roman"/>
          <w:b/>
          <w:kern w:val="2"/>
          <w:sz w:val="21"/>
          <w:szCs w:val="21"/>
          <w:lang w:val="en-US" w:eastAsia="zh-CN" w:bidi="ar-SA"/>
        </w:rPr>
        <w:t>4</w:t>
      </w:r>
      <w:r>
        <w:rPr>
          <w:rFonts w:hint="eastAsia" w:ascii="Calibri" w:hAnsi="Calibri" w:eastAsia="宋体" w:cs="Times New Roman"/>
          <w:b/>
          <w:kern w:val="2"/>
          <w:sz w:val="21"/>
          <w:szCs w:val="21"/>
          <w:lang w:val="en-US" w:eastAsia="zh-CN" w:bidi="ar-SA"/>
        </w:rPr>
        <w:t xml:space="preserve"> 非点源评价指标及评分值（Ry）</w:t>
      </w:r>
    </w:p>
    <w:tbl>
      <w:tblPr>
        <w:tblStyle w:val="20"/>
        <w:tblW w:w="9195" w:type="dxa"/>
        <w:tblInd w:w="-318" w:type="dxa"/>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549"/>
        <w:gridCol w:w="1316"/>
        <w:gridCol w:w="864"/>
        <w:gridCol w:w="769"/>
        <w:gridCol w:w="1224"/>
        <w:gridCol w:w="963"/>
        <w:gridCol w:w="724"/>
        <w:gridCol w:w="1068"/>
        <w:gridCol w:w="922"/>
        <w:gridCol w:w="796"/>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949"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2911"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786" w:type="dxa"/>
            <w:gridSpan w:val="3"/>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1316"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6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（Y1）</w:t>
            </w:r>
          </w:p>
        </w:tc>
        <w:tc>
          <w:tcPr>
            <w:tcW w:w="76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2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9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（Y3）</w:t>
            </w:r>
          </w:p>
        </w:tc>
        <w:tc>
          <w:tcPr>
            <w:tcW w:w="7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06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92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（Y3）</w:t>
            </w:r>
          </w:p>
        </w:tc>
        <w:tc>
          <w:tcPr>
            <w:tcW w:w="796"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tcBorders>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耕地面积所占比例</w:t>
            </w:r>
          </w:p>
        </w:tc>
        <w:tc>
          <w:tcPr>
            <w:tcW w:w="1316"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6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6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122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 10%~20% 20%~30% 30%~40% 50%~60%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＞80%</w:t>
            </w:r>
          </w:p>
        </w:tc>
        <w:tc>
          <w:tcPr>
            <w:tcW w:w="96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2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1068"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20%~30% 30%~40% 40%~50%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＞80%</w:t>
            </w:r>
          </w:p>
        </w:tc>
        <w:tc>
          <w:tcPr>
            <w:tcW w:w="922"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tc>
        <w:tc>
          <w:tcPr>
            <w:tcW w:w="796" w:type="dxa"/>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tcBorders>
              <w:top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生态缓冲带</w:t>
            </w:r>
          </w:p>
        </w:tc>
        <w:tc>
          <w:tcPr>
            <w:tcW w:w="1316"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宽度＞50m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宽度≤50m</w:t>
            </w:r>
          </w:p>
        </w:tc>
        <w:tc>
          <w:tcPr>
            <w:tcW w:w="86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6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2</w:t>
            </w:r>
          </w:p>
        </w:tc>
        <w:tc>
          <w:tcPr>
            <w:tcW w:w="12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宽度＞40m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宽度≤40m</w:t>
            </w:r>
          </w:p>
        </w:tc>
        <w:tc>
          <w:tcPr>
            <w:tcW w:w="9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106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宽度＞30m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宽度≤30m</w:t>
            </w:r>
          </w:p>
        </w:tc>
        <w:tc>
          <w:tcPr>
            <w:tcW w:w="92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96"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（二）风险源计算</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通过风险源项分析并根据风险源所在保护区内的影响程度和影响范围，按照固定源、流动源和非点源分别对水源存在的风险进行评价。</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固定源：Rp =P1+P2+P3</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流动源：Rf =F1 +F2+F3</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非点源：Ry =Y1 +Y2 +Y3</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Rp、Rf、Ry分别为表4-3，表4-4和表4-5中所列的各种潜在风险源评分值。本地下水饮用水水源地保护区环境风险值为：</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Rp=P1+P2+P3=0（一级保护区内无固定源，P1=0）；</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Rf=F1+F2+F3=0（一级保护区无交通穿越，水域范围内无航道，F1=</w:t>
      </w:r>
      <w:r>
        <w:rPr>
          <w:rFonts w:hint="eastAsia" w:ascii="Times New Roman" w:hAnsi="Times New Roman" w:eastAsia="宋体" w:cs="Times New Roman"/>
          <w:sz w:val="24"/>
          <w:szCs w:val="22"/>
          <w:lang w:val="en-US" w:eastAsia="zh-CN"/>
        </w:rPr>
        <w:t>0</w:t>
      </w:r>
      <w:r>
        <w:rPr>
          <w:rFonts w:hint="eastAsia" w:ascii="Times New Roman" w:hAnsi="Times New Roman" w:eastAsia="宋体" w:cs="Times New Roman"/>
          <w:sz w:val="24"/>
          <w:szCs w:val="22"/>
        </w:rPr>
        <w:t>）；</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Ry=Y1+Y2+Y3=</w:t>
      </w:r>
      <w:r>
        <w:rPr>
          <w:rFonts w:hint="eastAsia" w:ascii="Times New Roman" w:hAnsi="Times New Roman" w:eastAsia="宋体" w:cs="Times New Roman"/>
          <w:sz w:val="24"/>
          <w:szCs w:val="22"/>
          <w:lang w:val="en-US" w:eastAsia="zh-CN"/>
        </w:rPr>
        <w:t>2</w:t>
      </w:r>
      <w:r>
        <w:rPr>
          <w:rFonts w:hint="eastAsia" w:ascii="Times New Roman" w:hAnsi="Times New Roman" w:eastAsia="宋体" w:cs="Times New Roman"/>
          <w:sz w:val="24"/>
          <w:szCs w:val="22"/>
        </w:rPr>
        <w:t>（一级保护区内无农田，有生态缓冲带，宽度为</w:t>
      </w:r>
      <w:r>
        <w:rPr>
          <w:rFonts w:hint="eastAsia" w:ascii="Times New Roman" w:hAnsi="Times New Roman" w:eastAsia="宋体" w:cs="Times New Roman"/>
          <w:sz w:val="24"/>
          <w:szCs w:val="22"/>
          <w:lang w:val="en-US" w:eastAsia="zh-CN"/>
        </w:rPr>
        <w:t>23</w:t>
      </w:r>
      <w:r>
        <w:rPr>
          <w:rFonts w:hint="eastAsia" w:ascii="Times New Roman" w:hAnsi="Times New Roman" w:eastAsia="宋体" w:cs="Times New Roman"/>
          <w:sz w:val="24"/>
          <w:szCs w:val="22"/>
        </w:rPr>
        <w:t>m，Y1=2）。</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（三）风险源评估</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一般来说，环境风险值的可接受程度分别以Rp（或Rf、Ry）≤3作为背景值，当3&lt;Rp（或Rf、Ry）≤7时，应按照《集中式地表水饮用水水源地环境应急管理工作指南（试行）》采取风险防范措施；当7&lt;Rp（或Rf、Ry）≤9时，应采取风险预警措施；当Rp（或Rf、Ry）&gt;9时，应采取风险应急措施。</w:t>
      </w:r>
    </w:p>
    <w:p>
      <w:pPr>
        <w:pStyle w:val="4"/>
        <w:spacing w:beforeLines="0" w:afterLines="0" w:line="360" w:lineRule="auto"/>
        <w:rPr>
          <w:rFonts w:hint="eastAsia"/>
        </w:rPr>
      </w:pPr>
      <w:bookmarkStart w:id="170" w:name="_Toc29836"/>
      <w:r>
        <w:rPr>
          <w:rFonts w:hint="eastAsia"/>
        </w:rPr>
        <w:t>5</w:t>
      </w:r>
      <w:r>
        <w:t>.</w:t>
      </w:r>
      <w:r>
        <w:rPr>
          <w:rFonts w:hint="eastAsia"/>
        </w:rPr>
        <w:t>4</w:t>
      </w:r>
      <w:r>
        <w:t>.2 风险应急措施和应急预案</w:t>
      </w:r>
      <w:bookmarkEnd w:id="170"/>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default" w:ascii="Times New Roman" w:hAnsi="Times New Roman" w:eastAsia="宋体" w:cs="Times New Roman"/>
          <w:sz w:val="24"/>
          <w:szCs w:val="22"/>
        </w:rPr>
        <w:t>本水源地R</w:t>
      </w:r>
      <w:r>
        <w:rPr>
          <w:rFonts w:hint="eastAsia" w:ascii="Times New Roman" w:hAnsi="Times New Roman" w:eastAsia="宋体" w:cs="Times New Roman"/>
          <w:sz w:val="24"/>
          <w:szCs w:val="22"/>
          <w:lang w:val="en-US" w:eastAsia="zh-CN"/>
        </w:rPr>
        <w:t>y</w:t>
      </w:r>
      <w:r>
        <w:rPr>
          <w:rFonts w:hint="default" w:ascii="Times New Roman" w:hAnsi="Times New Roman" w:eastAsia="宋体" w:cs="Times New Roman"/>
          <w:sz w:val="24"/>
          <w:szCs w:val="22"/>
        </w:rPr>
        <w:t>为</w:t>
      </w:r>
      <w:r>
        <w:rPr>
          <w:rFonts w:hint="eastAsia"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≤3，环境风险值的可接受。</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由于目前国家和地方均未出台地下水饮用水应急预案编制指南，建议</w:t>
      </w:r>
      <w:r>
        <w:rPr>
          <w:rFonts w:hint="eastAsia" w:ascii="Times New Roman" w:hAnsi="Times New Roman" w:eastAsia="宋体" w:cs="Times New Roman"/>
          <w:sz w:val="24"/>
          <w:szCs w:val="22"/>
          <w:lang w:eastAsia="zh-CN"/>
        </w:rPr>
        <w:t>湘</w:t>
      </w:r>
      <w:r>
        <w:rPr>
          <w:rFonts w:hint="eastAsia" w:ascii="Times New Roman" w:hAnsi="Times New Roman" w:eastAsia="宋体" w:cs="Times New Roman"/>
          <w:sz w:val="24"/>
          <w:szCs w:val="22"/>
        </w:rPr>
        <w:t>阴县人民政府根据需要自行确定全县农村集中式饮用水水源地应急预案编制和应急演练的相关要求。</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一旦发生取水井源水水质监测超标，迅速查找原因，建议按照《集中式地表</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饮用水应急预案编制指南》（生态环境部公告2018 年第 1 号）红色预警的要求制定现场处置方案。</w:t>
      </w:r>
    </w:p>
    <w:p>
      <w:pPr>
        <w:pStyle w:val="2"/>
        <w:spacing w:beforeLines="0" w:afterLines="0" w:line="360" w:lineRule="auto"/>
        <w:jc w:val="center"/>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
        <w:spacing w:beforeLines="0" w:afterLines="0" w:line="360" w:lineRule="auto"/>
        <w:jc w:val="center"/>
      </w:pPr>
      <w:bookmarkStart w:id="171" w:name="_Toc8567"/>
      <w:r>
        <w:t>第六章 饮用水源保护保障措施</w:t>
      </w:r>
      <w:bookmarkEnd w:id="171"/>
    </w:p>
    <w:p>
      <w:pPr>
        <w:pStyle w:val="3"/>
        <w:spacing w:beforeLines="0" w:afterLines="0" w:line="360" w:lineRule="auto"/>
        <w:rPr>
          <w:rFonts w:ascii="Times New Roman" w:hAnsi="Times New Roman"/>
        </w:rPr>
      </w:pPr>
      <w:bookmarkStart w:id="172" w:name="_Toc4802"/>
      <w:r>
        <w:rPr>
          <w:rFonts w:ascii="Times New Roman" w:hAnsi="Times New Roman"/>
        </w:rPr>
        <w:t>6.1 资金保障</w:t>
      </w:r>
      <w:bookmarkEnd w:id="172"/>
    </w:p>
    <w:p>
      <w:pPr>
        <w:adjustRightInd w:val="0"/>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rPr>
        <w:t>根据前面章节的分析，本饮用水水源保护区需要实施的环境保护项目包括：饮用水源保护标志标牌设立，保护区污染整治、水质常规监测、日常监管等工程，根据《集中式饮用水水源保护指南》（环办【2012】50 号）附件5“饮用水水源环境保护项目设计”，估算本保护区环境保护项目投资约为</w:t>
      </w:r>
      <w:r>
        <w:rPr>
          <w:rFonts w:hint="eastAsia" w:ascii="Times New Roman" w:hAnsi="Times New Roman" w:eastAsia="宋体" w:cs="Times New Roman"/>
          <w:sz w:val="24"/>
          <w:szCs w:val="22"/>
          <w:lang w:val="en-US" w:eastAsia="zh-CN"/>
        </w:rPr>
        <w:t>32.09万元。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2"/>
          <w:lang w:val="en-US" w:eastAsia="zh-CN"/>
        </w:rPr>
      </w:pPr>
      <w:r>
        <w:rPr>
          <w:rFonts w:hint="eastAsia" w:ascii="Calibri" w:hAnsi="Calibri"/>
          <w:b/>
          <w:sz w:val="21"/>
          <w:szCs w:val="21"/>
          <w:lang w:eastAsia="zh-CN"/>
        </w:rPr>
        <w:t>表</w:t>
      </w:r>
      <w:r>
        <w:rPr>
          <w:rFonts w:hint="eastAsia" w:ascii="Times New Roman" w:eastAsia="宋体"/>
          <w:b/>
          <w:sz w:val="21"/>
          <w:szCs w:val="21"/>
          <w:lang w:val="en-US" w:eastAsia="zh-CN"/>
        </w:rPr>
        <w:t>6-1</w:t>
      </w:r>
      <w:r>
        <w:rPr>
          <w:rFonts w:hint="eastAsia" w:ascii="Calibri" w:hAnsi="Calibri"/>
          <w:b/>
          <w:sz w:val="21"/>
          <w:szCs w:val="21"/>
          <w:lang w:eastAsia="zh-CN"/>
        </w:rPr>
        <w:t xml:space="preserve"> 保护区环境保护项目及投资</w:t>
      </w:r>
    </w:p>
    <w:tbl>
      <w:tblPr>
        <w:tblStyle w:val="20"/>
        <w:tblW w:w="8597" w:type="dxa"/>
        <w:jc w:val="center"/>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Layout w:type="fixed"/>
        <w:tblCellMar>
          <w:top w:w="0" w:type="dxa"/>
          <w:left w:w="0" w:type="dxa"/>
          <w:bottom w:w="0" w:type="dxa"/>
          <w:right w:w="0" w:type="dxa"/>
        </w:tblCellMar>
      </w:tblPr>
      <w:tblGrid>
        <w:gridCol w:w="672"/>
        <w:gridCol w:w="2702"/>
        <w:gridCol w:w="1667"/>
        <w:gridCol w:w="883"/>
        <w:gridCol w:w="1623"/>
        <w:gridCol w:w="1050"/>
      </w:tblGrid>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编号</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工程和费用名称</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工程量</w:t>
            </w: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单价</w:t>
            </w: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投资估算（万元）</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备注</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一</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设立标牌标识</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2</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eastAsia" w:ascii="Calibri" w:hAnsi="Calibri" w:eastAsia="宋体" w:cs="Times New Roman"/>
                <w:b w:val="0"/>
                <w:bCs/>
                <w:sz w:val="21"/>
                <w:szCs w:val="21"/>
                <w:lang w:val="en-US" w:eastAsia="zh-CN"/>
              </w:rPr>
              <w:t>1</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界标</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val="en-US" w:eastAsia="zh-CN"/>
              </w:rPr>
              <w:t>2</w:t>
            </w:r>
            <w:r>
              <w:rPr>
                <w:rFonts w:hint="default" w:ascii="Calibri" w:hAnsi="Calibri" w:eastAsia="宋体" w:cs="Times New Roman"/>
                <w:b w:val="0"/>
                <w:bCs/>
                <w:sz w:val="21"/>
                <w:szCs w:val="21"/>
                <w:lang w:eastAsia="zh-CN"/>
              </w:rPr>
              <w:t>个</w:t>
            </w: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0.4万</w:t>
            </w: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0.8</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2</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交通警示牌（危险品禁运标志牌与交通警示牌合建）</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val="en-US" w:eastAsia="zh-CN"/>
              </w:rPr>
              <w:t>2块</w:t>
            </w: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0.4万</w:t>
            </w: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0.8</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3</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宣传牌</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val="en-US" w:eastAsia="zh-CN"/>
              </w:rPr>
              <w:t>1</w:t>
            </w:r>
            <w:r>
              <w:rPr>
                <w:rFonts w:hint="default" w:ascii="Calibri" w:hAnsi="Calibri" w:eastAsia="宋体" w:cs="Times New Roman"/>
                <w:b w:val="0"/>
                <w:bCs/>
                <w:sz w:val="21"/>
                <w:szCs w:val="21"/>
                <w:lang w:eastAsia="zh-CN"/>
              </w:rPr>
              <w:t>块</w:t>
            </w: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0.4万</w:t>
            </w: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二</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一级保护区污染整治措施</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5.77</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1</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eastAsia="zh-CN"/>
              </w:rPr>
            </w:pPr>
            <w:r>
              <w:rPr>
                <w:rFonts w:hint="eastAsia" w:ascii="Calibri" w:hAnsi="Calibri" w:eastAsia="宋体" w:cs="Times New Roman"/>
                <w:b w:val="0"/>
                <w:bCs/>
                <w:sz w:val="21"/>
                <w:szCs w:val="21"/>
                <w:lang w:eastAsia="zh-CN"/>
              </w:rPr>
              <w:t>四格净化池</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1套</w:t>
            </w: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0.8</w:t>
            </w: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0.8</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2</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eastAsia="zh-CN"/>
              </w:rPr>
            </w:pPr>
            <w:r>
              <w:rPr>
                <w:rFonts w:hint="eastAsia" w:ascii="Calibri" w:hAnsi="Calibri" w:eastAsia="宋体" w:cs="Times New Roman"/>
                <w:b w:val="0"/>
                <w:bCs/>
                <w:sz w:val="21"/>
                <w:szCs w:val="21"/>
                <w:lang w:eastAsia="zh-CN"/>
              </w:rPr>
              <w:t>垃圾桶</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2个</w:t>
            </w: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val="en-US" w:eastAsia="zh-CN"/>
              </w:rPr>
              <w:t>0.01</w:t>
            </w: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0.02</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3</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eastAsia="zh-CN"/>
              </w:rPr>
            </w:pPr>
            <w:r>
              <w:rPr>
                <w:rFonts w:hint="eastAsia" w:ascii="Calibri" w:hAnsi="Calibri" w:eastAsia="宋体" w:cs="Times New Roman"/>
                <w:b w:val="0"/>
                <w:bCs/>
                <w:sz w:val="21"/>
                <w:szCs w:val="21"/>
                <w:lang w:eastAsia="zh-CN"/>
              </w:rPr>
              <w:t>隔离网</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165米</w:t>
            </w: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0.03</w:t>
            </w: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4.95</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三</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环境监测、监管</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24.32</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1</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水质监测（含2年一次全分析）</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4</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每年费用</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2</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饮用水水源保护区划分</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8</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default" w:ascii="Calibri" w:hAnsi="Calibri" w:eastAsia="宋体" w:cs="Times New Roman"/>
                <w:b w:val="0"/>
                <w:bCs/>
                <w:sz w:val="21"/>
                <w:szCs w:val="21"/>
                <w:lang w:eastAsia="zh-CN"/>
              </w:rPr>
              <w:t>3</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环境监管</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建档、巡查等</w:t>
            </w: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5</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4</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r>
              <w:rPr>
                <w:rFonts w:hint="eastAsia" w:ascii="Calibri" w:hAnsi="Calibri" w:eastAsia="宋体" w:cs="Times New Roman"/>
                <w:b w:val="0"/>
                <w:bCs/>
                <w:sz w:val="21"/>
                <w:szCs w:val="21"/>
                <w:lang w:eastAsia="zh-CN"/>
              </w:rPr>
              <w:t>应急预案</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6</w:t>
            </w: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6</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67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5</w:t>
            </w:r>
          </w:p>
        </w:tc>
        <w:tc>
          <w:tcPr>
            <w:tcW w:w="2702"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eastAsia="zh-CN"/>
              </w:rPr>
            </w:pPr>
            <w:r>
              <w:rPr>
                <w:rFonts w:hint="eastAsia" w:ascii="Calibri" w:hAnsi="Calibri" w:eastAsia="宋体" w:cs="Times New Roman"/>
                <w:b w:val="0"/>
                <w:bCs/>
                <w:sz w:val="21"/>
                <w:szCs w:val="21"/>
                <w:lang w:eastAsia="zh-CN"/>
              </w:rPr>
              <w:t>宣传手册</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4400份</w:t>
            </w: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0.0003</w:t>
            </w: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1.32</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3374" w:type="dxa"/>
            <w:gridSpan w:val="2"/>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合计</w:t>
            </w:r>
          </w:p>
        </w:tc>
        <w:tc>
          <w:tcPr>
            <w:tcW w:w="166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p>
        </w:tc>
        <w:tc>
          <w:tcPr>
            <w:tcW w:w="88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eastAsia="zh-CN"/>
              </w:rPr>
            </w:pPr>
          </w:p>
        </w:tc>
        <w:tc>
          <w:tcPr>
            <w:tcW w:w="162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32.09</w:t>
            </w:r>
          </w:p>
        </w:tc>
        <w:tc>
          <w:tcPr>
            <w:tcW w:w="105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Times New Roman"/>
                <w:b w:val="0"/>
                <w:bCs/>
                <w:sz w:val="21"/>
                <w:szCs w:val="21"/>
                <w:lang w:eastAsia="zh-CN"/>
              </w:rPr>
            </w:pPr>
          </w:p>
        </w:tc>
      </w:tr>
    </w:tbl>
    <w:p>
      <w:pPr>
        <w:tabs>
          <w:tab w:val="right" w:pos="13958"/>
        </w:tabs>
        <w:spacing w:line="360" w:lineRule="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6.2 法律法规与政策制度保障</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湘阴县人民政府已于2013年8月制定出台了《湘阴县饮用水水源保护区管理暂行办法》，并以规范性文件形式（湘阴政办发【2013】39号）下发到各乡、镇人民政府及县直有关单位。</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《湘阴县饮用水水源保护区管理暂行办法》共分总则、饮用水源保护区范围和水质标准、饮用水水源保护区污染防治、监督管理、奖励和处罚、附则六章共38条。</w:t>
      </w:r>
      <w:bookmarkStart w:id="173" w:name="_Toc453061620"/>
      <w:bookmarkStart w:id="174" w:name="_Toc453061774"/>
    </w:p>
    <w:p>
      <w:pPr>
        <w:tabs>
          <w:tab w:val="right" w:pos="13958"/>
        </w:tabs>
        <w:spacing w:line="360" w:lineRule="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6.3 组织分工与管理保障</w:t>
      </w:r>
      <w:bookmarkEnd w:id="173"/>
      <w:bookmarkEnd w:id="174"/>
    </w:p>
    <w:p>
      <w:pPr>
        <w:adjustRightInd w:val="0"/>
        <w:snapToGrid w:val="0"/>
        <w:spacing w:line="360" w:lineRule="auto"/>
        <w:ind w:firstLine="480" w:firstLineChars="200"/>
        <w:rPr>
          <w:rFonts w:hint="eastAsia" w:ascii="Times New Roman" w:hAnsi="Times New Roman" w:eastAsia="宋体" w:cs="Times New Roman"/>
          <w:sz w:val="24"/>
          <w:szCs w:val="22"/>
        </w:rPr>
      </w:pPr>
      <w:bookmarkStart w:id="175" w:name="_Toc453061621"/>
      <w:bookmarkStart w:id="176" w:name="_Toc453061775"/>
      <w:r>
        <w:rPr>
          <w:rFonts w:hint="eastAsia" w:ascii="Times New Roman" w:hAnsi="Times New Roman" w:eastAsia="宋体" w:cs="Times New Roman"/>
          <w:sz w:val="24"/>
          <w:szCs w:val="22"/>
        </w:rPr>
        <w:t>各有关行政管理部门，应当按照各自的职责，做好本地下水饮用水水源保护区环境保护工作。</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（1）县水土水资源局负责会同有关部门编制水资源保护规划和饮用水水源建设达标规划，并上报省水利厅审批。</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2）县环保局负责饮用水水源保护区生态环境保护与污染防治工作；负责污染源监督管理，依法实施水污染物排放许可证制度，在饮用水水源保护区及其周围地区实行污染物总量控制；负责饮用水水源保护区的水质监控；负责对环境违法案件的调查处理。</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（3）县规划、发改、工信、招商等部门根据全县国民经济和社会发展规划， 负责做好饮用水水源保护区内及城区的土地利用规划、产业规划的调整，严禁污染水源项目落地。</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（4）县住建局及乡镇政府负责生活污水处理设施、生活垃圾处理设施建设 和管理，防止生活污水、垃圾等污染饮用水水源。</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 xml:space="preserve">（5）县自然资源局负责饮用水水源保护区土地管理，纠正、查处违法用地。 </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6）县农业局负责饮用水水源保护区农业生产面源污染治理工作，鼓励农业生态耕作，测土配方，加强农药、化肥的监管，严格控制化肥和农药过量使用，禁止使用剧毒和高残留农药；督促饮用水水源保护区一级保护区范围内的菜地逐步退出。</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val="en-US" w:eastAsia="zh-CN"/>
        </w:rPr>
        <w:t>7</w:t>
      </w:r>
      <w:r>
        <w:rPr>
          <w:rFonts w:hint="eastAsia" w:ascii="Times New Roman" w:hAnsi="Times New Roman" w:eastAsia="宋体" w:cs="Times New Roman"/>
          <w:sz w:val="24"/>
          <w:szCs w:val="22"/>
        </w:rPr>
        <w:t>）县卫生局负责饮用水水源卫生质量的监督管理；制定饮水公共卫生事件应急预案，并对饮用水水源的卫生状况进行定期监测；加强对居民饮水卫生知识的教育和宣传。</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val="en-US" w:eastAsia="zh-CN"/>
        </w:rPr>
        <w:t>8</w:t>
      </w:r>
      <w:r>
        <w:rPr>
          <w:rFonts w:hint="eastAsia" w:ascii="Times New Roman" w:hAnsi="Times New Roman" w:eastAsia="宋体" w:cs="Times New Roman"/>
          <w:sz w:val="24"/>
          <w:szCs w:val="22"/>
        </w:rPr>
        <w:t>）县财政局负责落实饮用水水源地保护管理工作经费。</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val="en-US" w:eastAsia="zh-CN"/>
        </w:rPr>
        <w:t>9</w:t>
      </w:r>
      <w:r>
        <w:rPr>
          <w:rFonts w:hint="eastAsia" w:ascii="Times New Roman" w:hAnsi="Times New Roman" w:eastAsia="宋体" w:cs="Times New Roman"/>
          <w:sz w:val="24"/>
          <w:szCs w:val="22"/>
        </w:rPr>
        <w:t>）县直其他职能部门根据各自职责，配合做好饮用水水源地保护管理相 关工作。</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val="en-US" w:eastAsia="zh-CN"/>
        </w:rPr>
        <w:t>10</w:t>
      </w:r>
      <w:r>
        <w:rPr>
          <w:rFonts w:hint="eastAsia" w:ascii="Times New Roman" w:hAnsi="Times New Roman" w:eastAsia="宋体" w:cs="Times New Roman"/>
          <w:sz w:val="24"/>
          <w:szCs w:val="22"/>
        </w:rPr>
        <w:t>）饮用水水源保护区所在地乡镇、社区、村委会应教育和督促居民保护饮用水水源，保障生活污水、垃圾收集处理系统正常运转，支持配合有关部门查 处各类污染、破坏饮用水水源的违法行为。</w:t>
      </w:r>
    </w:p>
    <w:p>
      <w:pPr>
        <w:pStyle w:val="3"/>
        <w:numPr>
          <w:ilvl w:val="1"/>
          <w:numId w:val="1"/>
        </w:numPr>
        <w:spacing w:beforeLines="0" w:afterLines="0" w:line="360" w:lineRule="auto"/>
        <w:rPr>
          <w:rFonts w:ascii="Times New Roman" w:hAnsi="Times New Roman"/>
        </w:rPr>
      </w:pPr>
      <w:bookmarkStart w:id="177" w:name="_Toc11057"/>
      <w:r>
        <w:rPr>
          <w:rFonts w:ascii="Times New Roman" w:hAnsi="Times New Roman"/>
        </w:rPr>
        <w:t>宣传与教育</w:t>
      </w:r>
      <w:bookmarkEnd w:id="175"/>
      <w:bookmarkEnd w:id="176"/>
      <w:bookmarkEnd w:id="177"/>
    </w:p>
    <w:p>
      <w:pPr>
        <w:pStyle w:val="4"/>
        <w:spacing w:beforeLines="0" w:afterLines="0" w:line="360" w:lineRule="auto"/>
      </w:pPr>
      <w:bookmarkStart w:id="178" w:name="_Toc24480"/>
      <w:bookmarkStart w:id="179" w:name="_Toc453061776"/>
      <w:bookmarkStart w:id="180" w:name="_Toc453061622"/>
      <w:r>
        <w:t>6.4.1建立公众参与机制</w:t>
      </w:r>
      <w:bookmarkEnd w:id="178"/>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饮用水水源保护区建设不单纯是政府的事，而是社会各界和全体村民的共同事业。要明确社会公众在饮用水水源保护中的作用。实施公众参与机制应采取以下两方面措施：制定公众参与的保障措施，确保政府在生态乡镇创建项目决策过程中的公众参与，形成公众参与的制度；制定鼓励公众参与的政策，要采取经济措施，要对在饮用水水源保护与可持续利用中参与执法、监督、生产、资源开发与保护、科学研究、宣传教育、人员培训、决策咨询等方面做出显著贡献的单位 和个人给予精神和物质奖励。</w:t>
      </w:r>
    </w:p>
    <w:p>
      <w:pPr>
        <w:pStyle w:val="4"/>
        <w:spacing w:beforeLines="0" w:afterLines="0" w:line="360" w:lineRule="auto"/>
      </w:pPr>
      <w:bookmarkStart w:id="181" w:name="_Toc16652"/>
      <w:r>
        <w:rPr>
          <w:rFonts w:hint="eastAsia"/>
        </w:rPr>
        <w:t>6.4.2</w:t>
      </w:r>
      <w:r>
        <w:t>强化媒体宣教机制</w:t>
      </w:r>
      <w:bookmarkEnd w:id="181"/>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充分利用报刊、电视、广播等宣传阵地，宣传饮用水水源保护区建设与保护</w:t>
      </w:r>
    </w:p>
    <w:p>
      <w:pPr>
        <w:adjustRightInd w:val="0"/>
        <w:snapToGrid w:val="0"/>
        <w:spacing w:line="360" w:lineRule="auto"/>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工作，同时，深入拓展微信、手机报等新兴媒介。增强水源保护区宣传策划的前瞻性和针对性，注重策划和组织重大环境新闻报道活动，紧紧围绕饮用水水源保护区建设和保护中心工作，以及创新性工作经验和社会普遍关注的热点问题，进行科学分析，做好专题策划，组织、发动媒体深入采访、追踪报道，切实增强报道的影响力。同时，着眼于维护群众的权益，组织报道群众关心的问题。</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广泛开展宣教活动。积极开展丰富多彩的环保宣传活动，以“6.5”世界环境日、“3.22”世界水日等重大节日为契机，开展形式多样的饮用水水源保护宣传教育活动，组织宣教活动进机关、进企业、进社区、进学校。加强部门协作，积极联合相关部门、新闻媒体等参与到活动的组织和宣传上来，扩大宣传教育影响。</w:t>
      </w:r>
    </w:p>
    <w:p>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积极拓宽宣传渠道。以环境监察、环境监测为载体，在饮用水水源保护行政执法过程中宣传相关法律法规和环保知识，增强企业和个人饮用水水源保护意识。以保护区周边设置固定环保宣传牌，悬挂环保宣传标语，发放环保宣传资料等，提升公众环保意识。</w:t>
      </w:r>
    </w:p>
    <w:p>
      <w:pPr>
        <w:adjustRightInd w:val="0"/>
        <w:snapToGrid w:val="0"/>
        <w:spacing w:line="360" w:lineRule="auto"/>
        <w:ind w:firstLine="480" w:firstLineChars="200"/>
        <w:rPr>
          <w:rFonts w:ascii="Times New Roman" w:hAnsi="Times New Roman" w:eastAsia="宋体" w:cs="Times New Roman"/>
          <w:sz w:val="24"/>
          <w:szCs w:val="22"/>
        </w:rPr>
      </w:pP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br w:type="page"/>
      </w:r>
    </w:p>
    <w:p>
      <w:pPr>
        <w:pStyle w:val="2"/>
        <w:spacing w:beforeLines="0" w:afterLines="0" w:line="360" w:lineRule="auto"/>
        <w:jc w:val="both"/>
      </w:pPr>
      <w:bookmarkStart w:id="182" w:name="_Toc30928"/>
      <w:r>
        <w:t>附件</w:t>
      </w:r>
      <w:bookmarkEnd w:id="179"/>
      <w:bookmarkEnd w:id="180"/>
      <w:bookmarkEnd w:id="182"/>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附件1  水质监测报告</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附件2  专家论证意见</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附件3  政府各部门意见</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附件4  论证意见、部门意见落实</w:t>
      </w:r>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szCs w:val="22"/>
        </w:rPr>
        <w:t>附件5  南湖洲镇南湖新村水井的水文、地质、成井的完工报告</w:t>
      </w:r>
    </w:p>
    <w:p>
      <w:pPr>
        <w:pStyle w:val="2"/>
        <w:spacing w:beforeLines="0" w:afterLines="0" w:line="360" w:lineRule="auto"/>
        <w:jc w:val="both"/>
      </w:pPr>
      <w:bookmarkStart w:id="183" w:name="_Toc29919"/>
      <w:bookmarkStart w:id="184" w:name="_Toc453061777"/>
      <w:bookmarkStart w:id="185" w:name="_Toc453061623"/>
      <w:r>
        <w:t>附表</w:t>
      </w:r>
      <w:bookmarkEnd w:id="183"/>
      <w:bookmarkEnd w:id="184"/>
      <w:bookmarkEnd w:id="185"/>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附表1 饮用水源地地表水系状况调查表</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附表</w:t>
      </w:r>
      <w:r>
        <w:rPr>
          <w:rFonts w:hint="eastAsia" w:ascii="Times New Roman" w:hAnsi="Times New Roman" w:eastAsia="宋体" w:cs="Times New Roman"/>
          <w:sz w:val="24"/>
          <w:szCs w:val="22"/>
          <w:lang w:val="en-US" w:eastAsia="zh-CN"/>
        </w:rPr>
        <w:t>2</w:t>
      </w:r>
      <w:r>
        <w:rPr>
          <w:rFonts w:ascii="Times New Roman" w:hAnsi="Times New Roman" w:eastAsia="宋体" w:cs="Times New Roman"/>
          <w:sz w:val="24"/>
          <w:szCs w:val="22"/>
        </w:rPr>
        <w:t xml:space="preserve">  饮用水水源地基础状况表</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附表</w:t>
      </w:r>
      <w:r>
        <w:rPr>
          <w:rFonts w:hint="eastAsia" w:ascii="Times New Roman" w:hAnsi="Times New Roman" w:eastAsia="宋体" w:cs="Times New Roman"/>
          <w:sz w:val="24"/>
          <w:szCs w:val="22"/>
          <w:lang w:val="en-US" w:eastAsia="zh-CN"/>
        </w:rPr>
        <w:t>3</w:t>
      </w:r>
      <w:r>
        <w:rPr>
          <w:rFonts w:ascii="Times New Roman" w:hAnsi="Times New Roman" w:eastAsia="宋体" w:cs="Times New Roman"/>
          <w:sz w:val="24"/>
          <w:szCs w:val="22"/>
        </w:rPr>
        <w:t xml:space="preserve">  饮用水水源保护区环境状况调查表</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附表</w:t>
      </w:r>
      <w:r>
        <w:rPr>
          <w:rFonts w:hint="eastAsia" w:ascii="Times New Roman" w:hAnsi="Times New Roman" w:eastAsia="宋体" w:cs="Times New Roman"/>
          <w:sz w:val="24"/>
          <w:szCs w:val="22"/>
          <w:lang w:val="en-US" w:eastAsia="zh-CN"/>
        </w:rPr>
        <w:t>4</w:t>
      </w:r>
      <w:r>
        <w:rPr>
          <w:rFonts w:ascii="Times New Roman" w:hAnsi="Times New Roman" w:eastAsia="宋体" w:cs="Times New Roman"/>
          <w:sz w:val="24"/>
          <w:szCs w:val="22"/>
        </w:rPr>
        <w:t xml:space="preserve">  饮用水源取水口及监测断面位置信息</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附表</w:t>
      </w:r>
      <w:r>
        <w:rPr>
          <w:rFonts w:hint="eastAsia" w:ascii="Times New Roman" w:hAnsi="Times New Roman" w:eastAsia="宋体" w:cs="Times New Roman"/>
          <w:sz w:val="24"/>
          <w:szCs w:val="22"/>
          <w:lang w:val="en-US" w:eastAsia="zh-CN"/>
        </w:rPr>
        <w:t>5</w:t>
      </w:r>
      <w:r>
        <w:rPr>
          <w:rFonts w:ascii="Times New Roman" w:hAnsi="Times New Roman" w:eastAsia="宋体" w:cs="Times New Roman"/>
          <w:sz w:val="24"/>
          <w:szCs w:val="22"/>
        </w:rPr>
        <w:t xml:space="preserve"> 饮用水水源保护区登记表</w:t>
      </w:r>
    </w:p>
    <w:p>
      <w:pPr>
        <w:pStyle w:val="2"/>
        <w:spacing w:beforeLines="0" w:afterLines="0" w:line="360" w:lineRule="auto"/>
        <w:jc w:val="both"/>
      </w:pPr>
      <w:bookmarkStart w:id="186" w:name="_Toc12370"/>
      <w:bookmarkStart w:id="187" w:name="_Toc453061624"/>
      <w:bookmarkStart w:id="188" w:name="_Toc453061778"/>
      <w:r>
        <w:t>附图</w:t>
      </w:r>
      <w:bookmarkEnd w:id="186"/>
      <w:bookmarkEnd w:id="187"/>
      <w:bookmarkEnd w:id="188"/>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附图1  区域水系与饮用水水源地分布图</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附图2  湘阴县南湖洲镇</w:t>
      </w:r>
      <w:r>
        <w:rPr>
          <w:rFonts w:hint="eastAsia" w:ascii="Times New Roman" w:hAnsi="Times New Roman" w:eastAsia="宋体" w:cs="Times New Roman"/>
          <w:sz w:val="24"/>
          <w:szCs w:val="22"/>
          <w:lang w:eastAsia="zh-CN"/>
        </w:rPr>
        <w:t>南湖水厂地下水</w:t>
      </w:r>
      <w:r>
        <w:rPr>
          <w:rFonts w:ascii="Times New Roman" w:hAnsi="Times New Roman" w:eastAsia="宋体" w:cs="Times New Roman"/>
          <w:sz w:val="24"/>
          <w:szCs w:val="22"/>
        </w:rPr>
        <w:t>饮用水源保护区划分结果图</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附图3  饮用水水源保护区污染源分布图</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附图4  饮用水水源保护区土地利用图</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附图5  饮用水水源水质监测断面分布图</w:t>
      </w:r>
    </w:p>
    <w:p>
      <w:pPr>
        <w:adjustRightInd w:val="0"/>
        <w:snapToGrid w:val="0"/>
        <w:spacing w:line="360" w:lineRule="auto"/>
        <w:ind w:firstLine="480" w:firstLineChars="200"/>
        <w:jc w:val="left"/>
        <w:rPr>
          <w:rFonts w:ascii="Times New Roman" w:hAnsi="Times New Roman" w:eastAsia="宋体" w:cs="Times New Roman"/>
          <w:sz w:val="24"/>
          <w:szCs w:val="22"/>
        </w:rPr>
      </w:pPr>
      <w:r>
        <w:rPr>
          <w:rFonts w:ascii="Times New Roman" w:hAnsi="Times New Roman" w:eastAsia="宋体" w:cs="Times New Roman"/>
          <w:sz w:val="24"/>
          <w:szCs w:val="22"/>
        </w:rPr>
        <w:t>附图6  湘阴县南湖洲镇</w:t>
      </w:r>
      <w:r>
        <w:rPr>
          <w:rFonts w:hint="eastAsia" w:ascii="Times New Roman" w:hAnsi="Times New Roman" w:eastAsia="宋体" w:cs="Times New Roman"/>
          <w:sz w:val="24"/>
          <w:szCs w:val="22"/>
          <w:lang w:eastAsia="zh-CN"/>
        </w:rPr>
        <w:t>南湖水厂</w:t>
      </w:r>
      <w:r>
        <w:rPr>
          <w:rFonts w:hint="eastAsia" w:ascii="Calibri" w:hAnsi="Calibri" w:eastAsia="宋体" w:cs="宋体"/>
          <w:sz w:val="24"/>
          <w:szCs w:val="22"/>
          <w:lang w:eastAsia="zh-CN" w:bidi="ar"/>
        </w:rPr>
        <w:t>地下水</w:t>
      </w:r>
      <w:r>
        <w:rPr>
          <w:rFonts w:hint="eastAsia" w:ascii="Calibri" w:hAnsi="Calibri" w:eastAsia="宋体" w:cs="宋体"/>
          <w:sz w:val="24"/>
          <w:szCs w:val="22"/>
          <w:lang w:bidi="ar"/>
        </w:rPr>
        <w:t>饮用水水源保护区标志设置图</w:t>
      </w:r>
    </w:p>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jc w:val="both"/>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8306"/>
      </w:tabs>
      <w:rPr>
        <w:sz w:val="21"/>
        <w:szCs w:val="21"/>
      </w:rPr>
    </w:pPr>
    <w:r>
      <w:rPr>
        <w:sz w:val="18"/>
      </w:rP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w: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i0l3TMICAADWBQAADgAAAAAA&#10;AAABACAAAAAfAQAAZHJzL2Uyb0RvYy54bWxQSwUGAAAAAAYABgBZAQAAUwYAAAAA&#10;">
          <v:path/>
          <v:fill on="f" focussize="0,0"/>
          <v:stroke on="f" weight="0.5pt" joinstyle="miter"/>
          <v:imagedata o:title=""/>
          <o:lock v:ext="edit"/>
          <v:textbox inset="0mm,0mm,0mm,0mm" style="mso-fit-shape-to-text:t;">
            <w:txbxContent>
              <w:p>
                <w:pPr>
                  <w:pStyle w:val="12"/>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1"/>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A41AC6"/>
    <w:multiLevelType w:val="multilevel"/>
    <w:tmpl w:val="6CA41AC6"/>
    <w:lvl w:ilvl="0" w:tentative="0">
      <w:start w:val="6"/>
      <w:numFmt w:val="decimal"/>
      <w:lvlText w:val="%1"/>
      <w:lvlJc w:val="left"/>
      <w:pPr>
        <w:ind w:left="405" w:hanging="405"/>
      </w:pPr>
      <w:rPr>
        <w:rFonts w:hint="default"/>
      </w:rPr>
    </w:lvl>
    <w:lvl w:ilvl="1" w:tentative="0">
      <w:start w:val="4"/>
      <w:numFmt w:val="decimal"/>
      <w:lvlText w:val="%1.%2"/>
      <w:lvlJc w:val="left"/>
      <w:pPr>
        <w:ind w:left="405" w:hanging="40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5DC2520"/>
    <w:rsid w:val="00024561"/>
    <w:rsid w:val="00067852"/>
    <w:rsid w:val="000908BC"/>
    <w:rsid w:val="00096FC1"/>
    <w:rsid w:val="000A7646"/>
    <w:rsid w:val="00152774"/>
    <w:rsid w:val="001A73AF"/>
    <w:rsid w:val="001D63E3"/>
    <w:rsid w:val="001F0006"/>
    <w:rsid w:val="002D68DE"/>
    <w:rsid w:val="003111E3"/>
    <w:rsid w:val="003163F0"/>
    <w:rsid w:val="00316E18"/>
    <w:rsid w:val="003326BB"/>
    <w:rsid w:val="00353BB1"/>
    <w:rsid w:val="003E1DDE"/>
    <w:rsid w:val="003F216D"/>
    <w:rsid w:val="00451CB0"/>
    <w:rsid w:val="0055484D"/>
    <w:rsid w:val="00585C1E"/>
    <w:rsid w:val="005B33CC"/>
    <w:rsid w:val="005E077E"/>
    <w:rsid w:val="005F57BC"/>
    <w:rsid w:val="006341DF"/>
    <w:rsid w:val="00657E58"/>
    <w:rsid w:val="0069624A"/>
    <w:rsid w:val="006E568F"/>
    <w:rsid w:val="00730535"/>
    <w:rsid w:val="007D35C8"/>
    <w:rsid w:val="009C37FC"/>
    <w:rsid w:val="009D4EED"/>
    <w:rsid w:val="009E1C58"/>
    <w:rsid w:val="00A61C17"/>
    <w:rsid w:val="00A813D3"/>
    <w:rsid w:val="00AA59B7"/>
    <w:rsid w:val="00AC4DFA"/>
    <w:rsid w:val="00B13EAA"/>
    <w:rsid w:val="00B9005E"/>
    <w:rsid w:val="00BB1590"/>
    <w:rsid w:val="00BB6A19"/>
    <w:rsid w:val="00C81760"/>
    <w:rsid w:val="00CF31B1"/>
    <w:rsid w:val="00CF653E"/>
    <w:rsid w:val="00D20BCC"/>
    <w:rsid w:val="00DB76A9"/>
    <w:rsid w:val="00DD3BFC"/>
    <w:rsid w:val="00F17879"/>
    <w:rsid w:val="00F328EF"/>
    <w:rsid w:val="00F712C3"/>
    <w:rsid w:val="00F84B53"/>
    <w:rsid w:val="00F97379"/>
    <w:rsid w:val="00FA6425"/>
    <w:rsid w:val="01FC428B"/>
    <w:rsid w:val="02010F92"/>
    <w:rsid w:val="03236B96"/>
    <w:rsid w:val="032F0A61"/>
    <w:rsid w:val="03336972"/>
    <w:rsid w:val="03AA54A5"/>
    <w:rsid w:val="059D11E9"/>
    <w:rsid w:val="09726A00"/>
    <w:rsid w:val="09C4386A"/>
    <w:rsid w:val="0BB059E0"/>
    <w:rsid w:val="0CCB03D2"/>
    <w:rsid w:val="0D2644DA"/>
    <w:rsid w:val="0E9D7259"/>
    <w:rsid w:val="0ECA79B0"/>
    <w:rsid w:val="0ED425CB"/>
    <w:rsid w:val="0F8A32C5"/>
    <w:rsid w:val="0F8E15DE"/>
    <w:rsid w:val="11F61F54"/>
    <w:rsid w:val="122D50BC"/>
    <w:rsid w:val="12914539"/>
    <w:rsid w:val="135336AE"/>
    <w:rsid w:val="1374449E"/>
    <w:rsid w:val="15F50851"/>
    <w:rsid w:val="160601E5"/>
    <w:rsid w:val="169D274B"/>
    <w:rsid w:val="1829651D"/>
    <w:rsid w:val="19071809"/>
    <w:rsid w:val="1A091589"/>
    <w:rsid w:val="1A6B396B"/>
    <w:rsid w:val="1AAC6B7B"/>
    <w:rsid w:val="1C6D26D1"/>
    <w:rsid w:val="1E2E7DCB"/>
    <w:rsid w:val="20721B62"/>
    <w:rsid w:val="21877699"/>
    <w:rsid w:val="222177A8"/>
    <w:rsid w:val="22CE7F0B"/>
    <w:rsid w:val="23316706"/>
    <w:rsid w:val="242F7CC3"/>
    <w:rsid w:val="24BE1A58"/>
    <w:rsid w:val="250D2063"/>
    <w:rsid w:val="2532105E"/>
    <w:rsid w:val="25C17DAC"/>
    <w:rsid w:val="28062304"/>
    <w:rsid w:val="2A540DC8"/>
    <w:rsid w:val="2A6769C1"/>
    <w:rsid w:val="2B6E452D"/>
    <w:rsid w:val="2B792D42"/>
    <w:rsid w:val="2E42187E"/>
    <w:rsid w:val="2E43440D"/>
    <w:rsid w:val="2F173596"/>
    <w:rsid w:val="2F317F4D"/>
    <w:rsid w:val="300B51F5"/>
    <w:rsid w:val="30A73032"/>
    <w:rsid w:val="31707FA4"/>
    <w:rsid w:val="36CD3799"/>
    <w:rsid w:val="385B4BC7"/>
    <w:rsid w:val="398F340D"/>
    <w:rsid w:val="3A9C5E1C"/>
    <w:rsid w:val="3B446D95"/>
    <w:rsid w:val="3BAF159C"/>
    <w:rsid w:val="3C595E1D"/>
    <w:rsid w:val="3D1C6E2B"/>
    <w:rsid w:val="3E563F30"/>
    <w:rsid w:val="3E9A4B62"/>
    <w:rsid w:val="3E9F3EC3"/>
    <w:rsid w:val="3F38087D"/>
    <w:rsid w:val="3FF67C74"/>
    <w:rsid w:val="40F558BF"/>
    <w:rsid w:val="427A3502"/>
    <w:rsid w:val="4361077C"/>
    <w:rsid w:val="438A0F9A"/>
    <w:rsid w:val="483A54BB"/>
    <w:rsid w:val="4AAD5AFA"/>
    <w:rsid w:val="4B04005F"/>
    <w:rsid w:val="4B7E209D"/>
    <w:rsid w:val="4C400689"/>
    <w:rsid w:val="4D8F46A9"/>
    <w:rsid w:val="4DCE1099"/>
    <w:rsid w:val="5074437C"/>
    <w:rsid w:val="50A4166D"/>
    <w:rsid w:val="51F5538B"/>
    <w:rsid w:val="51FB5C60"/>
    <w:rsid w:val="5344497D"/>
    <w:rsid w:val="54E129CC"/>
    <w:rsid w:val="54F34268"/>
    <w:rsid w:val="5515034C"/>
    <w:rsid w:val="55C0326C"/>
    <w:rsid w:val="55C62D3F"/>
    <w:rsid w:val="5631114C"/>
    <w:rsid w:val="577B09BA"/>
    <w:rsid w:val="57925A4A"/>
    <w:rsid w:val="58DA11AA"/>
    <w:rsid w:val="5AB26087"/>
    <w:rsid w:val="5ACB65AF"/>
    <w:rsid w:val="5AD46A47"/>
    <w:rsid w:val="5B641954"/>
    <w:rsid w:val="5CC20F7E"/>
    <w:rsid w:val="5F14364D"/>
    <w:rsid w:val="60AD2EFE"/>
    <w:rsid w:val="62411B75"/>
    <w:rsid w:val="62AD64B0"/>
    <w:rsid w:val="632E4D5B"/>
    <w:rsid w:val="6387316E"/>
    <w:rsid w:val="63CC0E5A"/>
    <w:rsid w:val="65DC2520"/>
    <w:rsid w:val="664E496B"/>
    <w:rsid w:val="665221E4"/>
    <w:rsid w:val="67886419"/>
    <w:rsid w:val="68250357"/>
    <w:rsid w:val="682749DC"/>
    <w:rsid w:val="696F333E"/>
    <w:rsid w:val="69B82C09"/>
    <w:rsid w:val="6AE304F8"/>
    <w:rsid w:val="6BE85AD6"/>
    <w:rsid w:val="6D0A338E"/>
    <w:rsid w:val="6F304D0E"/>
    <w:rsid w:val="6F481E21"/>
    <w:rsid w:val="6F9755F5"/>
    <w:rsid w:val="6FE1205B"/>
    <w:rsid w:val="703E78B2"/>
    <w:rsid w:val="70F16CF7"/>
    <w:rsid w:val="71B66A02"/>
    <w:rsid w:val="723C083C"/>
    <w:rsid w:val="74E740E0"/>
    <w:rsid w:val="74EA7454"/>
    <w:rsid w:val="75663551"/>
    <w:rsid w:val="758156D2"/>
    <w:rsid w:val="758C5AB1"/>
    <w:rsid w:val="775045C0"/>
    <w:rsid w:val="7A622EBA"/>
    <w:rsid w:val="7BFD36AB"/>
    <w:rsid w:val="7CEA5C3B"/>
    <w:rsid w:val="7DB50591"/>
    <w:rsid w:val="7ED34AD7"/>
    <w:rsid w:val="7FD90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qFormat/>
    <w:uiPriority w:val="0"/>
    <w:pPr>
      <w:keepNext/>
      <w:keepLines/>
      <w:spacing w:beforeLines="50" w:afterLines="50" w:line="500" w:lineRule="exact"/>
      <w:jc w:val="center"/>
      <w:outlineLvl w:val="0"/>
    </w:pPr>
    <w:rPr>
      <w:rFonts w:ascii="Times New Roman" w:hAnsi="Times New Roman" w:eastAsia="黑体" w:cs="Times New Roman"/>
      <w:kern w:val="44"/>
      <w:sz w:val="36"/>
      <w:szCs w:val="44"/>
    </w:rPr>
  </w:style>
  <w:style w:type="paragraph" w:styleId="3">
    <w:name w:val="heading 2"/>
    <w:basedOn w:val="1"/>
    <w:next w:val="1"/>
    <w:link w:val="24"/>
    <w:unhideWhenUsed/>
    <w:qFormat/>
    <w:uiPriority w:val="0"/>
    <w:pPr>
      <w:keepNext/>
      <w:keepLines/>
      <w:spacing w:beforeLines="50" w:afterLines="50" w:line="400" w:lineRule="exact"/>
      <w:outlineLvl w:val="1"/>
    </w:pPr>
    <w:rPr>
      <w:rFonts w:ascii="Arial" w:hAnsi="Arial" w:eastAsia="黑体" w:cs="Times New Roman"/>
      <w:sz w:val="32"/>
      <w:szCs w:val="32"/>
    </w:rPr>
  </w:style>
  <w:style w:type="paragraph" w:styleId="4">
    <w:name w:val="heading 3"/>
    <w:basedOn w:val="1"/>
    <w:next w:val="1"/>
    <w:link w:val="26"/>
    <w:unhideWhenUsed/>
    <w:qFormat/>
    <w:uiPriority w:val="0"/>
    <w:pPr>
      <w:keepNext/>
      <w:keepLines/>
      <w:adjustRightInd w:val="0"/>
      <w:snapToGrid w:val="0"/>
      <w:spacing w:beforeLines="50" w:afterLines="50" w:line="400" w:lineRule="exact"/>
      <w:outlineLvl w:val="2"/>
    </w:pPr>
    <w:rPr>
      <w:rFonts w:ascii="Times New Roman" w:hAnsi="Times New Roman" w:eastAsia="黑体" w:cs="Times New Roman"/>
      <w:sz w:val="30"/>
      <w:szCs w:val="32"/>
    </w:rPr>
  </w:style>
  <w:style w:type="paragraph" w:styleId="5">
    <w:name w:val="heading 4"/>
    <w:basedOn w:val="1"/>
    <w:next w:val="1"/>
    <w:unhideWhenUsed/>
    <w:qFormat/>
    <w:uiPriority w:val="0"/>
    <w:pPr>
      <w:keepNext/>
      <w:keepLines/>
      <w:spacing w:beforeLines="50" w:afterLines="50" w:line="400" w:lineRule="exact"/>
      <w:outlineLvl w:val="3"/>
    </w:pPr>
    <w:rPr>
      <w:rFonts w:eastAsia="黑体" w:asciiTheme="majorHAnsi" w:hAnsiTheme="majorHAnsi" w:cstheme="majorBidi"/>
      <w:bCs/>
      <w:sz w:val="28"/>
      <w:szCs w:val="28"/>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2520" w:leftChars="1200"/>
    </w:pPr>
  </w:style>
  <w:style w:type="paragraph" w:styleId="7">
    <w:name w:val="annotation text"/>
    <w:basedOn w:val="1"/>
    <w:qFormat/>
    <w:uiPriority w:val="0"/>
    <w:pPr>
      <w:jc w:val="left"/>
    </w:pPr>
  </w:style>
  <w:style w:type="paragraph" w:styleId="8">
    <w:name w:val="toc 5"/>
    <w:basedOn w:val="1"/>
    <w:next w:val="1"/>
    <w:qFormat/>
    <w:uiPriority w:val="0"/>
    <w:pPr>
      <w:ind w:left="1680" w:leftChars="800"/>
    </w:pPr>
  </w:style>
  <w:style w:type="paragraph" w:styleId="9">
    <w:name w:val="toc 3"/>
    <w:basedOn w:val="1"/>
    <w:next w:val="1"/>
    <w:qFormat/>
    <w:uiPriority w:val="39"/>
    <w:pPr>
      <w:ind w:left="840" w:leftChars="400"/>
    </w:pPr>
  </w:style>
  <w:style w:type="paragraph" w:styleId="10">
    <w:name w:val="toc 8"/>
    <w:basedOn w:val="1"/>
    <w:next w:val="1"/>
    <w:qFormat/>
    <w:uiPriority w:val="0"/>
    <w:pPr>
      <w:ind w:left="2940" w:leftChars="1400"/>
    </w:pPr>
  </w:style>
  <w:style w:type="paragraph" w:styleId="11">
    <w:name w:val="Balloon Text"/>
    <w:basedOn w:val="1"/>
    <w:link w:val="27"/>
    <w:qFormat/>
    <w:uiPriority w:val="0"/>
    <w:rPr>
      <w:sz w:val="18"/>
      <w:szCs w:val="18"/>
    </w:rPr>
  </w:style>
  <w:style w:type="paragraph" w:styleId="12">
    <w:name w:val="footer"/>
    <w:basedOn w:val="1"/>
    <w:link w:val="29"/>
    <w:qFormat/>
    <w:uiPriority w:val="99"/>
    <w:pPr>
      <w:tabs>
        <w:tab w:val="center" w:pos="4153"/>
        <w:tab w:val="right" w:pos="8306"/>
      </w:tabs>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toc 4"/>
    <w:basedOn w:val="1"/>
    <w:next w:val="1"/>
    <w:qFormat/>
    <w:uiPriority w:val="39"/>
    <w:pPr>
      <w:ind w:left="1260" w:leftChars="600"/>
    </w:pPr>
  </w:style>
  <w:style w:type="paragraph" w:styleId="16">
    <w:name w:val="toc 6"/>
    <w:basedOn w:val="1"/>
    <w:next w:val="1"/>
    <w:qFormat/>
    <w:uiPriority w:val="0"/>
    <w:pPr>
      <w:ind w:left="2100" w:leftChars="1000"/>
    </w:pPr>
  </w:style>
  <w:style w:type="paragraph" w:styleId="17">
    <w:name w:val="toc 2"/>
    <w:basedOn w:val="1"/>
    <w:next w:val="1"/>
    <w:qFormat/>
    <w:uiPriority w:val="39"/>
    <w:pPr>
      <w:ind w:left="420" w:leftChars="200"/>
    </w:pPr>
  </w:style>
  <w:style w:type="paragraph" w:styleId="18">
    <w:name w:val="toc 9"/>
    <w:basedOn w:val="1"/>
    <w:next w:val="1"/>
    <w:qFormat/>
    <w:uiPriority w:val="0"/>
    <w:pPr>
      <w:ind w:left="3360" w:leftChars="1600"/>
    </w:pPr>
  </w:style>
  <w:style w:type="paragraph" w:styleId="19">
    <w:name w:val="Title"/>
    <w:basedOn w:val="1"/>
    <w:next w:val="1"/>
    <w:link w:val="28"/>
    <w:qFormat/>
    <w:uiPriority w:val="0"/>
    <w:pPr>
      <w:spacing w:before="240" w:after="60"/>
      <w:jc w:val="center"/>
      <w:outlineLvl w:val="0"/>
    </w:pPr>
    <w:rPr>
      <w:rFonts w:eastAsia="宋体" w:asciiTheme="majorHAnsi" w:hAnsiTheme="majorHAnsi" w:cstheme="majorBidi"/>
      <w:b/>
      <w:bCs/>
      <w:sz w:val="32"/>
      <w:szCs w:val="32"/>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basedOn w:val="22"/>
    <w:unhideWhenUsed/>
    <w:qFormat/>
    <w:uiPriority w:val="99"/>
    <w:rPr>
      <w:color w:val="0563C1" w:themeColor="hyperlink"/>
      <w:u w:val="single"/>
    </w:rPr>
  </w:style>
  <w:style w:type="character" w:customStyle="1" w:styleId="24">
    <w:name w:val="标题 2 Char"/>
    <w:basedOn w:val="22"/>
    <w:link w:val="3"/>
    <w:qFormat/>
    <w:uiPriority w:val="0"/>
    <w:rPr>
      <w:rFonts w:ascii="Arial" w:hAnsi="Arial" w:eastAsia="黑体"/>
      <w:kern w:val="2"/>
      <w:sz w:val="32"/>
      <w:szCs w:val="32"/>
    </w:rPr>
  </w:style>
  <w:style w:type="character" w:customStyle="1" w:styleId="25">
    <w:name w:val="标题 1 Char"/>
    <w:basedOn w:val="22"/>
    <w:link w:val="2"/>
    <w:qFormat/>
    <w:uiPriority w:val="0"/>
    <w:rPr>
      <w:rFonts w:eastAsia="黑体"/>
      <w:kern w:val="44"/>
      <w:sz w:val="36"/>
      <w:szCs w:val="44"/>
    </w:rPr>
  </w:style>
  <w:style w:type="character" w:customStyle="1" w:styleId="26">
    <w:name w:val="标题 3 Char"/>
    <w:basedOn w:val="22"/>
    <w:link w:val="4"/>
    <w:qFormat/>
    <w:uiPriority w:val="0"/>
    <w:rPr>
      <w:rFonts w:eastAsia="黑体"/>
      <w:kern w:val="2"/>
      <w:sz w:val="30"/>
      <w:szCs w:val="32"/>
    </w:rPr>
  </w:style>
  <w:style w:type="character" w:customStyle="1" w:styleId="27">
    <w:name w:val="批注框文本 Char"/>
    <w:basedOn w:val="22"/>
    <w:link w:val="11"/>
    <w:qFormat/>
    <w:uiPriority w:val="0"/>
    <w:rPr>
      <w:rFonts w:asciiTheme="minorHAnsi" w:hAnsiTheme="minorHAnsi" w:eastAsiaTheme="minorEastAsia" w:cstheme="minorBidi"/>
      <w:kern w:val="2"/>
      <w:sz w:val="18"/>
      <w:szCs w:val="18"/>
    </w:rPr>
  </w:style>
  <w:style w:type="character" w:customStyle="1" w:styleId="28">
    <w:name w:val="标题 Char"/>
    <w:basedOn w:val="22"/>
    <w:link w:val="19"/>
    <w:qFormat/>
    <w:uiPriority w:val="0"/>
    <w:rPr>
      <w:rFonts w:asciiTheme="majorHAnsi" w:hAnsiTheme="majorHAnsi" w:cstheme="majorBidi"/>
      <w:b/>
      <w:bCs/>
      <w:kern w:val="2"/>
      <w:sz w:val="32"/>
      <w:szCs w:val="32"/>
    </w:rPr>
  </w:style>
  <w:style w:type="character" w:customStyle="1" w:styleId="29">
    <w:name w:val="页脚 Char"/>
    <w:basedOn w:val="22"/>
    <w:link w:val="12"/>
    <w:qFormat/>
    <w:uiPriority w:val="99"/>
    <w:rPr>
      <w:rFonts w:asciiTheme="minorHAnsi" w:hAnsiTheme="minorHAnsi" w:eastAsiaTheme="minorEastAsia" w:cstheme="minorBidi"/>
      <w:kern w:val="2"/>
      <w:sz w:val="18"/>
      <w:szCs w:val="18"/>
    </w:rPr>
  </w:style>
  <w:style w:type="paragraph" w:styleId="3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3" textRotate="1"/>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DA203A-6982-4030-AD24-831FBD00070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65</Pages>
  <Words>5441</Words>
  <Characters>31018</Characters>
  <Lines>258</Lines>
  <Paragraphs>72</Paragraphs>
  <TotalTime>4</TotalTime>
  <ScaleCrop>false</ScaleCrop>
  <LinksUpToDate>false</LinksUpToDate>
  <CharactersWithSpaces>36387</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2016-06-07T07:15:00Z</dcterms:created>
  <dc:creator>Administrator</dc:creator>
  <cp:lastModifiedBy>Administrator</cp:lastModifiedBy>
  <cp:lastPrinted>2016-08-07T10:43:00Z</cp:lastPrinted>
  <dcterms:modified xsi:type="dcterms:W3CDTF">2020-03-08T03:58:11Z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