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napToGrid/>
        <w:spacing w:line="400" w:lineRule="exact"/>
        <w:ind w:firstLine="442" w:firstLineChars="100"/>
        <w:jc w:val="center"/>
        <w:rPr>
          <w:rFonts w:hint="default" w:ascii="Times New Roman" w:hAnsi="Times New Roman" w:eastAsia="楷体_GB2312" w:cs="Times New Roman"/>
          <w:b/>
          <w:sz w:val="44"/>
          <w:szCs w:val="44"/>
        </w:rPr>
      </w:pPr>
    </w:p>
    <w:p>
      <w:pPr>
        <w:adjustRightInd/>
        <w:snapToGrid/>
        <w:spacing w:line="400" w:lineRule="exact"/>
        <w:ind w:firstLine="442" w:firstLineChars="100"/>
        <w:jc w:val="center"/>
        <w:rPr>
          <w:rFonts w:hint="default" w:ascii="Times New Roman" w:hAnsi="Times New Roman" w:eastAsia="楷体_GB2312" w:cs="Times New Roman"/>
          <w:b/>
          <w:sz w:val="44"/>
          <w:szCs w:val="44"/>
        </w:rPr>
      </w:pPr>
    </w:p>
    <w:p>
      <w:pPr>
        <w:keepNext w:val="0"/>
        <w:keepLines w:val="0"/>
        <w:pageBreakBefore w:val="0"/>
        <w:widowControl w:val="0"/>
        <w:kinsoku/>
        <w:wordWrap/>
        <w:overflowPunct/>
        <w:topLinePunct w:val="0"/>
        <w:autoSpaceDE/>
        <w:autoSpaceDN/>
        <w:bidi w:val="0"/>
        <w:adjustRightInd/>
        <w:snapToGrid/>
        <w:spacing w:line="360" w:lineRule="auto"/>
        <w:ind w:firstLine="361" w:firstLineChars="100"/>
        <w:jc w:val="center"/>
        <w:textAlignment w:val="auto"/>
        <w:rPr>
          <w:rFonts w:hint="default" w:ascii="Times New Roman" w:hAnsi="Times New Roman" w:eastAsia="楷体_GB2312" w:cs="Times New Roman"/>
          <w:b/>
          <w:sz w:val="36"/>
          <w:szCs w:val="36"/>
          <w:lang w:val="en-US" w:eastAsia="zh-CN"/>
        </w:rPr>
      </w:pPr>
      <w:r>
        <w:rPr>
          <w:rFonts w:hint="default" w:ascii="Times New Roman" w:hAnsi="Times New Roman" w:eastAsia="楷体_GB2312" w:cs="Times New Roman"/>
          <w:b/>
          <w:sz w:val="36"/>
          <w:szCs w:val="36"/>
        </w:rPr>
        <w:t>湘阴县三塘镇</w:t>
      </w:r>
      <w:r>
        <w:rPr>
          <w:rFonts w:hint="eastAsia" w:ascii="Times New Roman" w:hAnsi="Times New Roman" w:eastAsia="楷体_GB2312" w:cs="Times New Roman"/>
          <w:b/>
          <w:sz w:val="36"/>
          <w:szCs w:val="36"/>
          <w:lang w:val="en-US" w:eastAsia="zh-CN"/>
        </w:rPr>
        <w:t>拦河坝水厂</w:t>
      </w:r>
    </w:p>
    <w:p>
      <w:pPr>
        <w:keepNext w:val="0"/>
        <w:keepLines w:val="0"/>
        <w:pageBreakBefore w:val="0"/>
        <w:widowControl w:val="0"/>
        <w:kinsoku/>
        <w:wordWrap/>
        <w:overflowPunct/>
        <w:topLinePunct w:val="0"/>
        <w:autoSpaceDE/>
        <w:autoSpaceDN/>
        <w:bidi w:val="0"/>
        <w:adjustRightInd/>
        <w:snapToGrid/>
        <w:spacing w:line="360" w:lineRule="auto"/>
        <w:ind w:firstLine="361" w:firstLineChars="100"/>
        <w:jc w:val="center"/>
        <w:textAlignment w:val="auto"/>
        <w:rPr>
          <w:rFonts w:hint="default" w:ascii="Times New Roman" w:hAnsi="Times New Roman" w:eastAsia="楷体_GB2312" w:cs="Times New Roman"/>
          <w:b/>
          <w:sz w:val="36"/>
          <w:szCs w:val="36"/>
        </w:rPr>
      </w:pPr>
      <w:r>
        <w:rPr>
          <w:rFonts w:hint="default" w:ascii="Times New Roman" w:hAnsi="Times New Roman" w:eastAsia="楷体_GB2312" w:cs="Times New Roman"/>
          <w:b/>
          <w:sz w:val="36"/>
          <w:szCs w:val="36"/>
        </w:rPr>
        <w:t>地下水饮用水水源保护区划分项目</w:t>
      </w:r>
    </w:p>
    <w:p>
      <w:pPr>
        <w:snapToGrid/>
        <w:spacing w:line="480" w:lineRule="auto"/>
        <w:ind w:firstLine="0" w:firstLineChars="0"/>
        <w:jc w:val="center"/>
        <w:rPr>
          <w:rFonts w:hint="default" w:ascii="Times New Roman" w:hAnsi="Times New Roman" w:eastAsia="宋体" w:cs="Times New Roman"/>
          <w:szCs w:val="20"/>
        </w:rPr>
      </w:pPr>
    </w:p>
    <w:p>
      <w:pPr>
        <w:snapToGrid/>
        <w:spacing w:line="480" w:lineRule="auto"/>
        <w:ind w:firstLine="0" w:firstLineChars="0"/>
        <w:rPr>
          <w:rFonts w:hint="default" w:ascii="Times New Roman" w:hAnsi="Times New Roman" w:eastAsia="宋体" w:cs="Times New Roman"/>
          <w:szCs w:val="20"/>
        </w:rPr>
      </w:pPr>
    </w:p>
    <w:p>
      <w:pPr>
        <w:snapToGrid/>
        <w:spacing w:line="480" w:lineRule="auto"/>
        <w:ind w:firstLine="0" w:firstLineChars="0"/>
        <w:rPr>
          <w:rFonts w:hint="default" w:ascii="Times New Roman" w:hAnsi="Times New Roman" w:eastAsia="楷体_GB2312" w:cs="Times New Roman"/>
          <w:b/>
          <w:spacing w:val="-20"/>
          <w:sz w:val="21"/>
          <w:szCs w:val="21"/>
        </w:rPr>
      </w:pPr>
    </w:p>
    <w:p>
      <w:pPr>
        <w:adjustRightInd/>
        <w:snapToGrid/>
        <w:spacing w:line="480" w:lineRule="auto"/>
        <w:ind w:firstLine="0" w:firstLineChars="0"/>
        <w:jc w:val="center"/>
        <w:rPr>
          <w:rFonts w:hint="default" w:ascii="Times New Roman" w:hAnsi="Times New Roman" w:eastAsia="黑体" w:cs="Times New Roman"/>
          <w:b/>
          <w:sz w:val="44"/>
          <w:szCs w:val="44"/>
        </w:rPr>
      </w:pPr>
      <w:r>
        <w:rPr>
          <w:rFonts w:hint="default" w:ascii="Times New Roman" w:hAnsi="Times New Roman" w:eastAsia="黑体" w:cs="Times New Roman"/>
          <w:b/>
          <w:sz w:val="44"/>
          <w:szCs w:val="44"/>
        </w:rPr>
        <w:t>技</w:t>
      </w:r>
    </w:p>
    <w:p>
      <w:pPr>
        <w:adjustRightInd/>
        <w:snapToGrid/>
        <w:spacing w:line="480" w:lineRule="auto"/>
        <w:ind w:firstLine="0" w:firstLineChars="0"/>
        <w:jc w:val="center"/>
        <w:rPr>
          <w:rFonts w:hint="default" w:ascii="Times New Roman" w:hAnsi="Times New Roman" w:eastAsia="黑体" w:cs="Times New Roman"/>
          <w:b/>
          <w:sz w:val="44"/>
          <w:szCs w:val="44"/>
        </w:rPr>
      </w:pPr>
      <w:r>
        <w:rPr>
          <w:rFonts w:hint="default" w:ascii="Times New Roman" w:hAnsi="Times New Roman" w:eastAsia="黑体" w:cs="Times New Roman"/>
          <w:b/>
          <w:sz w:val="44"/>
          <w:szCs w:val="44"/>
        </w:rPr>
        <w:t>术</w:t>
      </w:r>
    </w:p>
    <w:p>
      <w:pPr>
        <w:adjustRightInd/>
        <w:snapToGrid/>
        <w:spacing w:line="480" w:lineRule="auto"/>
        <w:ind w:firstLine="0" w:firstLineChars="0"/>
        <w:jc w:val="center"/>
        <w:rPr>
          <w:rFonts w:hint="default" w:ascii="Times New Roman" w:hAnsi="Times New Roman" w:eastAsia="黑体" w:cs="Times New Roman"/>
          <w:b/>
          <w:sz w:val="44"/>
          <w:szCs w:val="44"/>
        </w:rPr>
      </w:pPr>
      <w:r>
        <w:rPr>
          <w:rFonts w:hint="default" w:ascii="Times New Roman" w:hAnsi="Times New Roman" w:eastAsia="黑体" w:cs="Times New Roman"/>
          <w:b/>
          <w:sz w:val="44"/>
          <w:szCs w:val="44"/>
        </w:rPr>
        <w:t>报</w:t>
      </w:r>
    </w:p>
    <w:p>
      <w:pPr>
        <w:adjustRightInd/>
        <w:snapToGrid/>
        <w:spacing w:line="480" w:lineRule="auto"/>
        <w:ind w:firstLine="0" w:firstLineChars="0"/>
        <w:jc w:val="center"/>
        <w:rPr>
          <w:rFonts w:hint="default" w:ascii="Times New Roman" w:hAnsi="Times New Roman" w:eastAsia="黑体" w:cs="Times New Roman"/>
          <w:b/>
          <w:sz w:val="44"/>
          <w:szCs w:val="44"/>
        </w:rPr>
      </w:pPr>
      <w:r>
        <w:rPr>
          <w:rFonts w:hint="default" w:ascii="Times New Roman" w:hAnsi="Times New Roman" w:eastAsia="黑体" w:cs="Times New Roman"/>
          <w:b/>
          <w:sz w:val="44"/>
          <w:szCs w:val="44"/>
        </w:rPr>
        <w:t>告</w:t>
      </w:r>
    </w:p>
    <w:p>
      <w:pPr>
        <w:adjustRightInd/>
        <w:snapToGrid/>
        <w:spacing w:line="480" w:lineRule="auto"/>
        <w:ind w:firstLine="883"/>
        <w:rPr>
          <w:rFonts w:hint="default" w:ascii="Times New Roman" w:hAnsi="Times New Roman" w:eastAsia="宋体" w:cs="Times New Roman"/>
          <w:b/>
          <w:sz w:val="44"/>
          <w:szCs w:val="24"/>
        </w:rPr>
      </w:pPr>
    </w:p>
    <w:p>
      <w:pPr>
        <w:adjustRightInd/>
        <w:snapToGrid/>
        <w:spacing w:line="480" w:lineRule="auto"/>
        <w:ind w:firstLine="480"/>
        <w:rPr>
          <w:rFonts w:hint="default" w:ascii="Times New Roman" w:hAnsi="Times New Roman" w:eastAsia="宋体" w:cs="Times New Roman"/>
          <w:szCs w:val="24"/>
        </w:rPr>
      </w:pPr>
    </w:p>
    <w:p>
      <w:pPr>
        <w:adjustRightInd/>
        <w:snapToGrid/>
        <w:spacing w:line="480" w:lineRule="auto"/>
        <w:ind w:firstLine="480"/>
        <w:rPr>
          <w:rFonts w:hint="default" w:ascii="Times New Roman" w:hAnsi="Times New Roman" w:eastAsia="宋体" w:cs="Times New Roman"/>
          <w:szCs w:val="24"/>
        </w:rPr>
      </w:pPr>
    </w:p>
    <w:p>
      <w:pPr>
        <w:keepNext w:val="0"/>
        <w:keepLines w:val="0"/>
        <w:pageBreakBefore w:val="0"/>
        <w:widowControl w:val="0"/>
        <w:kinsoku/>
        <w:wordWrap/>
        <w:overflowPunct/>
        <w:topLinePunct w:val="0"/>
        <w:autoSpaceDE/>
        <w:autoSpaceDN/>
        <w:bidi w:val="0"/>
        <w:adjustRightInd/>
        <w:snapToGrid/>
        <w:spacing w:after="0" w:afterLines="50" w:line="360" w:lineRule="auto"/>
        <w:ind w:firstLine="0" w:firstLineChars="0"/>
        <w:jc w:val="center"/>
        <w:textAlignment w:val="auto"/>
        <w:rPr>
          <w:rFonts w:hint="default" w:ascii="Times New Roman" w:hAnsi="Times New Roman" w:eastAsia="楷体_GB2312" w:cs="Times New Roman"/>
          <w:b/>
          <w:bCs/>
          <w:sz w:val="32"/>
          <w:szCs w:val="32"/>
        </w:rPr>
      </w:pPr>
      <w:r>
        <w:rPr>
          <w:rFonts w:hint="default" w:ascii="Times New Roman" w:hAnsi="Times New Roman" w:eastAsia="楷体_GB2312" w:cs="Times New Roman"/>
          <w:b/>
          <w:bCs/>
          <w:sz w:val="32"/>
          <w:szCs w:val="32"/>
        </w:rPr>
        <w:t>项目实施单位：湘阴县人民政府</w:t>
      </w:r>
    </w:p>
    <w:p>
      <w:pPr>
        <w:adjustRightInd/>
        <w:snapToGrid/>
        <w:spacing w:line="360" w:lineRule="auto"/>
        <w:ind w:firstLine="0" w:firstLineChars="0"/>
        <w:jc w:val="center"/>
        <w:rPr>
          <w:rFonts w:hint="default" w:ascii="Times New Roman" w:hAnsi="Times New Roman" w:eastAsia="楷体_GB2312" w:cs="Times New Roman"/>
          <w:b/>
          <w:bCs/>
          <w:sz w:val="32"/>
          <w:szCs w:val="32"/>
        </w:rPr>
      </w:pPr>
      <w:r>
        <w:rPr>
          <w:rFonts w:hint="default" w:ascii="Times New Roman" w:hAnsi="Times New Roman" w:eastAsia="楷体_GB2312" w:cs="Times New Roman"/>
          <w:b/>
          <w:bCs/>
          <w:sz w:val="32"/>
          <w:szCs w:val="32"/>
        </w:rPr>
        <w:t>编制单位：湖南润美环保科技有限公司</w:t>
      </w:r>
    </w:p>
    <w:p>
      <w:pPr>
        <w:adjustRightInd/>
        <w:snapToGrid/>
        <w:spacing w:line="360" w:lineRule="auto"/>
        <w:ind w:firstLine="0" w:firstLineChars="0"/>
        <w:jc w:val="center"/>
        <w:rPr>
          <w:rFonts w:hint="default" w:ascii="Times New Roman" w:hAnsi="Times New Roman" w:eastAsia="楷体_GB2312" w:cs="Times New Roman"/>
          <w:b/>
          <w:sz w:val="28"/>
          <w:szCs w:val="28"/>
        </w:rPr>
      </w:pPr>
      <w:r>
        <w:rPr>
          <w:rFonts w:hint="default" w:ascii="Times New Roman" w:hAnsi="Times New Roman" w:eastAsia="楷体_GB2312" w:cs="Times New Roman"/>
          <w:b/>
          <w:sz w:val="28"/>
          <w:szCs w:val="28"/>
        </w:rPr>
        <w:t>二O一九年八月</w:t>
      </w:r>
    </w:p>
    <w:p>
      <w:pPr>
        <w:adjustRightInd/>
        <w:snapToGrid/>
        <w:spacing w:line="360" w:lineRule="auto"/>
        <w:ind w:firstLine="0" w:firstLineChars="0"/>
        <w:jc w:val="center"/>
        <w:rPr>
          <w:rFonts w:hint="default" w:ascii="Times New Roman" w:hAnsi="Times New Roman" w:eastAsia="楷体_GB2312" w:cs="Times New Roman"/>
          <w:b/>
          <w:sz w:val="28"/>
          <w:szCs w:val="28"/>
        </w:rPr>
      </w:pPr>
    </w:p>
    <w:p>
      <w:pPr>
        <w:adjustRightInd/>
        <w:snapToGrid/>
        <w:spacing w:line="360" w:lineRule="auto"/>
        <w:ind w:firstLine="0" w:firstLineChars="0"/>
        <w:jc w:val="both"/>
        <w:rPr>
          <w:rFonts w:hint="default" w:ascii="Times New Roman" w:hAnsi="Times New Roman" w:eastAsia="楷体_GB2312" w:cs="Times New Roman"/>
          <w:b/>
          <w:sz w:val="28"/>
          <w:szCs w:val="28"/>
        </w:rPr>
        <w:sectPr>
          <w:headerReference r:id="rId3" w:type="default"/>
          <w:footerReference r:id="rId4" w:type="default"/>
          <w:pgSz w:w="11907" w:h="16840"/>
          <w:pgMar w:top="1701" w:right="1701" w:bottom="1701" w:left="1418" w:header="851" w:footer="1134" w:gutter="0"/>
          <w:pgBorders>
            <w:top w:val="none" w:sz="0" w:space="0"/>
            <w:left w:val="none" w:sz="0" w:space="0"/>
            <w:bottom w:val="none" w:sz="0" w:space="0"/>
            <w:right w:val="none" w:sz="0" w:space="0"/>
          </w:pgBorders>
          <w:pgNumType w:start="1"/>
          <w:cols w:space="720" w:num="1"/>
          <w:docGrid w:linePitch="326" w:charSpace="0"/>
        </w:sectPr>
      </w:pPr>
    </w:p>
    <w:p>
      <w:pPr>
        <w:pStyle w:val="32"/>
        <w:keepNext/>
        <w:keepLines/>
        <w:pageBreakBefore w:val="0"/>
        <w:widowControl/>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cs="Times New Roman"/>
          <w:i w:val="0"/>
          <w:iCs w:val="0"/>
          <w:color w:val="auto"/>
          <w:sz w:val="24"/>
          <w:szCs w:val="24"/>
        </w:rPr>
      </w:pPr>
      <w:r>
        <w:rPr>
          <w:rFonts w:hint="default" w:ascii="Times New Roman" w:hAnsi="Times New Roman" w:cs="Times New Roman"/>
          <w:i w:val="0"/>
          <w:iCs w:val="0"/>
          <w:color w:val="auto"/>
          <w:sz w:val="24"/>
          <w:szCs w:val="24"/>
          <w:lang w:val="zh-CN"/>
        </w:rPr>
        <w:t>目    录</w:t>
      </w:r>
    </w:p>
    <w:p>
      <w:pPr>
        <w:pStyle w:val="14"/>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 w:val="0"/>
          <w:bCs w:val="0"/>
          <w:i w:val="0"/>
          <w:iCs w:val="0"/>
          <w:caps w:val="0"/>
          <w:sz w:val="24"/>
          <w:szCs w:val="24"/>
          <w:shd w:val="clear" w:color="FFFFFF" w:fill="D9D9D9"/>
        </w:rPr>
        <w:fldChar w:fldCharType="begin"/>
      </w:r>
      <w:r>
        <w:rPr>
          <w:rFonts w:hint="default" w:ascii="Times New Roman" w:hAnsi="Times New Roman" w:cs="Times New Roman" w:eastAsiaTheme="majorEastAsia"/>
          <w:b w:val="0"/>
          <w:bCs w:val="0"/>
          <w:i w:val="0"/>
          <w:iCs w:val="0"/>
          <w:caps w:val="0"/>
          <w:sz w:val="24"/>
          <w:szCs w:val="24"/>
          <w:shd w:val="clear" w:color="FFFFFF" w:fill="D9D9D9"/>
        </w:rPr>
        <w:instrText xml:space="preserve"> TOC \o "1-4" \h \z \u </w:instrText>
      </w:r>
      <w:r>
        <w:rPr>
          <w:rFonts w:hint="default" w:ascii="Times New Roman" w:hAnsi="Times New Roman" w:cs="Times New Roman" w:eastAsiaTheme="majorEastAsia"/>
          <w:b w:val="0"/>
          <w:bCs w:val="0"/>
          <w:i w:val="0"/>
          <w:iCs w:val="0"/>
          <w:caps w:val="0"/>
          <w:sz w:val="24"/>
          <w:szCs w:val="24"/>
          <w:shd w:val="clear" w:color="FFFFFF" w:fill="D9D9D9"/>
        </w:rPr>
        <w:fldChar w:fldCharType="separate"/>
      </w:r>
      <w:r>
        <w:rPr>
          <w:rFonts w:hint="default" w:ascii="Times New Roman" w:hAnsi="Times New Roman" w:cs="Times New Roman" w:eastAsiaTheme="majorEastAsia"/>
          <w:bCs w:val="0"/>
          <w:i w:val="0"/>
          <w:iCs w:val="0"/>
          <w:caps w:val="0"/>
          <w:szCs w:val="24"/>
          <w:shd w:val="clear" w:color="FFFFFF" w:fill="D9D9D9"/>
        </w:rPr>
        <w:fldChar w:fldCharType="begin"/>
      </w:r>
      <w:r>
        <w:rPr>
          <w:rFonts w:hint="default" w:ascii="Times New Roman" w:hAnsi="Times New Roman" w:cs="Times New Roman" w:eastAsiaTheme="majorEastAsia"/>
          <w:bCs w:val="0"/>
          <w:i w:val="0"/>
          <w:iCs w:val="0"/>
          <w:caps w:val="0"/>
          <w:szCs w:val="24"/>
          <w:shd w:val="clear" w:color="FFFFFF" w:fill="D9D9D9"/>
        </w:rPr>
        <w:instrText xml:space="preserve"> HYPERLINK \l _Toc4355 </w:instrText>
      </w:r>
      <w:r>
        <w:rPr>
          <w:rFonts w:hint="default" w:ascii="Times New Roman" w:hAnsi="Times New Roman" w:cs="Times New Roman" w:eastAsiaTheme="majorEastAsia"/>
          <w:bCs w:val="0"/>
          <w:i w:val="0"/>
          <w:iCs w:val="0"/>
          <w:caps w:val="0"/>
          <w:szCs w:val="24"/>
          <w:shd w:val="clear" w:color="FFFFFF" w:fill="D9D9D9"/>
        </w:rPr>
        <w:fldChar w:fldCharType="separate"/>
      </w:r>
      <w:r>
        <w:rPr>
          <w:rFonts w:hint="default" w:ascii="Times New Roman" w:hAnsi="Times New Roman" w:cs="Times New Roman"/>
          <w:i w:val="0"/>
          <w:iCs w:val="0"/>
        </w:rPr>
        <w:t>第一章 总论</w:t>
      </w:r>
      <w:r>
        <w:rPr>
          <w:i w:val="0"/>
          <w:iCs w:val="0"/>
        </w:rPr>
        <w:tab/>
      </w:r>
      <w:r>
        <w:rPr>
          <w:i w:val="0"/>
          <w:iCs w:val="0"/>
        </w:rPr>
        <w:fldChar w:fldCharType="begin"/>
      </w:r>
      <w:r>
        <w:rPr>
          <w:i w:val="0"/>
          <w:iCs w:val="0"/>
        </w:rPr>
        <w:instrText xml:space="preserve"> PAGEREF _Toc4355 </w:instrText>
      </w:r>
      <w:r>
        <w:rPr>
          <w:i w:val="0"/>
          <w:iCs w:val="0"/>
        </w:rPr>
        <w:fldChar w:fldCharType="separate"/>
      </w:r>
      <w:r>
        <w:rPr>
          <w:i w:val="0"/>
          <w:iCs w:val="0"/>
        </w:rPr>
        <w:t>1</w:t>
      </w:r>
      <w:r>
        <w:rPr>
          <w:i w:val="0"/>
          <w:iCs w:val="0"/>
        </w:rPr>
        <w:fldChar w:fldCharType="end"/>
      </w:r>
      <w:r>
        <w:rPr>
          <w:rFonts w:hint="default" w:ascii="Times New Roman" w:hAnsi="Times New Roman" w:cs="Times New Roman" w:eastAsiaTheme="majorEastAsia"/>
          <w:bCs w:val="0"/>
          <w:i w:val="0"/>
          <w:iCs w:val="0"/>
          <w:caps w:val="0"/>
          <w:szCs w:val="24"/>
          <w:shd w:val="clear" w:color="FFFFFF" w:fill="D9D9D9"/>
        </w:rPr>
        <w:fldChar w:fldCharType="end"/>
      </w:r>
    </w:p>
    <w:p>
      <w:pPr>
        <w:pStyle w:val="17"/>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_Toc29553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default" w:ascii="Times New Roman" w:hAnsi="Times New Roman" w:cs="Times New Roman"/>
          <w:i w:val="0"/>
          <w:iCs w:val="0"/>
        </w:rPr>
        <w:t>1.1 工作背景与意义</w:t>
      </w:r>
      <w:r>
        <w:rPr>
          <w:i w:val="0"/>
          <w:iCs w:val="0"/>
        </w:rPr>
        <w:tab/>
      </w:r>
      <w:r>
        <w:rPr>
          <w:i w:val="0"/>
          <w:iCs w:val="0"/>
        </w:rPr>
        <w:fldChar w:fldCharType="begin"/>
      </w:r>
      <w:r>
        <w:rPr>
          <w:i w:val="0"/>
          <w:iCs w:val="0"/>
        </w:rPr>
        <w:instrText xml:space="preserve"> PAGEREF _Toc29553 </w:instrText>
      </w:r>
      <w:r>
        <w:rPr>
          <w:i w:val="0"/>
          <w:iCs w:val="0"/>
        </w:rPr>
        <w:fldChar w:fldCharType="separate"/>
      </w:r>
      <w:r>
        <w:rPr>
          <w:i w:val="0"/>
          <w:iCs w:val="0"/>
        </w:rPr>
        <w:t>1</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17"/>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_Toc17884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default" w:ascii="Times New Roman" w:hAnsi="Times New Roman" w:cs="Times New Roman"/>
          <w:i w:val="0"/>
          <w:iCs w:val="0"/>
        </w:rPr>
        <w:t>1.2划定依据</w:t>
      </w:r>
      <w:r>
        <w:rPr>
          <w:i w:val="0"/>
          <w:iCs w:val="0"/>
        </w:rPr>
        <w:tab/>
      </w:r>
      <w:r>
        <w:rPr>
          <w:i w:val="0"/>
          <w:iCs w:val="0"/>
        </w:rPr>
        <w:fldChar w:fldCharType="begin"/>
      </w:r>
      <w:r>
        <w:rPr>
          <w:i w:val="0"/>
          <w:iCs w:val="0"/>
        </w:rPr>
        <w:instrText xml:space="preserve"> PAGEREF _Toc17884 </w:instrText>
      </w:r>
      <w:r>
        <w:rPr>
          <w:i w:val="0"/>
          <w:iCs w:val="0"/>
        </w:rPr>
        <w:fldChar w:fldCharType="separate"/>
      </w:r>
      <w:r>
        <w:rPr>
          <w:i w:val="0"/>
          <w:iCs w:val="0"/>
        </w:rPr>
        <w:t>1</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9"/>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_Toc14699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default" w:ascii="Times New Roman" w:hAnsi="Times New Roman" w:cs="Times New Roman"/>
          <w:i w:val="0"/>
          <w:iCs w:val="0"/>
        </w:rPr>
        <w:t>1.2.1 相关法律法规、规章</w:t>
      </w:r>
      <w:r>
        <w:rPr>
          <w:i w:val="0"/>
          <w:iCs w:val="0"/>
        </w:rPr>
        <w:tab/>
      </w:r>
      <w:r>
        <w:rPr>
          <w:i w:val="0"/>
          <w:iCs w:val="0"/>
        </w:rPr>
        <w:fldChar w:fldCharType="begin"/>
      </w:r>
      <w:r>
        <w:rPr>
          <w:i w:val="0"/>
          <w:iCs w:val="0"/>
        </w:rPr>
        <w:instrText xml:space="preserve"> PAGEREF _Toc14699 </w:instrText>
      </w:r>
      <w:r>
        <w:rPr>
          <w:i w:val="0"/>
          <w:iCs w:val="0"/>
        </w:rPr>
        <w:fldChar w:fldCharType="separate"/>
      </w:r>
      <w:r>
        <w:rPr>
          <w:i w:val="0"/>
          <w:iCs w:val="0"/>
        </w:rPr>
        <w:t>1</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9"/>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_Toc22140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default" w:ascii="Times New Roman" w:hAnsi="Times New Roman" w:cs="Times New Roman"/>
          <w:i w:val="0"/>
          <w:iCs w:val="0"/>
        </w:rPr>
        <w:t>1.2.2技术标准</w:t>
      </w:r>
      <w:r>
        <w:rPr>
          <w:i w:val="0"/>
          <w:iCs w:val="0"/>
        </w:rPr>
        <w:tab/>
      </w:r>
      <w:r>
        <w:rPr>
          <w:i w:val="0"/>
          <w:iCs w:val="0"/>
        </w:rPr>
        <w:fldChar w:fldCharType="begin"/>
      </w:r>
      <w:r>
        <w:rPr>
          <w:i w:val="0"/>
          <w:iCs w:val="0"/>
        </w:rPr>
        <w:instrText xml:space="preserve"> PAGEREF _Toc22140 </w:instrText>
      </w:r>
      <w:r>
        <w:rPr>
          <w:i w:val="0"/>
          <w:iCs w:val="0"/>
        </w:rPr>
        <w:fldChar w:fldCharType="separate"/>
      </w:r>
      <w:r>
        <w:rPr>
          <w:i w:val="0"/>
          <w:iCs w:val="0"/>
        </w:rPr>
        <w:t>2</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9"/>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_Toc12155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default" w:ascii="Times New Roman" w:hAnsi="Times New Roman" w:cs="Times New Roman"/>
          <w:i w:val="0"/>
          <w:iCs w:val="0"/>
        </w:rPr>
        <w:t>1.2.3 相关文件、规划资料</w:t>
      </w:r>
      <w:r>
        <w:rPr>
          <w:i w:val="0"/>
          <w:iCs w:val="0"/>
        </w:rPr>
        <w:tab/>
      </w:r>
      <w:r>
        <w:rPr>
          <w:i w:val="0"/>
          <w:iCs w:val="0"/>
        </w:rPr>
        <w:fldChar w:fldCharType="begin"/>
      </w:r>
      <w:r>
        <w:rPr>
          <w:i w:val="0"/>
          <w:iCs w:val="0"/>
        </w:rPr>
        <w:instrText xml:space="preserve"> PAGEREF _Toc12155 </w:instrText>
      </w:r>
      <w:r>
        <w:rPr>
          <w:i w:val="0"/>
          <w:iCs w:val="0"/>
        </w:rPr>
        <w:fldChar w:fldCharType="separate"/>
      </w:r>
      <w:r>
        <w:rPr>
          <w:i w:val="0"/>
          <w:iCs w:val="0"/>
        </w:rPr>
        <w:t>3</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17"/>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_Toc3478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default" w:ascii="Times New Roman" w:hAnsi="Times New Roman" w:cs="Times New Roman"/>
          <w:i w:val="0"/>
          <w:iCs w:val="0"/>
        </w:rPr>
        <w:t>1.3 区划原则</w:t>
      </w:r>
      <w:r>
        <w:rPr>
          <w:i w:val="0"/>
          <w:iCs w:val="0"/>
        </w:rPr>
        <w:tab/>
      </w:r>
      <w:r>
        <w:rPr>
          <w:i w:val="0"/>
          <w:iCs w:val="0"/>
        </w:rPr>
        <w:fldChar w:fldCharType="begin"/>
      </w:r>
      <w:r>
        <w:rPr>
          <w:i w:val="0"/>
          <w:iCs w:val="0"/>
        </w:rPr>
        <w:instrText xml:space="preserve"> PAGEREF _Toc3478 </w:instrText>
      </w:r>
      <w:r>
        <w:rPr>
          <w:i w:val="0"/>
          <w:iCs w:val="0"/>
        </w:rPr>
        <w:fldChar w:fldCharType="separate"/>
      </w:r>
      <w:r>
        <w:rPr>
          <w:i w:val="0"/>
          <w:iCs w:val="0"/>
        </w:rPr>
        <w:t>3</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17"/>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_Toc2798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default" w:ascii="Times New Roman" w:hAnsi="Times New Roman" w:cs="Times New Roman"/>
          <w:i w:val="0"/>
          <w:iCs w:val="0"/>
        </w:rPr>
        <w:t>1.4区划范围</w:t>
      </w:r>
      <w:r>
        <w:rPr>
          <w:i w:val="0"/>
          <w:iCs w:val="0"/>
        </w:rPr>
        <w:tab/>
      </w:r>
      <w:r>
        <w:rPr>
          <w:i w:val="0"/>
          <w:iCs w:val="0"/>
        </w:rPr>
        <w:fldChar w:fldCharType="begin"/>
      </w:r>
      <w:r>
        <w:rPr>
          <w:i w:val="0"/>
          <w:iCs w:val="0"/>
        </w:rPr>
        <w:instrText xml:space="preserve"> PAGEREF _Toc2798 </w:instrText>
      </w:r>
      <w:r>
        <w:rPr>
          <w:i w:val="0"/>
          <w:iCs w:val="0"/>
        </w:rPr>
        <w:fldChar w:fldCharType="separate"/>
      </w:r>
      <w:r>
        <w:rPr>
          <w:i w:val="0"/>
          <w:iCs w:val="0"/>
        </w:rPr>
        <w:t>3</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17"/>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_Toc4895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default" w:ascii="Times New Roman" w:hAnsi="Times New Roman" w:cs="Times New Roman"/>
          <w:i w:val="0"/>
          <w:iCs w:val="0"/>
        </w:rPr>
        <w:t>1.5工作过程与总体成果</w:t>
      </w:r>
      <w:r>
        <w:rPr>
          <w:i w:val="0"/>
          <w:iCs w:val="0"/>
        </w:rPr>
        <w:tab/>
      </w:r>
      <w:r>
        <w:rPr>
          <w:i w:val="0"/>
          <w:iCs w:val="0"/>
        </w:rPr>
        <w:fldChar w:fldCharType="begin"/>
      </w:r>
      <w:r>
        <w:rPr>
          <w:i w:val="0"/>
          <w:iCs w:val="0"/>
        </w:rPr>
        <w:instrText xml:space="preserve"> PAGEREF _Toc4895 </w:instrText>
      </w:r>
      <w:r>
        <w:rPr>
          <w:i w:val="0"/>
          <w:iCs w:val="0"/>
        </w:rPr>
        <w:fldChar w:fldCharType="separate"/>
      </w:r>
      <w:r>
        <w:rPr>
          <w:i w:val="0"/>
          <w:iCs w:val="0"/>
        </w:rPr>
        <w:t>4</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9"/>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_Toc25684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default" w:ascii="Times New Roman" w:hAnsi="Times New Roman" w:cs="Times New Roman"/>
          <w:i w:val="0"/>
          <w:iCs w:val="0"/>
        </w:rPr>
        <w:t>1.5.1技术路线</w:t>
      </w:r>
      <w:r>
        <w:rPr>
          <w:i w:val="0"/>
          <w:iCs w:val="0"/>
        </w:rPr>
        <w:tab/>
      </w:r>
      <w:r>
        <w:rPr>
          <w:i w:val="0"/>
          <w:iCs w:val="0"/>
        </w:rPr>
        <w:fldChar w:fldCharType="begin"/>
      </w:r>
      <w:r>
        <w:rPr>
          <w:i w:val="0"/>
          <w:iCs w:val="0"/>
        </w:rPr>
        <w:instrText xml:space="preserve"> PAGEREF _Toc25684 </w:instrText>
      </w:r>
      <w:r>
        <w:rPr>
          <w:i w:val="0"/>
          <w:iCs w:val="0"/>
        </w:rPr>
        <w:fldChar w:fldCharType="separate"/>
      </w:r>
      <w:r>
        <w:rPr>
          <w:i w:val="0"/>
          <w:iCs w:val="0"/>
        </w:rPr>
        <w:t>4</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9"/>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_Toc13323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default" w:ascii="Times New Roman" w:hAnsi="Times New Roman" w:cs="Times New Roman"/>
          <w:i w:val="0"/>
          <w:iCs w:val="0"/>
        </w:rPr>
        <w:t>1.5.2工作内容</w:t>
      </w:r>
      <w:r>
        <w:rPr>
          <w:i w:val="0"/>
          <w:iCs w:val="0"/>
        </w:rPr>
        <w:tab/>
      </w:r>
      <w:r>
        <w:rPr>
          <w:i w:val="0"/>
          <w:iCs w:val="0"/>
        </w:rPr>
        <w:fldChar w:fldCharType="begin"/>
      </w:r>
      <w:r>
        <w:rPr>
          <w:i w:val="0"/>
          <w:iCs w:val="0"/>
        </w:rPr>
        <w:instrText xml:space="preserve"> PAGEREF _Toc13323 </w:instrText>
      </w:r>
      <w:r>
        <w:rPr>
          <w:i w:val="0"/>
          <w:iCs w:val="0"/>
        </w:rPr>
        <w:fldChar w:fldCharType="separate"/>
      </w:r>
      <w:r>
        <w:rPr>
          <w:i w:val="0"/>
          <w:iCs w:val="0"/>
        </w:rPr>
        <w:t>5</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14"/>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_Toc14544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default" w:ascii="Times New Roman" w:hAnsi="Times New Roman" w:cs="Times New Roman"/>
          <w:i w:val="0"/>
          <w:iCs w:val="0"/>
        </w:rPr>
        <w:t>第二章</w:t>
      </w:r>
      <w:r>
        <w:rPr>
          <w:rFonts w:hint="default" w:ascii="Times New Roman" w:hAnsi="Times New Roman" w:cs="Times New Roman"/>
          <w:i w:val="0"/>
          <w:iCs w:val="0"/>
          <w:lang w:val="en-US" w:eastAsia="zh-CN"/>
        </w:rPr>
        <w:t xml:space="preserve">  </w:t>
      </w:r>
      <w:r>
        <w:rPr>
          <w:rFonts w:hint="default" w:ascii="Times New Roman" w:hAnsi="Times New Roman" w:cs="Times New Roman"/>
          <w:i w:val="0"/>
          <w:iCs w:val="0"/>
        </w:rPr>
        <w:t>饮用水水源保护区背景分析</w:t>
      </w:r>
      <w:r>
        <w:rPr>
          <w:i w:val="0"/>
          <w:iCs w:val="0"/>
        </w:rPr>
        <w:tab/>
      </w:r>
      <w:r>
        <w:rPr>
          <w:i w:val="0"/>
          <w:iCs w:val="0"/>
        </w:rPr>
        <w:fldChar w:fldCharType="begin"/>
      </w:r>
      <w:r>
        <w:rPr>
          <w:i w:val="0"/>
          <w:iCs w:val="0"/>
        </w:rPr>
        <w:instrText xml:space="preserve"> PAGEREF _Toc14544 </w:instrText>
      </w:r>
      <w:r>
        <w:rPr>
          <w:i w:val="0"/>
          <w:iCs w:val="0"/>
        </w:rPr>
        <w:fldChar w:fldCharType="separate"/>
      </w:r>
      <w:r>
        <w:rPr>
          <w:i w:val="0"/>
          <w:iCs w:val="0"/>
        </w:rPr>
        <w:t>6</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17"/>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_Toc21742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default" w:ascii="Times New Roman" w:hAnsi="Times New Roman" w:cs="Times New Roman"/>
          <w:i w:val="0"/>
          <w:iCs w:val="0"/>
        </w:rPr>
        <w:t>2.1饮用水水源保护区所在区域的自然状况</w:t>
      </w:r>
      <w:r>
        <w:rPr>
          <w:i w:val="0"/>
          <w:iCs w:val="0"/>
        </w:rPr>
        <w:tab/>
      </w:r>
      <w:r>
        <w:rPr>
          <w:i w:val="0"/>
          <w:iCs w:val="0"/>
        </w:rPr>
        <w:fldChar w:fldCharType="begin"/>
      </w:r>
      <w:r>
        <w:rPr>
          <w:i w:val="0"/>
          <w:iCs w:val="0"/>
        </w:rPr>
        <w:instrText xml:space="preserve"> PAGEREF _Toc21742 </w:instrText>
      </w:r>
      <w:r>
        <w:rPr>
          <w:i w:val="0"/>
          <w:iCs w:val="0"/>
        </w:rPr>
        <w:fldChar w:fldCharType="separate"/>
      </w:r>
      <w:r>
        <w:rPr>
          <w:i w:val="0"/>
          <w:iCs w:val="0"/>
        </w:rPr>
        <w:t>6</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9"/>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_Toc11968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default" w:ascii="Times New Roman" w:hAnsi="Times New Roman" w:cs="Times New Roman"/>
          <w:i w:val="0"/>
          <w:iCs w:val="0"/>
        </w:rPr>
        <w:t>2.1.1地理位置</w:t>
      </w:r>
      <w:r>
        <w:rPr>
          <w:i w:val="0"/>
          <w:iCs w:val="0"/>
        </w:rPr>
        <w:tab/>
      </w:r>
      <w:r>
        <w:rPr>
          <w:i w:val="0"/>
          <w:iCs w:val="0"/>
        </w:rPr>
        <w:fldChar w:fldCharType="begin"/>
      </w:r>
      <w:r>
        <w:rPr>
          <w:i w:val="0"/>
          <w:iCs w:val="0"/>
        </w:rPr>
        <w:instrText xml:space="preserve"> PAGEREF _Toc11968 </w:instrText>
      </w:r>
      <w:r>
        <w:rPr>
          <w:i w:val="0"/>
          <w:iCs w:val="0"/>
        </w:rPr>
        <w:fldChar w:fldCharType="separate"/>
      </w:r>
      <w:r>
        <w:rPr>
          <w:i w:val="0"/>
          <w:iCs w:val="0"/>
        </w:rPr>
        <w:t>6</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9"/>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_Toc20091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default" w:ascii="Times New Roman" w:hAnsi="Times New Roman" w:cs="Times New Roman"/>
          <w:i w:val="0"/>
          <w:iCs w:val="0"/>
        </w:rPr>
        <w:t>2.1.2地形地貌</w:t>
      </w:r>
      <w:r>
        <w:rPr>
          <w:i w:val="0"/>
          <w:iCs w:val="0"/>
        </w:rPr>
        <w:tab/>
      </w:r>
      <w:r>
        <w:rPr>
          <w:i w:val="0"/>
          <w:iCs w:val="0"/>
        </w:rPr>
        <w:fldChar w:fldCharType="begin"/>
      </w:r>
      <w:r>
        <w:rPr>
          <w:i w:val="0"/>
          <w:iCs w:val="0"/>
        </w:rPr>
        <w:instrText xml:space="preserve"> PAGEREF _Toc20091 </w:instrText>
      </w:r>
      <w:r>
        <w:rPr>
          <w:i w:val="0"/>
          <w:iCs w:val="0"/>
        </w:rPr>
        <w:fldChar w:fldCharType="separate"/>
      </w:r>
      <w:r>
        <w:rPr>
          <w:i w:val="0"/>
          <w:iCs w:val="0"/>
        </w:rPr>
        <w:t>7</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9"/>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_Toc166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default" w:ascii="Times New Roman" w:hAnsi="Times New Roman" w:cs="Times New Roman"/>
          <w:i w:val="0"/>
          <w:iCs w:val="0"/>
        </w:rPr>
        <w:t>2.1.3地质条件</w:t>
      </w:r>
      <w:r>
        <w:rPr>
          <w:i w:val="0"/>
          <w:iCs w:val="0"/>
        </w:rPr>
        <w:tab/>
      </w:r>
      <w:r>
        <w:rPr>
          <w:i w:val="0"/>
          <w:iCs w:val="0"/>
        </w:rPr>
        <w:fldChar w:fldCharType="begin"/>
      </w:r>
      <w:r>
        <w:rPr>
          <w:i w:val="0"/>
          <w:iCs w:val="0"/>
        </w:rPr>
        <w:instrText xml:space="preserve"> PAGEREF _Toc166 </w:instrText>
      </w:r>
      <w:r>
        <w:rPr>
          <w:i w:val="0"/>
          <w:iCs w:val="0"/>
        </w:rPr>
        <w:fldChar w:fldCharType="separate"/>
      </w:r>
      <w:r>
        <w:rPr>
          <w:i w:val="0"/>
          <w:iCs w:val="0"/>
        </w:rPr>
        <w:t>7</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9"/>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_Toc18569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eastAsia" w:asciiTheme="minorEastAsia" w:hAnsiTheme="minorEastAsia"/>
          <w:bCs w:val="0"/>
          <w:i w:val="0"/>
          <w:iCs w:val="0"/>
          <w:szCs w:val="30"/>
          <w:lang w:val="en-US" w:eastAsia="zh-CN"/>
        </w:rPr>
        <w:t>2.1.4地表水文概况</w:t>
      </w:r>
      <w:r>
        <w:rPr>
          <w:i w:val="0"/>
          <w:iCs w:val="0"/>
        </w:rPr>
        <w:tab/>
      </w:r>
      <w:r>
        <w:rPr>
          <w:i w:val="0"/>
          <w:iCs w:val="0"/>
        </w:rPr>
        <w:fldChar w:fldCharType="begin"/>
      </w:r>
      <w:r>
        <w:rPr>
          <w:i w:val="0"/>
          <w:iCs w:val="0"/>
        </w:rPr>
        <w:instrText xml:space="preserve"> PAGEREF _Toc18569 </w:instrText>
      </w:r>
      <w:r>
        <w:rPr>
          <w:i w:val="0"/>
          <w:iCs w:val="0"/>
        </w:rPr>
        <w:fldChar w:fldCharType="separate"/>
      </w:r>
      <w:r>
        <w:rPr>
          <w:i w:val="0"/>
          <w:iCs w:val="0"/>
        </w:rPr>
        <w:t>2</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9"/>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_Toc14361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default" w:ascii="Times New Roman" w:hAnsi="Times New Roman" w:cs="Times New Roman"/>
          <w:i w:val="0"/>
          <w:iCs w:val="0"/>
        </w:rPr>
        <w:t>2.1.</w:t>
      </w:r>
      <w:r>
        <w:rPr>
          <w:rFonts w:hint="eastAsia" w:ascii="Times New Roman" w:hAnsi="Times New Roman" w:cs="Times New Roman"/>
          <w:i w:val="0"/>
          <w:iCs w:val="0"/>
          <w:lang w:val="en-US" w:eastAsia="zh-CN"/>
        </w:rPr>
        <w:t>5</w:t>
      </w:r>
      <w:r>
        <w:rPr>
          <w:rFonts w:hint="default" w:ascii="Times New Roman" w:hAnsi="Times New Roman" w:cs="Times New Roman"/>
          <w:i w:val="0"/>
          <w:iCs w:val="0"/>
        </w:rPr>
        <w:t xml:space="preserve"> 气候、气象特征</w:t>
      </w:r>
      <w:r>
        <w:rPr>
          <w:i w:val="0"/>
          <w:iCs w:val="0"/>
        </w:rPr>
        <w:tab/>
      </w:r>
      <w:r>
        <w:rPr>
          <w:i w:val="0"/>
          <w:iCs w:val="0"/>
        </w:rPr>
        <w:fldChar w:fldCharType="begin"/>
      </w:r>
      <w:r>
        <w:rPr>
          <w:i w:val="0"/>
          <w:iCs w:val="0"/>
        </w:rPr>
        <w:instrText xml:space="preserve"> PAGEREF _Toc14361 </w:instrText>
      </w:r>
      <w:r>
        <w:rPr>
          <w:i w:val="0"/>
          <w:iCs w:val="0"/>
        </w:rPr>
        <w:fldChar w:fldCharType="separate"/>
      </w:r>
      <w:r>
        <w:rPr>
          <w:i w:val="0"/>
          <w:iCs w:val="0"/>
        </w:rPr>
        <w:t>3</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17"/>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_Toc30495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default" w:ascii="Times New Roman" w:hAnsi="Times New Roman" w:cs="Times New Roman"/>
          <w:i w:val="0"/>
          <w:iCs w:val="0"/>
        </w:rPr>
        <w:t>2.2饮用水水源地所在区域的社会经济状况</w:t>
      </w:r>
      <w:r>
        <w:rPr>
          <w:i w:val="0"/>
          <w:iCs w:val="0"/>
        </w:rPr>
        <w:tab/>
      </w:r>
      <w:r>
        <w:rPr>
          <w:i w:val="0"/>
          <w:iCs w:val="0"/>
        </w:rPr>
        <w:fldChar w:fldCharType="begin"/>
      </w:r>
      <w:r>
        <w:rPr>
          <w:i w:val="0"/>
          <w:iCs w:val="0"/>
        </w:rPr>
        <w:instrText xml:space="preserve"> PAGEREF _Toc30495 </w:instrText>
      </w:r>
      <w:r>
        <w:rPr>
          <w:i w:val="0"/>
          <w:iCs w:val="0"/>
        </w:rPr>
        <w:fldChar w:fldCharType="separate"/>
      </w:r>
      <w:r>
        <w:rPr>
          <w:i w:val="0"/>
          <w:iCs w:val="0"/>
        </w:rPr>
        <w:t>3</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9"/>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_Toc9496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default" w:ascii="Times New Roman" w:hAnsi="Times New Roman" w:cs="Times New Roman"/>
          <w:i w:val="0"/>
          <w:iCs w:val="0"/>
          <w:highlight w:val="none"/>
        </w:rPr>
        <w:t>2.2.1 行政区划</w:t>
      </w:r>
      <w:r>
        <w:rPr>
          <w:i w:val="0"/>
          <w:iCs w:val="0"/>
        </w:rPr>
        <w:tab/>
      </w:r>
      <w:r>
        <w:rPr>
          <w:i w:val="0"/>
          <w:iCs w:val="0"/>
        </w:rPr>
        <w:fldChar w:fldCharType="begin"/>
      </w:r>
      <w:r>
        <w:rPr>
          <w:i w:val="0"/>
          <w:iCs w:val="0"/>
        </w:rPr>
        <w:instrText xml:space="preserve"> PAGEREF _Toc9496 </w:instrText>
      </w:r>
      <w:r>
        <w:rPr>
          <w:i w:val="0"/>
          <w:iCs w:val="0"/>
        </w:rPr>
        <w:fldChar w:fldCharType="separate"/>
      </w:r>
      <w:r>
        <w:rPr>
          <w:i w:val="0"/>
          <w:iCs w:val="0"/>
        </w:rPr>
        <w:t>3</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9"/>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_Toc23934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default" w:ascii="Times New Roman" w:hAnsi="Times New Roman" w:cs="Times New Roman"/>
          <w:i w:val="0"/>
          <w:iCs w:val="0"/>
        </w:rPr>
        <w:t>2.2.2人口状况</w:t>
      </w:r>
      <w:r>
        <w:rPr>
          <w:i w:val="0"/>
          <w:iCs w:val="0"/>
        </w:rPr>
        <w:tab/>
      </w:r>
      <w:r>
        <w:rPr>
          <w:i w:val="0"/>
          <w:iCs w:val="0"/>
        </w:rPr>
        <w:fldChar w:fldCharType="begin"/>
      </w:r>
      <w:r>
        <w:rPr>
          <w:i w:val="0"/>
          <w:iCs w:val="0"/>
        </w:rPr>
        <w:instrText xml:space="preserve"> PAGEREF _Toc23934 </w:instrText>
      </w:r>
      <w:r>
        <w:rPr>
          <w:i w:val="0"/>
          <w:iCs w:val="0"/>
        </w:rPr>
        <w:fldChar w:fldCharType="separate"/>
      </w:r>
      <w:r>
        <w:rPr>
          <w:i w:val="0"/>
          <w:iCs w:val="0"/>
        </w:rPr>
        <w:t>3</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9"/>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_Toc8967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default" w:ascii="Times New Roman" w:hAnsi="Times New Roman" w:cs="Times New Roman"/>
          <w:i w:val="0"/>
          <w:iCs w:val="0"/>
        </w:rPr>
        <w:t>2.2.3 经济现状</w:t>
      </w:r>
      <w:r>
        <w:rPr>
          <w:i w:val="0"/>
          <w:iCs w:val="0"/>
        </w:rPr>
        <w:tab/>
      </w:r>
      <w:r>
        <w:rPr>
          <w:i w:val="0"/>
          <w:iCs w:val="0"/>
        </w:rPr>
        <w:fldChar w:fldCharType="begin"/>
      </w:r>
      <w:r>
        <w:rPr>
          <w:i w:val="0"/>
          <w:iCs w:val="0"/>
        </w:rPr>
        <w:instrText xml:space="preserve"> PAGEREF _Toc8967 </w:instrText>
      </w:r>
      <w:r>
        <w:rPr>
          <w:i w:val="0"/>
          <w:iCs w:val="0"/>
        </w:rPr>
        <w:fldChar w:fldCharType="separate"/>
      </w:r>
      <w:r>
        <w:rPr>
          <w:i w:val="0"/>
          <w:iCs w:val="0"/>
        </w:rPr>
        <w:t>4</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17"/>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_Toc9516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default" w:ascii="Times New Roman" w:hAnsi="Times New Roman" w:cs="Times New Roman"/>
          <w:i w:val="0"/>
          <w:iCs w:val="0"/>
        </w:rPr>
        <w:t>2.3用水及供水状况</w:t>
      </w:r>
      <w:r>
        <w:rPr>
          <w:i w:val="0"/>
          <w:iCs w:val="0"/>
        </w:rPr>
        <w:tab/>
      </w:r>
      <w:r>
        <w:rPr>
          <w:i w:val="0"/>
          <w:iCs w:val="0"/>
        </w:rPr>
        <w:fldChar w:fldCharType="begin"/>
      </w:r>
      <w:r>
        <w:rPr>
          <w:i w:val="0"/>
          <w:iCs w:val="0"/>
        </w:rPr>
        <w:instrText xml:space="preserve"> PAGEREF _Toc9516 </w:instrText>
      </w:r>
      <w:r>
        <w:rPr>
          <w:i w:val="0"/>
          <w:iCs w:val="0"/>
        </w:rPr>
        <w:fldChar w:fldCharType="separate"/>
      </w:r>
      <w:r>
        <w:rPr>
          <w:i w:val="0"/>
          <w:iCs w:val="0"/>
        </w:rPr>
        <w:t>4</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17"/>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_Toc2480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default" w:ascii="Times New Roman" w:hAnsi="Times New Roman" w:cs="Times New Roman"/>
          <w:i w:val="0"/>
          <w:iCs w:val="0"/>
        </w:rPr>
        <w:t>2.4 饮用水水源地基础状况分析</w:t>
      </w:r>
      <w:r>
        <w:rPr>
          <w:i w:val="0"/>
          <w:iCs w:val="0"/>
        </w:rPr>
        <w:tab/>
      </w:r>
      <w:r>
        <w:rPr>
          <w:i w:val="0"/>
          <w:iCs w:val="0"/>
        </w:rPr>
        <w:fldChar w:fldCharType="begin"/>
      </w:r>
      <w:r>
        <w:rPr>
          <w:i w:val="0"/>
          <w:iCs w:val="0"/>
        </w:rPr>
        <w:instrText xml:space="preserve"> PAGEREF _Toc2480 </w:instrText>
      </w:r>
      <w:r>
        <w:rPr>
          <w:i w:val="0"/>
          <w:iCs w:val="0"/>
        </w:rPr>
        <w:fldChar w:fldCharType="separate"/>
      </w:r>
      <w:r>
        <w:rPr>
          <w:i w:val="0"/>
          <w:iCs w:val="0"/>
        </w:rPr>
        <w:t>5</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9"/>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_Toc12732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default" w:ascii="Times New Roman" w:hAnsi="Times New Roman" w:cs="Times New Roman"/>
          <w:i w:val="0"/>
          <w:iCs w:val="0"/>
        </w:rPr>
        <w:t>2.4.1 饮用水水源地基本情况</w:t>
      </w:r>
      <w:r>
        <w:rPr>
          <w:i w:val="0"/>
          <w:iCs w:val="0"/>
        </w:rPr>
        <w:tab/>
      </w:r>
      <w:r>
        <w:rPr>
          <w:i w:val="0"/>
          <w:iCs w:val="0"/>
        </w:rPr>
        <w:fldChar w:fldCharType="begin"/>
      </w:r>
      <w:r>
        <w:rPr>
          <w:i w:val="0"/>
          <w:iCs w:val="0"/>
        </w:rPr>
        <w:instrText xml:space="preserve"> PAGEREF _Toc12732 </w:instrText>
      </w:r>
      <w:r>
        <w:rPr>
          <w:i w:val="0"/>
          <w:iCs w:val="0"/>
        </w:rPr>
        <w:fldChar w:fldCharType="separate"/>
      </w:r>
      <w:r>
        <w:rPr>
          <w:i w:val="0"/>
          <w:iCs w:val="0"/>
        </w:rPr>
        <w:t>5</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9"/>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_Toc13697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eastAsia"/>
          <w:i w:val="0"/>
          <w:iCs w:val="0"/>
          <w:lang w:val="en-US" w:eastAsia="zh-CN"/>
        </w:rPr>
        <w:t>2.4.2</w:t>
      </w:r>
      <w:r>
        <w:rPr>
          <w:rFonts w:hint="eastAsia"/>
          <w:i w:val="0"/>
          <w:iCs w:val="0"/>
          <w:lang w:eastAsia="zh-CN"/>
        </w:rPr>
        <w:t>地表水环境功能区划及相邻水域情况</w:t>
      </w:r>
      <w:r>
        <w:rPr>
          <w:i w:val="0"/>
          <w:iCs w:val="0"/>
        </w:rPr>
        <w:tab/>
      </w:r>
      <w:r>
        <w:rPr>
          <w:i w:val="0"/>
          <w:iCs w:val="0"/>
        </w:rPr>
        <w:fldChar w:fldCharType="begin"/>
      </w:r>
      <w:r>
        <w:rPr>
          <w:i w:val="0"/>
          <w:iCs w:val="0"/>
        </w:rPr>
        <w:instrText xml:space="preserve"> PAGEREF _Toc13697 </w:instrText>
      </w:r>
      <w:r>
        <w:rPr>
          <w:i w:val="0"/>
          <w:iCs w:val="0"/>
        </w:rPr>
        <w:fldChar w:fldCharType="separate"/>
      </w:r>
      <w:r>
        <w:rPr>
          <w:i w:val="0"/>
          <w:iCs w:val="0"/>
        </w:rPr>
        <w:t>5</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9"/>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_Toc100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default" w:ascii="Times New Roman" w:hAnsi="Times New Roman" w:cs="Times New Roman"/>
          <w:i w:val="0"/>
          <w:iCs w:val="0"/>
        </w:rPr>
        <w:t>2.4.</w:t>
      </w:r>
      <w:r>
        <w:rPr>
          <w:rFonts w:hint="eastAsia" w:ascii="Times New Roman" w:hAnsi="Times New Roman" w:cs="Times New Roman"/>
          <w:i w:val="0"/>
          <w:iCs w:val="0"/>
          <w:lang w:val="en-US" w:eastAsia="zh-CN"/>
        </w:rPr>
        <w:t>3</w:t>
      </w:r>
      <w:r>
        <w:rPr>
          <w:rFonts w:hint="default" w:ascii="Times New Roman" w:hAnsi="Times New Roman" w:cs="Times New Roman"/>
          <w:i w:val="0"/>
          <w:iCs w:val="0"/>
        </w:rPr>
        <w:t xml:space="preserve"> 饮用水水源地水环境质量评价</w:t>
      </w:r>
      <w:r>
        <w:rPr>
          <w:i w:val="0"/>
          <w:iCs w:val="0"/>
        </w:rPr>
        <w:tab/>
      </w:r>
      <w:r>
        <w:rPr>
          <w:i w:val="0"/>
          <w:iCs w:val="0"/>
        </w:rPr>
        <w:fldChar w:fldCharType="begin"/>
      </w:r>
      <w:r>
        <w:rPr>
          <w:i w:val="0"/>
          <w:iCs w:val="0"/>
        </w:rPr>
        <w:instrText xml:space="preserve"> PAGEREF _Toc100 </w:instrText>
      </w:r>
      <w:r>
        <w:rPr>
          <w:i w:val="0"/>
          <w:iCs w:val="0"/>
        </w:rPr>
        <w:fldChar w:fldCharType="separate"/>
      </w:r>
      <w:r>
        <w:rPr>
          <w:i w:val="0"/>
          <w:iCs w:val="0"/>
        </w:rPr>
        <w:t>6</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15"/>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_Toc32596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default" w:ascii="Times New Roman" w:hAnsi="Times New Roman" w:cs="Times New Roman"/>
          <w:i w:val="0"/>
          <w:iCs w:val="0"/>
        </w:rPr>
        <w:t>2.4</w:t>
      </w:r>
      <w:r>
        <w:rPr>
          <w:rFonts w:hint="eastAsia" w:ascii="Times New Roman" w:hAnsi="Times New Roman" w:cs="Times New Roman"/>
          <w:i w:val="0"/>
          <w:iCs w:val="0"/>
          <w:lang w:val="en-US" w:eastAsia="zh-CN"/>
        </w:rPr>
        <w:t>.3</w:t>
      </w:r>
      <w:r>
        <w:rPr>
          <w:rFonts w:hint="default" w:ascii="Times New Roman" w:hAnsi="Times New Roman" w:cs="Times New Roman"/>
          <w:i w:val="0"/>
          <w:iCs w:val="0"/>
        </w:rPr>
        <w:t>.1水质监测数据的选取</w:t>
      </w:r>
      <w:r>
        <w:rPr>
          <w:i w:val="0"/>
          <w:iCs w:val="0"/>
        </w:rPr>
        <w:tab/>
      </w:r>
      <w:r>
        <w:rPr>
          <w:i w:val="0"/>
          <w:iCs w:val="0"/>
        </w:rPr>
        <w:fldChar w:fldCharType="begin"/>
      </w:r>
      <w:r>
        <w:rPr>
          <w:i w:val="0"/>
          <w:iCs w:val="0"/>
        </w:rPr>
        <w:instrText xml:space="preserve"> PAGEREF _Toc32596 </w:instrText>
      </w:r>
      <w:r>
        <w:rPr>
          <w:i w:val="0"/>
          <w:iCs w:val="0"/>
        </w:rPr>
        <w:fldChar w:fldCharType="separate"/>
      </w:r>
      <w:r>
        <w:rPr>
          <w:i w:val="0"/>
          <w:iCs w:val="0"/>
        </w:rPr>
        <w:t>6</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15"/>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_Toc32044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default" w:ascii="Times New Roman" w:hAnsi="Times New Roman" w:cs="Times New Roman"/>
          <w:i w:val="0"/>
          <w:iCs w:val="0"/>
          <w:szCs w:val="30"/>
        </w:rPr>
        <w:t>2.4.</w:t>
      </w:r>
      <w:r>
        <w:rPr>
          <w:rFonts w:hint="eastAsia" w:ascii="Times New Roman" w:hAnsi="Times New Roman" w:cs="Times New Roman"/>
          <w:i w:val="0"/>
          <w:iCs w:val="0"/>
          <w:szCs w:val="30"/>
          <w:lang w:val="en-US" w:eastAsia="zh-CN"/>
        </w:rPr>
        <w:t>3</w:t>
      </w:r>
      <w:r>
        <w:rPr>
          <w:rFonts w:hint="default" w:ascii="Times New Roman" w:hAnsi="Times New Roman" w:cs="Times New Roman"/>
          <w:i w:val="0"/>
          <w:iCs w:val="0"/>
          <w:szCs w:val="30"/>
        </w:rPr>
        <w:t>.2水质评价标准及方法</w:t>
      </w:r>
      <w:r>
        <w:rPr>
          <w:i w:val="0"/>
          <w:iCs w:val="0"/>
        </w:rPr>
        <w:tab/>
      </w:r>
      <w:r>
        <w:rPr>
          <w:i w:val="0"/>
          <w:iCs w:val="0"/>
        </w:rPr>
        <w:fldChar w:fldCharType="begin"/>
      </w:r>
      <w:r>
        <w:rPr>
          <w:i w:val="0"/>
          <w:iCs w:val="0"/>
        </w:rPr>
        <w:instrText xml:space="preserve"> PAGEREF _Toc32044 </w:instrText>
      </w:r>
      <w:r>
        <w:rPr>
          <w:i w:val="0"/>
          <w:iCs w:val="0"/>
        </w:rPr>
        <w:fldChar w:fldCharType="separate"/>
      </w:r>
      <w:r>
        <w:rPr>
          <w:i w:val="0"/>
          <w:iCs w:val="0"/>
        </w:rPr>
        <w:t>6</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15"/>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_Toc1881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default" w:ascii="Times New Roman" w:hAnsi="Times New Roman" w:cs="Times New Roman"/>
          <w:i w:val="0"/>
          <w:iCs w:val="0"/>
          <w:szCs w:val="30"/>
        </w:rPr>
        <w:t>2.4.2.3 水质评价结果</w:t>
      </w:r>
      <w:r>
        <w:rPr>
          <w:i w:val="0"/>
          <w:iCs w:val="0"/>
        </w:rPr>
        <w:tab/>
      </w:r>
      <w:r>
        <w:rPr>
          <w:i w:val="0"/>
          <w:iCs w:val="0"/>
        </w:rPr>
        <w:fldChar w:fldCharType="begin"/>
      </w:r>
      <w:r>
        <w:rPr>
          <w:i w:val="0"/>
          <w:iCs w:val="0"/>
        </w:rPr>
        <w:instrText xml:space="preserve"> PAGEREF _Toc1881 </w:instrText>
      </w:r>
      <w:r>
        <w:rPr>
          <w:i w:val="0"/>
          <w:iCs w:val="0"/>
        </w:rPr>
        <w:fldChar w:fldCharType="separate"/>
      </w:r>
      <w:r>
        <w:rPr>
          <w:i w:val="0"/>
          <w:iCs w:val="0"/>
        </w:rPr>
        <w:t>6</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9"/>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_Toc17062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eastAsia" w:asciiTheme="minorEastAsia" w:hAnsiTheme="minorEastAsia" w:eastAsiaTheme="minorEastAsia" w:cstheme="minorEastAsia"/>
          <w:bCs w:val="0"/>
          <w:i w:val="0"/>
          <w:iCs w:val="0"/>
        </w:rPr>
        <w:t>2.4.</w:t>
      </w:r>
      <w:r>
        <w:rPr>
          <w:rFonts w:hint="eastAsia" w:asciiTheme="minorEastAsia" w:hAnsiTheme="minorEastAsia" w:eastAsiaTheme="minorEastAsia" w:cstheme="minorEastAsia"/>
          <w:bCs w:val="0"/>
          <w:i w:val="0"/>
          <w:iCs w:val="0"/>
          <w:lang w:val="en-US" w:eastAsia="zh-CN"/>
        </w:rPr>
        <w:t>4</w:t>
      </w:r>
      <w:r>
        <w:rPr>
          <w:rFonts w:hint="eastAsia" w:asciiTheme="minorEastAsia" w:hAnsiTheme="minorEastAsia" w:eastAsiaTheme="minorEastAsia" w:cstheme="minorEastAsia"/>
          <w:bCs w:val="0"/>
          <w:i w:val="0"/>
          <w:iCs w:val="0"/>
        </w:rPr>
        <w:t>饮用水水源地污染状况分析</w:t>
      </w:r>
      <w:r>
        <w:rPr>
          <w:i w:val="0"/>
          <w:iCs w:val="0"/>
        </w:rPr>
        <w:tab/>
      </w:r>
      <w:r>
        <w:rPr>
          <w:i w:val="0"/>
          <w:iCs w:val="0"/>
        </w:rPr>
        <w:fldChar w:fldCharType="begin"/>
      </w:r>
      <w:r>
        <w:rPr>
          <w:i w:val="0"/>
          <w:iCs w:val="0"/>
        </w:rPr>
        <w:instrText xml:space="preserve"> PAGEREF _Toc17062 </w:instrText>
      </w:r>
      <w:r>
        <w:rPr>
          <w:i w:val="0"/>
          <w:iCs w:val="0"/>
        </w:rPr>
        <w:fldChar w:fldCharType="separate"/>
      </w:r>
      <w:r>
        <w:rPr>
          <w:i w:val="0"/>
          <w:iCs w:val="0"/>
        </w:rPr>
        <w:t>14</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17"/>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_Toc5238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eastAsia" w:asciiTheme="minorEastAsia" w:hAnsiTheme="minorEastAsia" w:eastAsiaTheme="minorEastAsia" w:cstheme="minorEastAsia"/>
          <w:bCs/>
          <w:i w:val="0"/>
          <w:iCs w:val="0"/>
          <w:szCs w:val="30"/>
        </w:rPr>
        <w:t>2.4.</w:t>
      </w:r>
      <w:r>
        <w:rPr>
          <w:rFonts w:hint="eastAsia" w:asciiTheme="minorEastAsia" w:hAnsiTheme="minorEastAsia" w:eastAsiaTheme="minorEastAsia" w:cstheme="minorEastAsia"/>
          <w:bCs/>
          <w:i w:val="0"/>
          <w:iCs w:val="0"/>
          <w:szCs w:val="30"/>
          <w:lang w:val="en-US" w:eastAsia="zh-CN"/>
        </w:rPr>
        <w:t>5</w:t>
      </w:r>
      <w:r>
        <w:rPr>
          <w:rFonts w:hint="eastAsia" w:asciiTheme="minorEastAsia" w:hAnsiTheme="minorEastAsia" w:eastAsiaTheme="minorEastAsia" w:cstheme="minorEastAsia"/>
          <w:bCs/>
          <w:i w:val="0"/>
          <w:iCs w:val="0"/>
          <w:szCs w:val="30"/>
        </w:rPr>
        <w:t>保护区范围内</w:t>
      </w:r>
      <w:r>
        <w:rPr>
          <w:i w:val="0"/>
          <w:iCs w:val="0"/>
        </w:rPr>
        <w:tab/>
      </w:r>
      <w:r>
        <w:rPr>
          <w:i w:val="0"/>
          <w:iCs w:val="0"/>
        </w:rPr>
        <w:fldChar w:fldCharType="begin"/>
      </w:r>
      <w:r>
        <w:rPr>
          <w:i w:val="0"/>
          <w:iCs w:val="0"/>
        </w:rPr>
        <w:instrText xml:space="preserve"> PAGEREF _Toc5238 </w:instrText>
      </w:r>
      <w:r>
        <w:rPr>
          <w:i w:val="0"/>
          <w:iCs w:val="0"/>
        </w:rPr>
        <w:fldChar w:fldCharType="separate"/>
      </w:r>
      <w:r>
        <w:rPr>
          <w:i w:val="0"/>
          <w:iCs w:val="0"/>
        </w:rPr>
        <w:t>14</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17"/>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_Toc8269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ascii="黑体" w:hAnsi="黑体" w:eastAsia="黑体" w:cs="Times New Roman"/>
          <w:i w:val="0"/>
          <w:iCs w:val="0"/>
        </w:rPr>
        <w:t>2.4.</w:t>
      </w:r>
      <w:r>
        <w:rPr>
          <w:rFonts w:hint="eastAsia" w:ascii="黑体" w:hAnsi="黑体" w:eastAsia="黑体" w:cs="Times New Roman"/>
          <w:i w:val="0"/>
          <w:iCs w:val="0"/>
          <w:lang w:val="en-US" w:eastAsia="zh-CN"/>
        </w:rPr>
        <w:t>6</w:t>
      </w:r>
      <w:r>
        <w:rPr>
          <w:rFonts w:hint="eastAsia" w:ascii="黑体" w:hAnsi="黑体" w:eastAsia="黑体" w:cs="Times New Roman"/>
          <w:i w:val="0"/>
          <w:iCs w:val="0"/>
        </w:rPr>
        <w:t xml:space="preserve"> 1km</w:t>
      </w:r>
      <w:r>
        <w:rPr>
          <w:rFonts w:ascii="黑体" w:hAnsi="黑体" w:eastAsia="黑体" w:cs="Times New Roman"/>
          <w:i w:val="0"/>
          <w:iCs w:val="0"/>
        </w:rPr>
        <w:t>范围内的其他情况</w:t>
      </w:r>
      <w:r>
        <w:rPr>
          <w:i w:val="0"/>
          <w:iCs w:val="0"/>
        </w:rPr>
        <w:tab/>
      </w:r>
      <w:r>
        <w:rPr>
          <w:i w:val="0"/>
          <w:iCs w:val="0"/>
        </w:rPr>
        <w:fldChar w:fldCharType="begin"/>
      </w:r>
      <w:r>
        <w:rPr>
          <w:i w:val="0"/>
          <w:iCs w:val="0"/>
        </w:rPr>
        <w:instrText xml:space="preserve"> PAGEREF _Toc8269 </w:instrText>
      </w:r>
      <w:r>
        <w:rPr>
          <w:i w:val="0"/>
          <w:iCs w:val="0"/>
        </w:rPr>
        <w:fldChar w:fldCharType="separate"/>
      </w:r>
      <w:r>
        <w:rPr>
          <w:i w:val="0"/>
          <w:iCs w:val="0"/>
        </w:rPr>
        <w:t>15</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9"/>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_Toc5027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eastAsia"/>
          <w:i w:val="0"/>
          <w:iCs w:val="0"/>
        </w:rPr>
        <w:t>2.4.</w:t>
      </w:r>
      <w:r>
        <w:rPr>
          <w:rFonts w:hint="eastAsia"/>
          <w:i w:val="0"/>
          <w:iCs w:val="0"/>
          <w:lang w:val="en-US" w:eastAsia="zh-CN"/>
        </w:rPr>
        <w:t>7</w:t>
      </w:r>
      <w:r>
        <w:rPr>
          <w:rFonts w:hint="eastAsia"/>
          <w:i w:val="0"/>
          <w:iCs w:val="0"/>
        </w:rPr>
        <w:t>饮用水水源地生态环境分析</w:t>
      </w:r>
      <w:r>
        <w:rPr>
          <w:i w:val="0"/>
          <w:iCs w:val="0"/>
        </w:rPr>
        <w:tab/>
      </w:r>
      <w:r>
        <w:rPr>
          <w:i w:val="0"/>
          <w:iCs w:val="0"/>
        </w:rPr>
        <w:fldChar w:fldCharType="begin"/>
      </w:r>
      <w:r>
        <w:rPr>
          <w:i w:val="0"/>
          <w:iCs w:val="0"/>
        </w:rPr>
        <w:instrText xml:space="preserve"> PAGEREF _Toc5027 </w:instrText>
      </w:r>
      <w:r>
        <w:rPr>
          <w:i w:val="0"/>
          <w:iCs w:val="0"/>
        </w:rPr>
        <w:fldChar w:fldCharType="separate"/>
      </w:r>
      <w:r>
        <w:rPr>
          <w:i w:val="0"/>
          <w:iCs w:val="0"/>
        </w:rPr>
        <w:t>15</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9"/>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_Toc25856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default" w:ascii="Times New Roman" w:hAnsi="Times New Roman" w:cs="Times New Roman"/>
          <w:i w:val="0"/>
          <w:iCs w:val="0"/>
        </w:rPr>
        <w:t>2.4.</w:t>
      </w:r>
      <w:r>
        <w:rPr>
          <w:rFonts w:hint="eastAsia" w:ascii="Times New Roman" w:hAnsi="Times New Roman" w:cs="Times New Roman"/>
          <w:i w:val="0"/>
          <w:iCs w:val="0"/>
          <w:lang w:val="en-US" w:eastAsia="zh-CN"/>
        </w:rPr>
        <w:t>8</w:t>
      </w:r>
      <w:r>
        <w:rPr>
          <w:rFonts w:hint="default" w:ascii="Times New Roman" w:hAnsi="Times New Roman" w:cs="Times New Roman"/>
          <w:i w:val="0"/>
          <w:iCs w:val="0"/>
        </w:rPr>
        <w:t xml:space="preserve"> 饮用水水源地环境管理现状分析</w:t>
      </w:r>
      <w:r>
        <w:rPr>
          <w:i w:val="0"/>
          <w:iCs w:val="0"/>
        </w:rPr>
        <w:tab/>
      </w:r>
      <w:r>
        <w:rPr>
          <w:i w:val="0"/>
          <w:iCs w:val="0"/>
        </w:rPr>
        <w:fldChar w:fldCharType="begin"/>
      </w:r>
      <w:r>
        <w:rPr>
          <w:i w:val="0"/>
          <w:iCs w:val="0"/>
        </w:rPr>
        <w:instrText xml:space="preserve"> PAGEREF _Toc25856 </w:instrText>
      </w:r>
      <w:r>
        <w:rPr>
          <w:i w:val="0"/>
          <w:iCs w:val="0"/>
        </w:rPr>
        <w:fldChar w:fldCharType="separate"/>
      </w:r>
      <w:r>
        <w:rPr>
          <w:i w:val="0"/>
          <w:iCs w:val="0"/>
        </w:rPr>
        <w:t>15</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15"/>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_Toc24318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default" w:ascii="Times New Roman" w:hAnsi="Times New Roman" w:cs="Times New Roman"/>
          <w:i w:val="0"/>
          <w:iCs w:val="0"/>
          <w:szCs w:val="28"/>
        </w:rPr>
        <w:t>2.4.</w:t>
      </w:r>
      <w:r>
        <w:rPr>
          <w:rFonts w:hint="eastAsia" w:ascii="Times New Roman" w:hAnsi="Times New Roman" w:cs="Times New Roman"/>
          <w:i w:val="0"/>
          <w:iCs w:val="0"/>
          <w:szCs w:val="28"/>
          <w:lang w:val="en-US" w:eastAsia="zh-CN"/>
        </w:rPr>
        <w:t>8</w:t>
      </w:r>
      <w:r>
        <w:rPr>
          <w:rFonts w:hint="default" w:ascii="Times New Roman" w:hAnsi="Times New Roman" w:cs="Times New Roman"/>
          <w:i w:val="0"/>
          <w:iCs w:val="0"/>
          <w:szCs w:val="28"/>
        </w:rPr>
        <w:t>.1 饮用水水源地管理机制</w:t>
      </w:r>
      <w:r>
        <w:rPr>
          <w:i w:val="0"/>
          <w:iCs w:val="0"/>
        </w:rPr>
        <w:tab/>
      </w:r>
      <w:r>
        <w:rPr>
          <w:i w:val="0"/>
          <w:iCs w:val="0"/>
        </w:rPr>
        <w:fldChar w:fldCharType="begin"/>
      </w:r>
      <w:r>
        <w:rPr>
          <w:i w:val="0"/>
          <w:iCs w:val="0"/>
        </w:rPr>
        <w:instrText xml:space="preserve"> PAGEREF _Toc24318 </w:instrText>
      </w:r>
      <w:r>
        <w:rPr>
          <w:i w:val="0"/>
          <w:iCs w:val="0"/>
        </w:rPr>
        <w:fldChar w:fldCharType="separate"/>
      </w:r>
      <w:r>
        <w:rPr>
          <w:i w:val="0"/>
          <w:iCs w:val="0"/>
        </w:rPr>
        <w:t>15</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15"/>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_Toc5684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default" w:ascii="Times New Roman" w:hAnsi="Times New Roman" w:cs="Times New Roman"/>
          <w:i w:val="0"/>
          <w:iCs w:val="0"/>
          <w:szCs w:val="28"/>
        </w:rPr>
        <w:t>2.4.</w:t>
      </w:r>
      <w:r>
        <w:rPr>
          <w:rFonts w:hint="eastAsia" w:ascii="Times New Roman" w:hAnsi="Times New Roman" w:cs="Times New Roman"/>
          <w:i w:val="0"/>
          <w:iCs w:val="0"/>
          <w:szCs w:val="28"/>
          <w:lang w:val="en-US" w:eastAsia="zh-CN"/>
        </w:rPr>
        <w:t>8</w:t>
      </w:r>
      <w:r>
        <w:rPr>
          <w:rFonts w:hint="default" w:ascii="Times New Roman" w:hAnsi="Times New Roman" w:cs="Times New Roman"/>
          <w:i w:val="0"/>
          <w:iCs w:val="0"/>
          <w:szCs w:val="28"/>
        </w:rPr>
        <w:t>.2 饮用水水源地保护现状</w:t>
      </w:r>
      <w:r>
        <w:rPr>
          <w:i w:val="0"/>
          <w:iCs w:val="0"/>
        </w:rPr>
        <w:tab/>
      </w:r>
      <w:r>
        <w:rPr>
          <w:i w:val="0"/>
          <w:iCs w:val="0"/>
        </w:rPr>
        <w:fldChar w:fldCharType="begin"/>
      </w:r>
      <w:r>
        <w:rPr>
          <w:i w:val="0"/>
          <w:iCs w:val="0"/>
        </w:rPr>
        <w:instrText xml:space="preserve"> PAGEREF _Toc5684 </w:instrText>
      </w:r>
      <w:r>
        <w:rPr>
          <w:i w:val="0"/>
          <w:iCs w:val="0"/>
        </w:rPr>
        <w:fldChar w:fldCharType="separate"/>
      </w:r>
      <w:r>
        <w:rPr>
          <w:i w:val="0"/>
          <w:iCs w:val="0"/>
        </w:rPr>
        <w:t>16</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14"/>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_Toc29361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default" w:ascii="Times New Roman" w:hAnsi="Times New Roman" w:cs="Times New Roman"/>
          <w:i w:val="0"/>
          <w:iCs w:val="0"/>
          <w:lang w:bidi="ar"/>
        </w:rPr>
        <w:t>第三章 饮用水水源地保护区划分</w:t>
      </w:r>
      <w:r>
        <w:rPr>
          <w:i w:val="0"/>
          <w:iCs w:val="0"/>
        </w:rPr>
        <w:tab/>
      </w:r>
      <w:r>
        <w:rPr>
          <w:i w:val="0"/>
          <w:iCs w:val="0"/>
        </w:rPr>
        <w:fldChar w:fldCharType="begin"/>
      </w:r>
      <w:r>
        <w:rPr>
          <w:i w:val="0"/>
          <w:iCs w:val="0"/>
        </w:rPr>
        <w:instrText xml:space="preserve"> PAGEREF _Toc29361 </w:instrText>
      </w:r>
      <w:r>
        <w:rPr>
          <w:i w:val="0"/>
          <w:iCs w:val="0"/>
        </w:rPr>
        <w:fldChar w:fldCharType="separate"/>
      </w:r>
      <w:r>
        <w:rPr>
          <w:i w:val="0"/>
          <w:iCs w:val="0"/>
        </w:rPr>
        <w:t>17</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17"/>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_Toc16847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default" w:ascii="Times New Roman" w:hAnsi="Times New Roman" w:cs="Times New Roman"/>
          <w:i w:val="0"/>
          <w:iCs w:val="0"/>
        </w:rPr>
        <w:t>3.1 饮用水水源保护区划分的技术方法</w:t>
      </w:r>
      <w:r>
        <w:rPr>
          <w:i w:val="0"/>
          <w:iCs w:val="0"/>
        </w:rPr>
        <w:tab/>
      </w:r>
      <w:r>
        <w:rPr>
          <w:i w:val="0"/>
          <w:iCs w:val="0"/>
        </w:rPr>
        <w:fldChar w:fldCharType="begin"/>
      </w:r>
      <w:r>
        <w:rPr>
          <w:i w:val="0"/>
          <w:iCs w:val="0"/>
        </w:rPr>
        <w:instrText xml:space="preserve"> PAGEREF _Toc16847 </w:instrText>
      </w:r>
      <w:r>
        <w:rPr>
          <w:i w:val="0"/>
          <w:iCs w:val="0"/>
        </w:rPr>
        <w:fldChar w:fldCharType="separate"/>
      </w:r>
      <w:r>
        <w:rPr>
          <w:i w:val="0"/>
          <w:iCs w:val="0"/>
        </w:rPr>
        <w:t>17</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17"/>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_Toc9698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eastAsia" w:ascii="宋体" w:hAnsi="宋体" w:eastAsia="宋体" w:cs="宋体"/>
          <w:bCs/>
          <w:i w:val="0"/>
          <w:iCs w:val="0"/>
          <w:lang w:val="en-US" w:eastAsia="zh-CN"/>
        </w:rPr>
        <w:t>3.2</w:t>
      </w:r>
      <w:r>
        <w:rPr>
          <w:rFonts w:hint="eastAsia" w:ascii="宋体" w:hAnsi="宋体" w:eastAsia="宋体" w:cs="宋体"/>
          <w:bCs/>
          <w:i w:val="0"/>
          <w:iCs w:val="0"/>
          <w:lang w:eastAsia="zh-CN"/>
        </w:rPr>
        <w:t>拦河坝</w:t>
      </w:r>
      <w:r>
        <w:rPr>
          <w:rFonts w:ascii="宋体" w:hAnsi="宋体" w:eastAsia="宋体" w:cs="宋体"/>
          <w:bCs/>
          <w:i w:val="0"/>
          <w:iCs w:val="0"/>
        </w:rPr>
        <w:t>水厂地下水饮用水水源保护区的初步划分</w:t>
      </w:r>
      <w:r>
        <w:rPr>
          <w:i w:val="0"/>
          <w:iCs w:val="0"/>
        </w:rPr>
        <w:tab/>
      </w:r>
      <w:r>
        <w:rPr>
          <w:i w:val="0"/>
          <w:iCs w:val="0"/>
        </w:rPr>
        <w:fldChar w:fldCharType="begin"/>
      </w:r>
      <w:r>
        <w:rPr>
          <w:i w:val="0"/>
          <w:iCs w:val="0"/>
        </w:rPr>
        <w:instrText xml:space="preserve"> PAGEREF _Toc9698 </w:instrText>
      </w:r>
      <w:r>
        <w:rPr>
          <w:i w:val="0"/>
          <w:iCs w:val="0"/>
        </w:rPr>
        <w:fldChar w:fldCharType="separate"/>
      </w:r>
      <w:r>
        <w:rPr>
          <w:i w:val="0"/>
          <w:iCs w:val="0"/>
        </w:rPr>
        <w:t>17</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9"/>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_Toc18385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eastAsia" w:ascii="宋体" w:hAnsi="宋体" w:eastAsia="宋体" w:cs="宋体"/>
          <w:bCs/>
          <w:i w:val="0"/>
          <w:iCs w:val="0"/>
          <w:lang w:val="en-US" w:eastAsia="zh-CN"/>
        </w:rPr>
        <w:t>3.2.1</w:t>
      </w:r>
      <w:r>
        <w:rPr>
          <w:rFonts w:ascii="宋体" w:hAnsi="宋体" w:eastAsia="宋体" w:cs="宋体"/>
          <w:bCs/>
          <w:i w:val="0"/>
          <w:iCs w:val="0"/>
        </w:rPr>
        <w:t>一级保护区</w:t>
      </w:r>
      <w:r>
        <w:rPr>
          <w:i w:val="0"/>
          <w:iCs w:val="0"/>
        </w:rPr>
        <w:tab/>
      </w:r>
      <w:r>
        <w:rPr>
          <w:i w:val="0"/>
          <w:iCs w:val="0"/>
        </w:rPr>
        <w:fldChar w:fldCharType="begin"/>
      </w:r>
      <w:r>
        <w:rPr>
          <w:i w:val="0"/>
          <w:iCs w:val="0"/>
        </w:rPr>
        <w:instrText xml:space="preserve"> PAGEREF _Toc18385 </w:instrText>
      </w:r>
      <w:r>
        <w:rPr>
          <w:i w:val="0"/>
          <w:iCs w:val="0"/>
        </w:rPr>
        <w:fldChar w:fldCharType="separate"/>
      </w:r>
      <w:r>
        <w:rPr>
          <w:i w:val="0"/>
          <w:iCs w:val="0"/>
        </w:rPr>
        <w:t>18</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9"/>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_Toc28738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eastAsia" w:ascii="宋体" w:hAnsi="宋体" w:eastAsia="宋体" w:cs="宋体"/>
          <w:bCs/>
          <w:i w:val="0"/>
          <w:iCs w:val="0"/>
          <w:lang w:val="en-US" w:eastAsia="zh-CN"/>
        </w:rPr>
        <w:t>3.2.2</w:t>
      </w:r>
      <w:r>
        <w:rPr>
          <w:rFonts w:ascii="宋体" w:hAnsi="宋体" w:eastAsia="宋体" w:cs="宋体"/>
          <w:bCs/>
          <w:i w:val="0"/>
          <w:iCs w:val="0"/>
        </w:rPr>
        <w:t>二级保护区</w:t>
      </w:r>
      <w:r>
        <w:rPr>
          <w:i w:val="0"/>
          <w:iCs w:val="0"/>
        </w:rPr>
        <w:tab/>
      </w:r>
      <w:r>
        <w:rPr>
          <w:i w:val="0"/>
          <w:iCs w:val="0"/>
        </w:rPr>
        <w:fldChar w:fldCharType="begin"/>
      </w:r>
      <w:r>
        <w:rPr>
          <w:i w:val="0"/>
          <w:iCs w:val="0"/>
        </w:rPr>
        <w:instrText xml:space="preserve"> PAGEREF _Toc28738 </w:instrText>
      </w:r>
      <w:r>
        <w:rPr>
          <w:i w:val="0"/>
          <w:iCs w:val="0"/>
        </w:rPr>
        <w:fldChar w:fldCharType="separate"/>
      </w:r>
      <w:r>
        <w:rPr>
          <w:i w:val="0"/>
          <w:iCs w:val="0"/>
        </w:rPr>
        <w:t>18</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9"/>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_Toc8744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eastAsia" w:ascii="宋体" w:hAnsi="宋体" w:eastAsia="宋体" w:cs="宋体"/>
          <w:bCs/>
          <w:i w:val="0"/>
          <w:iCs w:val="0"/>
          <w:lang w:val="en-US" w:eastAsia="zh-CN"/>
        </w:rPr>
        <w:t>3.2.3</w:t>
      </w:r>
      <w:r>
        <w:rPr>
          <w:rFonts w:ascii="宋体" w:hAnsi="宋体" w:eastAsia="宋体" w:cs="宋体"/>
          <w:bCs/>
          <w:i w:val="0"/>
          <w:iCs w:val="0"/>
        </w:rPr>
        <w:t>准保护区</w:t>
      </w:r>
      <w:r>
        <w:rPr>
          <w:i w:val="0"/>
          <w:iCs w:val="0"/>
        </w:rPr>
        <w:tab/>
      </w:r>
      <w:r>
        <w:rPr>
          <w:i w:val="0"/>
          <w:iCs w:val="0"/>
        </w:rPr>
        <w:fldChar w:fldCharType="begin"/>
      </w:r>
      <w:r>
        <w:rPr>
          <w:i w:val="0"/>
          <w:iCs w:val="0"/>
        </w:rPr>
        <w:instrText xml:space="preserve"> PAGEREF _Toc8744 </w:instrText>
      </w:r>
      <w:r>
        <w:rPr>
          <w:i w:val="0"/>
          <w:iCs w:val="0"/>
        </w:rPr>
        <w:fldChar w:fldCharType="separate"/>
      </w:r>
      <w:r>
        <w:rPr>
          <w:i w:val="0"/>
          <w:iCs w:val="0"/>
        </w:rPr>
        <w:t>18</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17"/>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_Toc18679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eastAsia"/>
          <w:i w:val="0"/>
          <w:iCs w:val="0"/>
        </w:rPr>
        <w:t>3.</w:t>
      </w:r>
      <w:r>
        <w:rPr>
          <w:rFonts w:hint="eastAsia"/>
          <w:i w:val="0"/>
          <w:iCs w:val="0"/>
          <w:lang w:val="en-US" w:eastAsia="zh-CN"/>
        </w:rPr>
        <w:t>3</w:t>
      </w:r>
      <w:r>
        <w:rPr>
          <w:rFonts w:hint="eastAsia"/>
          <w:i w:val="0"/>
          <w:iCs w:val="0"/>
        </w:rPr>
        <w:t>最终定界</w:t>
      </w:r>
      <w:r>
        <w:rPr>
          <w:i w:val="0"/>
          <w:iCs w:val="0"/>
        </w:rPr>
        <w:tab/>
      </w:r>
      <w:r>
        <w:rPr>
          <w:i w:val="0"/>
          <w:iCs w:val="0"/>
        </w:rPr>
        <w:fldChar w:fldCharType="begin"/>
      </w:r>
      <w:r>
        <w:rPr>
          <w:i w:val="0"/>
          <w:iCs w:val="0"/>
        </w:rPr>
        <w:instrText xml:space="preserve"> PAGEREF _Toc18679 </w:instrText>
      </w:r>
      <w:r>
        <w:rPr>
          <w:i w:val="0"/>
          <w:iCs w:val="0"/>
        </w:rPr>
        <w:fldChar w:fldCharType="separate"/>
      </w:r>
      <w:r>
        <w:rPr>
          <w:i w:val="0"/>
          <w:iCs w:val="0"/>
        </w:rPr>
        <w:t>19</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14"/>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_Toc9331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default" w:ascii="Times New Roman" w:hAnsi="Times New Roman" w:cs="Times New Roman"/>
          <w:i w:val="0"/>
          <w:iCs w:val="0"/>
        </w:rPr>
        <w:t>第四章饮用水水源保护区划分方案与分析</w:t>
      </w:r>
      <w:r>
        <w:rPr>
          <w:i w:val="0"/>
          <w:iCs w:val="0"/>
        </w:rPr>
        <w:tab/>
      </w:r>
      <w:r>
        <w:rPr>
          <w:i w:val="0"/>
          <w:iCs w:val="0"/>
        </w:rPr>
        <w:fldChar w:fldCharType="begin"/>
      </w:r>
      <w:r>
        <w:rPr>
          <w:i w:val="0"/>
          <w:iCs w:val="0"/>
        </w:rPr>
        <w:instrText xml:space="preserve"> PAGEREF _Toc9331 </w:instrText>
      </w:r>
      <w:r>
        <w:rPr>
          <w:i w:val="0"/>
          <w:iCs w:val="0"/>
        </w:rPr>
        <w:fldChar w:fldCharType="separate"/>
      </w:r>
      <w:r>
        <w:rPr>
          <w:i w:val="0"/>
          <w:iCs w:val="0"/>
        </w:rPr>
        <w:t>20</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17"/>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_Toc20982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default" w:ascii="Times New Roman" w:hAnsi="Times New Roman" w:eastAsia="黑体" w:cs="Times New Roman"/>
          <w:i w:val="0"/>
          <w:iCs w:val="0"/>
          <w:szCs w:val="32"/>
        </w:rPr>
        <w:t>4.</w:t>
      </w:r>
      <w:r>
        <w:rPr>
          <w:rFonts w:hint="eastAsia" w:ascii="Times New Roman" w:hAnsi="Times New Roman" w:eastAsia="黑体" w:cs="Times New Roman"/>
          <w:i w:val="0"/>
          <w:iCs w:val="0"/>
          <w:szCs w:val="32"/>
          <w:lang w:val="en-US" w:eastAsia="zh-CN"/>
        </w:rPr>
        <w:t>1</w:t>
      </w:r>
      <w:r>
        <w:rPr>
          <w:rFonts w:hint="default" w:ascii="Times New Roman" w:hAnsi="Times New Roman" w:eastAsia="黑体" w:cs="Times New Roman"/>
          <w:i w:val="0"/>
          <w:iCs w:val="0"/>
          <w:szCs w:val="32"/>
        </w:rPr>
        <w:t>饮用水水源保护区存在环境问题分析</w:t>
      </w:r>
      <w:r>
        <w:rPr>
          <w:i w:val="0"/>
          <w:iCs w:val="0"/>
        </w:rPr>
        <w:tab/>
      </w:r>
      <w:r>
        <w:rPr>
          <w:i w:val="0"/>
          <w:iCs w:val="0"/>
        </w:rPr>
        <w:fldChar w:fldCharType="begin"/>
      </w:r>
      <w:r>
        <w:rPr>
          <w:i w:val="0"/>
          <w:iCs w:val="0"/>
        </w:rPr>
        <w:instrText xml:space="preserve"> PAGEREF _Toc20982 </w:instrText>
      </w:r>
      <w:r>
        <w:rPr>
          <w:i w:val="0"/>
          <w:iCs w:val="0"/>
        </w:rPr>
        <w:fldChar w:fldCharType="separate"/>
      </w:r>
      <w:r>
        <w:rPr>
          <w:i w:val="0"/>
          <w:iCs w:val="0"/>
        </w:rPr>
        <w:t>20</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17"/>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_Toc14967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default" w:ascii="Times New Roman" w:hAnsi="Times New Roman" w:cs="Times New Roman"/>
          <w:i w:val="0"/>
          <w:iCs w:val="0"/>
        </w:rPr>
        <w:t>4.</w:t>
      </w:r>
      <w:r>
        <w:rPr>
          <w:rFonts w:hint="eastAsia" w:ascii="Times New Roman" w:hAnsi="Times New Roman" w:cs="Times New Roman"/>
          <w:i w:val="0"/>
          <w:iCs w:val="0"/>
          <w:lang w:val="en-US" w:eastAsia="zh-CN"/>
        </w:rPr>
        <w:t>2</w:t>
      </w:r>
      <w:r>
        <w:rPr>
          <w:rFonts w:hint="default" w:ascii="Times New Roman" w:hAnsi="Times New Roman" w:cs="Times New Roman"/>
          <w:i w:val="0"/>
          <w:iCs w:val="0"/>
        </w:rPr>
        <w:t xml:space="preserve"> 饮用水水源保护区污染整治措施</w:t>
      </w:r>
      <w:r>
        <w:rPr>
          <w:i w:val="0"/>
          <w:iCs w:val="0"/>
        </w:rPr>
        <w:tab/>
      </w:r>
      <w:r>
        <w:rPr>
          <w:i w:val="0"/>
          <w:iCs w:val="0"/>
        </w:rPr>
        <w:fldChar w:fldCharType="begin"/>
      </w:r>
      <w:r>
        <w:rPr>
          <w:i w:val="0"/>
          <w:iCs w:val="0"/>
        </w:rPr>
        <w:instrText xml:space="preserve"> PAGEREF _Toc14967 </w:instrText>
      </w:r>
      <w:r>
        <w:rPr>
          <w:i w:val="0"/>
          <w:iCs w:val="0"/>
        </w:rPr>
        <w:fldChar w:fldCharType="separate"/>
      </w:r>
      <w:r>
        <w:rPr>
          <w:i w:val="0"/>
          <w:iCs w:val="0"/>
        </w:rPr>
        <w:t>20</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17"/>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_Toc3260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default" w:ascii="Times New Roman" w:hAnsi="Times New Roman" w:cs="Times New Roman"/>
          <w:i w:val="0"/>
          <w:iCs w:val="0"/>
        </w:rPr>
        <w:t>4.</w:t>
      </w:r>
      <w:r>
        <w:rPr>
          <w:rFonts w:hint="eastAsia" w:ascii="Times New Roman" w:hAnsi="Times New Roman" w:cs="Times New Roman"/>
          <w:i w:val="0"/>
          <w:iCs w:val="0"/>
          <w:lang w:val="en-US" w:eastAsia="zh-CN"/>
        </w:rPr>
        <w:t>3</w:t>
      </w:r>
      <w:r>
        <w:rPr>
          <w:rFonts w:hint="default" w:ascii="Times New Roman" w:hAnsi="Times New Roman" w:cs="Times New Roman"/>
          <w:i w:val="0"/>
          <w:iCs w:val="0"/>
        </w:rPr>
        <w:t>水质水量可达性分析</w:t>
      </w:r>
      <w:r>
        <w:rPr>
          <w:i w:val="0"/>
          <w:iCs w:val="0"/>
        </w:rPr>
        <w:tab/>
      </w:r>
      <w:r>
        <w:rPr>
          <w:i w:val="0"/>
          <w:iCs w:val="0"/>
        </w:rPr>
        <w:fldChar w:fldCharType="begin"/>
      </w:r>
      <w:r>
        <w:rPr>
          <w:i w:val="0"/>
          <w:iCs w:val="0"/>
        </w:rPr>
        <w:instrText xml:space="preserve"> PAGEREF _Toc3260 </w:instrText>
      </w:r>
      <w:r>
        <w:rPr>
          <w:i w:val="0"/>
          <w:iCs w:val="0"/>
        </w:rPr>
        <w:fldChar w:fldCharType="separate"/>
      </w:r>
      <w:r>
        <w:rPr>
          <w:i w:val="0"/>
          <w:iCs w:val="0"/>
        </w:rPr>
        <w:t>22</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14"/>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_Toc3962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default" w:ascii="Times New Roman" w:hAnsi="Times New Roman" w:cs="Times New Roman"/>
          <w:i w:val="0"/>
          <w:iCs w:val="0"/>
        </w:rPr>
        <w:t>第五章</w:t>
      </w:r>
      <w:r>
        <w:rPr>
          <w:rFonts w:hint="eastAsia" w:ascii="Times New Roman" w:hAnsi="Times New Roman" w:cs="Times New Roman"/>
          <w:i w:val="0"/>
          <w:iCs w:val="0"/>
          <w:lang w:val="en-US" w:eastAsia="zh-CN"/>
        </w:rPr>
        <w:t xml:space="preserve">  </w:t>
      </w:r>
      <w:r>
        <w:rPr>
          <w:rFonts w:hint="default" w:ascii="Times New Roman" w:hAnsi="Times New Roman" w:cs="Times New Roman"/>
          <w:i w:val="0"/>
          <w:iCs w:val="0"/>
        </w:rPr>
        <w:t>饮用水水源保护区图形标志</w:t>
      </w:r>
      <w:r>
        <w:rPr>
          <w:i w:val="0"/>
          <w:iCs w:val="0"/>
        </w:rPr>
        <w:tab/>
      </w:r>
      <w:r>
        <w:rPr>
          <w:i w:val="0"/>
          <w:iCs w:val="0"/>
        </w:rPr>
        <w:fldChar w:fldCharType="begin"/>
      </w:r>
      <w:r>
        <w:rPr>
          <w:i w:val="0"/>
          <w:iCs w:val="0"/>
        </w:rPr>
        <w:instrText xml:space="preserve"> PAGEREF _Toc3962 </w:instrText>
      </w:r>
      <w:r>
        <w:rPr>
          <w:i w:val="0"/>
          <w:iCs w:val="0"/>
        </w:rPr>
        <w:fldChar w:fldCharType="separate"/>
      </w:r>
      <w:r>
        <w:rPr>
          <w:i w:val="0"/>
          <w:iCs w:val="0"/>
        </w:rPr>
        <w:t>23</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17"/>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_Toc6500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default" w:ascii="Times New Roman" w:hAnsi="Times New Roman" w:cs="Times New Roman"/>
          <w:i w:val="0"/>
          <w:iCs w:val="0"/>
        </w:rPr>
        <w:t>5.1</w:t>
      </w:r>
      <w:r>
        <w:rPr>
          <w:rFonts w:hint="eastAsia"/>
          <w:i w:val="0"/>
          <w:iCs w:val="0"/>
        </w:rPr>
        <w:t>饮用水水源保护区标志、隔离网的设置</w:t>
      </w:r>
      <w:r>
        <w:rPr>
          <w:i w:val="0"/>
          <w:iCs w:val="0"/>
        </w:rPr>
        <w:tab/>
      </w:r>
      <w:r>
        <w:rPr>
          <w:i w:val="0"/>
          <w:iCs w:val="0"/>
        </w:rPr>
        <w:fldChar w:fldCharType="begin"/>
      </w:r>
      <w:r>
        <w:rPr>
          <w:i w:val="0"/>
          <w:iCs w:val="0"/>
        </w:rPr>
        <w:instrText xml:space="preserve"> PAGEREF _Toc6500 </w:instrText>
      </w:r>
      <w:r>
        <w:rPr>
          <w:i w:val="0"/>
          <w:iCs w:val="0"/>
        </w:rPr>
        <w:fldChar w:fldCharType="separate"/>
      </w:r>
      <w:r>
        <w:rPr>
          <w:i w:val="0"/>
          <w:iCs w:val="0"/>
        </w:rPr>
        <w:t>23</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17"/>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_Toc18473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default" w:ascii="Times New Roman" w:hAnsi="Times New Roman" w:cs="Times New Roman"/>
          <w:i w:val="0"/>
          <w:iCs w:val="0"/>
        </w:rPr>
        <w:t>5.1.1饮用水水源保护区图形标志的分类</w:t>
      </w:r>
      <w:r>
        <w:rPr>
          <w:i w:val="0"/>
          <w:iCs w:val="0"/>
        </w:rPr>
        <w:tab/>
      </w:r>
      <w:r>
        <w:rPr>
          <w:i w:val="0"/>
          <w:iCs w:val="0"/>
        </w:rPr>
        <w:fldChar w:fldCharType="begin"/>
      </w:r>
      <w:r>
        <w:rPr>
          <w:i w:val="0"/>
          <w:iCs w:val="0"/>
        </w:rPr>
        <w:instrText xml:space="preserve"> PAGEREF _Toc18473 </w:instrText>
      </w:r>
      <w:r>
        <w:rPr>
          <w:i w:val="0"/>
          <w:iCs w:val="0"/>
        </w:rPr>
        <w:fldChar w:fldCharType="separate"/>
      </w:r>
      <w:r>
        <w:rPr>
          <w:i w:val="0"/>
          <w:iCs w:val="0"/>
        </w:rPr>
        <w:t>23</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9"/>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_Toc3454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default" w:ascii="Times New Roman" w:hAnsi="Times New Roman" w:cs="Times New Roman"/>
          <w:i w:val="0"/>
          <w:iCs w:val="0"/>
        </w:rPr>
        <w:t>5.1.2饮用水水源保护区图形标志的内容</w:t>
      </w:r>
      <w:r>
        <w:rPr>
          <w:i w:val="0"/>
          <w:iCs w:val="0"/>
        </w:rPr>
        <w:tab/>
      </w:r>
      <w:r>
        <w:rPr>
          <w:i w:val="0"/>
          <w:iCs w:val="0"/>
        </w:rPr>
        <w:fldChar w:fldCharType="begin"/>
      </w:r>
      <w:r>
        <w:rPr>
          <w:i w:val="0"/>
          <w:iCs w:val="0"/>
        </w:rPr>
        <w:instrText xml:space="preserve"> PAGEREF _Toc3454 </w:instrText>
      </w:r>
      <w:r>
        <w:rPr>
          <w:i w:val="0"/>
          <w:iCs w:val="0"/>
        </w:rPr>
        <w:fldChar w:fldCharType="separate"/>
      </w:r>
      <w:r>
        <w:rPr>
          <w:i w:val="0"/>
          <w:iCs w:val="0"/>
        </w:rPr>
        <w:t>24</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9"/>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_Toc25348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default" w:ascii="Times New Roman" w:hAnsi="Times New Roman" w:cs="Times New Roman"/>
          <w:i w:val="0"/>
          <w:iCs w:val="0"/>
        </w:rPr>
        <w:t>5.1.3饮用水水源保护区图形标志的设立位置</w:t>
      </w:r>
      <w:r>
        <w:rPr>
          <w:i w:val="0"/>
          <w:iCs w:val="0"/>
        </w:rPr>
        <w:tab/>
      </w:r>
      <w:r>
        <w:rPr>
          <w:i w:val="0"/>
          <w:iCs w:val="0"/>
        </w:rPr>
        <w:fldChar w:fldCharType="begin"/>
      </w:r>
      <w:r>
        <w:rPr>
          <w:i w:val="0"/>
          <w:iCs w:val="0"/>
        </w:rPr>
        <w:instrText xml:space="preserve"> PAGEREF _Toc25348 </w:instrText>
      </w:r>
      <w:r>
        <w:rPr>
          <w:i w:val="0"/>
          <w:iCs w:val="0"/>
        </w:rPr>
        <w:fldChar w:fldCharType="separate"/>
      </w:r>
      <w:r>
        <w:rPr>
          <w:i w:val="0"/>
          <w:iCs w:val="0"/>
        </w:rPr>
        <w:t>26</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9"/>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_Toc25237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default" w:ascii="Times New Roman" w:hAnsi="Times New Roman" w:cs="Times New Roman"/>
          <w:i w:val="0"/>
          <w:iCs w:val="0"/>
        </w:rPr>
        <w:t>5.1.4饮用水水源保护区图形标志的构造</w:t>
      </w:r>
      <w:r>
        <w:rPr>
          <w:i w:val="0"/>
          <w:iCs w:val="0"/>
        </w:rPr>
        <w:tab/>
      </w:r>
      <w:r>
        <w:rPr>
          <w:i w:val="0"/>
          <w:iCs w:val="0"/>
        </w:rPr>
        <w:fldChar w:fldCharType="begin"/>
      </w:r>
      <w:r>
        <w:rPr>
          <w:i w:val="0"/>
          <w:iCs w:val="0"/>
        </w:rPr>
        <w:instrText xml:space="preserve"> PAGEREF _Toc25237 </w:instrText>
      </w:r>
      <w:r>
        <w:rPr>
          <w:i w:val="0"/>
          <w:iCs w:val="0"/>
        </w:rPr>
        <w:fldChar w:fldCharType="separate"/>
      </w:r>
      <w:r>
        <w:rPr>
          <w:i w:val="0"/>
          <w:iCs w:val="0"/>
        </w:rPr>
        <w:t>27</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9"/>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_Toc20841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default" w:ascii="Times New Roman" w:hAnsi="Times New Roman" w:cs="Times New Roman"/>
          <w:i w:val="0"/>
          <w:iCs w:val="0"/>
        </w:rPr>
        <w:t>5.1.5饮用水水源保护区图形标志的制作</w:t>
      </w:r>
      <w:r>
        <w:rPr>
          <w:i w:val="0"/>
          <w:iCs w:val="0"/>
        </w:rPr>
        <w:tab/>
      </w:r>
      <w:r>
        <w:rPr>
          <w:i w:val="0"/>
          <w:iCs w:val="0"/>
        </w:rPr>
        <w:fldChar w:fldCharType="begin"/>
      </w:r>
      <w:r>
        <w:rPr>
          <w:i w:val="0"/>
          <w:iCs w:val="0"/>
        </w:rPr>
        <w:instrText xml:space="preserve"> PAGEREF _Toc20841 </w:instrText>
      </w:r>
      <w:r>
        <w:rPr>
          <w:i w:val="0"/>
          <w:iCs w:val="0"/>
        </w:rPr>
        <w:fldChar w:fldCharType="separate"/>
      </w:r>
      <w:r>
        <w:rPr>
          <w:i w:val="0"/>
          <w:iCs w:val="0"/>
        </w:rPr>
        <w:t>28</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9"/>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_Toc12934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default" w:ascii="Times New Roman" w:hAnsi="Times New Roman" w:cs="Times New Roman"/>
          <w:i w:val="0"/>
          <w:iCs w:val="0"/>
        </w:rPr>
        <w:t>5.1.6 隔离网设置</w:t>
      </w:r>
      <w:r>
        <w:rPr>
          <w:i w:val="0"/>
          <w:iCs w:val="0"/>
        </w:rPr>
        <w:tab/>
      </w:r>
      <w:r>
        <w:rPr>
          <w:i w:val="0"/>
          <w:iCs w:val="0"/>
        </w:rPr>
        <w:fldChar w:fldCharType="begin"/>
      </w:r>
      <w:r>
        <w:rPr>
          <w:i w:val="0"/>
          <w:iCs w:val="0"/>
        </w:rPr>
        <w:instrText xml:space="preserve"> PAGEREF _Toc12934 </w:instrText>
      </w:r>
      <w:r>
        <w:rPr>
          <w:i w:val="0"/>
          <w:iCs w:val="0"/>
        </w:rPr>
        <w:fldChar w:fldCharType="separate"/>
      </w:r>
      <w:r>
        <w:rPr>
          <w:i w:val="0"/>
          <w:iCs w:val="0"/>
        </w:rPr>
        <w:t>28</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17"/>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_Toc25558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default" w:ascii="Times New Roman" w:hAnsi="Times New Roman" w:cs="Times New Roman"/>
          <w:i w:val="0"/>
          <w:iCs w:val="0"/>
        </w:rPr>
        <w:t>5.2饮用水水源保护区日常监测</w:t>
      </w:r>
      <w:r>
        <w:rPr>
          <w:i w:val="0"/>
          <w:iCs w:val="0"/>
        </w:rPr>
        <w:tab/>
      </w:r>
      <w:r>
        <w:rPr>
          <w:i w:val="0"/>
          <w:iCs w:val="0"/>
        </w:rPr>
        <w:fldChar w:fldCharType="begin"/>
      </w:r>
      <w:r>
        <w:rPr>
          <w:i w:val="0"/>
          <w:iCs w:val="0"/>
        </w:rPr>
        <w:instrText xml:space="preserve"> PAGEREF _Toc25558 </w:instrText>
      </w:r>
      <w:r>
        <w:rPr>
          <w:i w:val="0"/>
          <w:iCs w:val="0"/>
        </w:rPr>
        <w:fldChar w:fldCharType="separate"/>
      </w:r>
      <w:r>
        <w:rPr>
          <w:i w:val="0"/>
          <w:iCs w:val="0"/>
        </w:rPr>
        <w:t>29</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17"/>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_Toc31139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default" w:ascii="Times New Roman" w:hAnsi="Times New Roman" w:cs="Times New Roman"/>
          <w:i w:val="0"/>
          <w:iCs w:val="0"/>
        </w:rPr>
        <w:t>5.3饮用水水源保护区环境监督管理要求</w:t>
      </w:r>
      <w:r>
        <w:rPr>
          <w:i w:val="0"/>
          <w:iCs w:val="0"/>
        </w:rPr>
        <w:tab/>
      </w:r>
      <w:r>
        <w:rPr>
          <w:i w:val="0"/>
          <w:iCs w:val="0"/>
        </w:rPr>
        <w:fldChar w:fldCharType="begin"/>
      </w:r>
      <w:r>
        <w:rPr>
          <w:i w:val="0"/>
          <w:iCs w:val="0"/>
        </w:rPr>
        <w:instrText xml:space="preserve"> PAGEREF _Toc31139 </w:instrText>
      </w:r>
      <w:r>
        <w:rPr>
          <w:i w:val="0"/>
          <w:iCs w:val="0"/>
        </w:rPr>
        <w:fldChar w:fldCharType="separate"/>
      </w:r>
      <w:r>
        <w:rPr>
          <w:i w:val="0"/>
          <w:iCs w:val="0"/>
        </w:rPr>
        <w:t>29</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17"/>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_Toc1010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eastAsia"/>
          <w:bCs w:val="0"/>
          <w:i w:val="0"/>
          <w:iCs w:val="0"/>
          <w:szCs w:val="30"/>
        </w:rPr>
        <w:t>5.4 饮用水水源保护区风险防范与应急预案</w:t>
      </w:r>
      <w:r>
        <w:rPr>
          <w:i w:val="0"/>
          <w:iCs w:val="0"/>
        </w:rPr>
        <w:tab/>
      </w:r>
      <w:r>
        <w:rPr>
          <w:i w:val="0"/>
          <w:iCs w:val="0"/>
        </w:rPr>
        <w:fldChar w:fldCharType="begin"/>
      </w:r>
      <w:r>
        <w:rPr>
          <w:i w:val="0"/>
          <w:iCs w:val="0"/>
        </w:rPr>
        <w:instrText xml:space="preserve"> PAGEREF _Toc1010 </w:instrText>
      </w:r>
      <w:r>
        <w:rPr>
          <w:i w:val="0"/>
          <w:iCs w:val="0"/>
        </w:rPr>
        <w:fldChar w:fldCharType="separate"/>
      </w:r>
      <w:r>
        <w:rPr>
          <w:i w:val="0"/>
          <w:iCs w:val="0"/>
        </w:rPr>
        <w:t>30</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9"/>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_Toc26383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eastAsia" w:asciiTheme="minorEastAsia" w:hAnsiTheme="minorEastAsia" w:eastAsiaTheme="minorEastAsia" w:cstheme="minorEastAsia"/>
          <w:i w:val="0"/>
          <w:iCs w:val="0"/>
        </w:rPr>
        <w:t xml:space="preserve">5.4.1 </w:t>
      </w:r>
      <w:r>
        <w:rPr>
          <w:rFonts w:ascii="宋体" w:hAnsi="宋体" w:eastAsia="宋体" w:cs="宋体"/>
          <w:i w:val="0"/>
          <w:iCs w:val="0"/>
        </w:rPr>
        <w:t>保护区内的风险定性分析</w:t>
      </w:r>
      <w:r>
        <w:rPr>
          <w:i w:val="0"/>
          <w:iCs w:val="0"/>
        </w:rPr>
        <w:tab/>
      </w:r>
      <w:r>
        <w:rPr>
          <w:i w:val="0"/>
          <w:iCs w:val="0"/>
        </w:rPr>
        <w:fldChar w:fldCharType="begin"/>
      </w:r>
      <w:r>
        <w:rPr>
          <w:i w:val="0"/>
          <w:iCs w:val="0"/>
        </w:rPr>
        <w:instrText xml:space="preserve"> PAGEREF _Toc26383 </w:instrText>
      </w:r>
      <w:r>
        <w:rPr>
          <w:i w:val="0"/>
          <w:iCs w:val="0"/>
        </w:rPr>
        <w:fldChar w:fldCharType="separate"/>
      </w:r>
      <w:r>
        <w:rPr>
          <w:i w:val="0"/>
          <w:iCs w:val="0"/>
        </w:rPr>
        <w:t>30</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9"/>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_Toc18444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eastAsia" w:ascii="Times New Roman" w:hAnsi="Times New Roman" w:cs="Times New Roman"/>
          <w:i w:val="0"/>
          <w:iCs w:val="0"/>
        </w:rPr>
        <w:t>5.4.2 风险应急措施和应急预案</w:t>
      </w:r>
      <w:r>
        <w:rPr>
          <w:i w:val="0"/>
          <w:iCs w:val="0"/>
        </w:rPr>
        <w:tab/>
      </w:r>
      <w:r>
        <w:rPr>
          <w:i w:val="0"/>
          <w:iCs w:val="0"/>
        </w:rPr>
        <w:fldChar w:fldCharType="begin"/>
      </w:r>
      <w:r>
        <w:rPr>
          <w:i w:val="0"/>
          <w:iCs w:val="0"/>
        </w:rPr>
        <w:instrText xml:space="preserve"> PAGEREF _Toc18444 </w:instrText>
      </w:r>
      <w:r>
        <w:rPr>
          <w:i w:val="0"/>
          <w:iCs w:val="0"/>
        </w:rPr>
        <w:fldChar w:fldCharType="separate"/>
      </w:r>
      <w:r>
        <w:rPr>
          <w:i w:val="0"/>
          <w:iCs w:val="0"/>
        </w:rPr>
        <w:t>34</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14"/>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_Toc5320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default" w:ascii="Times New Roman" w:hAnsi="Times New Roman" w:cs="Times New Roman"/>
          <w:i w:val="0"/>
          <w:iCs w:val="0"/>
        </w:rPr>
        <w:t>第六章饮用水水源保护保障措施</w:t>
      </w:r>
      <w:r>
        <w:rPr>
          <w:i w:val="0"/>
          <w:iCs w:val="0"/>
        </w:rPr>
        <w:tab/>
      </w:r>
      <w:r>
        <w:rPr>
          <w:i w:val="0"/>
          <w:iCs w:val="0"/>
        </w:rPr>
        <w:fldChar w:fldCharType="begin"/>
      </w:r>
      <w:r>
        <w:rPr>
          <w:i w:val="0"/>
          <w:iCs w:val="0"/>
        </w:rPr>
        <w:instrText xml:space="preserve"> PAGEREF _Toc5320 </w:instrText>
      </w:r>
      <w:r>
        <w:rPr>
          <w:i w:val="0"/>
          <w:iCs w:val="0"/>
        </w:rPr>
        <w:fldChar w:fldCharType="separate"/>
      </w:r>
      <w:r>
        <w:rPr>
          <w:i w:val="0"/>
          <w:iCs w:val="0"/>
        </w:rPr>
        <w:t>36</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17"/>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_Toc29544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default" w:ascii="Times New Roman" w:hAnsi="Times New Roman" w:cs="Times New Roman"/>
          <w:i w:val="0"/>
          <w:iCs w:val="0"/>
        </w:rPr>
        <w:t>6.1 资金保障</w:t>
      </w:r>
      <w:r>
        <w:rPr>
          <w:i w:val="0"/>
          <w:iCs w:val="0"/>
        </w:rPr>
        <w:tab/>
      </w:r>
      <w:r>
        <w:rPr>
          <w:i w:val="0"/>
          <w:iCs w:val="0"/>
        </w:rPr>
        <w:fldChar w:fldCharType="begin"/>
      </w:r>
      <w:r>
        <w:rPr>
          <w:i w:val="0"/>
          <w:iCs w:val="0"/>
        </w:rPr>
        <w:instrText xml:space="preserve"> PAGEREF _Toc29544 </w:instrText>
      </w:r>
      <w:r>
        <w:rPr>
          <w:i w:val="0"/>
          <w:iCs w:val="0"/>
        </w:rPr>
        <w:fldChar w:fldCharType="separate"/>
      </w:r>
      <w:r>
        <w:rPr>
          <w:i w:val="0"/>
          <w:iCs w:val="0"/>
        </w:rPr>
        <w:t>36</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17"/>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_Toc3389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eastAsia" w:asciiTheme="minorEastAsia" w:hAnsiTheme="minorEastAsia" w:eastAsiaTheme="minorEastAsia" w:cstheme="minorEastAsia"/>
          <w:bCs w:val="0"/>
          <w:i w:val="0"/>
          <w:iCs w:val="0"/>
        </w:rPr>
        <w:t>6.2 法律法规与政策制度保障</w:t>
      </w:r>
      <w:r>
        <w:rPr>
          <w:i w:val="0"/>
          <w:iCs w:val="0"/>
        </w:rPr>
        <w:tab/>
      </w:r>
      <w:r>
        <w:rPr>
          <w:i w:val="0"/>
          <w:iCs w:val="0"/>
        </w:rPr>
        <w:fldChar w:fldCharType="begin"/>
      </w:r>
      <w:r>
        <w:rPr>
          <w:i w:val="0"/>
          <w:iCs w:val="0"/>
        </w:rPr>
        <w:instrText xml:space="preserve"> PAGEREF _Toc3389 </w:instrText>
      </w:r>
      <w:r>
        <w:rPr>
          <w:i w:val="0"/>
          <w:iCs w:val="0"/>
        </w:rPr>
        <w:fldChar w:fldCharType="separate"/>
      </w:r>
      <w:r>
        <w:rPr>
          <w:i w:val="0"/>
          <w:iCs w:val="0"/>
        </w:rPr>
        <w:t>37</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17"/>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_Toc21004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eastAsia"/>
          <w:bCs/>
          <w:i w:val="0"/>
          <w:iCs w:val="0"/>
          <w:szCs w:val="30"/>
        </w:rPr>
        <w:t>6.3 组织分工与管理保障</w:t>
      </w:r>
      <w:r>
        <w:rPr>
          <w:i w:val="0"/>
          <w:iCs w:val="0"/>
        </w:rPr>
        <w:tab/>
      </w:r>
      <w:r>
        <w:rPr>
          <w:i w:val="0"/>
          <w:iCs w:val="0"/>
        </w:rPr>
        <w:fldChar w:fldCharType="begin"/>
      </w:r>
      <w:r>
        <w:rPr>
          <w:i w:val="0"/>
          <w:iCs w:val="0"/>
        </w:rPr>
        <w:instrText xml:space="preserve"> PAGEREF _Toc21004 </w:instrText>
      </w:r>
      <w:r>
        <w:rPr>
          <w:i w:val="0"/>
          <w:iCs w:val="0"/>
        </w:rPr>
        <w:fldChar w:fldCharType="separate"/>
      </w:r>
      <w:r>
        <w:rPr>
          <w:i w:val="0"/>
          <w:iCs w:val="0"/>
        </w:rPr>
        <w:t>37</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17"/>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_Toc29287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eastAsia" w:asciiTheme="minorEastAsia" w:hAnsiTheme="minorEastAsia" w:eastAsiaTheme="minorEastAsia" w:cstheme="minorEastAsia"/>
          <w:bCs w:val="0"/>
          <w:i w:val="0"/>
          <w:iCs w:val="0"/>
        </w:rPr>
        <w:t>6.4 宣传与教育</w:t>
      </w:r>
      <w:r>
        <w:rPr>
          <w:i w:val="0"/>
          <w:iCs w:val="0"/>
        </w:rPr>
        <w:tab/>
      </w:r>
      <w:r>
        <w:rPr>
          <w:i w:val="0"/>
          <w:iCs w:val="0"/>
        </w:rPr>
        <w:fldChar w:fldCharType="begin"/>
      </w:r>
      <w:r>
        <w:rPr>
          <w:i w:val="0"/>
          <w:iCs w:val="0"/>
        </w:rPr>
        <w:instrText xml:space="preserve"> PAGEREF _Toc29287 </w:instrText>
      </w:r>
      <w:r>
        <w:rPr>
          <w:i w:val="0"/>
          <w:iCs w:val="0"/>
        </w:rPr>
        <w:fldChar w:fldCharType="separate"/>
      </w:r>
      <w:r>
        <w:rPr>
          <w:i w:val="0"/>
          <w:iCs w:val="0"/>
        </w:rPr>
        <w:t>38</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9"/>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_Toc5105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eastAsia" w:ascii="黑体" w:hAnsi="黑体" w:cs="黑体"/>
          <w:bCs/>
          <w:i w:val="0"/>
          <w:iCs w:val="0"/>
        </w:rPr>
        <w:t>6.4.1建立公众参与机制</w:t>
      </w:r>
      <w:r>
        <w:rPr>
          <w:i w:val="0"/>
          <w:iCs w:val="0"/>
        </w:rPr>
        <w:tab/>
      </w:r>
      <w:r>
        <w:rPr>
          <w:i w:val="0"/>
          <w:iCs w:val="0"/>
        </w:rPr>
        <w:fldChar w:fldCharType="begin"/>
      </w:r>
      <w:r>
        <w:rPr>
          <w:i w:val="0"/>
          <w:iCs w:val="0"/>
        </w:rPr>
        <w:instrText xml:space="preserve"> PAGEREF _Toc5105 </w:instrText>
      </w:r>
      <w:r>
        <w:rPr>
          <w:i w:val="0"/>
          <w:iCs w:val="0"/>
        </w:rPr>
        <w:fldChar w:fldCharType="separate"/>
      </w:r>
      <w:r>
        <w:rPr>
          <w:i w:val="0"/>
          <w:iCs w:val="0"/>
        </w:rPr>
        <w:t>38</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9"/>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_Toc31409 </w:instrText>
      </w:r>
      <w:r>
        <w:rPr>
          <w:rFonts w:hint="default" w:ascii="Times New Roman" w:hAnsi="Times New Roman" w:cs="Times New Roman" w:eastAsiaTheme="majorEastAsia"/>
          <w:bCs w:val="0"/>
          <w:i w:val="0"/>
          <w:iCs w:val="0"/>
          <w:caps/>
          <w:szCs w:val="24"/>
          <w:shd w:val="clear" w:color="FFFFFF" w:fill="D9D9D9"/>
        </w:rPr>
        <w:fldChar w:fldCharType="separate"/>
      </w:r>
      <w:r>
        <w:rPr>
          <w:rFonts w:hint="eastAsia" w:ascii="黑体" w:hAnsi="黑体" w:cs="黑体"/>
          <w:bCs/>
          <w:i w:val="0"/>
          <w:iCs w:val="0"/>
        </w:rPr>
        <w:t>6.4.2强化媒体宣教机制</w:t>
      </w:r>
      <w:r>
        <w:rPr>
          <w:i w:val="0"/>
          <w:iCs w:val="0"/>
        </w:rPr>
        <w:tab/>
      </w:r>
      <w:r>
        <w:rPr>
          <w:i w:val="0"/>
          <w:iCs w:val="0"/>
        </w:rPr>
        <w:fldChar w:fldCharType="begin"/>
      </w:r>
      <w:r>
        <w:rPr>
          <w:i w:val="0"/>
          <w:iCs w:val="0"/>
        </w:rPr>
        <w:instrText xml:space="preserve"> PAGEREF _Toc31409 </w:instrText>
      </w:r>
      <w:r>
        <w:rPr>
          <w:i w:val="0"/>
          <w:iCs w:val="0"/>
        </w:rPr>
        <w:fldChar w:fldCharType="separate"/>
      </w:r>
      <w:r>
        <w:rPr>
          <w:i w:val="0"/>
          <w:iCs w:val="0"/>
        </w:rPr>
        <w:t>38</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14"/>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_Toc10948 </w:instrText>
      </w:r>
      <w:r>
        <w:rPr>
          <w:rFonts w:hint="default" w:ascii="Times New Roman" w:hAnsi="Times New Roman" w:cs="Times New Roman" w:eastAsiaTheme="majorEastAsia"/>
          <w:bCs w:val="0"/>
          <w:i w:val="0"/>
          <w:iCs w:val="0"/>
          <w:caps/>
          <w:szCs w:val="24"/>
          <w:shd w:val="clear" w:color="FFFFFF" w:fill="D9D9D9"/>
        </w:rPr>
        <w:fldChar w:fldCharType="separate"/>
      </w:r>
      <w:r>
        <w:rPr>
          <w:i w:val="0"/>
          <w:iCs w:val="0"/>
        </w:rPr>
        <w:t>附件</w:t>
      </w:r>
      <w:r>
        <w:rPr>
          <w:i w:val="0"/>
          <w:iCs w:val="0"/>
        </w:rPr>
        <w:tab/>
      </w:r>
      <w:r>
        <w:rPr>
          <w:i w:val="0"/>
          <w:iCs w:val="0"/>
        </w:rPr>
        <w:fldChar w:fldCharType="begin"/>
      </w:r>
      <w:r>
        <w:rPr>
          <w:i w:val="0"/>
          <w:iCs w:val="0"/>
        </w:rPr>
        <w:instrText xml:space="preserve"> PAGEREF _Toc10948 </w:instrText>
      </w:r>
      <w:r>
        <w:rPr>
          <w:i w:val="0"/>
          <w:iCs w:val="0"/>
        </w:rPr>
        <w:fldChar w:fldCharType="separate"/>
      </w:r>
      <w:r>
        <w:rPr>
          <w:i w:val="0"/>
          <w:iCs w:val="0"/>
        </w:rPr>
        <w:t>39</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14"/>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_Toc23106 </w:instrText>
      </w:r>
      <w:r>
        <w:rPr>
          <w:rFonts w:hint="default" w:ascii="Times New Roman" w:hAnsi="Times New Roman" w:cs="Times New Roman" w:eastAsiaTheme="majorEastAsia"/>
          <w:bCs w:val="0"/>
          <w:i w:val="0"/>
          <w:iCs w:val="0"/>
          <w:caps/>
          <w:szCs w:val="24"/>
          <w:shd w:val="clear" w:color="FFFFFF" w:fill="D9D9D9"/>
        </w:rPr>
        <w:fldChar w:fldCharType="separate"/>
      </w:r>
      <w:r>
        <w:rPr>
          <w:i w:val="0"/>
          <w:iCs w:val="0"/>
        </w:rPr>
        <w:t>附表</w:t>
      </w:r>
      <w:r>
        <w:rPr>
          <w:i w:val="0"/>
          <w:iCs w:val="0"/>
        </w:rPr>
        <w:tab/>
      </w:r>
      <w:r>
        <w:rPr>
          <w:i w:val="0"/>
          <w:iCs w:val="0"/>
        </w:rPr>
        <w:fldChar w:fldCharType="begin"/>
      </w:r>
      <w:r>
        <w:rPr>
          <w:i w:val="0"/>
          <w:iCs w:val="0"/>
        </w:rPr>
        <w:instrText xml:space="preserve"> PAGEREF _Toc23106 </w:instrText>
      </w:r>
      <w:r>
        <w:rPr>
          <w:i w:val="0"/>
          <w:iCs w:val="0"/>
        </w:rPr>
        <w:fldChar w:fldCharType="separate"/>
      </w:r>
      <w:r>
        <w:rPr>
          <w:i w:val="0"/>
          <w:iCs w:val="0"/>
        </w:rPr>
        <w:t>39</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Style w:val="14"/>
        <w:pageBreakBefore w:val="0"/>
        <w:tabs>
          <w:tab w:val="right" w:leader="dot" w:pos="8788"/>
        </w:tabs>
        <w:kinsoku/>
        <w:wordWrap/>
        <w:overflowPunct/>
        <w:topLinePunct w:val="0"/>
        <w:autoSpaceDE/>
        <w:autoSpaceDN/>
        <w:bidi w:val="0"/>
        <w:spacing w:line="240" w:lineRule="auto"/>
        <w:textAlignment w:val="auto"/>
        <w:rPr>
          <w:i w:val="0"/>
          <w:iCs w:val="0"/>
        </w:rPr>
      </w:pPr>
      <w:r>
        <w:rPr>
          <w:rFonts w:hint="default" w:ascii="Times New Roman" w:hAnsi="Times New Roman" w:cs="Times New Roman" w:eastAsiaTheme="majorEastAsia"/>
          <w:bCs w:val="0"/>
          <w:i w:val="0"/>
          <w:iCs w:val="0"/>
          <w:caps/>
          <w:szCs w:val="24"/>
          <w:shd w:val="clear" w:color="FFFFFF" w:fill="D9D9D9"/>
        </w:rPr>
        <w:fldChar w:fldCharType="begin"/>
      </w:r>
      <w:r>
        <w:rPr>
          <w:rFonts w:hint="default" w:ascii="Times New Roman" w:hAnsi="Times New Roman" w:cs="Times New Roman" w:eastAsiaTheme="majorEastAsia"/>
          <w:bCs w:val="0"/>
          <w:i w:val="0"/>
          <w:iCs w:val="0"/>
          <w:caps/>
          <w:szCs w:val="24"/>
          <w:shd w:val="clear" w:color="FFFFFF" w:fill="D9D9D9"/>
        </w:rPr>
        <w:instrText xml:space="preserve"> HYPERLINK \l _Toc1687 </w:instrText>
      </w:r>
      <w:r>
        <w:rPr>
          <w:rFonts w:hint="default" w:ascii="Times New Roman" w:hAnsi="Times New Roman" w:cs="Times New Roman" w:eastAsiaTheme="majorEastAsia"/>
          <w:bCs w:val="0"/>
          <w:i w:val="0"/>
          <w:iCs w:val="0"/>
          <w:caps/>
          <w:szCs w:val="24"/>
          <w:shd w:val="clear" w:color="FFFFFF" w:fill="D9D9D9"/>
        </w:rPr>
        <w:fldChar w:fldCharType="separate"/>
      </w:r>
      <w:r>
        <w:rPr>
          <w:i w:val="0"/>
          <w:iCs w:val="0"/>
        </w:rPr>
        <w:t>附图</w:t>
      </w:r>
      <w:r>
        <w:rPr>
          <w:i w:val="0"/>
          <w:iCs w:val="0"/>
        </w:rPr>
        <w:tab/>
      </w:r>
      <w:r>
        <w:rPr>
          <w:i w:val="0"/>
          <w:iCs w:val="0"/>
        </w:rPr>
        <w:fldChar w:fldCharType="begin"/>
      </w:r>
      <w:r>
        <w:rPr>
          <w:i w:val="0"/>
          <w:iCs w:val="0"/>
        </w:rPr>
        <w:instrText xml:space="preserve"> PAGEREF _Toc1687 </w:instrText>
      </w:r>
      <w:r>
        <w:rPr>
          <w:i w:val="0"/>
          <w:iCs w:val="0"/>
        </w:rPr>
        <w:fldChar w:fldCharType="separate"/>
      </w:r>
      <w:r>
        <w:rPr>
          <w:i w:val="0"/>
          <w:iCs w:val="0"/>
        </w:rPr>
        <w:t>39</w:t>
      </w:r>
      <w:r>
        <w:rPr>
          <w:i w:val="0"/>
          <w:iCs w:val="0"/>
        </w:rPr>
        <w:fldChar w:fldCharType="end"/>
      </w:r>
      <w:r>
        <w:rPr>
          <w:rFonts w:hint="default" w:ascii="Times New Roman" w:hAnsi="Times New Roman" w:cs="Times New Roman" w:eastAsiaTheme="majorEastAsia"/>
          <w:bCs w:val="0"/>
          <w:i w:val="0"/>
          <w:iCs w:val="0"/>
          <w:caps/>
          <w:szCs w:val="24"/>
          <w:shd w:val="clear" w:color="FFFFFF" w:fill="D9D9D9"/>
        </w:rPr>
        <w:fldChar w:fldCharType="end"/>
      </w:r>
    </w:p>
    <w:p>
      <w:pPr>
        <w:pageBreakBefore w:val="0"/>
        <w:kinsoku/>
        <w:wordWrap/>
        <w:overflowPunct/>
        <w:topLinePunct w:val="0"/>
        <w:autoSpaceDE/>
        <w:autoSpaceDN/>
        <w:bidi w:val="0"/>
        <w:spacing w:line="240" w:lineRule="auto"/>
        <w:ind w:firstLine="482"/>
        <w:jc w:val="both"/>
        <w:textAlignment w:val="auto"/>
        <w:rPr>
          <w:rFonts w:hint="default" w:ascii="Times New Roman" w:hAnsi="Times New Roman" w:cs="Times New Roman" w:eastAsiaTheme="majorEastAsia"/>
          <w:b w:val="0"/>
          <w:bCs w:val="0"/>
          <w:i w:val="0"/>
          <w:iCs w:val="0"/>
          <w:sz w:val="24"/>
          <w:szCs w:val="24"/>
          <w:shd w:val="clear" w:color="FFFFFF" w:fill="D9D9D9"/>
        </w:rPr>
        <w:sectPr>
          <w:pgSz w:w="11907" w:h="16840"/>
          <w:pgMar w:top="1701" w:right="1418" w:bottom="1701" w:left="1701" w:header="851" w:footer="1134" w:gutter="0"/>
          <w:pgBorders>
            <w:top w:val="none" w:sz="0" w:space="0"/>
            <w:left w:val="none" w:sz="0" w:space="0"/>
            <w:bottom w:val="none" w:sz="0" w:space="0"/>
            <w:right w:val="none" w:sz="0" w:space="0"/>
          </w:pgBorders>
          <w:pgNumType w:start="1"/>
          <w:cols w:space="720" w:num="1"/>
        </w:sectPr>
      </w:pPr>
      <w:r>
        <w:rPr>
          <w:rFonts w:hint="default" w:ascii="Times New Roman" w:hAnsi="Times New Roman" w:cs="Times New Roman" w:eastAsiaTheme="majorEastAsia"/>
          <w:bCs w:val="0"/>
          <w:i w:val="0"/>
          <w:iCs w:val="0"/>
          <w:caps/>
          <w:szCs w:val="24"/>
          <w:shd w:val="clear" w:color="FFFFFF" w:fill="D9D9D9"/>
        </w:rPr>
        <w:fldChar w:fldCharType="end"/>
      </w:r>
    </w:p>
    <w:p>
      <w:pPr>
        <w:pStyle w:val="2"/>
        <w:spacing w:before="163" w:after="163"/>
        <w:jc w:val="center"/>
        <w:rPr>
          <w:rFonts w:hint="default" w:ascii="Times New Roman" w:hAnsi="Times New Roman" w:cs="Times New Roman"/>
        </w:rPr>
      </w:pPr>
      <w:bookmarkStart w:id="0" w:name="_Toc453061544"/>
      <w:bookmarkStart w:id="1" w:name="_Toc23731"/>
      <w:bookmarkStart w:id="2" w:name="_Toc453061698"/>
      <w:bookmarkStart w:id="3" w:name="_Toc438805121"/>
      <w:bookmarkStart w:id="4" w:name="_Toc4355"/>
      <w:r>
        <w:rPr>
          <w:rFonts w:hint="default" w:ascii="Times New Roman" w:hAnsi="Times New Roman" w:cs="Times New Roman"/>
        </w:rPr>
        <w:t>第一章 总论</w:t>
      </w:r>
      <w:bookmarkEnd w:id="0"/>
      <w:bookmarkEnd w:id="1"/>
      <w:bookmarkEnd w:id="2"/>
      <w:bookmarkEnd w:id="3"/>
      <w:bookmarkEnd w:id="4"/>
    </w:p>
    <w:p>
      <w:pPr>
        <w:pStyle w:val="3"/>
        <w:spacing w:before="163" w:after="163"/>
        <w:rPr>
          <w:rFonts w:hint="default" w:ascii="Times New Roman" w:hAnsi="Times New Roman" w:cs="Times New Roman"/>
        </w:rPr>
      </w:pPr>
      <w:bookmarkStart w:id="5" w:name="_Toc453061699"/>
      <w:bookmarkStart w:id="6" w:name="_Toc453061545"/>
      <w:bookmarkStart w:id="7" w:name="_Toc18559"/>
      <w:bookmarkStart w:id="8" w:name="_Toc438805122"/>
      <w:bookmarkStart w:id="9" w:name="_Toc29553"/>
      <w:r>
        <w:rPr>
          <w:rFonts w:hint="default" w:ascii="Times New Roman" w:hAnsi="Times New Roman" w:cs="Times New Roman"/>
        </w:rPr>
        <w:t>1.1 工作背景与意义</w:t>
      </w:r>
      <w:bookmarkEnd w:id="5"/>
      <w:bookmarkEnd w:id="6"/>
      <w:bookmarkEnd w:id="7"/>
      <w:bookmarkEnd w:id="8"/>
      <w:bookmarkEnd w:id="9"/>
    </w:p>
    <w:p>
      <w:pPr>
        <w:adjustRightInd w:val="0"/>
        <w:snapToGrid w:val="0"/>
        <w:spacing w:line="360" w:lineRule="auto"/>
        <w:ind w:firstLine="480" w:firstLineChars="200"/>
        <w:rPr>
          <w:rFonts w:ascii="Calibri" w:hAnsi="Calibri" w:eastAsia="宋体" w:cs="Times New Roman"/>
          <w:sz w:val="24"/>
          <w:szCs w:val="22"/>
          <w:highlight w:val="none"/>
        </w:rPr>
      </w:pPr>
      <w:bookmarkStart w:id="10" w:name="_Toc458323072"/>
      <w:bookmarkStart w:id="11" w:name="_Toc453061551"/>
      <w:bookmarkStart w:id="12" w:name="_Toc453061705"/>
      <w:r>
        <w:rPr>
          <w:rFonts w:hint="eastAsia" w:ascii="Calibri" w:hAnsi="Calibri" w:eastAsia="宋体" w:cs="宋体"/>
          <w:sz w:val="24"/>
          <w:szCs w:val="22"/>
          <w:lang w:bidi="ar"/>
        </w:rPr>
        <w:t>我国由于水源污染而引起的社会问题相当突出，饮用水源地保护问题已成为国计民生的重大问题。为保障人民饮水安全和水源地可持续开发利用，加强水污染防治和饮用水源保护工作，划分饮用水源保护区迫在眉睫。因此湖南省环保厅下发了《关于开展全省集中式饮用水水源保护区划分工作的通知》（湘环函【</w:t>
      </w:r>
      <w:r>
        <w:rPr>
          <w:rFonts w:ascii="Calibri" w:hAnsi="Calibri" w:eastAsia="宋体" w:cs="Times New Roman"/>
          <w:sz w:val="24"/>
          <w:szCs w:val="22"/>
          <w:lang w:bidi="ar"/>
        </w:rPr>
        <w:t>2015</w:t>
      </w:r>
      <w:r>
        <w:rPr>
          <w:rFonts w:hint="eastAsia" w:ascii="Calibri" w:hAnsi="Calibri" w:eastAsia="宋体" w:cs="宋体"/>
          <w:sz w:val="24"/>
          <w:szCs w:val="22"/>
          <w:lang w:bidi="ar"/>
        </w:rPr>
        <w:t>】</w:t>
      </w:r>
      <w:r>
        <w:rPr>
          <w:rFonts w:ascii="Calibri" w:hAnsi="Calibri" w:eastAsia="宋体" w:cs="Times New Roman"/>
          <w:sz w:val="24"/>
          <w:szCs w:val="22"/>
          <w:lang w:bidi="ar"/>
        </w:rPr>
        <w:t>459</w:t>
      </w:r>
      <w:r>
        <w:rPr>
          <w:rFonts w:hint="eastAsia" w:ascii="Calibri" w:hAnsi="Calibri" w:eastAsia="宋体" w:cs="宋体"/>
          <w:sz w:val="24"/>
          <w:szCs w:val="22"/>
          <w:lang w:bidi="ar"/>
        </w:rPr>
        <w:t>号），要求全省以市州、县为单位，彻底摸清辖区内集中饮用水源地的分布、水源构成、水质状况及保护区划定情况，划分水源地保护区范围，</w:t>
      </w:r>
      <w:r>
        <w:rPr>
          <w:rFonts w:hint="eastAsia" w:ascii="Calibri" w:hAnsi="Calibri" w:eastAsia="宋体" w:cs="宋体"/>
          <w:sz w:val="24"/>
          <w:szCs w:val="22"/>
          <w:highlight w:val="none"/>
          <w:lang w:bidi="ar"/>
        </w:rPr>
        <w:t>进而编制</w:t>
      </w:r>
      <w:r>
        <w:rPr>
          <w:rFonts w:hint="eastAsia" w:ascii="Calibri" w:hAnsi="Calibri" w:eastAsia="宋体" w:cs="宋体"/>
          <w:sz w:val="24"/>
          <w:szCs w:val="22"/>
          <w:highlight w:val="none"/>
          <w:lang w:eastAsia="zh-CN" w:bidi="ar"/>
        </w:rPr>
        <w:t>地下水</w:t>
      </w:r>
      <w:r>
        <w:rPr>
          <w:rFonts w:hint="eastAsia" w:ascii="Calibri" w:hAnsi="Calibri" w:eastAsia="宋体" w:cs="宋体"/>
          <w:sz w:val="24"/>
          <w:szCs w:val="22"/>
          <w:highlight w:val="none"/>
          <w:lang w:bidi="ar"/>
        </w:rPr>
        <w:t>饮用水水源保护区划分</w:t>
      </w:r>
      <w:r>
        <w:rPr>
          <w:rFonts w:hint="eastAsia" w:ascii="Calibri" w:hAnsi="Calibri" w:eastAsia="宋体" w:cs="宋体"/>
          <w:sz w:val="24"/>
          <w:szCs w:val="22"/>
          <w:highlight w:val="none"/>
          <w:lang w:val="en-US" w:eastAsia="zh-CN" w:bidi="ar"/>
        </w:rPr>
        <w:t>技术报告</w:t>
      </w:r>
      <w:r>
        <w:rPr>
          <w:rFonts w:hint="eastAsia" w:ascii="Calibri" w:hAnsi="Calibri" w:eastAsia="宋体" w:cs="宋体"/>
          <w:sz w:val="24"/>
          <w:szCs w:val="22"/>
          <w:highlight w:val="none"/>
          <w:lang w:bidi="ar"/>
        </w:rPr>
        <w:t>。</w:t>
      </w:r>
    </w:p>
    <w:p>
      <w:pPr>
        <w:adjustRightInd w:val="0"/>
        <w:snapToGrid w:val="0"/>
        <w:spacing w:line="360" w:lineRule="auto"/>
        <w:ind w:firstLine="480" w:firstLineChars="200"/>
        <w:rPr>
          <w:rFonts w:ascii="Calibri" w:hAnsi="Calibri" w:cs="Times New Roman"/>
          <w:szCs w:val="22"/>
          <w:highlight w:val="none"/>
        </w:rPr>
      </w:pPr>
      <w:r>
        <w:rPr>
          <w:rFonts w:hint="eastAsia" w:ascii="Calibri" w:hAnsi="Calibri" w:eastAsia="宋体" w:cs="宋体"/>
          <w:sz w:val="24"/>
          <w:szCs w:val="22"/>
          <w:highlight w:val="none"/>
          <w:lang w:bidi="ar"/>
        </w:rPr>
        <w:t>按照通知要求，湘阴县人民政府委托我公司承担</w:t>
      </w:r>
      <w:r>
        <w:rPr>
          <w:rFonts w:ascii="Calibri" w:hAnsi="Calibri" w:eastAsia="宋体" w:cs="Times New Roman"/>
          <w:sz w:val="24"/>
          <w:szCs w:val="22"/>
          <w:highlight w:val="none"/>
          <w:lang w:bidi="ar"/>
        </w:rPr>
        <w:t xml:space="preserve"> </w:t>
      </w:r>
      <w:r>
        <w:rPr>
          <w:rFonts w:hint="eastAsia" w:ascii="Calibri" w:hAnsi="Calibri" w:eastAsia="宋体" w:cs="宋体"/>
          <w:sz w:val="24"/>
          <w:szCs w:val="22"/>
          <w:highlight w:val="none"/>
          <w:lang w:bidi="ar"/>
        </w:rPr>
        <w:t>“湘阴县</w:t>
      </w:r>
      <w:r>
        <w:rPr>
          <w:rFonts w:hint="eastAsia" w:ascii="Calibri" w:hAnsi="Calibri" w:eastAsia="宋体" w:cs="宋体"/>
          <w:sz w:val="24"/>
          <w:szCs w:val="22"/>
          <w:highlight w:val="none"/>
          <w:lang w:val="en-US" w:eastAsia="zh-CN" w:bidi="ar"/>
        </w:rPr>
        <w:t>三塘镇拦河坝水厂</w:t>
      </w:r>
      <w:r>
        <w:rPr>
          <w:rFonts w:hint="eastAsia" w:ascii="Calibri" w:hAnsi="Calibri" w:eastAsia="宋体" w:cs="宋体"/>
          <w:sz w:val="24"/>
          <w:szCs w:val="22"/>
          <w:highlight w:val="none"/>
          <w:lang w:eastAsia="zh-CN" w:bidi="ar"/>
        </w:rPr>
        <w:t>地下水</w:t>
      </w:r>
      <w:r>
        <w:rPr>
          <w:rFonts w:hint="eastAsia" w:ascii="Calibri" w:hAnsi="Calibri" w:eastAsia="宋体" w:cs="宋体"/>
          <w:sz w:val="24"/>
          <w:szCs w:val="22"/>
          <w:highlight w:val="none"/>
          <w:lang w:bidi="ar"/>
        </w:rPr>
        <w:t>饮用水源保护区划分</w:t>
      </w:r>
      <w:r>
        <w:rPr>
          <w:rFonts w:hint="eastAsia" w:ascii="Calibri" w:hAnsi="Calibri" w:eastAsia="宋体" w:cs="宋体"/>
          <w:sz w:val="24"/>
          <w:szCs w:val="22"/>
          <w:highlight w:val="none"/>
          <w:lang w:val="en-US" w:eastAsia="zh-CN" w:bidi="ar"/>
        </w:rPr>
        <w:t>项目技术报告</w:t>
      </w:r>
      <w:r>
        <w:rPr>
          <w:rFonts w:hint="eastAsia" w:ascii="Calibri" w:hAnsi="Calibri" w:eastAsia="宋体" w:cs="宋体"/>
          <w:sz w:val="24"/>
          <w:szCs w:val="22"/>
          <w:highlight w:val="none"/>
          <w:lang w:bidi="ar"/>
        </w:rPr>
        <w:t>”的编制工作。</w:t>
      </w:r>
    </w:p>
    <w:p>
      <w:pPr>
        <w:pStyle w:val="3"/>
        <w:spacing w:before="163" w:after="163"/>
        <w:rPr>
          <w:rFonts w:hint="default" w:ascii="Times New Roman" w:hAnsi="Times New Roman" w:cs="Times New Roman"/>
        </w:rPr>
      </w:pPr>
      <w:bookmarkStart w:id="13" w:name="_Toc17884"/>
      <w:bookmarkStart w:id="14" w:name="_Toc11118"/>
      <w:r>
        <w:rPr>
          <w:rFonts w:hint="default" w:ascii="Times New Roman" w:hAnsi="Times New Roman" w:cs="Times New Roman"/>
        </w:rPr>
        <w:t>1.2划定依据</w:t>
      </w:r>
      <w:bookmarkEnd w:id="10"/>
      <w:bookmarkEnd w:id="13"/>
      <w:bookmarkEnd w:id="14"/>
    </w:p>
    <w:p>
      <w:pPr>
        <w:pStyle w:val="4"/>
        <w:spacing w:before="163" w:after="163"/>
        <w:rPr>
          <w:rFonts w:hint="default" w:ascii="Times New Roman" w:hAnsi="Times New Roman" w:cs="Times New Roman"/>
        </w:rPr>
      </w:pPr>
      <w:bookmarkStart w:id="15" w:name="_Toc13084"/>
      <w:bookmarkStart w:id="16" w:name="_Toc458323073"/>
      <w:bookmarkStart w:id="17" w:name="_Toc451526483"/>
      <w:bookmarkStart w:id="18" w:name="_Toc14699"/>
      <w:r>
        <w:rPr>
          <w:rFonts w:hint="default" w:ascii="Times New Roman" w:hAnsi="Times New Roman" w:cs="Times New Roman"/>
        </w:rPr>
        <w:t>1.2.1 相关法律法规、规章</w:t>
      </w:r>
      <w:bookmarkEnd w:id="15"/>
      <w:bookmarkEnd w:id="16"/>
      <w:bookmarkEnd w:id="17"/>
      <w:bookmarkEnd w:id="18"/>
    </w:p>
    <w:p>
      <w:pPr>
        <w:adjustRightInd w:val="0"/>
        <w:snapToGrid w:val="0"/>
        <w:spacing w:line="360" w:lineRule="auto"/>
        <w:ind w:firstLine="480" w:firstLineChars="200"/>
        <w:rPr>
          <w:rFonts w:ascii="Times New Roman" w:hAnsi="Times New Roman" w:eastAsia="宋体" w:cs="Times New Roman"/>
          <w:sz w:val="24"/>
          <w:szCs w:val="22"/>
        </w:rPr>
      </w:pPr>
      <w:bookmarkStart w:id="19" w:name="_Toc458323074"/>
      <w:bookmarkStart w:id="20" w:name="_Toc451526484"/>
      <w:r>
        <w:rPr>
          <w:rFonts w:ascii="Times New Roman" w:hAnsi="Times New Roman" w:eastAsia="宋体" w:cs="Times New Roman"/>
          <w:sz w:val="24"/>
          <w:szCs w:val="22"/>
        </w:rPr>
        <w:t>（1）《中华人民共和国环境保护法》（2014修订）；</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（2）《中华人民共和国水法》（2016.07修订）；</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（3）《中华人民共和国水污染防治法》（2017 年 6 月第二次修正，2018 年6 月1 日起施行）；</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（4）《饮用水水源保护区污染防治管理规定》（2010.12）</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（5）《关于废止、修改部分环保部门规章和规范性文件的决定》（部令第16号，2010.12.22）。</w:t>
      </w:r>
    </w:p>
    <w:p>
      <w:pPr>
        <w:adjustRightInd w:val="0"/>
        <w:snapToGrid w:val="0"/>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（6）《湖南省湘江保护条例》（自2013年4月1日起施行）；</w:t>
      </w:r>
    </w:p>
    <w:p>
      <w:pPr>
        <w:adjustRightInd w:val="0"/>
        <w:snapToGrid w:val="0"/>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（7）《湖南省饮用水水源保护条例》（自2018年1月1日起施行）；</w:t>
      </w:r>
    </w:p>
    <w:p>
      <w:pPr>
        <w:adjustRightInd w:val="0"/>
        <w:snapToGrid w:val="0"/>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（8）《湖南省环境保护厅关于划定岳阳市湘阴县地下水饮用水水源保护区 复函》（湘环函[2018]236号）</w:t>
      </w:r>
    </w:p>
    <w:p>
      <w:pPr>
        <w:adjustRightInd w:val="0"/>
        <w:snapToGrid w:val="0"/>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（9）湘阴县人民政府办公室关于印发《湘阴县饮用水水源保护区管理办法》</w:t>
      </w:r>
    </w:p>
    <w:p>
      <w:pPr>
        <w:adjustRightInd w:val="0"/>
        <w:snapToGrid w:val="0"/>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的通知(2013年8月14日)；</w:t>
      </w:r>
    </w:p>
    <w:p>
      <w:pPr>
        <w:keepNext/>
        <w:keepLines/>
        <w:pageBreakBefore w:val="0"/>
        <w:widowControl w:val="0"/>
        <w:numPr>
          <w:ilvl w:val="0"/>
          <w:numId w:val="1"/>
        </w:numPr>
        <w:kinsoku/>
        <w:wordWrap/>
        <w:overflowPunct/>
        <w:topLinePunct w:val="0"/>
        <w:autoSpaceDE/>
        <w:autoSpaceDN/>
        <w:bidi w:val="0"/>
        <w:adjustRightInd w:val="0"/>
        <w:snapToGrid w:val="0"/>
        <w:spacing w:before="163" w:after="163"/>
        <w:textAlignment w:val="auto"/>
        <w:outlineLvl w:val="9"/>
        <w:rPr>
          <w:rFonts w:hint="eastAsia" w:ascii="Times New Roman" w:hAnsi="Times New Roman" w:eastAsia="宋体" w:cs="Times New Roman"/>
          <w:sz w:val="24"/>
          <w:szCs w:val="22"/>
        </w:rPr>
      </w:pPr>
      <w:bookmarkStart w:id="21" w:name="_Toc24661"/>
      <w:bookmarkStart w:id="22" w:name="_Toc6779"/>
      <w:bookmarkStart w:id="23" w:name="_Toc24642"/>
      <w:r>
        <w:rPr>
          <w:rFonts w:hint="eastAsia" w:ascii="Times New Roman" w:hAnsi="Times New Roman" w:eastAsia="宋体" w:cs="Times New Roman"/>
          <w:sz w:val="24"/>
          <w:szCs w:val="22"/>
        </w:rPr>
        <w:t>《生活饮用水集中式供水单位卫生规范》（卫监发[2001]161 号）</w:t>
      </w:r>
      <w:bookmarkEnd w:id="21"/>
      <w:bookmarkEnd w:id="22"/>
      <w:bookmarkEnd w:id="23"/>
    </w:p>
    <w:p>
      <w:pPr>
        <w:pStyle w:val="4"/>
        <w:numPr>
          <w:ilvl w:val="0"/>
          <w:numId w:val="0"/>
        </w:numPr>
        <w:spacing w:before="163" w:after="163"/>
        <w:rPr>
          <w:rFonts w:hint="default" w:ascii="Times New Roman" w:hAnsi="Times New Roman" w:cs="Times New Roman"/>
        </w:rPr>
      </w:pPr>
      <w:bookmarkStart w:id="24" w:name="_Toc22140"/>
      <w:bookmarkStart w:id="25" w:name="_Toc19152"/>
      <w:r>
        <w:rPr>
          <w:rFonts w:hint="default" w:ascii="Times New Roman" w:hAnsi="Times New Roman" w:cs="Times New Roman"/>
        </w:rPr>
        <w:t>1.2.2技术标准</w:t>
      </w:r>
      <w:bookmarkEnd w:id="19"/>
      <w:bookmarkEnd w:id="20"/>
      <w:bookmarkEnd w:id="24"/>
      <w:bookmarkEnd w:id="25"/>
    </w:p>
    <w:p>
      <w:pPr>
        <w:adjustRightInd w:val="0"/>
        <w:snapToGrid w:val="0"/>
        <w:spacing w:line="360" w:lineRule="auto"/>
        <w:ind w:firstLine="480" w:firstLineChars="200"/>
        <w:rPr>
          <w:rFonts w:ascii="Times New Roman" w:hAnsi="Times New Roman" w:eastAsia="宋体" w:cs="Times New Roman"/>
          <w:sz w:val="24"/>
          <w:szCs w:val="22"/>
        </w:rPr>
      </w:pPr>
      <w:bookmarkStart w:id="26" w:name="_Toc451526485"/>
      <w:bookmarkStart w:id="27" w:name="_Toc458323075"/>
      <w:r>
        <w:rPr>
          <w:rFonts w:ascii="Times New Roman" w:hAnsi="Times New Roman" w:eastAsia="宋体" w:cs="Times New Roman"/>
          <w:sz w:val="24"/>
          <w:szCs w:val="22"/>
        </w:rPr>
        <w:t>（1）《生活饮用水卫生标准》（GB5749-2006）；</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（2）《生活饮用水水源水质标准》（CJ3020-93）；</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（3）《地下水质量标准》（GB/T 14848-2017）；</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（4）《水资源评价导则》（SL/T238—1999）；</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（5）《饮用水水源保护区划分技术规范》（HJ338—2018）；</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（6）《饮用水水源保护区标志技术要求》（HJ/T433—2008）；</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（7）《集中式饮用水水源环境保护指南（试行）》（2012.3）；</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（8）关于印发《地表水环境质量评价办法（试行）》的通知（环办【2011】22号）；</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（9）《全国集中式生活饮用水水源地水质监测实施方案》（环办函【2012】1266号）；</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（10）《湖南省主要地表水系水环境功能区划》（DB43/023-2005）</w:t>
      </w:r>
      <w:r>
        <w:rPr>
          <w:rFonts w:hint="eastAsia" w:ascii="Times New Roman" w:hAnsi="Times New Roman" w:eastAsia="宋体" w:cs="Times New Roman"/>
          <w:sz w:val="24"/>
          <w:szCs w:val="22"/>
        </w:rPr>
        <w:t>;</w:t>
      </w:r>
    </w:p>
    <w:p>
      <w:pPr>
        <w:adjustRightInd w:val="0"/>
        <w:snapToGrid w:val="0"/>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（11）《全国集中式生活饮用水水源地水质监测实施方案》（环办函[2012]1266 号）；</w:t>
      </w:r>
    </w:p>
    <w:p>
      <w:pPr>
        <w:adjustRightInd w:val="0"/>
        <w:snapToGrid w:val="0"/>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（12）湖南省环境保护厅关于印发《湖南省集中式饮用水水源保护区划分工 作指南》的通知（湘环函[2016]196 号）；</w:t>
      </w:r>
    </w:p>
    <w:p>
      <w:pPr>
        <w:adjustRightInd w:val="0"/>
        <w:snapToGrid w:val="0"/>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（13）《集中式饮用水水源地规范化整治建设环境保护技术要求》（HJ337-2015）；</w:t>
      </w:r>
    </w:p>
    <w:p>
      <w:pPr>
        <w:adjustRightInd w:val="0"/>
        <w:snapToGrid w:val="0"/>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（14）《关于答复全国集中式饮用水水源地环境保护专项行动有关问题的函》（环办环监函[2018]767 号）；</w:t>
      </w:r>
    </w:p>
    <w:p>
      <w:pPr>
        <w:adjustRightInd w:val="0"/>
        <w:snapToGrid w:val="0"/>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（15）《关于答复2019 年饮用水水源地环境保护专项行动有关问题的函》（环办执法函[2019]647 号）；</w:t>
      </w:r>
    </w:p>
    <w:p>
      <w:pPr>
        <w:adjustRightInd w:val="0"/>
        <w:snapToGrid w:val="0"/>
        <w:spacing w:line="360" w:lineRule="auto"/>
        <w:ind w:firstLine="480" w:firstLineChars="200"/>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（16）《关于推进乡镇及以下集中式饮用水水源地生态环境保护工作的指导意见》（环水体函[2019]92 号）；</w:t>
      </w:r>
    </w:p>
    <w:p>
      <w:pPr>
        <w:adjustRightInd w:val="0"/>
        <w:snapToGrid w:val="0"/>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（17）《2019 年全省生态环境监测方案》（湘环办[2019]11 号）；</w:t>
      </w:r>
    </w:p>
    <w:p>
      <w:pPr>
        <w:adjustRightInd w:val="0"/>
        <w:snapToGrid w:val="0"/>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（18）《污染防治攻坚战“2019 年夏季攻势”任务清单》（湘生环委发[2019]4 号）。</w:t>
      </w:r>
    </w:p>
    <w:p>
      <w:pPr>
        <w:pStyle w:val="4"/>
        <w:spacing w:before="163" w:after="163"/>
        <w:rPr>
          <w:rFonts w:hint="default" w:ascii="Times New Roman" w:hAnsi="Times New Roman" w:cs="Times New Roman"/>
        </w:rPr>
      </w:pPr>
      <w:bookmarkStart w:id="28" w:name="_Toc14362"/>
      <w:bookmarkStart w:id="29" w:name="_Toc12155"/>
      <w:r>
        <w:rPr>
          <w:rFonts w:hint="default" w:ascii="Times New Roman" w:hAnsi="Times New Roman" w:cs="Times New Roman"/>
        </w:rPr>
        <w:t>1.2.3 相关文件、规划资料</w:t>
      </w:r>
      <w:bookmarkEnd w:id="26"/>
      <w:bookmarkEnd w:id="27"/>
      <w:bookmarkEnd w:id="28"/>
      <w:bookmarkEnd w:id="29"/>
    </w:p>
    <w:p>
      <w:pPr>
        <w:adjustRightInd w:val="0"/>
        <w:snapToGrid w:val="0"/>
        <w:spacing w:line="360" w:lineRule="auto"/>
        <w:ind w:firstLine="480" w:firstLineChars="200"/>
        <w:rPr>
          <w:rFonts w:ascii="Times New Roman" w:hAnsi="Times New Roman" w:eastAsia="宋体" w:cs="Times New Roman"/>
          <w:sz w:val="24"/>
          <w:szCs w:val="22"/>
        </w:rPr>
      </w:pPr>
      <w:bookmarkStart w:id="30" w:name="_Toc458323076"/>
      <w:r>
        <w:rPr>
          <w:rFonts w:hint="eastAsia" w:ascii="Times New Roman" w:hAnsi="Times New Roman" w:eastAsia="宋体" w:cs="Times New Roman"/>
          <w:sz w:val="24"/>
          <w:szCs w:val="22"/>
        </w:rPr>
        <w:t>（1）《湖南省水功能区划》（2014年修编）；</w:t>
      </w:r>
    </w:p>
    <w:p>
      <w:pPr>
        <w:adjustRightInd w:val="0"/>
        <w:snapToGrid w:val="0"/>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（2）《湘阴县县城总体规划（2008-2030）》；</w:t>
      </w:r>
    </w:p>
    <w:p>
      <w:pPr>
        <w:adjustRightInd w:val="0"/>
        <w:snapToGrid w:val="0"/>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（3）《岳阳市重要饮用水水源名录》；</w:t>
      </w:r>
    </w:p>
    <w:p>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w:t>
      </w:r>
      <w:r>
        <w:rPr>
          <w:rFonts w:hint="eastAsia" w:ascii="Times New Roman" w:hAnsi="Times New Roman" w:eastAsia="宋体" w:cs="Times New Roman"/>
          <w:sz w:val="24"/>
          <w:szCs w:val="22"/>
        </w:rPr>
        <w:t>4</w:t>
      </w:r>
      <w:r>
        <w:rPr>
          <w:rFonts w:ascii="Times New Roman" w:hAnsi="Times New Roman" w:eastAsia="宋体" w:cs="Times New Roman"/>
          <w:sz w:val="24"/>
          <w:szCs w:val="22"/>
        </w:rPr>
        <w:t>）湘阴县人民政府办公室关于印发《湘阴县饮用水水源保护区管理暂行办法》的通知(2013年8月14日)；</w:t>
      </w:r>
    </w:p>
    <w:p>
      <w:pPr>
        <w:adjustRightInd w:val="0"/>
        <w:snapToGrid w:val="0"/>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 xml:space="preserve">（5）《湖南省主要地表水系水环境功能区划》（DB43/023-2005）； </w:t>
      </w:r>
    </w:p>
    <w:p>
      <w:pPr>
        <w:adjustRightInd w:val="0"/>
        <w:snapToGrid w:val="0"/>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（6）水井的钻孔柱状图、成井工艺图等相关水文地质资料；</w:t>
      </w:r>
    </w:p>
    <w:p>
      <w:pPr>
        <w:adjustRightInd w:val="0"/>
        <w:snapToGrid w:val="0"/>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（7）供水工程初步设计资料；</w:t>
      </w:r>
    </w:p>
    <w:p>
      <w:pPr>
        <w:adjustRightInd w:val="0"/>
        <w:snapToGrid w:val="0"/>
        <w:spacing w:line="360" w:lineRule="auto"/>
        <w:ind w:firstLine="480" w:firstLineChars="200"/>
        <w:rPr>
          <w:rFonts w:hint="eastAsia" w:ascii="Times New Roman" w:hAnsi="Times New Roman" w:eastAsia="宋体" w:cs="Times New Roman"/>
          <w:sz w:val="24"/>
          <w:szCs w:val="22"/>
          <w:lang w:val="en-US" w:eastAsia="zh-CN"/>
        </w:rPr>
      </w:pPr>
      <w:r>
        <w:rPr>
          <w:rFonts w:hint="eastAsia" w:ascii="Times New Roman" w:hAnsi="Times New Roman" w:eastAsia="宋体" w:cs="Times New Roman"/>
          <w:sz w:val="24"/>
          <w:szCs w:val="22"/>
        </w:rPr>
        <w:t>（8）洞庭湖区域的水文地质资</w:t>
      </w:r>
      <w:r>
        <w:rPr>
          <w:rFonts w:hint="eastAsia" w:ascii="Times New Roman" w:hAnsi="Times New Roman" w:eastAsia="宋体" w:cs="Times New Roman"/>
          <w:sz w:val="24"/>
          <w:szCs w:val="22"/>
          <w:lang w:eastAsia="zh-CN"/>
        </w:rPr>
        <w:t>料；</w:t>
      </w:r>
    </w:p>
    <w:p>
      <w:pPr>
        <w:pStyle w:val="3"/>
        <w:spacing w:before="163" w:after="163"/>
        <w:rPr>
          <w:rFonts w:hint="default" w:ascii="Times New Roman" w:hAnsi="Times New Roman" w:cs="Times New Roman"/>
        </w:rPr>
      </w:pPr>
      <w:bookmarkStart w:id="31" w:name="_Toc8315"/>
      <w:bookmarkStart w:id="32" w:name="_Toc3478"/>
      <w:r>
        <w:rPr>
          <w:rFonts w:hint="default" w:ascii="Times New Roman" w:hAnsi="Times New Roman" w:cs="Times New Roman"/>
        </w:rPr>
        <w:t>1.3 区划原则</w:t>
      </w:r>
      <w:bookmarkEnd w:id="30"/>
      <w:bookmarkEnd w:id="31"/>
      <w:bookmarkEnd w:id="32"/>
    </w:p>
    <w:p>
      <w:pPr>
        <w:spacing w:line="360" w:lineRule="auto"/>
        <w:ind w:firstLine="480"/>
        <w:rPr>
          <w:rFonts w:hint="default" w:ascii="Times New Roman" w:hAnsi="Times New Roman" w:eastAsia="宋体" w:cs="Times New Roman"/>
          <w:lang w:bidi="ar"/>
        </w:rPr>
      </w:pPr>
      <w:r>
        <w:rPr>
          <w:rFonts w:hint="default" w:ascii="Times New Roman" w:hAnsi="Times New Roman" w:eastAsia="宋体" w:cs="Times New Roman"/>
          <w:lang w:bidi="ar"/>
        </w:rPr>
        <w:t>（1）保护优先原则。为了确保水源地水质，应对保护范围内以保护为主，禁止在划定范围新建居民区、投肥养殖、畜禽养殖、限制建设开发等活动。</w:t>
      </w:r>
    </w:p>
    <w:p>
      <w:pPr>
        <w:spacing w:line="360" w:lineRule="auto"/>
        <w:ind w:firstLine="480"/>
        <w:rPr>
          <w:rFonts w:hint="default" w:ascii="Times New Roman" w:hAnsi="Times New Roman" w:eastAsia="宋体" w:cs="Times New Roman"/>
          <w:lang w:bidi="ar"/>
        </w:rPr>
      </w:pPr>
      <w:r>
        <w:rPr>
          <w:rFonts w:hint="default" w:ascii="Times New Roman" w:hAnsi="Times New Roman" w:eastAsia="宋体" w:cs="Times New Roman"/>
          <w:lang w:bidi="ar"/>
        </w:rPr>
        <w:t>（2）保护工作重心放在预防上，以防为主，防治结合。水源地保护区应根据水源地所处的地理位置、水文地质条件、供水的数量、取水方式和污染源的分布划定。</w:t>
      </w:r>
    </w:p>
    <w:p>
      <w:pPr>
        <w:spacing w:line="360" w:lineRule="auto"/>
        <w:ind w:firstLine="480"/>
        <w:rPr>
          <w:rFonts w:hint="default" w:ascii="Times New Roman" w:hAnsi="Times New Roman" w:eastAsia="宋体" w:cs="Times New Roman"/>
          <w:lang w:bidi="ar"/>
        </w:rPr>
      </w:pPr>
      <w:r>
        <w:rPr>
          <w:rFonts w:hint="default" w:ascii="Times New Roman" w:hAnsi="Times New Roman" w:eastAsia="宋体" w:cs="Times New Roman"/>
          <w:lang w:bidi="ar"/>
        </w:rPr>
        <w:t>（3）水质达标原则。满足《饮用水水源保护区划分技术规范》（HJ 338—2018）中地下水饮用水源保护区水质要求。</w:t>
      </w:r>
    </w:p>
    <w:p>
      <w:pPr>
        <w:spacing w:line="360" w:lineRule="auto"/>
        <w:ind w:firstLine="480"/>
        <w:rPr>
          <w:rFonts w:hint="default" w:ascii="Times New Roman" w:hAnsi="Times New Roman" w:eastAsia="宋体" w:cs="Times New Roman"/>
          <w:lang w:bidi="ar"/>
        </w:rPr>
      </w:pPr>
      <w:r>
        <w:rPr>
          <w:rFonts w:hint="default" w:ascii="Times New Roman" w:hAnsi="Times New Roman" w:eastAsia="宋体" w:cs="Times New Roman"/>
          <w:lang w:bidi="ar"/>
        </w:rPr>
        <w:t xml:space="preserve">（4）保护区范围科学合理原则。在确保水源水质不受污染的前提下，科学合理的划定水源保护区范围。 </w:t>
      </w:r>
    </w:p>
    <w:p>
      <w:pPr>
        <w:spacing w:line="360" w:lineRule="auto"/>
        <w:ind w:firstLine="480"/>
        <w:rPr>
          <w:rFonts w:hint="default" w:ascii="Times New Roman" w:hAnsi="Times New Roman" w:eastAsia="宋体" w:cs="Times New Roman"/>
          <w:lang w:bidi="ar"/>
        </w:rPr>
      </w:pPr>
      <w:r>
        <w:rPr>
          <w:rFonts w:hint="default" w:ascii="Times New Roman" w:hAnsi="Times New Roman" w:eastAsia="宋体" w:cs="Times New Roman"/>
          <w:lang w:bidi="ar"/>
        </w:rPr>
        <w:t>（5）因地制宜原则。划定的水源保护区范围，应防止水源附近人类活动对水源的直接污染；应足以使所选定的主要污染物在向取水点输移（或运移）过程中，衰减到所期望的浓度水平；在正常情况下保证取水水质达到规定要求，一旦出现污染水源的突发情况，有采取紧急补救措施的时间和缓冲地带。</w:t>
      </w:r>
    </w:p>
    <w:p>
      <w:pPr>
        <w:pStyle w:val="3"/>
        <w:spacing w:before="163" w:after="163" w:line="400" w:lineRule="exact"/>
        <w:rPr>
          <w:rFonts w:hint="default" w:ascii="Times New Roman" w:hAnsi="Times New Roman" w:cs="Times New Roman"/>
          <w:color w:val="auto"/>
        </w:rPr>
      </w:pPr>
      <w:bookmarkStart w:id="33" w:name="_Toc29515"/>
      <w:bookmarkStart w:id="34" w:name="_Toc2798"/>
      <w:r>
        <w:rPr>
          <w:rFonts w:hint="default" w:ascii="Times New Roman" w:hAnsi="Times New Roman" w:cs="Times New Roman"/>
          <w:color w:val="auto"/>
        </w:rPr>
        <w:t>1.4区划范围</w:t>
      </w:r>
      <w:bookmarkEnd w:id="11"/>
      <w:bookmarkEnd w:id="12"/>
      <w:bookmarkEnd w:id="33"/>
      <w:bookmarkEnd w:id="34"/>
      <w:r>
        <w:rPr>
          <w:rFonts w:hint="default" w:ascii="Times New Roman" w:hAnsi="Times New Roman" w:cs="Times New Roman"/>
          <w:color w:val="auto"/>
        </w:rPr>
        <w:tab/>
      </w:r>
    </w:p>
    <w:p>
      <w:pPr>
        <w:ind w:firstLine="480"/>
        <w:jc w:val="left"/>
        <w:rPr>
          <w:rFonts w:hint="default" w:ascii="Times New Roman" w:hAnsi="Times New Roman" w:cs="Times New Roman"/>
        </w:rPr>
      </w:pPr>
      <w:r>
        <w:rPr>
          <w:rFonts w:hint="eastAsia" w:ascii="Calibri" w:hAnsi="Calibri" w:eastAsia="宋体" w:cs="宋体"/>
          <w:sz w:val="24"/>
          <w:szCs w:val="22"/>
          <w:lang w:bidi="ar"/>
        </w:rPr>
        <w:t>湘阴县</w:t>
      </w:r>
      <w:r>
        <w:rPr>
          <w:rFonts w:hint="eastAsia" w:ascii="Calibri" w:hAnsi="Calibri" w:eastAsia="宋体" w:cs="宋体"/>
          <w:sz w:val="24"/>
          <w:szCs w:val="22"/>
          <w:highlight w:val="none"/>
          <w:lang w:val="en-US" w:eastAsia="zh-CN" w:bidi="ar"/>
        </w:rPr>
        <w:t>三塘镇拦河坝水厂</w:t>
      </w:r>
      <w:r>
        <w:rPr>
          <w:rFonts w:hint="eastAsia" w:ascii="Calibri" w:hAnsi="Calibri" w:eastAsia="宋体" w:cs="宋体"/>
          <w:sz w:val="24"/>
          <w:szCs w:val="22"/>
          <w:lang w:eastAsia="zh-CN" w:bidi="ar"/>
        </w:rPr>
        <w:t>地下水</w:t>
      </w:r>
      <w:r>
        <w:rPr>
          <w:rFonts w:hint="eastAsia" w:ascii="Calibri" w:hAnsi="Calibri" w:eastAsia="宋体" w:cs="宋体"/>
          <w:sz w:val="24"/>
          <w:szCs w:val="22"/>
          <w:lang w:bidi="ar"/>
        </w:rPr>
        <w:t>饮用水源保护区位于</w:t>
      </w:r>
      <w:r>
        <w:rPr>
          <w:rFonts w:hint="default" w:ascii="Times New Roman" w:hAnsi="Times New Roman" w:cs="Times New Roman"/>
        </w:rPr>
        <w:t>湘阴县三塘镇境内，水源类型为地下水。共两个取水深井，</w:t>
      </w:r>
      <w:bookmarkStart w:id="35" w:name="_Hlk16929478"/>
      <w:r>
        <w:rPr>
          <w:rFonts w:hint="default" w:ascii="Times New Roman" w:hAnsi="Times New Roman" w:cs="Times New Roman"/>
        </w:rPr>
        <w:t>一号取水井</w:t>
      </w:r>
      <w:r>
        <w:rPr>
          <w:rFonts w:hint="default" w:ascii="Times New Roman" w:hAnsi="Times New Roman" w:cs="Times New Roman"/>
          <w:lang w:val="en-US" w:eastAsia="zh-CN"/>
        </w:rPr>
        <w:t>位于三塘镇乡道旁边</w:t>
      </w:r>
      <w:r>
        <w:rPr>
          <w:rFonts w:hint="default" w:ascii="Times New Roman" w:hAnsi="Times New Roman" w:cs="Times New Roman"/>
        </w:rPr>
        <w:t>，二号</w:t>
      </w:r>
      <w:r>
        <w:rPr>
          <w:rFonts w:hint="default" w:ascii="Times New Roman" w:hAnsi="Times New Roman" w:cs="Times New Roman"/>
          <w:lang w:val="en-US" w:eastAsia="zh-CN"/>
        </w:rPr>
        <w:t>取水井位于拦河坝自来水厂内</w:t>
      </w:r>
      <w:r>
        <w:rPr>
          <w:rFonts w:hint="default" w:ascii="Times New Roman" w:hAnsi="Times New Roman" w:cs="Times New Roman"/>
        </w:rPr>
        <w:t>。</w:t>
      </w:r>
      <w:bookmarkStart w:id="36" w:name="_Toc438805124"/>
      <w:bookmarkStart w:id="37" w:name="_Toc453061706"/>
      <w:bookmarkStart w:id="38" w:name="_Toc453061552"/>
    </w:p>
    <w:p>
      <w:pPr>
        <w:adjustRightInd w:val="0"/>
        <w:snapToGrid w:val="0"/>
        <w:spacing w:line="360" w:lineRule="auto"/>
        <w:ind w:firstLine="480" w:firstLineChars="200"/>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 xml:space="preserve">  </w:t>
      </w:r>
      <w:r>
        <w:rPr>
          <w:rFonts w:ascii="Times New Roman" w:hAnsi="Times New Roman" w:eastAsia="宋体" w:cs="Times New Roman"/>
          <w:sz w:val="24"/>
          <w:szCs w:val="22"/>
        </w:rPr>
        <w:t>根据《饮用水水源保护区划分技术规范》（HJ338-2018）和《湖南省集中式饮用水水源保护区划分工作指南》，确定本次</w:t>
      </w:r>
      <w:r>
        <w:rPr>
          <w:rFonts w:hint="eastAsia" w:ascii="Times New Roman" w:hAnsi="Times New Roman" w:eastAsia="宋体" w:cs="Times New Roman"/>
          <w:sz w:val="24"/>
          <w:szCs w:val="22"/>
        </w:rPr>
        <w:t>区划</w:t>
      </w:r>
      <w:r>
        <w:rPr>
          <w:rFonts w:ascii="Times New Roman" w:hAnsi="Times New Roman" w:eastAsia="宋体" w:cs="Times New Roman"/>
          <w:sz w:val="24"/>
          <w:szCs w:val="22"/>
        </w:rPr>
        <w:t>范围为水源保护区范围及</w:t>
      </w:r>
      <w:r>
        <w:rPr>
          <w:rFonts w:hint="eastAsia" w:ascii="Times New Roman" w:hAnsi="Times New Roman" w:eastAsia="宋体" w:cs="Times New Roman"/>
          <w:sz w:val="24"/>
          <w:szCs w:val="22"/>
          <w:lang w:eastAsia="zh-CN"/>
        </w:rPr>
        <w:t>取水口</w:t>
      </w:r>
      <w:r>
        <w:rPr>
          <w:rFonts w:ascii="Times New Roman" w:hAnsi="Times New Roman" w:eastAsia="宋体" w:cs="Times New Roman"/>
          <w:sz w:val="24"/>
          <w:szCs w:val="22"/>
        </w:rPr>
        <w:t>周边1</w:t>
      </w:r>
      <w:r>
        <w:rPr>
          <w:rFonts w:hint="eastAsia" w:ascii="Times New Roman" w:hAnsi="Times New Roman" w:eastAsia="宋体" w:cs="Times New Roman"/>
          <w:sz w:val="24"/>
          <w:szCs w:val="22"/>
          <w:lang w:val="en-US" w:eastAsia="zh-CN"/>
        </w:rPr>
        <w:t>k</w:t>
      </w:r>
      <w:r>
        <w:rPr>
          <w:rFonts w:ascii="Times New Roman" w:hAnsi="Times New Roman" w:eastAsia="宋体" w:cs="Times New Roman"/>
          <w:sz w:val="24"/>
          <w:szCs w:val="22"/>
        </w:rPr>
        <w:t>m区域。</w:t>
      </w:r>
    </w:p>
    <w:bookmarkEnd w:id="35"/>
    <w:p>
      <w:pPr>
        <w:pStyle w:val="3"/>
        <w:spacing w:before="163" w:after="163"/>
        <w:rPr>
          <w:rFonts w:hint="default" w:ascii="Times New Roman" w:hAnsi="Times New Roman" w:cs="Times New Roman"/>
        </w:rPr>
      </w:pPr>
      <w:bookmarkStart w:id="39" w:name="_Toc16629"/>
      <w:bookmarkStart w:id="40" w:name="_Toc4895"/>
      <w:r>
        <w:rPr>
          <w:rFonts w:hint="default" w:ascii="Times New Roman" w:hAnsi="Times New Roman" w:cs="Times New Roman"/>
        </w:rPr>
        <w:t>1.5</w:t>
      </w:r>
      <w:bookmarkEnd w:id="36"/>
      <w:r>
        <w:rPr>
          <w:rFonts w:hint="default" w:ascii="Times New Roman" w:hAnsi="Times New Roman" w:cs="Times New Roman"/>
        </w:rPr>
        <w:t>工作过程与总体成果</w:t>
      </w:r>
      <w:bookmarkEnd w:id="37"/>
      <w:bookmarkEnd w:id="38"/>
      <w:bookmarkEnd w:id="39"/>
      <w:bookmarkEnd w:id="40"/>
      <w:r>
        <w:rPr>
          <w:rFonts w:hint="default" w:ascii="Times New Roman" w:hAnsi="Times New Roman" w:cs="Times New Roman"/>
        </w:rPr>
        <w:tab/>
      </w:r>
    </w:p>
    <w:p>
      <w:pPr>
        <w:pStyle w:val="4"/>
        <w:spacing w:before="163" w:after="163"/>
        <w:rPr>
          <w:rFonts w:hint="default" w:ascii="Times New Roman" w:hAnsi="Times New Roman" w:cs="Times New Roman"/>
        </w:rPr>
      </w:pPr>
      <w:bookmarkStart w:id="41" w:name="_Toc2007"/>
      <w:bookmarkStart w:id="42" w:name="_Toc453061707"/>
      <w:bookmarkStart w:id="43" w:name="_Toc453061553"/>
      <w:bookmarkStart w:id="44" w:name="_Toc458323079"/>
      <w:bookmarkStart w:id="45" w:name="_Toc25684"/>
      <w:r>
        <w:rPr>
          <w:rFonts w:hint="default" w:ascii="Times New Roman" w:hAnsi="Times New Roman" w:cs="Times New Roman"/>
        </w:rPr>
        <w:t>1.5.1技术路线</w:t>
      </w:r>
      <w:bookmarkEnd w:id="41"/>
      <w:bookmarkEnd w:id="42"/>
      <w:bookmarkEnd w:id="43"/>
      <w:bookmarkEnd w:id="44"/>
      <w:bookmarkEnd w:id="45"/>
      <w:r>
        <w:rPr>
          <w:rFonts w:hint="default" w:ascii="Times New Roman" w:hAnsi="Times New Roman" w:cs="Times New Roman"/>
        </w:rPr>
        <w:tab/>
      </w:r>
    </w:p>
    <w:p>
      <w:pPr>
        <w:spacing w:line="360" w:lineRule="auto"/>
        <w:ind w:firstLine="480"/>
        <w:rPr>
          <w:rFonts w:hint="default" w:ascii="Times New Roman" w:hAnsi="Times New Roman" w:eastAsia="宋体" w:cs="Times New Roman"/>
          <w:lang w:bidi="ar"/>
        </w:rPr>
      </w:pPr>
      <w:r>
        <w:rPr>
          <w:rFonts w:hint="default" w:ascii="Times New Roman" w:hAnsi="Times New Roman" w:eastAsia="宋体" w:cs="Times New Roman"/>
          <w:lang w:bidi="ar"/>
        </w:rPr>
        <w:t>湘阴县三塘镇</w:t>
      </w:r>
      <w:r>
        <w:rPr>
          <w:rFonts w:hint="eastAsia" w:ascii="Times New Roman" w:hAnsi="Times New Roman" w:eastAsia="宋体" w:cs="Times New Roman"/>
          <w:lang w:val="en-US" w:eastAsia="zh-CN" w:bidi="ar"/>
        </w:rPr>
        <w:t>拦河坝水厂地下水</w:t>
      </w:r>
      <w:r>
        <w:rPr>
          <w:rFonts w:hint="default" w:ascii="Times New Roman" w:hAnsi="Times New Roman" w:eastAsia="宋体" w:cs="Times New Roman"/>
          <w:lang w:bidi="ar"/>
        </w:rPr>
        <w:t>饮用水源保护区划分，按照以下技术路线开展工作：</w:t>
      </w:r>
    </w:p>
    <w:p>
      <w:pPr>
        <w:spacing w:line="360" w:lineRule="auto"/>
        <w:ind w:firstLine="480"/>
        <w:rPr>
          <w:rFonts w:hint="default" w:ascii="Times New Roman" w:hAnsi="Times New Roman" w:eastAsia="宋体" w:cs="Times New Roman"/>
          <w:lang w:bidi="ar"/>
        </w:rPr>
      </w:pPr>
      <w:r>
        <w:rPr>
          <w:rFonts w:hint="default" w:ascii="Times New Roman" w:hAnsi="Times New Roman" w:eastAsia="宋体" w:cs="Times New Roman"/>
          <w:lang w:bidi="ar"/>
        </w:rPr>
        <w:t>（1）开展饮用水水源地基础情况、水质状况、环境管理状况调查，分析水源地存在的水质和管理问题，识别水源地主要环境问题和环境风险情况</w:t>
      </w:r>
    </w:p>
    <w:p>
      <w:pPr>
        <w:spacing w:line="360" w:lineRule="auto"/>
        <w:ind w:firstLine="480"/>
        <w:rPr>
          <w:rFonts w:hint="default" w:ascii="Times New Roman" w:hAnsi="Times New Roman" w:eastAsia="宋体" w:cs="Times New Roman"/>
          <w:lang w:bidi="ar"/>
        </w:rPr>
      </w:pPr>
      <w:r>
        <w:rPr>
          <w:rFonts w:hint="default" w:ascii="Times New Roman" w:hAnsi="Times New Roman" w:eastAsia="宋体" w:cs="Times New Roman"/>
          <w:lang w:bidi="ar"/>
        </w:rPr>
        <w:t>①饮用水源地所在区域或流域自然状况（水文特征、气象等）、生态与环境状况调查、社会经济状况（辖区面积、人口、GDP、水资源利用、供水格局等）等。</w:t>
      </w:r>
    </w:p>
    <w:p>
      <w:pPr>
        <w:spacing w:line="360" w:lineRule="auto"/>
        <w:ind w:firstLine="480"/>
        <w:rPr>
          <w:rFonts w:hint="default" w:ascii="Times New Roman" w:hAnsi="Times New Roman" w:eastAsia="宋体" w:cs="Times New Roman"/>
          <w:lang w:bidi="ar"/>
        </w:rPr>
      </w:pPr>
      <w:r>
        <w:rPr>
          <w:rFonts w:hint="default" w:ascii="Times New Roman" w:hAnsi="Times New Roman" w:eastAsia="宋体" w:cs="Times New Roman"/>
          <w:lang w:bidi="ar"/>
        </w:rPr>
        <w:t>②饮用水源地基础信息：类型（如地表水、地下水，地表水是河流型还是水库或湖泊等等），地理位置、取水口位置、日供水量、服务人口、供水方式等。</w:t>
      </w:r>
    </w:p>
    <w:p>
      <w:pPr>
        <w:spacing w:line="360" w:lineRule="auto"/>
        <w:ind w:firstLine="480"/>
        <w:rPr>
          <w:rFonts w:hint="default" w:ascii="Times New Roman" w:hAnsi="Times New Roman" w:eastAsia="宋体" w:cs="Times New Roman"/>
          <w:lang w:bidi="ar"/>
        </w:rPr>
      </w:pPr>
      <w:r>
        <w:rPr>
          <w:rFonts w:hint="default" w:ascii="Times New Roman" w:hAnsi="Times New Roman" w:eastAsia="宋体" w:cs="Times New Roman"/>
          <w:lang w:bidi="ar"/>
        </w:rPr>
        <w:t>③水质调查及分析。通过收集取水口常规监测断面的监测资料以及补充监测数据，分析水源地水体水质情况，得出水源地水体水质是否满足相关标准要求。</w:t>
      </w:r>
    </w:p>
    <w:p>
      <w:pPr>
        <w:spacing w:line="360" w:lineRule="auto"/>
        <w:ind w:firstLine="480"/>
        <w:rPr>
          <w:rFonts w:hint="default" w:ascii="Times New Roman" w:hAnsi="Times New Roman" w:eastAsia="宋体" w:cs="Times New Roman"/>
          <w:lang w:bidi="ar"/>
        </w:rPr>
      </w:pPr>
      <w:r>
        <w:rPr>
          <w:rFonts w:hint="default" w:ascii="Times New Roman" w:hAnsi="Times New Roman" w:eastAsia="宋体" w:cs="Times New Roman"/>
          <w:lang w:bidi="ar"/>
        </w:rPr>
        <w:t>④污染源调查。调查水源地1km范围内工业污染源情况、农业面源污染源情况、生活污染源及其它可能污染水质的情况，支流汇入情况等（包括重要气型污染源）。</w:t>
      </w:r>
    </w:p>
    <w:p>
      <w:pPr>
        <w:spacing w:line="360" w:lineRule="auto"/>
        <w:ind w:firstLine="480"/>
        <w:rPr>
          <w:rFonts w:hint="default" w:ascii="Times New Roman" w:hAnsi="Times New Roman" w:eastAsia="宋体" w:cs="Times New Roman"/>
          <w:lang w:bidi="ar"/>
        </w:rPr>
      </w:pPr>
      <w:r>
        <w:rPr>
          <w:rFonts w:hint="default" w:ascii="Times New Roman" w:hAnsi="Times New Roman" w:eastAsia="宋体" w:cs="Times New Roman"/>
          <w:lang w:bidi="ar"/>
        </w:rPr>
        <w:t>（2）依据不同水源地技术资料的详尽程度，结合环境管理现状及要求，筛选出适宜的保护区划分方法，通过计算分析，合理确定保护区的范围，并初步确定保护区主要拐点的经纬度坐标。</w:t>
      </w:r>
    </w:p>
    <w:p>
      <w:pPr>
        <w:spacing w:line="360" w:lineRule="auto"/>
        <w:ind w:firstLine="480"/>
        <w:rPr>
          <w:rFonts w:hint="default" w:ascii="Times New Roman" w:hAnsi="Times New Roman" w:eastAsia="宋体" w:cs="Times New Roman"/>
          <w:lang w:bidi="ar"/>
        </w:rPr>
      </w:pPr>
      <w:r>
        <w:rPr>
          <w:rFonts w:hint="default" w:ascii="Times New Roman" w:hAnsi="Times New Roman" w:eastAsia="宋体" w:cs="Times New Roman"/>
          <w:lang w:bidi="ar"/>
        </w:rPr>
        <w:t xml:space="preserve">（3）进行保护区的现场勘界，最终确定主要拐点的经纬度坐标。 </w:t>
      </w:r>
    </w:p>
    <w:p>
      <w:pPr>
        <w:spacing w:line="360" w:lineRule="auto"/>
        <w:ind w:firstLine="480"/>
        <w:rPr>
          <w:rFonts w:hint="default" w:ascii="Times New Roman" w:hAnsi="Times New Roman" w:eastAsia="宋体" w:cs="Times New Roman"/>
          <w:lang w:bidi="ar"/>
        </w:rPr>
      </w:pPr>
      <w:r>
        <w:rPr>
          <w:rFonts w:hint="default" w:ascii="Times New Roman" w:hAnsi="Times New Roman" w:eastAsia="宋体" w:cs="Times New Roman"/>
          <w:lang w:bidi="ar"/>
        </w:rPr>
        <w:t>（4）依据最终保护区的经纬度坐标，修订保护区边界，核定保护区范围和面积。</w:t>
      </w:r>
    </w:p>
    <w:p>
      <w:pPr>
        <w:spacing w:line="360" w:lineRule="auto"/>
        <w:ind w:firstLine="480"/>
        <w:rPr>
          <w:rFonts w:hint="default" w:ascii="Times New Roman" w:hAnsi="Times New Roman" w:eastAsia="宋体" w:cs="Times New Roman"/>
          <w:lang w:bidi="ar"/>
        </w:rPr>
      </w:pPr>
      <w:r>
        <w:rPr>
          <w:rFonts w:hint="default" w:ascii="Times New Roman" w:hAnsi="Times New Roman" w:eastAsia="宋体" w:cs="Times New Roman"/>
          <w:lang w:bidi="ar"/>
        </w:rPr>
        <w:t>（5）制作保护区的图件。</w:t>
      </w:r>
    </w:p>
    <w:p>
      <w:pPr>
        <w:spacing w:line="360" w:lineRule="auto"/>
        <w:ind w:firstLine="480"/>
        <w:jc w:val="left"/>
        <w:rPr>
          <w:rFonts w:hint="default" w:ascii="Times New Roman" w:hAnsi="Times New Roman" w:cs="Times New Roman"/>
        </w:rPr>
      </w:pPr>
      <w:r>
        <w:rPr>
          <w:rFonts w:hint="default" w:ascii="Times New Roman" w:hAnsi="Times New Roman" w:eastAsia="宋体" w:cs="Times New Roman"/>
          <w:lang w:bidi="ar"/>
        </w:rPr>
        <w:t>（6）编制饮用水源保护区划分技术报告，完成技术方案。</w:t>
      </w:r>
    </w:p>
    <w:p>
      <w:pPr>
        <w:pStyle w:val="4"/>
        <w:spacing w:before="163" w:after="163"/>
        <w:rPr>
          <w:rFonts w:hint="default" w:ascii="Times New Roman" w:hAnsi="Times New Roman" w:cs="Times New Roman"/>
        </w:rPr>
      </w:pPr>
      <w:bookmarkStart w:id="46" w:name="_Toc23810"/>
      <w:bookmarkStart w:id="47" w:name="_Toc453061554"/>
      <w:bookmarkStart w:id="48" w:name="_Toc438805125"/>
      <w:bookmarkStart w:id="49" w:name="_Toc453061708"/>
      <w:bookmarkStart w:id="50" w:name="_Toc458323080"/>
      <w:bookmarkStart w:id="51" w:name="_Toc13323"/>
      <w:r>
        <w:rPr>
          <w:rFonts w:hint="default" w:ascii="Times New Roman" w:hAnsi="Times New Roman" w:cs="Times New Roman"/>
        </w:rPr>
        <w:t>1.5.2工作内容</w:t>
      </w:r>
      <w:bookmarkEnd w:id="46"/>
      <w:bookmarkEnd w:id="47"/>
      <w:bookmarkEnd w:id="48"/>
      <w:bookmarkEnd w:id="49"/>
      <w:bookmarkEnd w:id="50"/>
      <w:bookmarkEnd w:id="51"/>
      <w:r>
        <w:rPr>
          <w:rFonts w:hint="default" w:ascii="Times New Roman" w:hAnsi="Times New Roman" w:cs="Times New Roman"/>
        </w:rPr>
        <w:tab/>
      </w:r>
    </w:p>
    <w:p>
      <w:pPr>
        <w:spacing w:line="360" w:lineRule="auto"/>
        <w:ind w:firstLine="480"/>
        <w:rPr>
          <w:rFonts w:hint="default" w:ascii="Times New Roman" w:hAnsi="Times New Roman" w:eastAsia="宋体" w:cs="Times New Roman"/>
          <w:lang w:bidi="ar"/>
        </w:rPr>
      </w:pPr>
      <w:r>
        <w:rPr>
          <w:rFonts w:hint="default" w:ascii="Times New Roman" w:hAnsi="Times New Roman" w:eastAsia="宋体" w:cs="Times New Roman"/>
          <w:lang w:bidi="ar"/>
        </w:rPr>
        <w:t>（1）调查水源地及其外围的环境条件。</w:t>
      </w:r>
    </w:p>
    <w:p>
      <w:pPr>
        <w:spacing w:line="360" w:lineRule="auto"/>
        <w:ind w:firstLine="480"/>
        <w:rPr>
          <w:rFonts w:hint="default" w:ascii="Times New Roman" w:hAnsi="Times New Roman" w:eastAsia="宋体" w:cs="Times New Roman"/>
          <w:lang w:bidi="ar"/>
        </w:rPr>
      </w:pPr>
      <w:r>
        <w:rPr>
          <w:rFonts w:hint="default" w:ascii="Times New Roman" w:hAnsi="Times New Roman" w:eastAsia="宋体" w:cs="Times New Roman"/>
          <w:lang w:bidi="ar"/>
        </w:rPr>
        <w:t>（2）调查和收集水源地水资源开发利用现状及其有关资料。</w:t>
      </w:r>
    </w:p>
    <w:p>
      <w:pPr>
        <w:spacing w:line="360" w:lineRule="auto"/>
        <w:ind w:firstLine="480"/>
        <w:rPr>
          <w:rFonts w:hint="default" w:ascii="Times New Roman" w:hAnsi="Times New Roman" w:eastAsia="宋体" w:cs="Times New Roman"/>
          <w:lang w:bidi="ar"/>
        </w:rPr>
      </w:pPr>
      <w:r>
        <w:rPr>
          <w:rFonts w:hint="default" w:ascii="Times New Roman" w:hAnsi="Times New Roman" w:eastAsia="宋体" w:cs="Times New Roman"/>
          <w:lang w:bidi="ar"/>
        </w:rPr>
        <w:t>（3）调查和评价水源地水质状况，分析水源地附近及周边区域污染物对水源地水质的影响。</w:t>
      </w:r>
    </w:p>
    <w:p>
      <w:pPr>
        <w:spacing w:line="360" w:lineRule="auto"/>
        <w:ind w:firstLine="480"/>
        <w:rPr>
          <w:rFonts w:hint="default" w:ascii="Times New Roman" w:hAnsi="Times New Roman" w:eastAsia="宋体" w:cs="Times New Roman"/>
          <w:lang w:bidi="ar"/>
        </w:rPr>
      </w:pPr>
      <w:r>
        <w:rPr>
          <w:rFonts w:hint="default" w:ascii="Times New Roman" w:hAnsi="Times New Roman" w:eastAsia="宋体" w:cs="Times New Roman"/>
          <w:lang w:bidi="ar"/>
        </w:rPr>
        <w:t>（4） 结合基础资料及水质评价，分析三塘镇</w:t>
      </w:r>
      <w:r>
        <w:rPr>
          <w:rFonts w:hint="eastAsia" w:ascii="Times New Roman" w:hAnsi="Times New Roman" w:eastAsia="宋体" w:cs="Times New Roman"/>
          <w:lang w:val="en-US" w:eastAsia="zh-CN" w:bidi="ar"/>
        </w:rPr>
        <w:t>拦河坝水厂地下水</w:t>
      </w:r>
      <w:r>
        <w:rPr>
          <w:rFonts w:hint="default" w:ascii="Times New Roman" w:hAnsi="Times New Roman" w:eastAsia="宋体" w:cs="Times New Roman"/>
          <w:lang w:bidi="ar"/>
        </w:rPr>
        <w:t>饮用水水源地基础状况。</w:t>
      </w:r>
    </w:p>
    <w:p>
      <w:pPr>
        <w:spacing w:line="360" w:lineRule="auto"/>
        <w:ind w:firstLine="480"/>
        <w:rPr>
          <w:rFonts w:hint="default" w:ascii="Times New Roman" w:hAnsi="Times New Roman" w:eastAsia="宋体" w:cs="Times New Roman"/>
          <w:lang w:bidi="ar"/>
        </w:rPr>
      </w:pPr>
      <w:r>
        <w:rPr>
          <w:rFonts w:hint="default" w:ascii="Times New Roman" w:hAnsi="Times New Roman" w:eastAsia="宋体" w:cs="Times New Roman"/>
          <w:lang w:bidi="ar"/>
        </w:rPr>
        <w:t>（5）按照技术规范的要求，提出水源保护区划分方案，计算保护区范围及边界控制条件。</w:t>
      </w:r>
    </w:p>
    <w:p>
      <w:pPr>
        <w:spacing w:line="360" w:lineRule="auto"/>
        <w:ind w:firstLine="480"/>
        <w:rPr>
          <w:rFonts w:hint="default" w:ascii="Times New Roman" w:hAnsi="Times New Roman" w:eastAsia="宋体" w:cs="Times New Roman"/>
          <w:lang w:bidi="ar"/>
        </w:rPr>
      </w:pPr>
      <w:r>
        <w:rPr>
          <w:rFonts w:hint="default" w:ascii="Times New Roman" w:hAnsi="Times New Roman" w:eastAsia="宋体" w:cs="Times New Roman"/>
          <w:lang w:bidi="ar"/>
        </w:rPr>
        <w:t>（6）对饮用水源保护区存在环境问题进行分析，提出饮用水源保护区污染整治措施。</w:t>
      </w:r>
    </w:p>
    <w:p>
      <w:pPr>
        <w:spacing w:line="360" w:lineRule="auto"/>
        <w:ind w:firstLine="480"/>
        <w:rPr>
          <w:rFonts w:hint="default" w:ascii="Times New Roman" w:hAnsi="Times New Roman" w:eastAsia="宋体" w:cs="Times New Roman"/>
          <w:lang w:bidi="ar"/>
        </w:rPr>
      </w:pPr>
      <w:r>
        <w:rPr>
          <w:rFonts w:hint="default" w:ascii="Times New Roman" w:hAnsi="Times New Roman" w:eastAsia="宋体" w:cs="Times New Roman"/>
          <w:lang w:bidi="ar"/>
        </w:rPr>
        <w:t>（7）提出饮用水源保护区的监督与管理措施。</w:t>
      </w:r>
    </w:p>
    <w:p>
      <w:pPr>
        <w:spacing w:line="360" w:lineRule="auto"/>
        <w:ind w:firstLine="480"/>
        <w:rPr>
          <w:rFonts w:hint="default" w:ascii="Times New Roman" w:hAnsi="Times New Roman" w:eastAsia="宋体" w:cs="Times New Roman"/>
          <w:lang w:bidi="ar"/>
        </w:rPr>
      </w:pPr>
      <w:r>
        <w:rPr>
          <w:rFonts w:hint="default" w:ascii="Times New Roman" w:hAnsi="Times New Roman" w:eastAsia="宋体" w:cs="Times New Roman"/>
          <w:lang w:bidi="ar"/>
        </w:rPr>
        <w:t>（8）提出饮用水源保护保障措施。</w:t>
      </w:r>
    </w:p>
    <w:p>
      <w:pPr>
        <w:spacing w:line="400" w:lineRule="exact"/>
        <w:ind w:firstLine="199" w:firstLineChars="83"/>
        <w:jc w:val="left"/>
        <w:rPr>
          <w:rFonts w:hint="default" w:ascii="Times New Roman" w:hAnsi="Times New Roman" w:cs="Times New Roman"/>
        </w:rPr>
      </w:pPr>
    </w:p>
    <w:p>
      <w:pPr>
        <w:spacing w:line="400" w:lineRule="exact"/>
        <w:ind w:firstLine="199" w:firstLineChars="83"/>
        <w:jc w:val="left"/>
        <w:rPr>
          <w:rFonts w:hint="default" w:ascii="Times New Roman" w:hAnsi="Times New Roman" w:cs="Times New Roman"/>
        </w:rPr>
      </w:pPr>
    </w:p>
    <w:p>
      <w:pPr>
        <w:spacing w:line="400" w:lineRule="exact"/>
        <w:ind w:firstLine="199" w:firstLineChars="83"/>
        <w:jc w:val="left"/>
        <w:rPr>
          <w:rFonts w:hint="default" w:ascii="Times New Roman" w:hAnsi="Times New Roman" w:cs="Times New Roman"/>
        </w:rPr>
      </w:pPr>
    </w:p>
    <w:p>
      <w:pPr>
        <w:spacing w:line="400" w:lineRule="exact"/>
        <w:ind w:firstLine="199" w:firstLineChars="83"/>
        <w:jc w:val="left"/>
        <w:rPr>
          <w:rFonts w:hint="default" w:ascii="Times New Roman" w:hAnsi="Times New Roman" w:cs="Times New Roman"/>
        </w:rPr>
      </w:pPr>
    </w:p>
    <w:p>
      <w:pPr>
        <w:spacing w:line="400" w:lineRule="exact"/>
        <w:ind w:firstLine="480"/>
        <w:jc w:val="left"/>
        <w:rPr>
          <w:rFonts w:hint="default" w:ascii="Times New Roman" w:hAnsi="Times New Roman" w:cs="Times New Roman"/>
        </w:rPr>
      </w:pPr>
      <w:r>
        <w:rPr>
          <w:rFonts w:hint="default" w:ascii="Times New Roman" w:hAnsi="Times New Roman" w:cs="Times New Roman"/>
        </w:rPr>
        <w:br w:type="page"/>
      </w:r>
    </w:p>
    <w:p>
      <w:pPr>
        <w:pStyle w:val="2"/>
        <w:spacing w:before="163" w:after="163"/>
        <w:jc w:val="center"/>
        <w:rPr>
          <w:rFonts w:hint="default" w:ascii="Times New Roman" w:hAnsi="Times New Roman" w:cs="Times New Roman"/>
        </w:rPr>
      </w:pPr>
      <w:bookmarkStart w:id="52" w:name="_Toc438805126"/>
      <w:bookmarkStart w:id="53" w:name="_Toc29629"/>
      <w:bookmarkStart w:id="54" w:name="_Toc453061555"/>
      <w:bookmarkStart w:id="55" w:name="_Toc453061709"/>
      <w:bookmarkStart w:id="56" w:name="_Toc14544"/>
      <w:r>
        <w:rPr>
          <w:rFonts w:hint="default" w:ascii="Times New Roman" w:hAnsi="Times New Roman" w:cs="Times New Roman"/>
        </w:rPr>
        <w:t>第二章</w:t>
      </w:r>
      <w:r>
        <w:rPr>
          <w:rFonts w:hint="default" w:ascii="Times New Roman" w:hAnsi="Times New Roman" w:cs="Times New Roman"/>
          <w:lang w:val="en-US" w:eastAsia="zh-CN"/>
        </w:rPr>
        <w:t xml:space="preserve">  </w:t>
      </w:r>
      <w:r>
        <w:rPr>
          <w:rFonts w:hint="default" w:ascii="Times New Roman" w:hAnsi="Times New Roman" w:cs="Times New Roman"/>
        </w:rPr>
        <w:t>饮用水水源保护区背景分析</w:t>
      </w:r>
      <w:bookmarkEnd w:id="52"/>
      <w:bookmarkEnd w:id="53"/>
      <w:bookmarkEnd w:id="54"/>
      <w:bookmarkEnd w:id="55"/>
      <w:bookmarkEnd w:id="56"/>
    </w:p>
    <w:p>
      <w:pPr>
        <w:pStyle w:val="3"/>
        <w:spacing w:before="163" w:after="163"/>
        <w:rPr>
          <w:rFonts w:hint="default" w:ascii="Times New Roman" w:hAnsi="Times New Roman" w:cs="Times New Roman"/>
        </w:rPr>
      </w:pPr>
      <w:bookmarkStart w:id="57" w:name="_Toc438805127"/>
      <w:bookmarkStart w:id="58" w:name="_Toc453061556"/>
      <w:bookmarkStart w:id="59" w:name="_Toc21742"/>
      <w:bookmarkStart w:id="60" w:name="_Toc29126"/>
      <w:bookmarkStart w:id="61" w:name="_Toc453061710"/>
      <w:r>
        <w:rPr>
          <w:rFonts w:hint="default" w:ascii="Times New Roman" w:hAnsi="Times New Roman" w:cs="Times New Roman"/>
        </w:rPr>
        <w:t>2.1饮用水水源保护区所在区域的自然状况</w:t>
      </w:r>
      <w:bookmarkEnd w:id="57"/>
      <w:bookmarkEnd w:id="58"/>
      <w:bookmarkEnd w:id="59"/>
      <w:bookmarkEnd w:id="60"/>
      <w:bookmarkEnd w:id="61"/>
    </w:p>
    <w:p>
      <w:pPr>
        <w:pStyle w:val="4"/>
        <w:spacing w:before="163" w:after="163"/>
        <w:rPr>
          <w:rFonts w:hint="default" w:ascii="Times New Roman" w:hAnsi="Times New Roman" w:cs="Times New Roman"/>
        </w:rPr>
      </w:pPr>
      <w:bookmarkStart w:id="62" w:name="_Toc11968"/>
      <w:bookmarkStart w:id="63" w:name="_Toc25133"/>
      <w:bookmarkStart w:id="64" w:name="_Toc453061711"/>
      <w:bookmarkStart w:id="65" w:name="_Toc453061557"/>
      <w:r>
        <w:rPr>
          <w:rFonts w:hint="default" w:ascii="Times New Roman" w:hAnsi="Times New Roman" w:cs="Times New Roman"/>
        </w:rPr>
        <w:t>2.1.1地理位置</w:t>
      </w:r>
      <w:bookmarkEnd w:id="62"/>
      <w:bookmarkEnd w:id="63"/>
      <w:bookmarkEnd w:id="64"/>
      <w:bookmarkEnd w:id="65"/>
    </w:p>
    <w:p>
      <w:pPr>
        <w:spacing w:line="400" w:lineRule="exact"/>
        <w:ind w:left="0" w:leftChars="0" w:firstLine="0" w:firstLineChars="0"/>
        <w:rPr>
          <w:rFonts w:hint="default" w:ascii="Times New Roman" w:hAnsi="Times New Roman" w:cs="Times New Roman"/>
        </w:rPr>
      </w:pPr>
      <w:r>
        <w:rPr>
          <w:rFonts w:hint="default" w:ascii="Times New Roman" w:hAnsi="Times New Roman" w:cs="Times New Roman"/>
        </w:rPr>
        <w:t>湘阴县位于湖南省东北部，南洞庭湖滨，湘资两水尾闾，东邻汨罗市、西接益阳市，南界望城县、长沙市，北抵沅江市、屈原行政管理区，东经 112 °30 ′～113 ° 02′，北纬 28 °30 ′～29 °03 ′，现隶属湖南省岳阳市，土地总面积1581.5km</w:t>
      </w:r>
      <w:r>
        <w:rPr>
          <w:rFonts w:hint="default" w:ascii="Times New Roman" w:hAnsi="Times New Roman" w:cs="Times New Roman"/>
          <w:vertAlign w:val="superscript"/>
        </w:rPr>
        <w:t>2</w:t>
      </w:r>
      <w:r>
        <w:rPr>
          <w:rFonts w:hint="default" w:ascii="Times New Roman" w:hAnsi="Times New Roman" w:cs="Times New Roman"/>
        </w:rPr>
        <w:t>，湘阴县行区划图2-1所示。</w:t>
      </w:r>
    </w:p>
    <w:p>
      <w:pPr>
        <w:spacing w:line="400" w:lineRule="exact"/>
        <w:ind w:left="0" w:leftChars="0" w:firstLine="480" w:firstLineChars="200"/>
        <w:rPr>
          <w:rFonts w:hint="default" w:ascii="Times New Roman" w:hAnsi="Times New Roman" w:cs="Times New Roman"/>
        </w:rPr>
      </w:pPr>
      <w:r>
        <w:rPr>
          <w:rFonts w:hint="default" w:ascii="Times New Roman" w:hAnsi="Times New Roman" w:cs="Times New Roman"/>
        </w:rPr>
        <w:t>湘阴县三塘镇</w:t>
      </w:r>
      <w:r>
        <w:rPr>
          <w:rFonts w:hint="eastAsia" w:ascii="Times New Roman" w:hAnsi="Times New Roman" w:cs="Times New Roman"/>
          <w:lang w:val="en-US" w:eastAsia="zh-CN"/>
        </w:rPr>
        <w:t>拦河坝水厂</w:t>
      </w:r>
      <w:r>
        <w:rPr>
          <w:rFonts w:hint="default" w:ascii="Times New Roman" w:hAnsi="Times New Roman" w:cs="Times New Roman"/>
        </w:rPr>
        <w:t xml:space="preserve">地下水饮用水源保护区水源地位于三塘镇，其水源地位置见图2-2 </w:t>
      </w:r>
    </w:p>
    <w:p>
      <w:pPr>
        <w:spacing w:line="400" w:lineRule="exact"/>
        <w:ind w:firstLine="480"/>
        <w:rPr>
          <w:rFonts w:hint="default" w:ascii="Times New Roman" w:hAnsi="Times New Roman" w:cs="Times New Roman"/>
          <w:color w:val="C00000"/>
        </w:rPr>
      </w:pPr>
      <w:r>
        <w:rPr>
          <w:rFonts w:hint="default" w:ascii="Times New Roman" w:hAnsi="Times New Roman" w:cs="Times New Roman"/>
        </w:rPr>
        <w:drawing>
          <wp:anchor distT="0" distB="0" distL="114300" distR="114300" simplePos="0" relativeHeight="313395200" behindDoc="0" locked="0" layoutInCell="1" allowOverlap="1">
            <wp:simplePos x="0" y="0"/>
            <wp:positionH relativeFrom="column">
              <wp:posOffset>671195</wp:posOffset>
            </wp:positionH>
            <wp:positionV relativeFrom="paragraph">
              <wp:posOffset>206375</wp:posOffset>
            </wp:positionV>
            <wp:extent cx="4395470" cy="4398010"/>
            <wp:effectExtent l="0" t="0" r="5080" b="2540"/>
            <wp:wrapSquare wrapText="bothSides"/>
            <wp:docPr id="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pic:cNvPicPr>
                      <a:picLocks noChangeAspect="1"/>
                    </pic:cNvPicPr>
                  </pic:nvPicPr>
                  <pic:blipFill>
                    <a:blip r:embed="rId7"/>
                    <a:stretch>
                      <a:fillRect/>
                    </a:stretch>
                  </pic:blipFill>
                  <pic:spPr>
                    <a:xfrm>
                      <a:off x="0" y="0"/>
                      <a:ext cx="4395470" cy="4398010"/>
                    </a:xfrm>
                    <a:prstGeom prst="rect">
                      <a:avLst/>
                    </a:prstGeom>
                    <a:noFill/>
                    <a:ln w="9525">
                      <a:noFill/>
                    </a:ln>
                  </pic:spPr>
                </pic:pic>
              </a:graphicData>
            </a:graphic>
          </wp:anchor>
        </w:drawing>
      </w:r>
    </w:p>
    <w:p>
      <w:pPr>
        <w:spacing w:line="240" w:lineRule="auto"/>
        <w:ind w:firstLine="0" w:firstLineChars="0"/>
        <w:rPr>
          <w:rFonts w:hint="default" w:ascii="Times New Roman" w:hAnsi="Times New Roman" w:cs="Times New Roman"/>
        </w:rPr>
      </w:pPr>
    </w:p>
    <w:p>
      <w:pPr>
        <w:spacing w:line="240" w:lineRule="auto"/>
        <w:ind w:firstLine="0" w:firstLineChars="0"/>
        <w:jc w:val="center"/>
        <w:rPr>
          <w:rFonts w:hint="default" w:ascii="Times New Roman" w:hAnsi="Times New Roman" w:cs="Times New Roman"/>
          <w:b/>
          <w:sz w:val="21"/>
          <w:szCs w:val="21"/>
        </w:rPr>
      </w:pPr>
    </w:p>
    <w:p>
      <w:pPr>
        <w:spacing w:line="240" w:lineRule="auto"/>
        <w:ind w:firstLine="0" w:firstLineChars="0"/>
        <w:jc w:val="center"/>
        <w:rPr>
          <w:rFonts w:hint="default" w:ascii="Times New Roman" w:hAnsi="Times New Roman" w:cs="Times New Roman"/>
          <w:b/>
          <w:sz w:val="21"/>
          <w:szCs w:val="21"/>
        </w:rPr>
      </w:pPr>
    </w:p>
    <w:p>
      <w:pPr>
        <w:spacing w:line="240" w:lineRule="auto"/>
        <w:ind w:firstLine="0" w:firstLineChars="0"/>
        <w:jc w:val="center"/>
        <w:rPr>
          <w:rFonts w:hint="default" w:ascii="Times New Roman" w:hAnsi="Times New Roman" w:cs="Times New Roman"/>
          <w:b/>
          <w:sz w:val="21"/>
          <w:szCs w:val="21"/>
        </w:rPr>
      </w:pPr>
    </w:p>
    <w:p>
      <w:pPr>
        <w:spacing w:line="240" w:lineRule="auto"/>
        <w:ind w:firstLine="0" w:firstLineChars="0"/>
        <w:jc w:val="center"/>
        <w:rPr>
          <w:rFonts w:hint="default" w:ascii="Times New Roman" w:hAnsi="Times New Roman" w:cs="Times New Roman"/>
          <w:b/>
          <w:sz w:val="21"/>
          <w:szCs w:val="21"/>
        </w:rPr>
      </w:pPr>
    </w:p>
    <w:p>
      <w:pPr>
        <w:spacing w:line="240" w:lineRule="auto"/>
        <w:ind w:firstLine="0" w:firstLineChars="0"/>
        <w:jc w:val="center"/>
        <w:rPr>
          <w:rFonts w:hint="default" w:ascii="Times New Roman" w:hAnsi="Times New Roman" w:cs="Times New Roman"/>
          <w:b/>
          <w:sz w:val="21"/>
          <w:szCs w:val="21"/>
        </w:rPr>
      </w:pPr>
    </w:p>
    <w:p>
      <w:pPr>
        <w:spacing w:line="240" w:lineRule="auto"/>
        <w:ind w:firstLine="0" w:firstLineChars="0"/>
        <w:jc w:val="center"/>
        <w:rPr>
          <w:rFonts w:hint="default" w:ascii="Times New Roman" w:hAnsi="Times New Roman" w:cs="Times New Roman"/>
          <w:b/>
          <w:sz w:val="21"/>
          <w:szCs w:val="21"/>
        </w:rPr>
      </w:pPr>
    </w:p>
    <w:p>
      <w:pPr>
        <w:spacing w:line="240" w:lineRule="auto"/>
        <w:ind w:firstLine="0" w:firstLineChars="0"/>
        <w:jc w:val="center"/>
        <w:rPr>
          <w:rFonts w:hint="default" w:ascii="Times New Roman" w:hAnsi="Times New Roman" w:cs="Times New Roman"/>
          <w:b/>
          <w:sz w:val="21"/>
          <w:szCs w:val="21"/>
        </w:rPr>
      </w:pPr>
    </w:p>
    <w:p>
      <w:pPr>
        <w:spacing w:line="240" w:lineRule="auto"/>
        <w:ind w:firstLine="0" w:firstLineChars="0"/>
        <w:jc w:val="center"/>
        <w:rPr>
          <w:rFonts w:hint="default" w:ascii="Times New Roman" w:hAnsi="Times New Roman" w:cs="Times New Roman"/>
          <w:b/>
          <w:sz w:val="21"/>
          <w:szCs w:val="21"/>
        </w:rPr>
      </w:pPr>
    </w:p>
    <w:p>
      <w:pPr>
        <w:spacing w:line="240" w:lineRule="auto"/>
        <w:ind w:firstLine="0" w:firstLineChars="0"/>
        <w:jc w:val="center"/>
        <w:rPr>
          <w:rFonts w:hint="default" w:ascii="Times New Roman" w:hAnsi="Times New Roman" w:cs="Times New Roman"/>
          <w:b/>
          <w:sz w:val="21"/>
          <w:szCs w:val="21"/>
        </w:rPr>
      </w:pPr>
    </w:p>
    <w:p>
      <w:pPr>
        <w:spacing w:line="240" w:lineRule="auto"/>
        <w:ind w:firstLine="0" w:firstLineChars="0"/>
        <w:jc w:val="center"/>
        <w:rPr>
          <w:rFonts w:hint="default" w:ascii="Times New Roman" w:hAnsi="Times New Roman" w:cs="Times New Roman"/>
          <w:b/>
          <w:sz w:val="21"/>
          <w:szCs w:val="21"/>
        </w:rPr>
      </w:pPr>
    </w:p>
    <w:p>
      <w:pPr>
        <w:spacing w:line="240" w:lineRule="auto"/>
        <w:ind w:firstLine="0" w:firstLineChars="0"/>
        <w:jc w:val="center"/>
        <w:rPr>
          <w:rFonts w:hint="default" w:ascii="Times New Roman" w:hAnsi="Times New Roman" w:cs="Times New Roman"/>
          <w:b/>
          <w:sz w:val="21"/>
          <w:szCs w:val="21"/>
        </w:rPr>
      </w:pPr>
    </w:p>
    <w:p>
      <w:pPr>
        <w:spacing w:line="240" w:lineRule="auto"/>
        <w:ind w:firstLine="0" w:firstLineChars="0"/>
        <w:jc w:val="center"/>
        <w:rPr>
          <w:rFonts w:hint="default" w:ascii="Times New Roman" w:hAnsi="Times New Roman" w:cs="Times New Roman"/>
          <w:b/>
          <w:sz w:val="21"/>
          <w:szCs w:val="21"/>
        </w:rPr>
      </w:pPr>
    </w:p>
    <w:p>
      <w:pPr>
        <w:spacing w:line="240" w:lineRule="auto"/>
        <w:ind w:firstLine="0" w:firstLineChars="0"/>
        <w:jc w:val="center"/>
        <w:rPr>
          <w:rFonts w:hint="default" w:ascii="Times New Roman" w:hAnsi="Times New Roman" w:cs="Times New Roman"/>
          <w:b/>
          <w:sz w:val="21"/>
          <w:szCs w:val="21"/>
        </w:rPr>
      </w:pPr>
    </w:p>
    <w:p>
      <w:pPr>
        <w:spacing w:line="240" w:lineRule="auto"/>
        <w:ind w:firstLine="0" w:firstLineChars="0"/>
        <w:jc w:val="center"/>
        <w:rPr>
          <w:rFonts w:hint="default" w:ascii="Times New Roman" w:hAnsi="Times New Roman" w:cs="Times New Roman"/>
          <w:b/>
          <w:sz w:val="21"/>
          <w:szCs w:val="21"/>
        </w:rPr>
      </w:pPr>
    </w:p>
    <w:p>
      <w:pPr>
        <w:spacing w:line="240" w:lineRule="auto"/>
        <w:ind w:firstLine="0" w:firstLineChars="0"/>
        <w:jc w:val="center"/>
        <w:rPr>
          <w:rFonts w:hint="default" w:ascii="Times New Roman" w:hAnsi="Times New Roman" w:cs="Times New Roman"/>
          <w:b/>
          <w:sz w:val="21"/>
          <w:szCs w:val="21"/>
        </w:rPr>
      </w:pPr>
    </w:p>
    <w:p>
      <w:pPr>
        <w:spacing w:line="240" w:lineRule="auto"/>
        <w:ind w:firstLine="0" w:firstLineChars="0"/>
        <w:jc w:val="center"/>
        <w:rPr>
          <w:rFonts w:hint="default" w:ascii="Times New Roman" w:hAnsi="Times New Roman" w:cs="Times New Roman"/>
          <w:b/>
          <w:sz w:val="21"/>
          <w:szCs w:val="21"/>
        </w:rPr>
      </w:pPr>
    </w:p>
    <w:p>
      <w:pPr>
        <w:spacing w:line="240" w:lineRule="auto"/>
        <w:ind w:firstLine="0" w:firstLineChars="0"/>
        <w:jc w:val="center"/>
        <w:rPr>
          <w:rFonts w:hint="default" w:ascii="Times New Roman" w:hAnsi="Times New Roman" w:cs="Times New Roman"/>
          <w:b/>
          <w:sz w:val="21"/>
          <w:szCs w:val="21"/>
        </w:rPr>
      </w:pPr>
    </w:p>
    <w:p>
      <w:pPr>
        <w:spacing w:line="240" w:lineRule="auto"/>
        <w:ind w:firstLine="0" w:firstLineChars="0"/>
        <w:jc w:val="center"/>
        <w:rPr>
          <w:rFonts w:hint="default" w:ascii="Times New Roman" w:hAnsi="Times New Roman" w:cs="Times New Roman"/>
          <w:b/>
          <w:sz w:val="21"/>
          <w:szCs w:val="21"/>
        </w:rPr>
      </w:pPr>
    </w:p>
    <w:p>
      <w:pPr>
        <w:spacing w:line="240" w:lineRule="auto"/>
        <w:ind w:firstLine="0" w:firstLineChars="0"/>
        <w:jc w:val="center"/>
        <w:rPr>
          <w:rFonts w:hint="default" w:ascii="Times New Roman" w:hAnsi="Times New Roman" w:cs="Times New Roman"/>
          <w:b/>
          <w:sz w:val="21"/>
          <w:szCs w:val="21"/>
        </w:rPr>
      </w:pPr>
    </w:p>
    <w:p>
      <w:pPr>
        <w:spacing w:line="240" w:lineRule="auto"/>
        <w:ind w:firstLine="0" w:firstLineChars="0"/>
        <w:jc w:val="center"/>
        <w:rPr>
          <w:rFonts w:hint="default" w:ascii="Times New Roman" w:hAnsi="Times New Roman" w:cs="Times New Roman"/>
          <w:b/>
          <w:sz w:val="21"/>
          <w:szCs w:val="21"/>
        </w:rPr>
      </w:pPr>
    </w:p>
    <w:p>
      <w:pPr>
        <w:spacing w:line="240" w:lineRule="auto"/>
        <w:ind w:firstLine="0" w:firstLineChars="0"/>
        <w:jc w:val="center"/>
        <w:rPr>
          <w:rFonts w:hint="default" w:ascii="Times New Roman" w:hAnsi="Times New Roman" w:cs="Times New Roman"/>
          <w:b/>
          <w:sz w:val="21"/>
          <w:szCs w:val="21"/>
        </w:rPr>
      </w:pPr>
    </w:p>
    <w:p>
      <w:pPr>
        <w:spacing w:line="240" w:lineRule="auto"/>
        <w:ind w:firstLine="0" w:firstLineChars="0"/>
        <w:jc w:val="center"/>
        <w:rPr>
          <w:rFonts w:hint="default" w:ascii="Times New Roman" w:hAnsi="Times New Roman" w:cs="Times New Roman"/>
          <w:b/>
          <w:sz w:val="21"/>
          <w:szCs w:val="21"/>
        </w:rPr>
      </w:pPr>
    </w:p>
    <w:p>
      <w:pPr>
        <w:spacing w:line="240" w:lineRule="auto"/>
        <w:ind w:firstLine="0" w:firstLineChars="0"/>
        <w:jc w:val="both"/>
        <w:rPr>
          <w:rFonts w:hint="default" w:ascii="Times New Roman" w:hAnsi="Times New Roman" w:cs="Times New Roman"/>
          <w:b/>
          <w:sz w:val="21"/>
          <w:szCs w:val="21"/>
        </w:rPr>
      </w:pPr>
    </w:p>
    <w:p>
      <w:pPr>
        <w:spacing w:line="240" w:lineRule="auto"/>
        <w:ind w:firstLine="0" w:firstLineChars="0"/>
        <w:jc w:val="both"/>
        <w:rPr>
          <w:rFonts w:hint="default" w:ascii="Times New Roman" w:hAnsi="Times New Roman" w:cs="Times New Roman"/>
          <w:b/>
          <w:sz w:val="21"/>
          <w:szCs w:val="21"/>
        </w:rPr>
      </w:pPr>
    </w:p>
    <w:p>
      <w:pPr>
        <w:spacing w:line="240" w:lineRule="auto"/>
        <w:ind w:firstLine="0" w:firstLineChars="0"/>
        <w:jc w:val="center"/>
        <w:rPr>
          <w:rFonts w:hint="default" w:ascii="Times New Roman" w:hAnsi="Times New Roman" w:cs="Times New Roman"/>
          <w:b/>
          <w:sz w:val="21"/>
          <w:szCs w:val="21"/>
        </w:rPr>
      </w:pPr>
    </w:p>
    <w:p>
      <w:pPr>
        <w:spacing w:line="240" w:lineRule="auto"/>
        <w:ind w:firstLine="0" w:firstLineChars="0"/>
        <w:jc w:val="center"/>
        <w:rPr>
          <w:rFonts w:hint="default" w:ascii="Times New Roman" w:hAnsi="Times New Roman" w:cs="Times New Roman"/>
          <w:b/>
          <w:sz w:val="21"/>
          <w:szCs w:val="21"/>
        </w:rPr>
      </w:pPr>
    </w:p>
    <w:p>
      <w:pPr>
        <w:spacing w:line="240" w:lineRule="auto"/>
        <w:ind w:firstLine="0" w:firstLineChars="0"/>
        <w:jc w:val="center"/>
        <w:rPr>
          <w:rFonts w:hint="default" w:ascii="Times New Roman" w:hAnsi="Times New Roman" w:cs="Times New Roman"/>
          <w:b/>
          <w:sz w:val="21"/>
          <w:szCs w:val="21"/>
        </w:rPr>
      </w:pPr>
    </w:p>
    <w:p>
      <w:pPr>
        <w:spacing w:line="240" w:lineRule="auto"/>
        <w:ind w:firstLine="0" w:firstLineChars="0"/>
        <w:jc w:val="center"/>
        <w:rPr>
          <w:rFonts w:hint="default" w:ascii="Times New Roman" w:hAnsi="Times New Roman" w:cs="Times New Roman"/>
          <w:b/>
          <w:sz w:val="21"/>
          <w:szCs w:val="21"/>
        </w:rPr>
      </w:pPr>
    </w:p>
    <w:p>
      <w:pPr>
        <w:spacing w:line="240" w:lineRule="auto"/>
        <w:ind w:firstLine="0" w:firstLineChars="0"/>
        <w:jc w:val="center"/>
        <w:rPr>
          <w:rFonts w:hint="default" w:ascii="Times New Roman" w:hAnsi="Times New Roman" w:cs="Times New Roman"/>
          <w:b/>
          <w:sz w:val="21"/>
          <w:szCs w:val="21"/>
        </w:rPr>
      </w:pPr>
    </w:p>
    <w:p>
      <w:pPr>
        <w:spacing w:line="240" w:lineRule="auto"/>
        <w:ind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图2-1湘阴县行政区划图</w:t>
      </w:r>
    </w:p>
    <w:p>
      <w:pPr>
        <w:spacing w:line="240" w:lineRule="auto"/>
        <w:ind w:firstLine="0" w:firstLineChars="0"/>
        <w:jc w:val="center"/>
        <w:rPr>
          <w:rFonts w:hint="default" w:ascii="Times New Roman" w:hAnsi="Times New Roman" w:cs="Times New Roman"/>
        </w:rPr>
      </w:pPr>
    </w:p>
    <w:p>
      <w:pPr>
        <w:spacing w:line="240" w:lineRule="auto"/>
        <w:ind w:firstLine="0" w:firstLineChars="0"/>
        <w:jc w:val="center"/>
        <w:rPr>
          <w:rFonts w:hint="default" w:ascii="Times New Roman" w:hAnsi="Times New Roman" w:cs="Times New Roman"/>
        </w:rPr>
      </w:pPr>
    </w:p>
    <w:p>
      <w:pPr>
        <w:spacing w:line="240" w:lineRule="auto"/>
        <w:ind w:firstLine="0" w:firstLineChars="0"/>
        <w:jc w:val="center"/>
        <w:rPr>
          <w:rFonts w:hint="default" w:ascii="Times New Roman" w:hAnsi="Times New Roman" w:cs="Times New Roman"/>
        </w:rPr>
      </w:pPr>
    </w:p>
    <w:p>
      <w:pPr>
        <w:spacing w:line="240" w:lineRule="auto"/>
        <w:ind w:firstLine="0" w:firstLineChars="0"/>
        <w:jc w:val="center"/>
        <w:rPr>
          <w:rFonts w:hint="default" w:ascii="Times New Roman" w:hAnsi="Times New Roman" w:cs="Times New Roman"/>
        </w:rPr>
      </w:pPr>
    </w:p>
    <w:p>
      <w:pPr>
        <w:spacing w:line="240" w:lineRule="auto"/>
        <w:ind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drawing>
          <wp:inline distT="0" distB="0" distL="114300" distR="114300">
            <wp:extent cx="5271770" cy="3154680"/>
            <wp:effectExtent l="0" t="0" r="5080" b="762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
                    <a:stretch>
                      <a:fillRect/>
                    </a:stretch>
                  </pic:blipFill>
                  <pic:spPr>
                    <a:xfrm>
                      <a:off x="0" y="0"/>
                      <a:ext cx="5271770" cy="3154680"/>
                    </a:xfrm>
                    <a:prstGeom prst="rect">
                      <a:avLst/>
                    </a:prstGeom>
                    <a:noFill/>
                    <a:ln w="9525">
                      <a:noFill/>
                    </a:ln>
                  </pic:spPr>
                </pic:pic>
              </a:graphicData>
            </a:graphic>
          </wp:inline>
        </w:drawing>
      </w:r>
    </w:p>
    <w:p>
      <w:pPr>
        <w:spacing w:line="240" w:lineRule="auto"/>
        <w:ind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图2-2   水源地位置图</w:t>
      </w:r>
    </w:p>
    <w:p>
      <w:pPr>
        <w:pStyle w:val="4"/>
        <w:spacing w:before="163" w:after="163"/>
        <w:rPr>
          <w:rFonts w:hint="default" w:ascii="Times New Roman" w:hAnsi="Times New Roman" w:cs="Times New Roman"/>
        </w:rPr>
      </w:pPr>
      <w:bookmarkStart w:id="66" w:name="_Toc458323084"/>
      <w:bookmarkStart w:id="67" w:name="_Toc451526491"/>
      <w:bookmarkStart w:id="68" w:name="_Toc32231"/>
      <w:bookmarkStart w:id="69" w:name="_Toc20091"/>
      <w:r>
        <w:rPr>
          <w:rFonts w:hint="default" w:ascii="Times New Roman" w:hAnsi="Times New Roman" w:cs="Times New Roman"/>
        </w:rPr>
        <w:t>2.1.2地形地貌</w:t>
      </w:r>
      <w:bookmarkEnd w:id="66"/>
      <w:bookmarkEnd w:id="67"/>
      <w:bookmarkEnd w:id="68"/>
      <w:bookmarkEnd w:id="69"/>
    </w:p>
    <w:p>
      <w:pPr>
        <w:spacing w:line="360" w:lineRule="auto"/>
        <w:ind w:firstLine="480"/>
        <w:rPr>
          <w:rFonts w:hint="default" w:ascii="Times New Roman" w:hAnsi="Times New Roman" w:eastAsia="宋体" w:cs="Times New Roman"/>
          <w:lang w:bidi="ar"/>
        </w:rPr>
      </w:pPr>
      <w:r>
        <w:rPr>
          <w:rFonts w:hint="default" w:ascii="Times New Roman" w:hAnsi="Times New Roman" w:eastAsia="宋体" w:cs="Times New Roman"/>
          <w:lang w:bidi="ar"/>
        </w:rPr>
        <w:t>湘阴县地貌呈低山、岗地、平原三种形态，具有三大特征：其一，地势东南高，西北低。位居幕阜山余脉走向洞庭湖凹陷处的过渡带上，地势自东南向西北递降，形成一个微向洞庭湖盆中心的倾斜面。最高处青山庵，海拔552.4m，最低处濠河口河底，低于黄海水平面4.3m米。其二，以滨湖平原为主体，呈块状分布。地处湘江大断裂带，构成低山、岗地；西盘下切，形成滨湖平原。除去江河湖泊及其它水面，滨湖、江河、溪谷3种平原共702.11 km</w:t>
      </w:r>
      <w:r>
        <w:rPr>
          <w:rFonts w:hint="default" w:ascii="Times New Roman" w:hAnsi="Times New Roman" w:eastAsia="宋体" w:cs="Times New Roman"/>
          <w:vertAlign w:val="superscript"/>
          <w:lang w:bidi="ar"/>
        </w:rPr>
        <w:t>2</w:t>
      </w:r>
      <w:r>
        <w:rPr>
          <w:rFonts w:hint="default" w:ascii="Times New Roman" w:hAnsi="Times New Roman" w:eastAsia="宋体" w:cs="Times New Roman"/>
          <w:lang w:bidi="ar"/>
        </w:rPr>
        <w:t>，占全县总面积的44.4%，岗地占13.59%，低山占1.51%。其三，河湖交汇，水域广阔。山岗地区水系发育不良，北部平原、湖洲地区河湖交汇。</w:t>
      </w:r>
      <w:bookmarkStart w:id="70" w:name="_Toc458323085"/>
      <w:bookmarkStart w:id="71" w:name="_Toc451526492"/>
    </w:p>
    <w:p>
      <w:pPr>
        <w:spacing w:line="360" w:lineRule="auto"/>
        <w:ind w:firstLine="480"/>
        <w:rPr>
          <w:rFonts w:hint="eastAsia" w:ascii="Times New Roman" w:hAnsi="Times New Roman" w:eastAsia="宋体" w:cs="Times New Roman"/>
          <w:lang w:val="en-US" w:eastAsia="zh-CN" w:bidi="ar"/>
        </w:rPr>
      </w:pPr>
      <w:r>
        <w:rPr>
          <w:rFonts w:hint="eastAsia" w:ascii="Times New Roman" w:hAnsi="Times New Roman" w:eastAsia="宋体" w:cs="Times New Roman"/>
          <w:lang w:val="en-US" w:eastAsia="zh-CN" w:bidi="ar"/>
        </w:rPr>
        <w:t>本水源地地貌类型以平原和岗地为主，土壤以水稻土、红壤、潮土为主，土地适种性广。</w:t>
      </w:r>
    </w:p>
    <w:p>
      <w:pPr>
        <w:pStyle w:val="4"/>
        <w:spacing w:before="163" w:after="163"/>
        <w:rPr>
          <w:rFonts w:hint="default" w:ascii="Times New Roman" w:hAnsi="Times New Roman" w:cs="Times New Roman"/>
        </w:rPr>
      </w:pPr>
      <w:bookmarkStart w:id="72" w:name="_Toc7834"/>
      <w:bookmarkStart w:id="73" w:name="_Toc166"/>
      <w:r>
        <w:rPr>
          <w:rFonts w:hint="default" w:ascii="Times New Roman" w:hAnsi="Times New Roman" w:cs="Times New Roman"/>
        </w:rPr>
        <w:t>2.1.3地质条件</w:t>
      </w:r>
      <w:bookmarkEnd w:id="70"/>
      <w:bookmarkEnd w:id="71"/>
      <w:bookmarkEnd w:id="72"/>
      <w:bookmarkEnd w:id="73"/>
    </w:p>
    <w:p>
      <w:pPr>
        <w:pStyle w:val="5"/>
        <w:spacing w:before="163" w:after="163"/>
        <w:rPr>
          <w:rFonts w:hint="default" w:ascii="Times New Roman" w:hAnsi="Times New Roman" w:cs="Times New Roman"/>
        </w:rPr>
      </w:pPr>
      <w:r>
        <w:rPr>
          <w:rFonts w:hint="eastAsia" w:ascii="Times New Roman" w:hAnsi="Times New Roman" w:cs="Times New Roman"/>
        </w:rPr>
        <w:t>2.1.3.1 地质背景</w:t>
      </w:r>
    </w:p>
    <w:p>
      <w:pPr>
        <w:spacing w:line="360" w:lineRule="auto"/>
        <w:ind w:firstLine="480"/>
        <w:rPr>
          <w:rFonts w:hint="eastAsia" w:ascii="Times New Roman" w:hAnsi="Times New Roman" w:eastAsia="宋体" w:cs="Times New Roman"/>
          <w:lang w:val="en-US" w:eastAsia="zh-CN" w:bidi="ar"/>
        </w:rPr>
      </w:pPr>
      <w:r>
        <w:rPr>
          <w:rFonts w:hint="eastAsia" w:ascii="Times New Roman" w:hAnsi="Times New Roman" w:eastAsia="宋体" w:cs="Times New Roman"/>
          <w:lang w:val="en-US" w:eastAsia="zh-CN" w:bidi="ar"/>
        </w:rPr>
        <w:t>湘阴县位于洞庭湖构造盆地的西缘，其地层条件受洞庭湖构造演化控制。评估区属于湖积盆地，出露地层主要为第四系中更新统及全新统松散层。</w:t>
      </w:r>
    </w:p>
    <w:p>
      <w:pPr>
        <w:spacing w:line="360" w:lineRule="auto"/>
        <w:ind w:firstLine="480"/>
        <w:rPr>
          <w:rFonts w:hint="eastAsia" w:ascii="Times New Roman" w:hAnsi="Times New Roman" w:eastAsia="宋体" w:cs="Times New Roman"/>
          <w:lang w:val="en-US" w:eastAsia="zh-CN" w:bidi="ar"/>
        </w:rPr>
      </w:pPr>
      <w:r>
        <w:rPr>
          <w:rFonts w:hint="eastAsia" w:ascii="Times New Roman" w:hAnsi="Times New Roman" w:eastAsia="宋体" w:cs="Times New Roman"/>
          <w:lang w:val="en-US" w:eastAsia="zh-CN" w:bidi="ar"/>
        </w:rPr>
        <w:t>洞庭湖盆地是扬子地台上的断陷盆地，形成于中生代。盆地形成之前，经受了武陵、雪峰、加里东、海西、印支期构造运动的改造、迭加，为盆地的形成奠定了基础。盆地形成的同时，在其四周形成了隆起带，东面为幕阜山隆起，西面为武陵隆起、北面为华容隆起，南西为雪峰山隆起。早白垩纪是盆地形成的初期阶段，早期燕山运动形成了桃源山间盆地，后扩展至石门一带，其它广大地区仍处于隆起剥蚀中。中晚白垩纪是盆地发展扩大阶段，燕山运动使四周上升，湖盆下降形成东起汨罗、西至澧县、南起益阳、北抵南县的浩瀚大湖。不均衡的上升和下降，在盆地内形成了北东向的凸起和凹陷，凸起和凹陷间断裂构造发育。从西至东有澧县凹陷、太阳山凹陷、常桃凹陷、目平湖凹陷、沅江—湘阴凹陷，凹陷内沉积了一套逾6000 米的红色砾、砂、泥岩多韵律组合；凸起区由元古界和古生界地层组成。至这个时期，洞庭湖拗陷盆地基本形成。第三纪喜马拉雅运动早期表现为凸起扩大，凹陷缩小，盆地萎缩，盆地周边隆起带继续上升，至第三纪末整个盆地隆起成陆。洞庭湖盆地从白垩纪拗陷成湖至第三纪末隆起成陆，标志着第一个构造旋回结束。第四纪时期，受新构造运动作用，盆地周边间歇性抬升，内部凹陷，形成以洞庭湖为中心，湘、资、沅、澧四水为主体的碟形盆地。沉积厚度逾300 米（图2-3）。</w:t>
      </w:r>
    </w:p>
    <w:p>
      <w:pPr>
        <w:spacing w:line="360" w:lineRule="auto"/>
        <w:ind w:firstLine="480"/>
        <w:rPr>
          <w:rFonts w:hint="eastAsia" w:ascii="Times New Roman" w:hAnsi="Times New Roman" w:eastAsia="宋体" w:cs="Times New Roman"/>
          <w:lang w:val="en-US" w:eastAsia="zh-CN" w:bidi="ar"/>
        </w:rPr>
      </w:pPr>
      <w:r>
        <w:rPr>
          <w:rFonts w:hint="eastAsia" w:ascii="Times New Roman" w:hAnsi="Times New Roman" w:eastAsia="宋体" w:cs="Times New Roman"/>
          <w:lang w:val="en-US" w:eastAsia="zh-CN" w:bidi="ar"/>
        </w:rPr>
        <w:t>由图 2-3 可看出，湘阴县第四系厚度在 130m-180m 左右，自东部丘岗向西部湖盆逐渐增厚。</w:t>
      </w:r>
    </w:p>
    <w:p>
      <w:pPr>
        <w:spacing w:line="240" w:lineRule="auto"/>
        <w:ind w:firstLine="0" w:firstLineChars="0"/>
        <w:jc w:val="center"/>
        <w:rPr>
          <w:rFonts w:hint="default" w:ascii="Times New Roman" w:hAnsi="Times New Roman" w:cs="Times New Roman"/>
          <w:b/>
          <w:sz w:val="21"/>
          <w:szCs w:val="21"/>
          <w:lang w:val="en-US" w:eastAsia="zh-CN"/>
        </w:rPr>
      </w:pPr>
      <w:r>
        <w:rPr>
          <w:rFonts w:hint="eastAsia" w:ascii="Times New Roman" w:hAnsi="Times New Roman" w:cs="Times New Roman"/>
          <w:b/>
          <w:sz w:val="21"/>
          <w:szCs w:val="21"/>
          <w:lang w:val="en-US" w:eastAsia="zh-CN"/>
        </w:rPr>
        <w:drawing>
          <wp:inline distT="0" distB="0" distL="114300" distR="114300">
            <wp:extent cx="3792220" cy="3172460"/>
            <wp:effectExtent l="0" t="0" r="17780" b="8890"/>
            <wp:docPr id="8" name="1058" descr="1058"/>
            <wp:cNvGraphicFramePr/>
            <a:graphic xmlns:a="http://schemas.openxmlformats.org/drawingml/2006/main">
              <a:graphicData uri="http://schemas.openxmlformats.org/drawingml/2006/picture">
                <pic:pic xmlns:pic="http://schemas.openxmlformats.org/drawingml/2006/picture">
                  <pic:nvPicPr>
                    <pic:cNvPr id="8" name="1058" descr="1058"/>
                    <pic:cNvPicPr preferRelativeResize="0">
                      <a:picLocks noChangeArrowheads="1"/>
                    </pic:cNvPicPr>
                  </pic:nvPicPr>
                  <pic:blipFill>
                    <a:blip r:embed="rId9" cstate="print">
                      <a:clrChange>
                        <a:clrFrom>
                          <a:srgbClr val="FFFFFF"/>
                        </a:clrFrom>
                        <a:clrTo>
                          <a:srgbClr val="FFFFFF">
                            <a:alpha val="0"/>
                          </a:srgbClr>
                        </a:clrTo>
                      </a:clrChange>
                    </a:blip>
                    <a:srcRect/>
                    <a:stretch>
                      <a:fillRect/>
                    </a:stretch>
                  </pic:blipFill>
                  <pic:spPr>
                    <a:xfrm>
                      <a:off x="0" y="0"/>
                      <a:ext cx="3792220" cy="3172460"/>
                    </a:xfrm>
                    <a:custGeom>
                      <a:avLst/>
                      <a:gdLst>
                        <a:gd name="T0" fmla="*/ 0 w 8438"/>
                        <a:gd name="T1" fmla="*/ 0 h 6476"/>
                        <a:gd name="T2" fmla="*/ 0 w 8438"/>
                        <a:gd name="T3" fmla="*/ 6476 h 6476"/>
                        <a:gd name="T4" fmla="*/ 8438 w 8438"/>
                        <a:gd name="T5" fmla="*/ 6476 h 6476"/>
                        <a:gd name="T6" fmla="*/ 8438 w 8438"/>
                        <a:gd name="T7" fmla="*/ 0 h 6476"/>
                      </a:gdLst>
                      <a:ahLst/>
                      <a:cxnLst>
                        <a:cxn ang="0">
                          <a:pos x="T0" y="T1"/>
                        </a:cxn>
                        <a:cxn ang="0">
                          <a:pos x="T2" y="T3"/>
                        </a:cxn>
                        <a:cxn ang="0">
                          <a:pos x="T4" y="T5"/>
                        </a:cxn>
                        <a:cxn ang="0">
                          <a:pos x="T6" y="T7"/>
                        </a:cxn>
                      </a:cxnLst>
                      <a:rect l="0" t="0" r="r" b="b"/>
                      <a:pathLst>
                        <a:path w="8438" h="6476">
                          <a:moveTo>
                            <a:pt x="0" y="0"/>
                          </a:moveTo>
                          <a:lnTo>
                            <a:pt x="0" y="6476"/>
                          </a:lnTo>
                          <a:lnTo>
                            <a:pt x="8438" y="6476"/>
                          </a:lnTo>
                          <a:lnTo>
                            <a:pt x="8438" y="0"/>
                          </a:lnTo>
                          <a:close/>
                        </a:path>
                      </a:pathLst>
                    </a:custGeom>
                    <a:noFill/>
                    <a:ln w="9525" cap="rnd">
                      <a:noFill/>
                      <a:round/>
                    </a:ln>
                  </pic:spPr>
                </pic:pic>
              </a:graphicData>
            </a:graphic>
          </wp:inline>
        </w:drawing>
      </w:r>
    </w:p>
    <w:p>
      <w:pPr>
        <w:spacing w:line="240" w:lineRule="auto"/>
        <w:ind w:firstLine="0" w:firstLineChars="0"/>
        <w:jc w:val="center"/>
        <w:rPr>
          <w:rFonts w:hint="eastAsia" w:ascii="Times New Roman" w:hAnsi="Times New Roman" w:cs="Times New Roman"/>
          <w:b/>
          <w:sz w:val="21"/>
          <w:szCs w:val="21"/>
          <w:lang w:val="en-US" w:eastAsia="zh-CN"/>
        </w:rPr>
      </w:pPr>
      <w:bookmarkStart w:id="74" w:name="_Toc458323086"/>
      <w:bookmarkStart w:id="75" w:name="_Toc451526493"/>
      <w:r>
        <w:rPr>
          <w:rFonts w:hint="eastAsia" w:ascii="Times New Roman" w:hAnsi="Times New Roman" w:cs="Times New Roman"/>
          <w:b/>
          <w:sz w:val="21"/>
          <w:szCs w:val="21"/>
          <w:lang w:val="en-US" w:eastAsia="zh-CN"/>
        </w:rPr>
        <w:t>图2-3洞庭湖区第四系沉积厚度等值线图</w:t>
      </w:r>
    </w:p>
    <w:p>
      <w:pPr>
        <w:pStyle w:val="5"/>
        <w:spacing w:before="163" w:after="163"/>
        <w:rPr>
          <w:rFonts w:hint="eastAsia" w:ascii="Times New Roman" w:hAnsi="Times New Roman" w:cs="Times New Roman"/>
          <w:lang w:val="en-US" w:eastAsia="zh-CN"/>
        </w:rPr>
      </w:pPr>
      <w:r>
        <w:rPr>
          <w:rFonts w:hint="eastAsia" w:ascii="Times New Roman" w:hAnsi="Times New Roman" w:cs="Times New Roman"/>
          <w:lang w:val="en-US" w:eastAsia="zh-CN"/>
        </w:rPr>
        <w:t>2.1.3.2区域地层岩性</w:t>
      </w:r>
    </w:p>
    <w:p>
      <w:pPr>
        <w:spacing w:line="360" w:lineRule="auto"/>
        <w:ind w:firstLine="480"/>
        <w:rPr>
          <w:rFonts w:hint="eastAsia" w:ascii="Times New Roman" w:hAnsi="Times New Roman" w:eastAsia="宋体" w:cs="Times New Roman"/>
          <w:lang w:val="en-US" w:eastAsia="zh-CN" w:bidi="ar"/>
        </w:rPr>
      </w:pPr>
      <w:r>
        <w:rPr>
          <w:rFonts w:hint="eastAsia" w:ascii="Times New Roman" w:hAnsi="Times New Roman" w:eastAsia="宋体" w:cs="Times New Roman"/>
          <w:lang w:val="en-US" w:eastAsia="zh-CN" w:bidi="ar"/>
        </w:rPr>
        <w:t>根据收集的资料，本水源地所在的洞庭湖盆地为第四系。</w:t>
      </w:r>
    </w:p>
    <w:p>
      <w:pPr>
        <w:spacing w:line="360" w:lineRule="auto"/>
        <w:ind w:firstLine="480"/>
        <w:rPr>
          <w:rFonts w:hint="eastAsia" w:ascii="Times New Roman" w:hAnsi="Times New Roman" w:eastAsia="宋体" w:cs="Times New Roman"/>
          <w:lang w:val="en-US" w:eastAsia="zh-CN" w:bidi="ar"/>
        </w:rPr>
      </w:pPr>
      <w:r>
        <w:rPr>
          <w:rFonts w:hint="eastAsia" w:ascii="Times New Roman" w:hAnsi="Times New Roman" w:eastAsia="宋体" w:cs="Times New Roman"/>
          <w:lang w:val="en-US" w:eastAsia="zh-CN" w:bidi="ar"/>
        </w:rPr>
        <w:t>（1）汩罗组（Qp1m）:为河湖交互相碎屑粘土。岩性为河湖相沉积的深棕红色、灰褐色砂层、砂砾层夹砂质粘土和粉质粘土。</w:t>
      </w:r>
    </w:p>
    <w:p>
      <w:pPr>
        <w:spacing w:line="360" w:lineRule="auto"/>
        <w:ind w:firstLine="480"/>
        <w:rPr>
          <w:rFonts w:hint="eastAsia" w:ascii="Times New Roman" w:hAnsi="Times New Roman" w:eastAsia="宋体" w:cs="Times New Roman"/>
          <w:lang w:val="en-US" w:eastAsia="zh-CN" w:bidi="ar"/>
        </w:rPr>
      </w:pPr>
      <w:r>
        <w:rPr>
          <w:rFonts w:hint="eastAsia" w:ascii="Times New Roman" w:hAnsi="Times New Roman" w:eastAsia="宋体" w:cs="Times New Roman"/>
          <w:lang w:val="en-US" w:eastAsia="zh-CN" w:bidi="ar"/>
        </w:rPr>
        <w:t>（2）新开铺组（Qp2x）：岩性为河湖交互相砾石层与黄色沙砾层、粗砾层</w:t>
      </w:r>
    </w:p>
    <w:p>
      <w:pPr>
        <w:spacing w:line="360" w:lineRule="auto"/>
        <w:ind w:firstLine="480"/>
        <w:rPr>
          <w:rFonts w:hint="eastAsia" w:ascii="Times New Roman" w:hAnsi="Times New Roman" w:eastAsia="宋体" w:cs="Times New Roman"/>
          <w:lang w:val="en-US" w:eastAsia="zh-CN" w:bidi="ar"/>
        </w:rPr>
      </w:pPr>
      <w:r>
        <w:rPr>
          <w:rFonts w:hint="eastAsia" w:ascii="Times New Roman" w:hAnsi="Times New Roman" w:eastAsia="宋体" w:cs="Times New Roman"/>
          <w:lang w:val="en-US" w:eastAsia="zh-CN" w:bidi="ar"/>
        </w:rPr>
        <w:t>及泥砂互层。主要在县城西南的湘江两岸一带有出露。</w:t>
      </w:r>
    </w:p>
    <w:p>
      <w:pPr>
        <w:spacing w:line="360" w:lineRule="auto"/>
        <w:ind w:firstLine="480"/>
        <w:rPr>
          <w:rFonts w:hint="eastAsia" w:ascii="Times New Roman" w:hAnsi="Times New Roman" w:eastAsia="宋体" w:cs="Times New Roman"/>
          <w:lang w:val="en-US" w:eastAsia="zh-CN" w:bidi="ar"/>
        </w:rPr>
      </w:pPr>
      <w:r>
        <w:rPr>
          <w:rFonts w:hint="eastAsia" w:ascii="Times New Roman" w:hAnsi="Times New Roman" w:eastAsia="宋体" w:cs="Times New Roman"/>
          <w:lang w:val="en-US" w:eastAsia="zh-CN" w:bidi="ar"/>
        </w:rPr>
        <w:t>（3）白沙井组（Qp2b）:为冲湖积形成。岩性为棕黄色、棕红色砾石层、砂</w:t>
      </w:r>
    </w:p>
    <w:p>
      <w:pPr>
        <w:spacing w:line="360" w:lineRule="auto"/>
        <w:ind w:firstLine="480"/>
        <w:rPr>
          <w:rFonts w:hint="eastAsia" w:ascii="Times New Roman" w:hAnsi="Times New Roman" w:eastAsia="宋体" w:cs="Times New Roman"/>
          <w:lang w:val="en-US" w:eastAsia="zh-CN" w:bidi="ar"/>
        </w:rPr>
      </w:pPr>
      <w:r>
        <w:rPr>
          <w:rFonts w:hint="eastAsia" w:ascii="Times New Roman" w:hAnsi="Times New Roman" w:eastAsia="宋体" w:cs="Times New Roman"/>
          <w:lang w:val="en-US" w:eastAsia="zh-CN" w:bidi="ar"/>
        </w:rPr>
        <w:t>层及粘土层，具砾粘二元结构。在洞庭湖盆区周边的丘陵、东湖等地广泛出露。</w:t>
      </w:r>
    </w:p>
    <w:p>
      <w:pPr>
        <w:spacing w:line="360" w:lineRule="auto"/>
        <w:ind w:firstLine="480"/>
        <w:rPr>
          <w:rFonts w:hint="eastAsia" w:ascii="Times New Roman" w:hAnsi="Times New Roman" w:eastAsia="宋体" w:cs="Times New Roman"/>
          <w:lang w:val="en-US" w:eastAsia="zh-CN" w:bidi="ar"/>
        </w:rPr>
      </w:pPr>
      <w:r>
        <w:rPr>
          <w:rFonts w:hint="eastAsia" w:ascii="Times New Roman" w:hAnsi="Times New Roman" w:eastAsia="宋体" w:cs="Times New Roman"/>
          <w:lang w:val="en-US" w:eastAsia="zh-CN" w:bidi="ar"/>
        </w:rPr>
        <w:t>（4）马王堆组（Qp2mw）：岩性为沙砾层、含砾砂层，偶夹粘土。主要出露于东塘镇以北及楚塘附近。</w:t>
      </w:r>
    </w:p>
    <w:p>
      <w:pPr>
        <w:spacing w:line="360" w:lineRule="auto"/>
        <w:ind w:firstLine="480"/>
        <w:rPr>
          <w:rFonts w:hint="eastAsia" w:ascii="Times New Roman" w:hAnsi="Times New Roman" w:eastAsia="宋体" w:cs="Times New Roman"/>
          <w:lang w:val="en-US" w:eastAsia="zh-CN" w:bidi="ar"/>
        </w:rPr>
      </w:pPr>
      <w:r>
        <w:rPr>
          <w:rFonts w:hint="eastAsia" w:ascii="Times New Roman" w:hAnsi="Times New Roman" w:eastAsia="宋体" w:cs="Times New Roman"/>
          <w:lang w:val="en-US" w:eastAsia="zh-CN" w:bidi="ar"/>
        </w:rPr>
        <w:t>（5）下蜀组（Qp3xs）：岩性为黄褐色、棕黄、灰黄色含铁锰质结核和薄膜</w:t>
      </w:r>
    </w:p>
    <w:p>
      <w:pPr>
        <w:spacing w:line="360" w:lineRule="auto"/>
        <w:ind w:firstLine="480"/>
        <w:rPr>
          <w:rFonts w:hint="eastAsia" w:ascii="Times New Roman" w:hAnsi="Times New Roman" w:eastAsia="宋体" w:cs="Times New Roman"/>
          <w:lang w:val="en-US" w:eastAsia="zh-CN" w:bidi="ar"/>
        </w:rPr>
      </w:pPr>
      <w:r>
        <w:rPr>
          <w:rFonts w:hint="eastAsia" w:ascii="Times New Roman" w:hAnsi="Times New Roman" w:eastAsia="宋体" w:cs="Times New Roman"/>
          <w:lang w:val="en-US" w:eastAsia="zh-CN" w:bidi="ar"/>
        </w:rPr>
        <w:t>的砂质粘土、粉砂质粘土、粘土、粉砂，局部含淤泥质和炭化植物残骸，底部偶发育有细砾层。在县城西北部偶有出露。</w:t>
      </w:r>
    </w:p>
    <w:p>
      <w:pPr>
        <w:spacing w:line="360" w:lineRule="auto"/>
        <w:ind w:firstLine="480"/>
        <w:rPr>
          <w:rFonts w:hint="eastAsia" w:ascii="Times New Roman" w:hAnsi="Times New Roman" w:eastAsia="宋体" w:cs="Times New Roman"/>
          <w:lang w:val="en-US" w:eastAsia="zh-CN" w:bidi="ar"/>
        </w:rPr>
      </w:pPr>
      <w:r>
        <w:rPr>
          <w:rFonts w:hint="eastAsia" w:ascii="Times New Roman" w:hAnsi="Times New Roman" w:eastAsia="宋体" w:cs="Times New Roman"/>
          <w:lang w:val="en-US" w:eastAsia="zh-CN" w:bidi="ar"/>
        </w:rPr>
        <w:t>（6）洞庭湖组湖沼相沉积（Qhdl ): 岩性为灰色、灰褐色、灰黑色、棕褐色</w:t>
      </w:r>
    </w:p>
    <w:p>
      <w:pPr>
        <w:spacing w:line="360" w:lineRule="auto"/>
        <w:ind w:left="0" w:leftChars="0" w:firstLine="0" w:firstLineChars="0"/>
        <w:rPr>
          <w:rFonts w:hint="eastAsia" w:ascii="Times New Roman" w:hAnsi="Times New Roman" w:eastAsia="宋体" w:cs="Times New Roman"/>
          <w:lang w:val="en-US" w:eastAsia="zh-CN" w:bidi="ar"/>
        </w:rPr>
      </w:pPr>
      <w:r>
        <w:rPr>
          <w:rFonts w:hint="eastAsia" w:ascii="Times New Roman" w:hAnsi="Times New Roman" w:eastAsia="宋体" w:cs="Times New Roman"/>
          <w:lang w:val="en-US" w:eastAsia="zh-CN" w:bidi="ar"/>
        </w:rPr>
        <w:t>砂质粘土、粉砂、细砂粘土、含钙质粉砂质粘土、淤泥。底部偶含细砾。广泛分布于县城的西北部。</w:t>
      </w:r>
    </w:p>
    <w:p>
      <w:pPr>
        <w:spacing w:line="360" w:lineRule="auto"/>
        <w:ind w:firstLine="480"/>
        <w:rPr>
          <w:rFonts w:hint="eastAsia" w:ascii="Times New Roman" w:hAnsi="Times New Roman" w:eastAsia="宋体" w:cs="Times New Roman"/>
          <w:lang w:val="en-US" w:eastAsia="zh-CN" w:bidi="ar"/>
        </w:rPr>
      </w:pPr>
      <w:r>
        <w:rPr>
          <w:rFonts w:hint="eastAsia" w:ascii="Times New Roman" w:hAnsi="Times New Roman" w:eastAsia="宋体" w:cs="Times New Roman"/>
          <w:lang w:val="en-US" w:eastAsia="zh-CN" w:bidi="ar"/>
        </w:rPr>
        <w:t>（7）洞庭湖组河湖相沉积（Qhdal）: 岩性为河湖相灰色、灰褐 争砂质沾土、含钙质粘土。广泛分布于县城的北部一带。</w:t>
      </w:r>
    </w:p>
    <w:p>
      <w:pPr>
        <w:pStyle w:val="5"/>
        <w:spacing w:before="163" w:after="163"/>
        <w:rPr>
          <w:rFonts w:hint="eastAsia" w:ascii="Times New Roman" w:hAnsi="Times New Roman" w:cs="Times New Roman"/>
          <w:lang w:val="en-US" w:eastAsia="zh-CN"/>
        </w:rPr>
      </w:pPr>
      <w:r>
        <w:rPr>
          <w:rFonts w:hint="eastAsia" w:ascii="Times New Roman" w:hAnsi="Times New Roman" w:cs="Times New Roman"/>
          <w:lang w:val="en-US" w:eastAsia="zh-CN"/>
        </w:rPr>
        <w:t>2.1.3.3 地质构造</w:t>
      </w:r>
    </w:p>
    <w:p>
      <w:pPr>
        <w:spacing w:line="360" w:lineRule="auto"/>
        <w:ind w:firstLine="480"/>
        <w:rPr>
          <w:rFonts w:hint="eastAsia" w:ascii="Times New Roman" w:hAnsi="Times New Roman" w:eastAsia="宋体" w:cs="Times New Roman"/>
          <w:lang w:val="en-US" w:eastAsia="zh-CN" w:bidi="ar"/>
        </w:rPr>
      </w:pPr>
      <w:r>
        <w:rPr>
          <w:rFonts w:hint="eastAsia" w:ascii="Times New Roman" w:hAnsi="Times New Roman" w:eastAsia="宋体" w:cs="Times New Roman"/>
          <w:lang w:val="en-US" w:eastAsia="zh-CN" w:bidi="ar"/>
        </w:rPr>
        <w:t>洞庭湖区内的构造活动大多受区域性的大构造所制约，主要有：</w:t>
      </w:r>
    </w:p>
    <w:p>
      <w:pPr>
        <w:spacing w:line="360" w:lineRule="auto"/>
        <w:ind w:firstLine="480"/>
        <w:rPr>
          <w:rFonts w:hint="eastAsia" w:ascii="Times New Roman" w:hAnsi="Times New Roman" w:eastAsia="宋体" w:cs="Times New Roman"/>
          <w:lang w:val="en-US" w:eastAsia="zh-CN" w:bidi="ar"/>
        </w:rPr>
      </w:pPr>
      <w:r>
        <w:rPr>
          <w:rFonts w:hint="eastAsia" w:ascii="Times New Roman" w:hAnsi="Times New Roman" w:eastAsia="宋体" w:cs="Times New Roman"/>
          <w:lang w:val="en-US" w:eastAsia="zh-CN" w:bidi="ar"/>
        </w:rPr>
        <w:t>1、北东向构造</w:t>
      </w:r>
    </w:p>
    <w:p>
      <w:pPr>
        <w:spacing w:line="360" w:lineRule="auto"/>
        <w:ind w:firstLine="480"/>
        <w:rPr>
          <w:rFonts w:hint="eastAsia" w:ascii="Times New Roman" w:hAnsi="Times New Roman" w:eastAsia="宋体" w:cs="Times New Roman"/>
          <w:lang w:val="en-US" w:eastAsia="zh-CN" w:bidi="ar"/>
        </w:rPr>
      </w:pPr>
      <w:r>
        <w:rPr>
          <w:rFonts w:hint="eastAsia" w:ascii="Times New Roman" w:hAnsi="Times New Roman" w:eastAsia="宋体" w:cs="Times New Roman"/>
          <w:lang w:val="en-US" w:eastAsia="zh-CN" w:bidi="ar"/>
        </w:rPr>
        <w:t>北东向构造为区内的主控构造，在区内十分醒目。</w:t>
      </w:r>
    </w:p>
    <w:p>
      <w:pPr>
        <w:spacing w:line="360" w:lineRule="auto"/>
        <w:ind w:firstLine="480"/>
        <w:rPr>
          <w:rFonts w:hint="eastAsia" w:ascii="Times New Roman" w:hAnsi="Times New Roman" w:eastAsia="宋体" w:cs="Times New Roman"/>
          <w:lang w:val="en-US" w:eastAsia="zh-CN" w:bidi="ar"/>
        </w:rPr>
      </w:pPr>
      <w:r>
        <w:rPr>
          <w:rFonts w:hint="eastAsia" w:ascii="Times New Roman" w:hAnsi="Times New Roman" w:eastAsia="宋体" w:cs="Times New Roman"/>
          <w:lang w:val="en-US" w:eastAsia="zh-CN" w:bidi="ar"/>
        </w:rPr>
        <w:t>公田－东雾山－涟源断裂带（F12）：为一条区域性的规模巨大的大型复式断裂带。其东南盘上升，北西盘下降，走向NE－NNE，倾向NW，倾角70º,控制着洞庭湖区的东南边界，并控制着燕山晚期花岗岩体及K2－E1 的沉积分布。该断裂带西北侧主要为新生界地层覆盖，东南侧则主要为元古界地层和岩浆岩侵入体出露。</w:t>
      </w:r>
    </w:p>
    <w:p>
      <w:pPr>
        <w:spacing w:line="360" w:lineRule="auto"/>
        <w:ind w:firstLine="480"/>
        <w:rPr>
          <w:rFonts w:hint="eastAsia" w:ascii="Times New Roman" w:hAnsi="Times New Roman" w:eastAsia="宋体" w:cs="Times New Roman"/>
          <w:lang w:val="en-US" w:eastAsia="zh-CN" w:bidi="ar"/>
        </w:rPr>
      </w:pPr>
      <w:r>
        <w:rPr>
          <w:rFonts w:hint="eastAsia" w:ascii="Times New Roman" w:hAnsi="Times New Roman" w:eastAsia="宋体" w:cs="Times New Roman"/>
          <w:lang w:val="en-US" w:eastAsia="zh-CN" w:bidi="ar"/>
        </w:rPr>
        <w:t>2、北北东向构造</w:t>
      </w:r>
    </w:p>
    <w:p>
      <w:pPr>
        <w:spacing w:line="360" w:lineRule="auto"/>
        <w:ind w:firstLine="480"/>
        <w:rPr>
          <w:rFonts w:hint="eastAsia" w:ascii="Times New Roman" w:hAnsi="Times New Roman" w:eastAsia="宋体" w:cs="Times New Roman"/>
          <w:lang w:val="en-US" w:eastAsia="zh-CN" w:bidi="ar"/>
        </w:rPr>
      </w:pPr>
      <w:r>
        <w:rPr>
          <w:rFonts w:hint="eastAsia" w:ascii="Times New Roman" w:hAnsi="Times New Roman" w:eastAsia="宋体" w:cs="Times New Roman"/>
          <w:lang w:val="en-US" w:eastAsia="zh-CN" w:bidi="ar"/>
        </w:rPr>
        <w:t>自西至东最为：钱粮湖－刘家湖断裂带（F20-1）、岳阳－宁乡断裂带(F20-2) 两条区域性的断裂带。它们分别控制着现代东洞庭湖的东西边界。</w:t>
      </w:r>
    </w:p>
    <w:p>
      <w:pPr>
        <w:spacing w:line="360" w:lineRule="auto"/>
        <w:ind w:firstLine="480"/>
        <w:rPr>
          <w:rFonts w:hint="eastAsia" w:ascii="Times New Roman" w:hAnsi="Times New Roman" w:eastAsia="宋体" w:cs="Times New Roman"/>
          <w:lang w:val="en-US" w:eastAsia="zh-CN" w:bidi="ar"/>
        </w:rPr>
      </w:pPr>
      <w:r>
        <w:rPr>
          <w:rFonts w:hint="eastAsia" w:ascii="Times New Roman" w:hAnsi="Times New Roman" w:eastAsia="宋体" w:cs="Times New Roman"/>
          <w:lang w:val="en-US" w:eastAsia="zh-CN" w:bidi="ar"/>
        </w:rPr>
        <w:t>（1）钱粮湖－刘家湖断裂带（F20-1）：走向 10º，倾向E，倾角陡，长百余公里，东盘（下降盘）第四系齐全，厚达210 米，底板标高-180 米以下，西盘 （上升盘）北部为后岗地形，基岩裸露。</w:t>
      </w:r>
    </w:p>
    <w:p>
      <w:pPr>
        <w:spacing w:line="360" w:lineRule="auto"/>
        <w:ind w:firstLine="480"/>
        <w:rPr>
          <w:rFonts w:hint="eastAsia" w:ascii="Times New Roman" w:hAnsi="Times New Roman" w:eastAsia="宋体" w:cs="Times New Roman"/>
          <w:lang w:val="en-US" w:eastAsia="zh-CN" w:bidi="ar"/>
        </w:rPr>
      </w:pPr>
      <w:r>
        <w:rPr>
          <w:rFonts w:hint="eastAsia" w:ascii="Times New Roman" w:hAnsi="Times New Roman" w:eastAsia="宋体" w:cs="Times New Roman"/>
          <w:lang w:val="en-US" w:eastAsia="zh-CN" w:bidi="ar"/>
        </w:rPr>
        <w:t>（2）岳阳－宁乡断裂带(F20-2)：为东升西降之正断层，东盘接受 Q1、Q2 的沉积，厚100米左右，一般上升为丘陵、垄岗地形。</w:t>
      </w:r>
    </w:p>
    <w:p>
      <w:pPr>
        <w:spacing w:line="360" w:lineRule="auto"/>
        <w:ind w:firstLine="480"/>
        <w:rPr>
          <w:rFonts w:hint="eastAsia" w:ascii="Times New Roman" w:hAnsi="Times New Roman" w:eastAsia="宋体" w:cs="Times New Roman"/>
          <w:lang w:val="en-US" w:eastAsia="zh-CN" w:bidi="ar"/>
        </w:rPr>
      </w:pPr>
      <w:r>
        <w:rPr>
          <w:rFonts w:hint="eastAsia" w:ascii="Times New Roman" w:hAnsi="Times New Roman" w:eastAsia="宋体" w:cs="Times New Roman"/>
          <w:lang w:val="en-US" w:eastAsia="zh-CN" w:bidi="ar"/>
        </w:rPr>
        <w:t>3、南北向构造</w:t>
      </w:r>
    </w:p>
    <w:p>
      <w:pPr>
        <w:spacing w:line="360" w:lineRule="auto"/>
        <w:ind w:firstLine="480"/>
        <w:rPr>
          <w:rFonts w:hint="eastAsia" w:ascii="Times New Roman" w:hAnsi="Times New Roman" w:eastAsia="宋体" w:cs="Times New Roman"/>
          <w:lang w:val="en-US" w:eastAsia="zh-CN" w:bidi="ar"/>
        </w:rPr>
      </w:pPr>
      <w:r>
        <w:rPr>
          <w:rFonts w:hint="eastAsia" w:ascii="Times New Roman" w:hAnsi="Times New Roman" w:eastAsia="宋体" w:cs="Times New Roman"/>
          <w:lang w:val="en-US" w:eastAsia="zh-CN" w:bidi="ar"/>
        </w:rPr>
        <w:t>区内南北向构造一般延伸不远，主要有</w:t>
      </w:r>
    </w:p>
    <w:p>
      <w:pPr>
        <w:spacing w:line="360" w:lineRule="auto"/>
        <w:ind w:firstLine="480"/>
        <w:rPr>
          <w:rFonts w:hint="eastAsia" w:ascii="Times New Roman" w:hAnsi="Times New Roman" w:eastAsia="宋体" w:cs="Times New Roman"/>
          <w:lang w:val="en-US" w:eastAsia="zh-CN" w:bidi="ar"/>
        </w:rPr>
      </w:pPr>
      <w:r>
        <w:rPr>
          <w:rFonts w:hint="eastAsia" w:ascii="Times New Roman" w:hAnsi="Times New Roman" w:eastAsia="宋体" w:cs="Times New Roman"/>
          <w:lang w:val="en-US" w:eastAsia="zh-CN" w:bidi="ar"/>
        </w:rPr>
        <w:t>（1）大乘寺－白马寺断裂亚带（F16-2）：此断裂带位于洞庭围镇－白马寺镇一带，呈近南北走向。</w:t>
      </w:r>
    </w:p>
    <w:p>
      <w:pPr>
        <w:spacing w:line="360" w:lineRule="auto"/>
        <w:ind w:firstLine="480"/>
        <w:rPr>
          <w:rFonts w:hint="eastAsia" w:ascii="Times New Roman" w:hAnsi="Times New Roman" w:eastAsia="宋体" w:cs="Times New Roman"/>
          <w:lang w:val="en-US" w:eastAsia="zh-CN" w:bidi="ar"/>
        </w:rPr>
      </w:pPr>
      <w:r>
        <w:rPr>
          <w:rFonts w:hint="eastAsia" w:ascii="Times New Roman" w:hAnsi="Times New Roman" w:eastAsia="宋体" w:cs="Times New Roman"/>
          <w:lang w:val="en-US" w:eastAsia="zh-CN" w:bidi="ar"/>
        </w:rPr>
        <w:t>（2）福临断裂带（F17）：该断裂带由一组走向北北东向的断裂组成，主体</w:t>
      </w:r>
    </w:p>
    <w:p>
      <w:pPr>
        <w:spacing w:line="360" w:lineRule="auto"/>
        <w:ind w:firstLine="480"/>
        <w:rPr>
          <w:rFonts w:hint="eastAsia" w:ascii="Times New Roman" w:hAnsi="Times New Roman" w:eastAsia="宋体" w:cs="Times New Roman"/>
          <w:lang w:val="en-US" w:eastAsia="zh-CN" w:bidi="ar"/>
        </w:rPr>
      </w:pPr>
      <w:r>
        <w:rPr>
          <w:rFonts w:hint="eastAsia" w:ascii="Times New Roman" w:hAnsi="Times New Roman" w:eastAsia="宋体" w:cs="Times New Roman"/>
          <w:lang w:val="en-US" w:eastAsia="zh-CN" w:bidi="ar"/>
        </w:rPr>
        <w:t>位于评估区东部岩体区。</w:t>
      </w:r>
    </w:p>
    <w:p>
      <w:pPr>
        <w:spacing w:line="360" w:lineRule="auto"/>
        <w:ind w:firstLine="480"/>
        <w:rPr>
          <w:rFonts w:hint="eastAsia" w:ascii="Times New Roman" w:hAnsi="Times New Roman" w:eastAsia="宋体" w:cs="Times New Roman"/>
          <w:lang w:val="en-US" w:eastAsia="zh-CN" w:bidi="ar"/>
        </w:rPr>
      </w:pPr>
      <w:r>
        <w:rPr>
          <w:rFonts w:hint="eastAsia" w:ascii="Times New Roman" w:hAnsi="Times New Roman" w:eastAsia="宋体" w:cs="Times New Roman"/>
          <w:lang w:val="en-US" w:eastAsia="zh-CN" w:bidi="ar"/>
        </w:rPr>
        <w:t>4、东西向构造</w:t>
      </w:r>
    </w:p>
    <w:p>
      <w:pPr>
        <w:spacing w:line="360" w:lineRule="auto"/>
        <w:ind w:firstLine="480"/>
        <w:rPr>
          <w:rFonts w:hint="eastAsia" w:ascii="Times New Roman" w:hAnsi="Times New Roman" w:eastAsia="宋体" w:cs="Times New Roman"/>
          <w:lang w:val="en-US" w:eastAsia="zh-CN" w:bidi="ar"/>
        </w:rPr>
      </w:pPr>
      <w:r>
        <w:rPr>
          <w:rFonts w:hint="eastAsia" w:ascii="Times New Roman" w:hAnsi="Times New Roman" w:eastAsia="宋体" w:cs="Times New Roman"/>
          <w:lang w:val="en-US" w:eastAsia="zh-CN" w:bidi="ar"/>
        </w:rPr>
        <w:t>常德－桃林断裂带（F2）：由常德－桃林和蒋家咀－汩罗两条断续、平行呈</w:t>
      </w:r>
    </w:p>
    <w:p>
      <w:pPr>
        <w:spacing w:line="360" w:lineRule="auto"/>
        <w:ind w:firstLine="480"/>
        <w:rPr>
          <w:rFonts w:hint="eastAsia" w:ascii="Times New Roman" w:hAnsi="Times New Roman" w:eastAsia="宋体" w:cs="Times New Roman"/>
          <w:lang w:val="en-US" w:eastAsia="zh-CN" w:bidi="ar"/>
        </w:rPr>
      </w:pPr>
      <w:r>
        <w:rPr>
          <w:rFonts w:hint="eastAsia" w:ascii="Times New Roman" w:hAnsi="Times New Roman" w:eastAsia="宋体" w:cs="Times New Roman"/>
          <w:lang w:val="en-US" w:eastAsia="zh-CN" w:bidi="ar"/>
        </w:rPr>
        <w:t>带状分布的断裂亚带组成。位于评估区以北至汩罗区域内，控制着现代南洞庭湖的南北边界。</w:t>
      </w:r>
    </w:p>
    <w:p>
      <w:pPr>
        <w:spacing w:line="360" w:lineRule="auto"/>
        <w:ind w:firstLine="480"/>
        <w:rPr>
          <w:rFonts w:hint="eastAsia" w:ascii="Times New Roman" w:hAnsi="Times New Roman" w:eastAsia="宋体" w:cs="Times New Roman"/>
          <w:lang w:val="en-US" w:eastAsia="zh-CN" w:bidi="ar"/>
        </w:rPr>
      </w:pPr>
      <w:r>
        <w:rPr>
          <w:rFonts w:hint="eastAsia" w:ascii="Times New Roman" w:hAnsi="Times New Roman" w:eastAsia="宋体" w:cs="Times New Roman"/>
          <w:lang w:val="en-US" w:eastAsia="zh-CN" w:bidi="ar"/>
        </w:rPr>
        <w:t>以上区域性的构造走向以北东向为主，控制着区内的岩浆岩、地层的分布。对工作区内的地形地貌也起到了一定的控制作用。</w:t>
      </w:r>
      <w:r>
        <w:rPr>
          <w:rFonts w:hint="eastAsia" w:ascii="Times New Roman" w:hAnsi="Times New Roman" w:eastAsia="宋体" w:cs="Times New Roman"/>
          <w:lang w:val="en-US" w:eastAsia="zh-CN" w:bidi="ar"/>
        </w:rPr>
        <mc:AlternateContent>
          <mc:Choice Requires="wps">
            <w:drawing>
              <wp:anchor distT="0" distB="0" distL="114300" distR="114300" simplePos="0" relativeHeight="251663360"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9" name="自选图形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ahLst/>
                          <a:cxnLst/>
                          <a:pathLst>
                            <a:path w="21600" h="21600">
                              <a:moveTo>
                                <a:pt x="0" y="0"/>
                              </a:moveTo>
                              <a:lnTo>
                                <a:pt x="0" y="8330"/>
                              </a:lnTo>
                              <a:lnTo>
                                <a:pt x="6990" y="8330"/>
                              </a:lnTo>
                              <a:lnTo>
                                <a:pt x="6990" y="0"/>
                              </a:lnTo>
                              <a:close/>
                            </a:path>
                          </a:pathLst>
                        </a:custGeom>
                        <a:solidFill>
                          <a:srgbClr val="FFFFFF"/>
                        </a:solidFill>
                        <a:ln w="9525" cap="flat" cmpd="sng">
                          <a:solidFill>
                            <a:srgbClr val="000000"/>
                          </a:solidFill>
                          <a:prstDash val="solid"/>
                          <a:round/>
                          <a:headEnd type="none" w="med" len="med"/>
                          <a:tailEnd type="none" w="med" len="med"/>
                        </a:ln>
                      </wps:spPr>
                      <wps:bodyPr upright="1"/>
                    </wps:wsp>
                  </a:graphicData>
                </a:graphic>
              </wp:anchor>
            </w:drawing>
          </mc:Choice>
          <mc:Fallback>
            <w:pict>
              <v:shape id="自选图形 2" o:spid="_x0000_s1026" o:spt="100" style="position:absolute;left:0pt;margin-left:0pt;margin-top:0pt;height:50pt;width:50pt;visibility:hidden;z-index:251663360;mso-width-relative:page;mso-height-relative:page;" fillcolor="#FFFFFF" filled="t" stroked="t" coordsize="21600,21600" o:gfxdata="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Sst0q0gAAAAUBAAAPAAAAAAAAAAEAIAAAACIA&#10;AABkcnMvZG93bnJldi54bWxQSwECFAAUAAAACACHTuJA1wvdt0gCAAD/BAAADgAAAAAAAAABACAA&#10;AAAhAQAAZHJzL2Uyb0RvYy54bWxQSwUGAAAAAAYABgBZAQAA2wUAAAAA&#10;" path="m0,0l0,8330,6990,8330,6990,0xe">
                <v:fill on="t" focussize="0,0"/>
                <v:stroke color="#000000" joinstyle="round"/>
                <v:imagedata o:title=""/>
                <o:lock v:ext="edit" selection="t" aspectratio="f"/>
              </v:shape>
            </w:pict>
          </mc:Fallback>
        </mc:AlternateContent>
      </w:r>
    </w:p>
    <w:p>
      <w:pPr>
        <w:spacing w:line="240" w:lineRule="auto"/>
        <w:ind w:firstLine="0" w:firstLineChars="0"/>
        <w:jc w:val="center"/>
        <w:rPr>
          <w:rFonts w:hint="eastAsia" w:ascii="Times New Roman" w:hAnsi="Times New Roman" w:cs="Times New Roman"/>
          <w:b/>
          <w:sz w:val="21"/>
          <w:szCs w:val="21"/>
          <w:lang w:val="en-US" w:eastAsia="zh-CN"/>
        </w:rPr>
      </w:pPr>
      <w:r>
        <w:rPr>
          <w:rFonts w:hint="eastAsia" w:ascii="Times New Roman" w:hAnsi="Times New Roman" w:cs="Times New Roman"/>
          <w:b/>
          <w:sz w:val="21"/>
          <w:szCs w:val="21"/>
          <w:lang w:val="en-US" w:eastAsia="zh-CN"/>
        </w:rPr>
        <w:drawing>
          <wp:inline distT="0" distB="0" distL="114300" distR="114300">
            <wp:extent cx="3786505" cy="3386455"/>
            <wp:effectExtent l="0" t="0" r="4445" b="4445"/>
            <wp:docPr id="11" name="1059" descr="1059"/>
            <wp:cNvGraphicFramePr/>
            <a:graphic xmlns:a="http://schemas.openxmlformats.org/drawingml/2006/main">
              <a:graphicData uri="http://schemas.openxmlformats.org/drawingml/2006/picture">
                <pic:pic xmlns:pic="http://schemas.openxmlformats.org/drawingml/2006/picture">
                  <pic:nvPicPr>
                    <pic:cNvPr id="11" name="1059" descr="1059"/>
                    <pic:cNvPicPr preferRelativeResize="0">
                      <a:picLocks noChangeArrowheads="1"/>
                    </pic:cNvPicPr>
                  </pic:nvPicPr>
                  <pic:blipFill>
                    <a:blip r:embed="rId10" cstate="print">
                      <a:clrChange>
                        <a:clrFrom>
                          <a:srgbClr val="FFFFFF"/>
                        </a:clrFrom>
                        <a:clrTo>
                          <a:srgbClr val="FFFFFF">
                            <a:alpha val="0"/>
                          </a:srgbClr>
                        </a:clrTo>
                      </a:clrChange>
                    </a:blip>
                    <a:srcRect l="3110" t="399" r="4066" b="2395"/>
                    <a:stretch>
                      <a:fillRect/>
                    </a:stretch>
                  </pic:blipFill>
                  <pic:spPr>
                    <a:xfrm>
                      <a:off x="0" y="0"/>
                      <a:ext cx="3786505" cy="3386455"/>
                    </a:xfrm>
                    <a:custGeom>
                      <a:avLst/>
                      <a:gdLst>
                        <a:gd name="T0" fmla="*/ 0 w 6990"/>
                        <a:gd name="T1" fmla="*/ 0 h 8330"/>
                        <a:gd name="T2" fmla="*/ 0 w 6990"/>
                        <a:gd name="T3" fmla="*/ 8330 h 8330"/>
                        <a:gd name="T4" fmla="*/ 6990 w 6990"/>
                        <a:gd name="T5" fmla="*/ 8330 h 8330"/>
                        <a:gd name="T6" fmla="*/ 6990 w 6990"/>
                        <a:gd name="T7" fmla="*/ 0 h 8330"/>
                      </a:gdLst>
                      <a:ahLst/>
                      <a:cxnLst>
                        <a:cxn ang="0">
                          <a:pos x="T0" y="T1"/>
                        </a:cxn>
                        <a:cxn ang="0">
                          <a:pos x="T2" y="T3"/>
                        </a:cxn>
                        <a:cxn ang="0">
                          <a:pos x="T4" y="T5"/>
                        </a:cxn>
                        <a:cxn ang="0">
                          <a:pos x="T6" y="T7"/>
                        </a:cxn>
                      </a:cxnLst>
                      <a:rect l="0" t="0" r="r" b="b"/>
                      <a:pathLst>
                        <a:path w="6990" h="8330">
                          <a:moveTo>
                            <a:pt x="0" y="0"/>
                          </a:moveTo>
                          <a:lnTo>
                            <a:pt x="0" y="8330"/>
                          </a:lnTo>
                          <a:lnTo>
                            <a:pt x="6990" y="8330"/>
                          </a:lnTo>
                          <a:lnTo>
                            <a:pt x="6990" y="0"/>
                          </a:lnTo>
                          <a:close/>
                        </a:path>
                      </a:pathLst>
                    </a:custGeom>
                    <a:noFill/>
                    <a:ln>
                      <a:noFill/>
                    </a:ln>
                  </pic:spPr>
                </pic:pic>
              </a:graphicData>
            </a:graphic>
          </wp:inline>
        </w:drawing>
      </w:r>
    </w:p>
    <w:p>
      <w:pPr>
        <w:spacing w:line="240" w:lineRule="auto"/>
        <w:ind w:firstLine="0" w:firstLineChars="0"/>
        <w:jc w:val="center"/>
        <w:rPr>
          <w:rFonts w:hint="eastAsia" w:ascii="Times New Roman" w:hAnsi="Times New Roman" w:cs="Times New Roman"/>
          <w:b/>
          <w:sz w:val="21"/>
          <w:szCs w:val="21"/>
          <w:lang w:val="en-US" w:eastAsia="zh-CN"/>
        </w:rPr>
      </w:pPr>
      <w:r>
        <w:rPr>
          <w:rFonts w:hint="eastAsia" w:ascii="Times New Roman" w:hAnsi="Times New Roman" w:cs="Times New Roman"/>
          <w:b/>
          <w:sz w:val="21"/>
          <w:szCs w:val="21"/>
          <w:lang w:val="en-US" w:eastAsia="zh-CN"/>
        </w:rPr>
        <w:t>图2-4 湖南省构造及地壳稳定性图</w:t>
      </w:r>
    </w:p>
    <w:p>
      <w:pPr>
        <w:pStyle w:val="5"/>
        <w:spacing w:before="163" w:after="163"/>
        <w:rPr>
          <w:rFonts w:hint="eastAsia" w:ascii="Times New Roman" w:hAnsi="Times New Roman" w:cs="Times New Roman"/>
          <w:lang w:val="en-US" w:eastAsia="zh-CN"/>
        </w:rPr>
      </w:pPr>
      <w:r>
        <w:rPr>
          <w:rFonts w:hint="eastAsia" w:ascii="Times New Roman" w:hAnsi="Times New Roman" w:cs="Times New Roman"/>
          <w:lang w:val="en-US" w:eastAsia="zh-CN"/>
        </w:rPr>
        <w:t>2.1.3.4 水文地质条件</w:t>
      </w:r>
    </w:p>
    <w:p>
      <w:pPr>
        <w:spacing w:line="360" w:lineRule="auto"/>
        <w:ind w:firstLine="480"/>
        <w:rPr>
          <w:rFonts w:hint="eastAsia" w:ascii="Times New Roman" w:hAnsi="Times New Roman" w:eastAsia="宋体" w:cs="Times New Roman"/>
          <w:lang w:val="en-US" w:eastAsia="zh-CN" w:bidi="ar"/>
        </w:rPr>
      </w:pPr>
      <w:r>
        <w:rPr>
          <w:rFonts w:hint="eastAsia" w:ascii="Times New Roman" w:hAnsi="Times New Roman" w:eastAsia="宋体" w:cs="Times New Roman"/>
          <w:lang w:val="en-US" w:eastAsia="zh-CN" w:bidi="ar"/>
        </w:rPr>
        <w:t>（一）含水层分布及赋水性</w:t>
      </w:r>
    </w:p>
    <w:p>
      <w:pPr>
        <w:spacing w:line="360" w:lineRule="auto"/>
        <w:ind w:firstLine="480"/>
        <w:rPr>
          <w:rFonts w:hint="eastAsia" w:ascii="Times New Roman" w:hAnsi="Times New Roman" w:eastAsia="宋体" w:cs="Times New Roman"/>
          <w:lang w:val="en-US" w:eastAsia="zh-CN" w:bidi="ar"/>
        </w:rPr>
      </w:pPr>
      <w:r>
        <w:rPr>
          <w:rFonts w:hint="eastAsia" w:ascii="Times New Roman" w:hAnsi="Times New Roman" w:eastAsia="宋体" w:cs="Times New Roman"/>
          <w:lang w:val="en-US" w:eastAsia="zh-CN" w:bidi="ar"/>
        </w:rPr>
        <w:t>1、区域特点</w:t>
      </w:r>
    </w:p>
    <w:p>
      <w:pPr>
        <w:spacing w:line="360" w:lineRule="auto"/>
        <w:ind w:firstLine="480"/>
        <w:rPr>
          <w:rFonts w:hint="eastAsia" w:ascii="Times New Roman" w:hAnsi="Times New Roman" w:eastAsia="宋体" w:cs="Times New Roman"/>
          <w:lang w:val="en-US" w:eastAsia="zh-CN" w:bidi="ar"/>
        </w:rPr>
      </w:pPr>
      <w:r>
        <w:rPr>
          <w:rFonts w:hint="eastAsia" w:ascii="Times New Roman" w:hAnsi="Times New Roman" w:eastAsia="宋体" w:cs="Times New Roman"/>
          <w:lang w:val="en-US" w:eastAsia="zh-CN" w:bidi="ar"/>
        </w:rPr>
        <w:t>由图2-3和图2-4可知，洞庭湖盆地平原广泛分布第四系松散岩类孔隙含水层，水源地所在区第四系平均厚度超过130m，孔隙承压水是该地区最主要的含</w:t>
      </w:r>
    </w:p>
    <w:p>
      <w:pPr>
        <w:spacing w:line="360" w:lineRule="auto"/>
        <w:ind w:firstLine="480"/>
        <w:rPr>
          <w:rFonts w:hint="eastAsia" w:ascii="Times New Roman" w:hAnsi="Times New Roman" w:eastAsia="宋体" w:cs="Times New Roman"/>
          <w:lang w:val="en-US" w:eastAsia="zh-CN" w:bidi="ar"/>
        </w:rPr>
      </w:pPr>
      <w:r>
        <w:rPr>
          <w:rFonts w:hint="eastAsia" w:ascii="Times New Roman" w:hAnsi="Times New Roman" w:eastAsia="宋体" w:cs="Times New Roman"/>
          <w:lang w:val="en-US" w:eastAsia="zh-CN" w:bidi="ar"/>
        </w:rPr>
        <w:t>水层类型。主要含水层为全新统砂砾石层，该含水层水量丰富，单井水量可达</w:t>
      </w:r>
      <w:r>
        <w:rPr>
          <w:rFonts w:hint="default" w:ascii="Times New Roman" w:hAnsi="Times New Roman" w:eastAsia="宋体" w:cs="Times New Roman"/>
          <w:lang w:val="en-US" w:eastAsia="zh-CN" w:bidi="ar"/>
        </w:rPr>
        <w:t xml:space="preserve">1000m³/d </w:t>
      </w:r>
      <w:r>
        <w:rPr>
          <w:rFonts w:hint="eastAsia" w:ascii="Times New Roman" w:hAnsi="Times New Roman" w:eastAsia="宋体" w:cs="Times New Roman"/>
          <w:lang w:val="en-US" w:eastAsia="zh-CN" w:bidi="ar"/>
        </w:rPr>
        <w:t>以上。</w:t>
      </w:r>
    </w:p>
    <w:p>
      <w:pPr>
        <w:spacing w:line="360" w:lineRule="auto"/>
        <w:ind w:firstLine="480"/>
        <w:rPr>
          <w:rFonts w:hint="eastAsia" w:ascii="Times New Roman" w:hAnsi="Times New Roman" w:eastAsia="宋体" w:cs="Times New Roman"/>
          <w:lang w:val="en-US" w:eastAsia="zh-CN" w:bidi="ar"/>
        </w:rPr>
      </w:pPr>
      <w:r>
        <w:rPr>
          <w:rFonts w:hint="eastAsia" w:ascii="Times New Roman" w:hAnsi="Times New Roman" w:eastAsia="宋体" w:cs="Times New Roman"/>
          <w:lang w:val="en-US" w:eastAsia="zh-CN" w:bidi="ar"/>
        </w:rPr>
        <w:t>2、水井钻孔成井资料</w:t>
      </w:r>
    </w:p>
    <w:p>
      <w:pPr>
        <w:spacing w:line="360" w:lineRule="auto"/>
        <w:ind w:firstLine="480"/>
        <w:rPr>
          <w:rFonts w:hint="eastAsia" w:ascii="Times New Roman" w:hAnsi="Times New Roman" w:eastAsia="宋体" w:cs="Times New Roman"/>
          <w:lang w:val="en-US" w:eastAsia="zh-CN" w:bidi="ar"/>
        </w:rPr>
      </w:pPr>
      <w:r>
        <w:rPr>
          <w:rFonts w:hint="eastAsia" w:ascii="Times New Roman" w:hAnsi="Times New Roman" w:eastAsia="宋体" w:cs="Times New Roman"/>
          <w:lang w:val="en-US" w:eastAsia="zh-CN" w:bidi="ar"/>
        </w:rPr>
        <w:t>本次收集了《湘阴县拦河坝水厂取水深井水文、地质成井完工报告》</w:t>
      </w:r>
    </w:p>
    <w:p>
      <w:pPr>
        <w:spacing w:line="360" w:lineRule="auto"/>
        <w:ind w:firstLine="480"/>
        <w:rPr>
          <w:rFonts w:hint="eastAsia" w:ascii="Times New Roman" w:hAnsi="Times New Roman" w:eastAsia="宋体" w:cs="Times New Roman"/>
          <w:lang w:val="en-US" w:eastAsia="zh-CN" w:bidi="ar"/>
        </w:rPr>
      </w:pPr>
      <w:r>
        <w:rPr>
          <w:rFonts w:hint="eastAsia" w:ascii="Times New Roman" w:hAnsi="Times New Roman" w:eastAsia="宋体" w:cs="Times New Roman"/>
          <w:lang w:val="en-US" w:eastAsia="zh-CN" w:bidi="ar"/>
        </w:rPr>
        <w:t>水源井在湘阴县三塘镇，水源地位于洞庭湖岗地东部，场地含水层主要为第四系沉积结构，砂砾石层沉积较厚，含水量十分丰富，可作为水厂取水水源，且上部具有较好的隔水层，对防止地表水和浅层地下水侵入，是个十分有利的自然条件。</w:t>
      </w:r>
    </w:p>
    <w:p>
      <w:pPr>
        <w:spacing w:line="360" w:lineRule="auto"/>
        <w:ind w:firstLine="480"/>
        <w:rPr>
          <w:rFonts w:hint="eastAsia" w:ascii="Times New Roman" w:hAnsi="Times New Roman" w:eastAsia="宋体" w:cs="Times New Roman"/>
          <w:lang w:val="en-US" w:eastAsia="zh-CN" w:bidi="ar"/>
        </w:rPr>
      </w:pPr>
      <w:r>
        <w:rPr>
          <w:rFonts w:hint="eastAsia" w:ascii="Times New Roman" w:hAnsi="Times New Roman" w:eastAsia="宋体" w:cs="Times New Roman"/>
          <w:lang w:val="en-US" w:eastAsia="zh-CN" w:bidi="ar"/>
        </w:rPr>
        <w:t>取水口（（一号水井位于乡道边；二号水井位于水厂内，取水量1400t/d，动水6m、静水4.5m）。</w:t>
      </w:r>
    </w:p>
    <w:p>
      <w:pPr>
        <w:autoSpaceDE w:val="0"/>
        <w:autoSpaceDN w:val="0"/>
        <w:snapToGrid w:val="0"/>
        <w:spacing w:line="360" w:lineRule="auto"/>
        <w:ind w:firstLine="360" w:firstLineChars="150"/>
        <w:rPr>
          <w:rFonts w:hint="eastAsia" w:asciiTheme="minorEastAsia" w:hAnsiTheme="minorEastAsia"/>
          <w:sz w:val="24"/>
          <w:highlight w:val="none"/>
        </w:rPr>
      </w:pPr>
    </w:p>
    <w:p>
      <w:pPr>
        <w:spacing w:line="360" w:lineRule="auto"/>
        <w:ind w:firstLine="480"/>
        <w:rPr>
          <w:rFonts w:hint="eastAsia" w:asciiTheme="minorEastAsia" w:hAnsiTheme="minorEastAsia"/>
          <w:sz w:val="24"/>
          <w:highlight w:val="none"/>
        </w:rPr>
        <w:sectPr>
          <w:footerReference r:id="rId5" w:type="default"/>
          <w:pgSz w:w="11906" w:h="16838"/>
          <w:pgMar w:top="1440" w:right="1797" w:bottom="1440" w:left="1797" w:header="851" w:footer="992" w:gutter="0"/>
          <w:pgBorders>
            <w:top w:val="none" w:sz="0" w:space="0"/>
            <w:left w:val="none" w:sz="0" w:space="0"/>
            <w:bottom w:val="none" w:sz="0" w:space="0"/>
            <w:right w:val="none" w:sz="0" w:space="0"/>
          </w:pgBorders>
          <w:pgNumType w:fmt="decimal" w:start="1"/>
          <w:cols w:space="720" w:num="1"/>
          <w:docGrid w:type="linesAndChars" w:linePitch="326" w:charSpace="0"/>
        </w:sectPr>
      </w:pPr>
    </w:p>
    <w:p>
      <w:pPr>
        <w:spacing w:line="240" w:lineRule="auto"/>
        <w:ind w:firstLine="0" w:firstLineChars="0"/>
        <w:jc w:val="center"/>
        <w:rPr>
          <w:rFonts w:hint="eastAsia" w:ascii="Times New Roman" w:hAnsi="Times New Roman" w:cs="Times New Roman"/>
          <w:b/>
          <w:sz w:val="21"/>
          <w:szCs w:val="21"/>
          <w:lang w:val="en-US" w:eastAsia="zh-CN"/>
        </w:rPr>
      </w:pPr>
      <w:r>
        <w:drawing>
          <wp:inline distT="0" distB="0" distL="114300" distR="114300">
            <wp:extent cx="8844280" cy="4731385"/>
            <wp:effectExtent l="0" t="0" r="1397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8844280" cy="4731385"/>
                    </a:xfrm>
                    <a:prstGeom prst="rect">
                      <a:avLst/>
                    </a:prstGeom>
                    <a:noFill/>
                    <a:ln>
                      <a:noFill/>
                    </a:ln>
                  </pic:spPr>
                </pic:pic>
              </a:graphicData>
            </a:graphic>
          </wp:inline>
        </w:drawing>
      </w:r>
    </w:p>
    <w:p>
      <w:pPr>
        <w:spacing w:line="240" w:lineRule="auto"/>
        <w:ind w:firstLine="0" w:firstLineChars="0"/>
        <w:jc w:val="center"/>
        <w:rPr>
          <w:rFonts w:hint="eastAsia" w:ascii="Times New Roman" w:hAnsi="Times New Roman" w:cs="Times New Roman"/>
          <w:b/>
          <w:sz w:val="21"/>
          <w:szCs w:val="21"/>
          <w:lang w:val="en-US" w:eastAsia="zh-CN"/>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start="1"/>
          <w:cols w:space="0" w:num="1"/>
          <w:rtlGutter w:val="0"/>
          <w:docGrid w:type="linesAndChars" w:linePitch="332" w:charSpace="915"/>
        </w:sectPr>
      </w:pPr>
      <w:r>
        <w:rPr>
          <w:rFonts w:hint="eastAsia" w:ascii="Times New Roman" w:hAnsi="Times New Roman" w:cs="Times New Roman"/>
          <w:b/>
          <w:sz w:val="21"/>
          <w:szCs w:val="21"/>
          <w:lang w:val="en-US" w:eastAsia="zh-CN"/>
        </w:rPr>
        <w:t>图2-5洞庭湖区水文地质图</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heme="minorEastAsia" w:hAnsiTheme="minorEastAsia"/>
          <w:sz w:val="24"/>
          <w:highlight w:val="none"/>
        </w:rPr>
      </w:pPr>
      <w:r>
        <w:rPr>
          <w:rFonts w:hint="eastAsia" w:asciiTheme="minorEastAsia" w:hAnsiTheme="minorEastAsia"/>
          <w:sz w:val="24"/>
          <w:highlight w:val="none"/>
        </w:rPr>
        <w:drawing>
          <wp:inline distT="0" distB="0" distL="114300" distR="114300">
            <wp:extent cx="4364355" cy="6164580"/>
            <wp:effectExtent l="0" t="0" r="17145" b="762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2"/>
                    <a:stretch>
                      <a:fillRect/>
                    </a:stretch>
                  </pic:blipFill>
                  <pic:spPr>
                    <a:xfrm>
                      <a:off x="0" y="0"/>
                      <a:ext cx="4364355" cy="6164580"/>
                    </a:xfrm>
                    <a:prstGeom prst="rect">
                      <a:avLst/>
                    </a:prstGeom>
                    <a:noFill/>
                    <a:ln w="9525">
                      <a:noFill/>
                    </a:ln>
                  </pic:spPr>
                </pic:pic>
              </a:graphicData>
            </a:graphic>
          </wp:inline>
        </w:drawing>
      </w:r>
    </w:p>
    <w:p>
      <w:pPr>
        <w:spacing w:line="240" w:lineRule="auto"/>
        <w:ind w:firstLine="0" w:firstLineChars="0"/>
        <w:jc w:val="center"/>
        <w:rPr>
          <w:rFonts w:hint="eastAsia" w:ascii="Times New Roman" w:hAnsi="Times New Roman" w:cs="Times New Roman"/>
          <w:b/>
          <w:sz w:val="21"/>
          <w:szCs w:val="21"/>
          <w:lang w:val="en-US" w:eastAsia="zh-CN"/>
        </w:rPr>
      </w:pPr>
      <w:r>
        <w:rPr>
          <w:rFonts w:hint="eastAsia" w:ascii="Times New Roman" w:hAnsi="Times New Roman" w:cs="Times New Roman"/>
          <w:b/>
          <w:sz w:val="21"/>
          <w:szCs w:val="21"/>
          <w:lang w:val="en-US" w:eastAsia="zh-CN"/>
        </w:rPr>
        <w:t>图2-6  水井钻孔柱状图和成井工艺图</w:t>
      </w:r>
    </w:p>
    <w:p>
      <w:pPr>
        <w:spacing w:line="360" w:lineRule="auto"/>
        <w:ind w:firstLine="480"/>
        <w:rPr>
          <w:rFonts w:hint="eastAsia" w:asciiTheme="minorEastAsia" w:hAnsiTheme="minorEastAsia"/>
          <w:sz w:val="24"/>
          <w:highlight w:val="none"/>
        </w:rPr>
      </w:pPr>
      <w:r>
        <w:rPr>
          <w:rFonts w:hint="eastAsia" w:asciiTheme="minorEastAsia" w:hAnsiTheme="minorEastAsia"/>
          <w:sz w:val="24"/>
          <w:highlight w:val="none"/>
        </w:rPr>
        <w:t>二）地下水补给、径流、排泄条件分析</w:t>
      </w:r>
    </w:p>
    <w:p>
      <w:pPr>
        <w:spacing w:line="360" w:lineRule="auto"/>
        <w:ind w:firstLine="480"/>
        <w:rPr>
          <w:rFonts w:hint="eastAsia" w:asciiTheme="minorEastAsia" w:hAnsiTheme="minorEastAsia"/>
          <w:sz w:val="24"/>
          <w:highlight w:val="none"/>
        </w:rPr>
      </w:pPr>
      <w:r>
        <w:rPr>
          <w:rFonts w:hint="eastAsia" w:asciiTheme="minorEastAsia" w:hAnsiTheme="minorEastAsia"/>
          <w:sz w:val="24"/>
          <w:highlight w:val="none"/>
        </w:rPr>
        <w:t>1、地下水补给</w:t>
      </w:r>
    </w:p>
    <w:p>
      <w:pPr>
        <w:spacing w:line="360" w:lineRule="auto"/>
        <w:ind w:firstLine="480"/>
        <w:rPr>
          <w:rFonts w:hint="eastAsia" w:asciiTheme="minorEastAsia" w:hAnsiTheme="minorEastAsia"/>
          <w:sz w:val="24"/>
          <w:highlight w:val="none"/>
        </w:rPr>
      </w:pPr>
      <w:r>
        <w:rPr>
          <w:rFonts w:hint="eastAsia" w:asciiTheme="minorEastAsia" w:hAnsiTheme="minorEastAsia"/>
          <w:sz w:val="24"/>
          <w:highlight w:val="none"/>
        </w:rPr>
        <w:t>洞庭湖东、南、西部均为丘岗区，中间为洞庭湖腹地，湖盆底为相对不透水基岩，因而从整体上看区内地下水径流方向是自丘岗区至中部洞庭湖腹地。</w:t>
      </w:r>
    </w:p>
    <w:p>
      <w:pPr>
        <w:spacing w:line="360" w:lineRule="auto"/>
        <w:ind w:firstLine="480"/>
        <w:rPr>
          <w:rFonts w:hint="eastAsia" w:asciiTheme="minorEastAsia" w:hAnsiTheme="minorEastAsia"/>
          <w:sz w:val="24"/>
          <w:highlight w:val="none"/>
        </w:rPr>
      </w:pPr>
      <w:r>
        <w:rPr>
          <w:rFonts w:hint="eastAsia" w:asciiTheme="minorEastAsia" w:hAnsiTheme="minorEastAsia"/>
          <w:sz w:val="24"/>
          <w:highlight w:val="none"/>
        </w:rPr>
        <w:t>地下水主要的补给来源主要包括大气降水、地表水入渗、丘岗区地下水侧向入渗等。根据《江汉-洞庭平原地下水资源及其环境问题调查（湖南）报告》，在本水源地所在区域内，表层分布连续厚层粘土，渗透系数较低，一般</w:t>
      </w:r>
      <w:r>
        <w:rPr>
          <w:rFonts w:hint="eastAsia" w:asciiTheme="minorEastAsia" w:hAnsiTheme="minorEastAsia"/>
          <w:sz w:val="24"/>
          <w:highlight w:val="none"/>
          <w:lang w:eastAsia="zh-CN"/>
        </w:rPr>
        <w:t>在</w:t>
      </w:r>
      <w:r>
        <w:rPr>
          <w:rFonts w:hint="eastAsia" w:asciiTheme="minorEastAsia" w:hAnsiTheme="minorEastAsia"/>
          <w:sz w:val="24"/>
          <w:highlight w:val="none"/>
        </w:rPr>
        <w:t>0.003m/d-0.06m/d。</w:t>
      </w:r>
    </w:p>
    <w:p>
      <w:pPr>
        <w:spacing w:line="360" w:lineRule="auto"/>
        <w:ind w:firstLine="480"/>
        <w:rPr>
          <w:rFonts w:hint="eastAsia" w:asciiTheme="minorEastAsia" w:hAnsiTheme="minorEastAsia"/>
          <w:sz w:val="24"/>
          <w:highlight w:val="none"/>
        </w:rPr>
      </w:pPr>
      <w:r>
        <w:rPr>
          <w:rFonts w:hint="eastAsia" w:asciiTheme="minorEastAsia" w:hAnsiTheme="minorEastAsia"/>
          <w:sz w:val="24"/>
          <w:highlight w:val="none"/>
        </w:rPr>
        <w:t>2、地下水径流</w:t>
      </w:r>
    </w:p>
    <w:p>
      <w:pPr>
        <w:spacing w:line="360" w:lineRule="auto"/>
        <w:ind w:firstLine="480"/>
        <w:rPr>
          <w:rFonts w:hint="eastAsia" w:asciiTheme="minorEastAsia" w:hAnsiTheme="minorEastAsia"/>
          <w:sz w:val="24"/>
          <w:highlight w:val="none"/>
        </w:rPr>
      </w:pPr>
      <w:r>
        <w:rPr>
          <w:rFonts w:hint="eastAsia" w:asciiTheme="minorEastAsia" w:hAnsiTheme="minorEastAsia"/>
          <w:sz w:val="24"/>
          <w:highlight w:val="none"/>
        </w:rPr>
        <w:t>本区地下水系统属洞庭湖盆汇流型径流类型。周边丘岗区为地下水径流系统的源，洞庭湖腹地为地下水径流系统的排泄区。在丘岗区，地下水呈潜水状态，水力梯度较大，一般可达 3‰以上。在洞庭湖腹地地下水力梯度下降到 0.2‰以下。</w:t>
      </w:r>
    </w:p>
    <w:p>
      <w:pPr>
        <w:spacing w:line="360" w:lineRule="auto"/>
        <w:ind w:firstLine="480"/>
        <w:rPr>
          <w:rFonts w:hint="eastAsia" w:asciiTheme="minorEastAsia" w:hAnsiTheme="minorEastAsia"/>
          <w:sz w:val="24"/>
          <w:highlight w:val="none"/>
        </w:rPr>
      </w:pPr>
      <w:r>
        <w:rPr>
          <w:rFonts w:hint="eastAsia" w:asciiTheme="minorEastAsia" w:hAnsiTheme="minorEastAsia"/>
          <w:sz w:val="24"/>
          <w:highlight w:val="none"/>
        </w:rPr>
        <w:t>3、地下水排泄</w:t>
      </w:r>
    </w:p>
    <w:p>
      <w:pPr>
        <w:spacing w:line="360" w:lineRule="auto"/>
        <w:ind w:firstLine="480"/>
        <w:rPr>
          <w:rFonts w:hint="eastAsia" w:asciiTheme="minorEastAsia" w:hAnsiTheme="minorEastAsia"/>
          <w:sz w:val="24"/>
          <w:highlight w:val="none"/>
        </w:rPr>
      </w:pPr>
      <w:r>
        <w:rPr>
          <w:rFonts w:hint="eastAsia" w:asciiTheme="minorEastAsia" w:hAnsiTheme="minorEastAsia"/>
          <w:sz w:val="24"/>
          <w:highlight w:val="none"/>
        </w:rPr>
        <w:t>地下水系统的排泄方式主要包括蒸发、向地表水越流、向洞庭湖腹地侧向径流和人口开采。</w:t>
      </w:r>
    </w:p>
    <w:p>
      <w:pPr>
        <w:spacing w:line="360" w:lineRule="auto"/>
        <w:ind w:firstLine="480"/>
        <w:rPr>
          <w:rFonts w:hint="eastAsia" w:asciiTheme="minorEastAsia" w:hAnsiTheme="minorEastAsia"/>
          <w:sz w:val="24"/>
          <w:highlight w:val="none"/>
        </w:rPr>
      </w:pPr>
      <w:r>
        <w:rPr>
          <w:rFonts w:hint="eastAsia" w:asciiTheme="minorEastAsia" w:hAnsiTheme="minorEastAsia"/>
          <w:sz w:val="24"/>
          <w:highlight w:val="none"/>
        </w:rPr>
        <w:t>由于本区域地下水具有承压性，在平水或枯水期，部分区域地下水承压水头要高于地表水位，此时地下水可通过地表水体底部的弱透水层向上越流补给地表水体。同时，侧向补给洞庭湖腹地地下水系统是最主要排泄渠道。</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outlineLvl w:val="2"/>
        <w:rPr>
          <w:rFonts w:hint="eastAsia" w:asciiTheme="minorEastAsia" w:hAnsiTheme="minorEastAsia"/>
          <w:b/>
          <w:bCs w:val="0"/>
          <w:sz w:val="30"/>
          <w:szCs w:val="30"/>
          <w:lang w:val="en-US" w:eastAsia="zh-CN"/>
        </w:rPr>
      </w:pPr>
      <w:bookmarkStart w:id="76" w:name="_Toc18569"/>
      <w:r>
        <w:rPr>
          <w:rFonts w:hint="eastAsia" w:asciiTheme="minorEastAsia" w:hAnsiTheme="minorEastAsia"/>
          <w:b/>
          <w:bCs w:val="0"/>
          <w:sz w:val="30"/>
          <w:szCs w:val="30"/>
          <w:lang w:val="en-US" w:eastAsia="zh-CN"/>
        </w:rPr>
        <w:t>2.1.4地表水文概况</w:t>
      </w:r>
      <w:bookmarkEnd w:id="76"/>
    </w:p>
    <w:p>
      <w:pPr>
        <w:spacing w:line="360" w:lineRule="auto"/>
        <w:ind w:firstLine="610" w:firstLineChars="250"/>
        <w:rPr>
          <w:rFonts w:hint="eastAsia" w:asciiTheme="minorEastAsia" w:hAnsiTheme="minorEastAsia"/>
          <w:sz w:val="24"/>
        </w:rPr>
      </w:pPr>
      <w:r>
        <w:rPr>
          <w:rFonts w:hint="eastAsia" w:asciiTheme="minorEastAsia" w:hAnsiTheme="minorEastAsia"/>
          <w:sz w:val="24"/>
        </w:rPr>
        <w:t>湘阴县域内河渠纵横交错，湖泊塘堰星罗棋布，湘资两水在县内流经长度达到250 公里，内江流经长度70 余公里，共有外湖81 个，内湖78 个，水库、塘坝工程总计8244 处，总蓄引水量6471 万m³，水域面积98.6 万亩，可利用率在 55%以上，为养殖、捕捞、溉灌、航运，工业用水提供了十分充裕的水源。</w:t>
      </w:r>
    </w:p>
    <w:p>
      <w:pPr>
        <w:spacing w:line="360" w:lineRule="auto"/>
        <w:ind w:firstLine="366" w:firstLineChars="150"/>
        <w:rPr>
          <w:rFonts w:hint="eastAsia" w:asciiTheme="minorEastAsia" w:hAnsiTheme="minorEastAsia"/>
          <w:sz w:val="24"/>
        </w:rPr>
      </w:pPr>
      <w:r>
        <w:rPr>
          <w:rFonts w:hint="eastAsia" w:asciiTheme="minorEastAsia" w:hAnsiTheme="minorEastAsia"/>
          <w:sz w:val="24"/>
        </w:rPr>
        <w:t>境内地表水系不发育，多年平均陆地总产水量 5.94 亿 m³，年均经流深512mm，径流系数 0.37，可开采地下水为 3.29 亿 m³，全县陆地水资源总量为9.23 亿 m³，人平均占有量 1334.7 m³，年出入境水量 2991.3 亿 m³，人均 43.3 万m³，由此可见湘阴县水资源相当丰富，但以过境水量为主，从而形成西部湖区以防洪排涝为主，东部低山岗以抗旱为主的明显差异。由于地表水系不发育，地势平坦，水力资源缺乏，全县水能理论蕴藏量仅629 千瓦。</w:t>
      </w:r>
    </w:p>
    <w:p>
      <w:pPr>
        <w:spacing w:line="360" w:lineRule="auto"/>
        <w:ind w:firstLine="366" w:firstLineChars="150"/>
        <w:rPr>
          <w:rFonts w:hint="eastAsia" w:asciiTheme="minorEastAsia" w:hAnsiTheme="minorEastAsia"/>
          <w:sz w:val="24"/>
        </w:rPr>
      </w:pPr>
      <w:r>
        <w:rPr>
          <w:rFonts w:hint="eastAsia" w:asciiTheme="minorEastAsia" w:hAnsiTheme="minorEastAsia"/>
          <w:sz w:val="24"/>
        </w:rPr>
        <w:t>湘江为长江流域洞庭湖水系。流经湖南省永州市、衡阳市、株洲市、湘潭市、长沙市，至岳阳市的湘阴县注入长江水系的洞庭湖，干流全长844 公里，流域面积94660 平方公里。湘江历史最大流量23000 立方米/秒，最小流量 120 立方米/秒。长沙综合枢纽的最小下泄流量为385m³/s。</w:t>
      </w:r>
    </w:p>
    <w:p>
      <w:pPr>
        <w:spacing w:line="360" w:lineRule="auto"/>
        <w:ind w:firstLine="366" w:firstLineChars="150"/>
        <w:rPr>
          <w:rFonts w:hint="eastAsia" w:asciiTheme="minorEastAsia" w:hAnsiTheme="minorEastAsia"/>
          <w:sz w:val="24"/>
        </w:rPr>
      </w:pPr>
      <w:r>
        <w:rPr>
          <w:rFonts w:hint="eastAsia" w:asciiTheme="minorEastAsia" w:hAnsiTheme="minorEastAsia"/>
          <w:sz w:val="24"/>
        </w:rPr>
        <w:t>湘江干流自沙田乡观音阁入湘阴境内，沿铁角嘴、窑头山、躲风亭、樟树港、湾河至濠河口后分东、西2 条支流。东支绕城西垸东面，经老闸口、三汊河、城关镇、黄猫滩、老鼠夹至芦林潭;西支绕城西垸西面，经东港、刘家坝、新泉寺、魏家湾到临资口(旧名临泚口)与资水东支汇合，再经沅潭、杨雀潭、万家台、蛇口子至芦林潭、琴棋望至增挡进入岳阳县境，注入洞庭湖。</w:t>
      </w:r>
    </w:p>
    <w:p>
      <w:pPr>
        <w:autoSpaceDE w:val="0"/>
        <w:autoSpaceDN w:val="0"/>
        <w:snapToGrid w:val="0"/>
        <w:spacing w:line="360" w:lineRule="auto"/>
        <w:ind w:left="0" w:leftChars="0" w:firstLine="0" w:firstLineChars="0"/>
        <w:rPr>
          <w:rFonts w:hint="eastAsia"/>
          <w:b/>
          <w:bCs/>
          <w:sz w:val="30"/>
          <w:szCs w:val="30"/>
        </w:rPr>
      </w:pPr>
      <w:r>
        <w:rPr>
          <w:rFonts w:hint="eastAsia"/>
          <w:b w:val="0"/>
          <w:bCs w:val="0"/>
          <w:sz w:val="24"/>
          <w:szCs w:val="24"/>
        </w:rPr>
        <w:t>区域水系见附图1。</w:t>
      </w:r>
    </w:p>
    <w:p>
      <w:pPr>
        <w:pStyle w:val="4"/>
        <w:spacing w:before="163" w:after="163"/>
        <w:rPr>
          <w:rFonts w:hint="default" w:ascii="Times New Roman" w:hAnsi="Times New Roman" w:cs="Times New Roman"/>
        </w:rPr>
      </w:pPr>
      <w:bookmarkStart w:id="77" w:name="_Toc11384"/>
      <w:bookmarkStart w:id="78" w:name="_Toc14361"/>
      <w:r>
        <w:rPr>
          <w:rFonts w:hint="default" w:ascii="Times New Roman" w:hAnsi="Times New Roman" w:cs="Times New Roman"/>
        </w:rPr>
        <w:t>2.1.</w:t>
      </w:r>
      <w:r>
        <w:rPr>
          <w:rFonts w:hint="eastAsia" w:ascii="Times New Roman" w:hAnsi="Times New Roman" w:cs="Times New Roman"/>
          <w:lang w:val="en-US" w:eastAsia="zh-CN"/>
        </w:rPr>
        <w:t>5</w:t>
      </w:r>
      <w:r>
        <w:rPr>
          <w:rFonts w:hint="default" w:ascii="Times New Roman" w:hAnsi="Times New Roman" w:cs="Times New Roman"/>
        </w:rPr>
        <w:t xml:space="preserve"> 气候、气象特征</w:t>
      </w:r>
      <w:bookmarkEnd w:id="74"/>
      <w:bookmarkEnd w:id="75"/>
      <w:bookmarkEnd w:id="77"/>
      <w:bookmarkEnd w:id="78"/>
    </w:p>
    <w:p>
      <w:pPr>
        <w:spacing w:line="360" w:lineRule="auto"/>
        <w:ind w:firstLine="480"/>
        <w:rPr>
          <w:rFonts w:hint="default" w:ascii="Times New Roman" w:hAnsi="Times New Roman" w:cs="Times New Roman"/>
        </w:rPr>
      </w:pPr>
      <w:r>
        <w:rPr>
          <w:rFonts w:hint="default" w:ascii="Times New Roman" w:hAnsi="Times New Roman" w:eastAsia="宋体" w:cs="Times New Roman"/>
          <w:lang w:bidi="ar"/>
        </w:rPr>
        <w:t>湘阴位于季风湿润气候区，四季分明，光照长，降水集中在春夏暖热季节，年平均气温为17℃，全年无霜期为223-304天，年日照1399.9-2058.9小时，年均降雨量1392.62毫米，主导风向为北风、南风、西北风，年平均风速3米/  秒。境内适宜于农作物和树木的生长，特别是对喜热的水稻、棉花等作物有利。冬季气候亦适宜种植油菜、荞头、蚕豆、小麦、绿肥和蔬菜等越冬作物。温和的气候，亦有利于各种水陆动物的生长繁殖。</w:t>
      </w:r>
    </w:p>
    <w:p>
      <w:pPr>
        <w:spacing w:line="360" w:lineRule="auto"/>
        <w:ind w:firstLine="480"/>
        <w:rPr>
          <w:rFonts w:hint="default" w:ascii="Times New Roman" w:hAnsi="Times New Roman" w:cs="Times New Roman"/>
        </w:rPr>
      </w:pPr>
      <w:r>
        <w:rPr>
          <w:rFonts w:hint="default" w:ascii="Times New Roman" w:hAnsi="Times New Roman" w:eastAsia="宋体" w:cs="Times New Roman"/>
          <w:lang w:bidi="ar"/>
        </w:rPr>
        <w:t xml:space="preserve">  主要灾害性天气有暴雨、干旱、大风、雷雹、低温、冰冻。县气象站记载，1959~1985年的27年间，共发生此类天气141次，年均5.2次。各种灾害性天气发生次数及占此类天气总数的百分比为：暴雨25次，占17.85%；干旱23次，占16.42%次，低温31次，占22.17%；大风26次，占18.57%；雷雹13次，占9.28%，冰冻23次，占15.71%。</w:t>
      </w:r>
    </w:p>
    <w:p>
      <w:pPr>
        <w:pStyle w:val="3"/>
        <w:spacing w:before="163" w:after="163"/>
        <w:rPr>
          <w:rFonts w:hint="default" w:ascii="Times New Roman" w:hAnsi="Times New Roman" w:cs="Times New Roman"/>
        </w:rPr>
      </w:pPr>
      <w:bookmarkStart w:id="79" w:name="_Toc458323088"/>
      <w:bookmarkStart w:id="80" w:name="_Toc30495"/>
      <w:bookmarkStart w:id="81" w:name="_Toc24970"/>
      <w:r>
        <w:rPr>
          <w:rFonts w:hint="default" w:ascii="Times New Roman" w:hAnsi="Times New Roman" w:cs="Times New Roman"/>
        </w:rPr>
        <w:t>2.2饮用水水源地所在区域的社会经济状况</w:t>
      </w:r>
      <w:bookmarkEnd w:id="79"/>
      <w:bookmarkEnd w:id="80"/>
      <w:bookmarkEnd w:id="81"/>
      <w:bookmarkStart w:id="82" w:name="_Toc451526496"/>
    </w:p>
    <w:p>
      <w:pPr>
        <w:pStyle w:val="4"/>
        <w:spacing w:before="163" w:after="163"/>
        <w:rPr>
          <w:rFonts w:hint="default" w:ascii="Times New Roman" w:hAnsi="Times New Roman" w:cs="Times New Roman"/>
          <w:highlight w:val="none"/>
        </w:rPr>
      </w:pPr>
      <w:bookmarkStart w:id="83" w:name="_Toc30801"/>
      <w:bookmarkStart w:id="84" w:name="_Toc9496"/>
      <w:bookmarkStart w:id="85" w:name="_Toc458323089"/>
      <w:r>
        <w:rPr>
          <w:rFonts w:hint="default" w:ascii="Times New Roman" w:hAnsi="Times New Roman" w:cs="Times New Roman"/>
          <w:highlight w:val="none"/>
        </w:rPr>
        <w:t>2.2.1 行政区划</w:t>
      </w:r>
      <w:bookmarkEnd w:id="82"/>
      <w:bookmarkEnd w:id="83"/>
      <w:bookmarkEnd w:id="84"/>
      <w:bookmarkEnd w:id="85"/>
    </w:p>
    <w:p>
      <w:pPr>
        <w:spacing w:line="360" w:lineRule="auto"/>
        <w:ind w:firstLine="480"/>
        <w:rPr>
          <w:rFonts w:hint="default" w:ascii="Times New Roman" w:hAnsi="Times New Roman" w:eastAsia="宋体" w:cs="Times New Roman"/>
          <w:lang w:bidi="ar"/>
        </w:rPr>
      </w:pPr>
      <w:r>
        <w:rPr>
          <w:rFonts w:hint="default" w:ascii="Times New Roman" w:hAnsi="Times New Roman" w:eastAsia="宋体" w:cs="Times New Roman"/>
          <w:lang w:bidi="ar"/>
        </w:rPr>
        <w:t>2018年，湘阴县辖14个乡镇和2个街道办事处，分别为文星镇、鹤龙湖镇、新泉镇、岭北镇、湘滨镇、杨林寨乡、南湖洲镇、东塘镇、六塘乡、三塘镇、玉华镇、金龙镇、静河镇、樟树镇，漕溪港街道办事处、洋沙湖街道办事处。</w:t>
      </w:r>
    </w:p>
    <w:p>
      <w:pPr>
        <w:spacing w:line="360" w:lineRule="auto"/>
        <w:ind w:firstLine="480"/>
        <w:rPr>
          <w:rFonts w:hint="default" w:ascii="Times New Roman" w:hAnsi="Times New Roman" w:eastAsia="宋体" w:cs="Times New Roman"/>
          <w:lang w:bidi="ar"/>
        </w:rPr>
      </w:pPr>
      <w:r>
        <w:rPr>
          <w:rFonts w:hint="default" w:ascii="Times New Roman" w:hAnsi="Times New Roman" w:eastAsia="宋体" w:cs="Times New Roman"/>
          <w:lang w:bidi="ar"/>
        </w:rPr>
        <w:t>三塘镇位于湘阴县城东北，东临汨罗201线，北靠洞庭湖畔，与屈原行政管理区毗邻，南连芙蓉北路，距省会长沙仅67公里。下辖6个行政村和2个社区，194个村民小组，5560户，共有农业人口23680人。</w:t>
      </w:r>
    </w:p>
    <w:p>
      <w:pPr>
        <w:pStyle w:val="4"/>
        <w:spacing w:before="163" w:after="163"/>
        <w:rPr>
          <w:rFonts w:hint="default" w:ascii="Times New Roman" w:hAnsi="Times New Roman" w:cs="Times New Roman"/>
          <w:b/>
        </w:rPr>
      </w:pPr>
      <w:bookmarkStart w:id="86" w:name="_Toc453061722"/>
      <w:bookmarkStart w:id="87" w:name="_Toc453061568"/>
      <w:bookmarkStart w:id="88" w:name="_Toc12595"/>
      <w:bookmarkStart w:id="89" w:name="_Toc23934"/>
      <w:bookmarkStart w:id="90" w:name="_Toc458323090"/>
      <w:r>
        <w:rPr>
          <w:rFonts w:hint="default" w:ascii="Times New Roman" w:hAnsi="Times New Roman" w:cs="Times New Roman"/>
        </w:rPr>
        <w:t>2.2.2人口</w:t>
      </w:r>
      <w:bookmarkEnd w:id="86"/>
      <w:bookmarkEnd w:id="87"/>
      <w:r>
        <w:rPr>
          <w:rFonts w:hint="default" w:ascii="Times New Roman" w:hAnsi="Times New Roman" w:cs="Times New Roman"/>
        </w:rPr>
        <w:t>状况</w:t>
      </w:r>
      <w:bookmarkEnd w:id="88"/>
      <w:bookmarkEnd w:id="89"/>
      <w:bookmarkEnd w:id="90"/>
    </w:p>
    <w:p>
      <w:pPr>
        <w:spacing w:line="360" w:lineRule="auto"/>
        <w:ind w:firstLine="480"/>
        <w:rPr>
          <w:rFonts w:hint="default" w:ascii="Times New Roman" w:hAnsi="Times New Roman" w:eastAsia="宋体" w:cs="Times New Roman"/>
          <w:lang w:bidi="ar"/>
        </w:rPr>
      </w:pPr>
      <w:bookmarkStart w:id="91" w:name="_Toc451526497"/>
      <w:r>
        <w:rPr>
          <w:rFonts w:hint="default" w:ascii="Times New Roman" w:hAnsi="Times New Roman" w:eastAsia="宋体" w:cs="Times New Roman"/>
          <w:lang w:bidi="ar"/>
        </w:rPr>
        <w:t>2018年全县年末总人口为78.41万人，出生人口9188人，出生率为12.48‰；死亡人口6738人，死亡率为8.6‰；人口自然增长率为4.3‰,出生人口男女性别比为107.87:100。常住人口71.03万人，城镇化率为51.11%。</w:t>
      </w:r>
    </w:p>
    <w:p>
      <w:pPr>
        <w:pStyle w:val="4"/>
        <w:spacing w:before="163" w:after="163"/>
        <w:rPr>
          <w:rFonts w:hint="default" w:ascii="Times New Roman" w:hAnsi="Times New Roman" w:cs="Times New Roman"/>
        </w:rPr>
      </w:pPr>
      <w:bookmarkStart w:id="92" w:name="_Toc8967"/>
      <w:bookmarkStart w:id="93" w:name="_Toc458323091"/>
      <w:bookmarkStart w:id="94" w:name="_Toc29020"/>
      <w:r>
        <w:rPr>
          <w:rFonts w:hint="default" w:ascii="Times New Roman" w:hAnsi="Times New Roman" w:cs="Times New Roman"/>
        </w:rPr>
        <w:t>2.2.3 经济现状</w:t>
      </w:r>
      <w:bookmarkEnd w:id="91"/>
      <w:bookmarkEnd w:id="92"/>
      <w:bookmarkEnd w:id="93"/>
      <w:bookmarkEnd w:id="94"/>
    </w:p>
    <w:p>
      <w:pPr>
        <w:spacing w:line="360" w:lineRule="auto"/>
        <w:ind w:firstLine="480"/>
        <w:rPr>
          <w:rFonts w:hint="default" w:ascii="Times New Roman" w:hAnsi="Times New Roman" w:eastAsia="宋体" w:cs="Times New Roman"/>
          <w:lang w:bidi="ar"/>
        </w:rPr>
      </w:pPr>
      <w:r>
        <w:rPr>
          <w:rFonts w:hint="default" w:ascii="Times New Roman" w:hAnsi="Times New Roman" w:eastAsia="宋体" w:cs="Times New Roman"/>
          <w:lang w:bidi="ar"/>
        </w:rPr>
        <w:t>2018年，全县完成地区生产总值331.83亿元，同比增长5.5%,其中第一产业增加值49.28亿元，同比增长3.1%；第二产业增加值152.2亿元，同比增长1.8%；第三产业增加值130.34亿元，同比增长11%。一、二、三次产业分别拉动GDP增长0.33、0.86、3.77个百分点，三次产业对GDP增长的贡献率分别为5.94%、15.52%、68.38%，三次产业结构比为14.85：45.87：39.28。与上年比较，第一产业所占比重下降0.8个百分点，第二产业比重下降14.05个百分点，第三产业比重提升7.85个百分点。按常住人口计算，人均GDP46717元，增长4.83%。</w:t>
      </w:r>
    </w:p>
    <w:p>
      <w:pPr>
        <w:spacing w:line="360" w:lineRule="auto"/>
        <w:ind w:firstLine="480"/>
        <w:rPr>
          <w:rFonts w:hint="default" w:ascii="Times New Roman" w:hAnsi="Times New Roman" w:cs="Times New Roman"/>
        </w:rPr>
      </w:pPr>
      <w:r>
        <w:rPr>
          <w:rFonts w:hint="default" w:ascii="Times New Roman" w:hAnsi="Times New Roman" w:eastAsia="宋体" w:cs="Times New Roman"/>
          <w:lang w:bidi="ar"/>
        </w:rPr>
        <w:t>2018年，全县公共财政预算收入15.75亿元，同比增长5%,税收收入11.31亿元，税收占财政总收入的比重为72%。规模工业增加值增幅4.4%;固定资产投资增幅10%；社会消费品零售总额增幅6.3%；实现城镇居民人均可支配收入31115元，增长7.7%;农村人均可支配收入18400元,增长8.3%。</w:t>
      </w:r>
    </w:p>
    <w:p>
      <w:pPr>
        <w:pStyle w:val="3"/>
        <w:spacing w:before="163" w:after="163"/>
        <w:rPr>
          <w:rFonts w:hint="default" w:ascii="Times New Roman" w:hAnsi="Times New Roman" w:cs="Times New Roman"/>
        </w:rPr>
      </w:pPr>
      <w:bookmarkStart w:id="95" w:name="_Toc9516"/>
      <w:bookmarkStart w:id="96" w:name="_Toc453061570"/>
      <w:bookmarkStart w:id="97" w:name="_Toc2341"/>
      <w:bookmarkStart w:id="98" w:name="_Toc453061724"/>
      <w:r>
        <w:rPr>
          <w:rFonts w:hint="default" w:ascii="Times New Roman" w:hAnsi="Times New Roman" w:cs="Times New Roman"/>
        </w:rPr>
        <w:t>2.3用水及供水状况</w:t>
      </w:r>
      <w:bookmarkEnd w:id="95"/>
      <w:bookmarkEnd w:id="96"/>
      <w:bookmarkEnd w:id="97"/>
      <w:bookmarkEnd w:id="98"/>
    </w:p>
    <w:p>
      <w:pPr>
        <w:spacing w:line="360" w:lineRule="auto"/>
        <w:ind w:firstLine="480"/>
        <w:rPr>
          <w:rFonts w:hint="eastAsia" w:ascii="Times New Roman" w:hAnsi="Times New Roman" w:eastAsia="宋体" w:cs="Times New Roman"/>
          <w:lang w:val="en-US" w:eastAsia="zh-CN" w:bidi="ar"/>
        </w:rPr>
      </w:pPr>
      <w:r>
        <w:rPr>
          <w:rFonts w:hint="default" w:ascii="Times New Roman" w:hAnsi="Times New Roman" w:eastAsia="宋体" w:cs="Times New Roman"/>
          <w:lang w:bidi="ar"/>
        </w:rPr>
        <w:t>湘阴县三塘镇</w:t>
      </w:r>
      <w:r>
        <w:rPr>
          <w:rFonts w:hint="default" w:ascii="Times New Roman" w:hAnsi="Times New Roman" w:eastAsia="宋体" w:cs="Times New Roman"/>
          <w:lang w:val="en-US" w:eastAsia="zh-CN" w:bidi="ar"/>
        </w:rPr>
        <w:t>谢坪村</w:t>
      </w:r>
      <w:r>
        <w:rPr>
          <w:rFonts w:hint="default" w:ascii="Times New Roman" w:hAnsi="Times New Roman" w:eastAsia="宋体" w:cs="Times New Roman"/>
          <w:lang w:bidi="ar"/>
        </w:rPr>
        <w:t>生活用水由湘阴县拦河坝自来水厂供给，水厂目前规模服务人口</w:t>
      </w:r>
      <w:r>
        <w:rPr>
          <w:rFonts w:hint="default" w:ascii="Times New Roman" w:hAnsi="Times New Roman" w:eastAsia="宋体" w:cs="Times New Roman"/>
          <w:lang w:val="en-US" w:eastAsia="zh-CN" w:bidi="ar"/>
        </w:rPr>
        <w:t>14043</w:t>
      </w:r>
      <w:r>
        <w:rPr>
          <w:rFonts w:hint="default" w:ascii="Times New Roman" w:hAnsi="Times New Roman" w:eastAsia="宋体" w:cs="Times New Roman"/>
          <w:lang w:bidi="ar"/>
        </w:rPr>
        <w:t>人，每天供水</w:t>
      </w:r>
      <w:r>
        <w:rPr>
          <w:rFonts w:hint="default" w:ascii="Times New Roman" w:hAnsi="Times New Roman" w:eastAsia="宋体" w:cs="Times New Roman"/>
          <w:lang w:val="en-US" w:eastAsia="zh-CN" w:bidi="ar"/>
        </w:rPr>
        <w:t>682.5</w:t>
      </w:r>
      <w:r>
        <w:rPr>
          <w:rFonts w:hint="default" w:ascii="Times New Roman" w:hAnsi="Times New Roman" w:eastAsia="宋体" w:cs="Times New Roman"/>
          <w:lang w:bidi="ar"/>
        </w:rPr>
        <w:t>m</w:t>
      </w:r>
      <w:r>
        <w:rPr>
          <w:rFonts w:hint="default" w:ascii="Times New Roman" w:hAnsi="Times New Roman" w:eastAsia="宋体" w:cs="Times New Roman"/>
          <w:vertAlign w:val="superscript"/>
          <w:lang w:bidi="ar"/>
        </w:rPr>
        <w:t>3</w:t>
      </w:r>
      <w:r>
        <w:rPr>
          <w:rFonts w:hint="default" w:ascii="Times New Roman" w:hAnsi="Times New Roman" w:eastAsia="宋体" w:cs="Times New Roman"/>
          <w:lang w:bidi="ar"/>
        </w:rPr>
        <w:t>。湘阴县拦河坝自来水厂为地下水水厂，现有两个取水深井。三塘镇的拦河坝社区、金</w:t>
      </w:r>
      <w:r>
        <w:rPr>
          <w:rFonts w:hint="eastAsia" w:ascii="Times New Roman" w:hAnsi="Times New Roman" w:eastAsia="宋体" w:cs="Times New Roman"/>
          <w:lang w:eastAsia="zh-CN" w:bidi="ar"/>
        </w:rPr>
        <w:t>仑</w:t>
      </w:r>
      <w:r>
        <w:rPr>
          <w:rFonts w:hint="default" w:ascii="Times New Roman" w:hAnsi="Times New Roman" w:eastAsia="宋体" w:cs="Times New Roman"/>
          <w:lang w:bidi="ar"/>
        </w:rPr>
        <w:t>村、白雪村、新龙村、民岳村、龙华村及黄陵港村</w:t>
      </w:r>
      <w:r>
        <w:rPr>
          <w:rFonts w:hint="eastAsia" w:ascii="Times New Roman" w:hAnsi="Times New Roman" w:eastAsia="宋体" w:cs="Times New Roman"/>
          <w:lang w:eastAsia="zh-CN" w:bidi="ar"/>
        </w:rPr>
        <w:t>。</w:t>
      </w:r>
    </w:p>
    <w:p>
      <w:pPr>
        <w:adjustRightInd w:val="0"/>
        <w:snapToGrid w:val="0"/>
        <w:spacing w:line="360" w:lineRule="auto"/>
        <w:ind w:firstLine="488"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目前水厂净水工艺流程：取水→曝气→过滤→消毒→</w:t>
      </w:r>
      <w:r>
        <w:rPr>
          <w:rFonts w:hint="eastAsia" w:ascii="Times New Roman" w:hAnsi="Times New Roman" w:eastAsia="宋体" w:cs="Times New Roman"/>
          <w:sz w:val="24"/>
          <w:szCs w:val="22"/>
          <w:lang w:eastAsia="zh-CN"/>
        </w:rPr>
        <w:t>清水池</w:t>
      </w:r>
      <w:r>
        <w:rPr>
          <w:rFonts w:hint="eastAsia" w:ascii="Times New Roman" w:hAnsi="Times New Roman" w:eastAsia="宋体" w:cs="Times New Roman"/>
          <w:sz w:val="24"/>
          <w:szCs w:val="22"/>
        </w:rPr>
        <w:t>→</w:t>
      </w:r>
      <w:r>
        <w:rPr>
          <w:rFonts w:hint="eastAsia" w:ascii="Times New Roman" w:hAnsi="Times New Roman" w:eastAsia="宋体" w:cs="Times New Roman"/>
          <w:sz w:val="24"/>
          <w:szCs w:val="22"/>
          <w:lang w:eastAsia="zh-CN"/>
        </w:rPr>
        <w:t>用户</w:t>
      </w:r>
      <w:r>
        <w:rPr>
          <w:rFonts w:hint="eastAsia" w:ascii="Times New Roman" w:hAnsi="Times New Roman" w:eastAsia="宋体" w:cs="Times New Roman"/>
          <w:sz w:val="24"/>
          <w:szCs w:val="22"/>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rPr>
      </w:pPr>
      <w:r>
        <w:rPr>
          <w:rFonts w:hint="default" w:ascii="Times New Roman" w:hAnsi="Times New Roman" w:cs="Times New Roman"/>
          <w:b/>
          <w:sz w:val="21"/>
          <w:szCs w:val="21"/>
        </w:rPr>
        <w:drawing>
          <wp:inline distT="0" distB="0" distL="114300" distR="114300">
            <wp:extent cx="2165985" cy="2308860"/>
            <wp:effectExtent l="0" t="0" r="1524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cstate="print">
                      <a:extLst>
                        <a:ext uri="{28A0092B-C50C-407E-A947-70E740481C1C}">
                          <a14:useLocalDpi xmlns:a14="http://schemas.microsoft.com/office/drawing/2010/main" val="0"/>
                        </a:ext>
                      </a:extLst>
                    </a:blip>
                    <a:srcRect t="4377" r="31476"/>
                    <a:stretch>
                      <a:fillRect/>
                    </a:stretch>
                  </pic:blipFill>
                  <pic:spPr>
                    <a:xfrm rot="5400000">
                      <a:off x="0" y="0"/>
                      <a:ext cx="2165985" cy="2308860"/>
                    </a:xfrm>
                    <a:prstGeom prst="rect">
                      <a:avLst/>
                    </a:prstGeom>
                    <a:ln>
                      <a:noFill/>
                    </a:ln>
                  </pic:spPr>
                </pic:pic>
              </a:graphicData>
            </a:graphic>
          </wp:inline>
        </w:drawing>
      </w:r>
      <w:r>
        <w:rPr>
          <w:rFonts w:hint="default" w:ascii="Times New Roman" w:hAnsi="Times New Roman" w:cs="Times New Roman"/>
          <w:b/>
          <w:sz w:val="21"/>
          <w:szCs w:val="21"/>
          <w:lang w:val="en-US" w:eastAsia="zh-CN"/>
        </w:rPr>
        <w:t xml:space="preserve"> </w:t>
      </w:r>
      <w:r>
        <w:rPr>
          <w:rFonts w:hint="default" w:ascii="Times New Roman" w:hAnsi="Times New Roman" w:cs="Times New Roman"/>
        </w:rPr>
        <w:drawing>
          <wp:inline distT="0" distB="0" distL="114300" distR="114300">
            <wp:extent cx="2180590" cy="2379980"/>
            <wp:effectExtent l="0" t="0" r="1270" b="1016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cstate="print">
                      <a:extLst>
                        <a:ext uri="{28A0092B-C50C-407E-A947-70E740481C1C}">
                          <a14:useLocalDpi xmlns:a14="http://schemas.microsoft.com/office/drawing/2010/main" val="0"/>
                        </a:ext>
                      </a:extLst>
                    </a:blip>
                    <a:srcRect l="20349" t="774" r="9169"/>
                    <a:stretch>
                      <a:fillRect/>
                    </a:stretch>
                  </pic:blipFill>
                  <pic:spPr>
                    <a:xfrm rot="5400000">
                      <a:off x="0" y="0"/>
                      <a:ext cx="2180590" cy="2379980"/>
                    </a:xfrm>
                    <a:prstGeom prst="rect">
                      <a:avLst/>
                    </a:prstGeom>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b/>
          <w:sz w:val="21"/>
          <w:szCs w:val="21"/>
        </w:rPr>
      </w:pPr>
      <w:r>
        <w:rPr>
          <w:rFonts w:hint="default" w:ascii="Times New Roman" w:hAnsi="Times New Roman" w:cs="Times New Roman"/>
          <w:b/>
          <w:sz w:val="21"/>
          <w:szCs w:val="21"/>
        </w:rPr>
        <w:t>图2-</w:t>
      </w:r>
      <w:r>
        <w:rPr>
          <w:rFonts w:hint="eastAsia" w:ascii="Times New Roman" w:hAnsi="Times New Roman" w:cs="Times New Roman"/>
          <w:b/>
          <w:sz w:val="21"/>
          <w:szCs w:val="21"/>
          <w:lang w:val="en-US" w:eastAsia="zh-CN"/>
        </w:rPr>
        <w:t>7</w:t>
      </w:r>
      <w:r>
        <w:rPr>
          <w:rFonts w:hint="default" w:ascii="Times New Roman" w:hAnsi="Times New Roman" w:cs="Times New Roman"/>
          <w:b/>
          <w:sz w:val="21"/>
          <w:szCs w:val="21"/>
        </w:rPr>
        <w:t xml:space="preserve">  三塘镇取水口现场图</w:t>
      </w:r>
      <w:bookmarkStart w:id="99" w:name="_Toc453061571"/>
      <w:bookmarkStart w:id="100" w:name="_Toc453061725"/>
    </w:p>
    <w:p>
      <w:pPr>
        <w:pStyle w:val="3"/>
        <w:spacing w:before="163" w:after="163"/>
        <w:rPr>
          <w:rFonts w:hint="default" w:ascii="Times New Roman" w:hAnsi="Times New Roman" w:cs="Times New Roman"/>
        </w:rPr>
      </w:pPr>
      <w:bookmarkStart w:id="101" w:name="_Toc12013"/>
      <w:bookmarkStart w:id="102" w:name="_Toc2480"/>
      <w:r>
        <w:rPr>
          <w:rFonts w:hint="default" w:ascii="Times New Roman" w:hAnsi="Times New Roman" w:cs="Times New Roman"/>
        </w:rPr>
        <w:t>2.4 饮用水水源地基础状况分析</w:t>
      </w:r>
      <w:bookmarkEnd w:id="99"/>
      <w:bookmarkEnd w:id="100"/>
      <w:bookmarkEnd w:id="101"/>
      <w:bookmarkEnd w:id="102"/>
    </w:p>
    <w:p>
      <w:pPr>
        <w:pStyle w:val="4"/>
        <w:spacing w:before="163" w:after="163"/>
        <w:rPr>
          <w:rFonts w:hint="default" w:ascii="Times New Roman" w:hAnsi="Times New Roman" w:cs="Times New Roman"/>
        </w:rPr>
      </w:pPr>
      <w:bookmarkStart w:id="103" w:name="_Toc21598"/>
      <w:bookmarkStart w:id="104" w:name="_Toc453061572"/>
      <w:bookmarkStart w:id="105" w:name="_Toc453061726"/>
      <w:bookmarkStart w:id="106" w:name="_Toc12732"/>
      <w:r>
        <w:rPr>
          <w:rFonts w:hint="default" w:ascii="Times New Roman" w:hAnsi="Times New Roman" w:cs="Times New Roman"/>
        </w:rPr>
        <w:t>2.4.1 饮用水水源地基本情况</w:t>
      </w:r>
      <w:bookmarkEnd w:id="103"/>
      <w:bookmarkEnd w:id="104"/>
      <w:bookmarkEnd w:id="105"/>
      <w:bookmarkEnd w:id="106"/>
    </w:p>
    <w:p>
      <w:pPr>
        <w:ind w:firstLine="480"/>
        <w:jc w:val="left"/>
        <w:rPr>
          <w:rFonts w:hint="eastAsia" w:ascii="Calibri" w:hAnsi="Calibri" w:eastAsia="宋体" w:cs="宋体"/>
          <w:sz w:val="24"/>
          <w:szCs w:val="22"/>
          <w:lang w:val="en-US" w:eastAsia="zh-CN" w:bidi="ar"/>
        </w:rPr>
      </w:pPr>
      <w:r>
        <w:rPr>
          <w:rFonts w:hint="default" w:ascii="Times New Roman" w:hAnsi="Times New Roman" w:eastAsia="宋体" w:cs="Times New Roman"/>
          <w:lang w:bidi="ar"/>
        </w:rPr>
        <w:t>三塘镇</w:t>
      </w:r>
      <w:r>
        <w:rPr>
          <w:rFonts w:hint="eastAsia" w:ascii="Times New Roman" w:hAnsi="Times New Roman" w:eastAsia="宋体" w:cs="Times New Roman"/>
          <w:lang w:val="en-US" w:eastAsia="zh-CN" w:bidi="ar"/>
        </w:rPr>
        <w:t>拦河坝水厂地下水</w:t>
      </w:r>
      <w:r>
        <w:rPr>
          <w:rFonts w:hint="default" w:ascii="Times New Roman" w:hAnsi="Times New Roman" w:eastAsia="宋体" w:cs="Times New Roman"/>
          <w:lang w:bidi="ar"/>
        </w:rPr>
        <w:t>饮用水源，取水口位于三塘镇</w:t>
      </w:r>
      <w:r>
        <w:rPr>
          <w:rFonts w:hint="default" w:ascii="Times New Roman" w:hAnsi="Times New Roman" w:eastAsia="宋体" w:cs="Times New Roman"/>
          <w:lang w:val="en-US" w:eastAsia="zh-CN" w:bidi="ar"/>
        </w:rPr>
        <w:t>谢坪村</w:t>
      </w:r>
      <w:r>
        <w:rPr>
          <w:rFonts w:hint="default" w:ascii="Times New Roman" w:hAnsi="Times New Roman" w:eastAsia="宋体" w:cs="Times New Roman"/>
          <w:lang w:bidi="ar"/>
        </w:rPr>
        <w:t>一号水井和二号水井，</w:t>
      </w:r>
      <w:r>
        <w:rPr>
          <w:rFonts w:hint="default" w:ascii="Times New Roman" w:hAnsi="Times New Roman" w:cs="Times New Roman"/>
        </w:rPr>
        <w:t>一号取水井地理坐标为东经112°55′45.73″，北纬28°48′3.47″；二号取水井东经112°55′59.84″，北纬28°47′58.36"。</w:t>
      </w:r>
      <w:r>
        <w:rPr>
          <w:rFonts w:hint="default" w:ascii="Times New Roman" w:hAnsi="Times New Roman" w:eastAsia="宋体" w:cs="Times New Roman"/>
          <w:lang w:bidi="ar"/>
        </w:rPr>
        <w:t>（坐标来源于Google Earth坐标系），两取水井周边有农</w:t>
      </w:r>
      <w:r>
        <w:rPr>
          <w:rFonts w:hint="eastAsia" w:ascii="Times New Roman" w:hAnsi="Times New Roman" w:eastAsia="宋体" w:cs="Times New Roman"/>
          <w:lang w:eastAsia="zh-CN" w:bidi="ar"/>
        </w:rPr>
        <w:t>田</w:t>
      </w:r>
      <w:r>
        <w:rPr>
          <w:rFonts w:hint="default" w:ascii="Times New Roman" w:hAnsi="Times New Roman" w:eastAsia="宋体" w:cs="Times New Roman"/>
          <w:lang w:bidi="ar"/>
        </w:rPr>
        <w:t>和</w:t>
      </w:r>
      <w:r>
        <w:rPr>
          <w:rFonts w:hint="eastAsia" w:ascii="Times New Roman" w:hAnsi="Times New Roman" w:eastAsia="宋体" w:cs="Times New Roman"/>
          <w:lang w:eastAsia="zh-CN" w:bidi="ar"/>
        </w:rPr>
        <w:t>水塘</w:t>
      </w:r>
      <w:r>
        <w:rPr>
          <w:rFonts w:hint="default" w:ascii="Times New Roman" w:hAnsi="Times New Roman" w:eastAsia="宋体" w:cs="Times New Roman"/>
          <w:lang w:bidi="ar"/>
        </w:rPr>
        <w:t>，一号水井位于乡道旁边，井口设置了井盖。二号井位于水厂院内，井口设置了井盖。</w:t>
      </w:r>
      <w:r>
        <w:rPr>
          <w:rFonts w:hint="eastAsia" w:ascii="Calibri" w:hAnsi="Calibri" w:eastAsia="宋体" w:cs="宋体"/>
          <w:sz w:val="24"/>
          <w:szCs w:val="22"/>
          <w:lang w:val="en-US" w:eastAsia="zh-CN" w:bidi="ar"/>
        </w:rPr>
        <w:t>拦河坝水厂</w:t>
      </w:r>
      <w:r>
        <w:rPr>
          <w:rFonts w:ascii="Times New Roman" w:hAnsi="Times New Roman" w:eastAsia="宋体" w:cs="Times New Roman"/>
          <w:sz w:val="24"/>
          <w:szCs w:val="22"/>
        </w:rPr>
        <w:t>担负着</w:t>
      </w:r>
      <w:r>
        <w:rPr>
          <w:rFonts w:hint="eastAsia" w:ascii="Calibri" w:hAnsi="Calibri" w:eastAsia="宋体" w:cs="宋体"/>
          <w:sz w:val="24"/>
          <w:szCs w:val="22"/>
          <w:highlight w:val="none"/>
          <w:lang w:val="en-US" w:eastAsia="zh-CN" w:bidi="ar"/>
        </w:rPr>
        <w:t>三塘镇</w:t>
      </w:r>
      <w:r>
        <w:rPr>
          <w:rFonts w:hint="default" w:ascii="Times New Roman" w:hAnsi="Times New Roman" w:eastAsia="宋体" w:cs="Times New Roman"/>
          <w:lang w:val="en-US" w:eastAsia="zh-CN" w:bidi="ar"/>
        </w:rPr>
        <w:t>14043</w:t>
      </w:r>
      <w:r>
        <w:rPr>
          <w:rFonts w:hint="default" w:ascii="Times New Roman" w:hAnsi="Times New Roman" w:eastAsia="宋体" w:cs="Times New Roman"/>
          <w:lang w:bidi="ar"/>
        </w:rPr>
        <w:t>人</w:t>
      </w:r>
      <w:r>
        <w:rPr>
          <w:rFonts w:ascii="Times New Roman" w:hAnsi="Times New Roman" w:eastAsia="宋体" w:cs="Times New Roman"/>
          <w:color w:val="000000" w:themeColor="text1"/>
          <w:sz w:val="24"/>
          <w:szCs w:val="22"/>
          <w14:textFill>
            <w14:solidFill>
              <w14:schemeClr w14:val="tx1"/>
            </w14:solidFill>
          </w14:textFill>
        </w:rPr>
        <w:t>生产、生活供水重任</w:t>
      </w:r>
      <w:r>
        <w:rPr>
          <w:rFonts w:hint="eastAsia" w:ascii="Calibri" w:hAnsi="Calibri" w:eastAsia="宋体" w:cs="宋体"/>
          <w:sz w:val="24"/>
          <w:szCs w:val="22"/>
          <w:lang w:val="en-US" w:eastAsia="zh-CN" w:bidi="ar"/>
        </w:rPr>
        <w:t>。</w:t>
      </w:r>
    </w:p>
    <w:p>
      <w:pPr>
        <w:pStyle w:val="4"/>
        <w:spacing w:beforeLines="0" w:afterLines="0" w:line="360" w:lineRule="auto"/>
        <w:rPr>
          <w:rFonts w:hint="eastAsia"/>
          <w:lang w:eastAsia="zh-CN"/>
        </w:rPr>
      </w:pPr>
      <w:bookmarkStart w:id="107" w:name="_Toc17692"/>
      <w:bookmarkStart w:id="108" w:name="_Toc13697"/>
      <w:r>
        <w:rPr>
          <w:rFonts w:hint="eastAsia"/>
          <w:lang w:val="en-US" w:eastAsia="zh-CN"/>
        </w:rPr>
        <w:t>2.4.2</w:t>
      </w:r>
      <w:r>
        <w:rPr>
          <w:rFonts w:hint="eastAsia"/>
          <w:lang w:eastAsia="zh-CN"/>
        </w:rPr>
        <w:t>地表水环境功能区划及相邻水域情况</w:t>
      </w:r>
      <w:bookmarkEnd w:id="107"/>
      <w:bookmarkEnd w:id="108"/>
    </w:p>
    <w:p>
      <w:pPr>
        <w:spacing w:line="360" w:lineRule="auto"/>
        <w:ind w:firstLine="732" w:firstLineChars="300"/>
        <w:rPr>
          <w:rFonts w:ascii="Times New Roman" w:hAnsi="Times New Roman" w:eastAsia="宋体" w:cs="Times New Roman"/>
          <w:sz w:val="24"/>
          <w:szCs w:val="22"/>
        </w:rPr>
      </w:pPr>
      <w:r>
        <w:rPr>
          <w:rFonts w:ascii="Times New Roman" w:hAnsi="Times New Roman" w:eastAsia="宋体" w:cs="Times New Roman"/>
          <w:sz w:val="24"/>
          <w:szCs w:val="22"/>
        </w:rPr>
        <w:t>根据《湖南省主要地表水系水环境功能区划》（DB43/023-2005），湘阴境内湘江樟树港至浩河口水域共7.4km为渔业用水区，该水域执行 GB3838-2002 中Ⅲ类标准；浩河口至洋沙湖上游1000m（东支）水域共5.2km 为饮用水水源保护区，该水域执行 GB3838-2002 中Ⅲ类标准；洋沙湖上游1000m 至下游 200m</w:t>
      </w:r>
      <w:r>
        <w:rPr>
          <w:rFonts w:hint="eastAsia" w:ascii="Times New Roman" w:hAnsi="Times New Roman" w:eastAsia="宋体" w:cs="Times New Roman"/>
          <w:sz w:val="24"/>
          <w:szCs w:val="22"/>
          <w:lang w:eastAsia="zh-CN"/>
        </w:rPr>
        <w:t>，</w:t>
      </w:r>
      <w:r>
        <w:rPr>
          <w:rFonts w:ascii="Times New Roman" w:hAnsi="Times New Roman" w:eastAsia="宋体" w:cs="Times New Roman"/>
          <w:sz w:val="24"/>
          <w:szCs w:val="22"/>
        </w:rPr>
        <w:t>共1.2km为饮用水水源保护区，该水域执行GB3838-2002 中Ⅱ类标准；洋沙湖下游200m至磊石（东支）共62.7km 为渔业用水区，该水域执行 GB3838-2002 中Ⅲ类标准。</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b/>
          <w:sz w:val="21"/>
          <w:szCs w:val="21"/>
        </w:rPr>
      </w:pPr>
      <w:r>
        <w:rPr>
          <w:rFonts w:hint="default" w:ascii="Times New Roman" w:hAnsi="Times New Roman" w:cs="Times New Roman"/>
          <w:b/>
          <w:sz w:val="21"/>
          <w:szCs w:val="21"/>
        </w:rPr>
        <w:drawing>
          <wp:inline distT="0" distB="0" distL="114300" distR="114300">
            <wp:extent cx="4366895" cy="2891790"/>
            <wp:effectExtent l="0" t="0" r="14605" b="381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5"/>
                    <a:stretch>
                      <a:fillRect/>
                    </a:stretch>
                  </pic:blipFill>
                  <pic:spPr>
                    <a:xfrm>
                      <a:off x="0" y="0"/>
                      <a:ext cx="4366895" cy="289179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b/>
          <w:sz w:val="21"/>
          <w:szCs w:val="21"/>
        </w:rPr>
      </w:pPr>
      <w:r>
        <w:rPr>
          <w:rFonts w:hint="eastAsia" w:ascii="Times New Roman" w:hAnsi="Times New Roman" w:cs="Times New Roman"/>
          <w:b/>
          <w:sz w:val="21"/>
          <w:szCs w:val="21"/>
          <w:lang w:val="en-US" w:eastAsia="zh-CN"/>
        </w:rPr>
        <w:t>图2-8 主要地表水体及水厂位置示意图</w:t>
      </w:r>
      <w:bookmarkStart w:id="109" w:name="_Toc438805133"/>
      <w:bookmarkStart w:id="110" w:name="_Toc453061727"/>
      <w:bookmarkStart w:id="111" w:name="_Toc453061573"/>
    </w:p>
    <w:p>
      <w:pPr>
        <w:pStyle w:val="4"/>
        <w:spacing w:before="163" w:after="163"/>
        <w:rPr>
          <w:rFonts w:hint="default" w:ascii="Times New Roman" w:hAnsi="Times New Roman" w:cs="Times New Roman"/>
        </w:rPr>
      </w:pPr>
      <w:bookmarkStart w:id="112" w:name="_Toc8034"/>
      <w:bookmarkStart w:id="113" w:name="_Toc100"/>
      <w:r>
        <w:rPr>
          <w:rFonts w:hint="default" w:ascii="Times New Roman" w:hAnsi="Times New Roman" w:cs="Times New Roman"/>
        </w:rPr>
        <w:t>2.4.</w:t>
      </w:r>
      <w:r>
        <w:rPr>
          <w:rFonts w:hint="eastAsia" w:ascii="Times New Roman" w:hAnsi="Times New Roman" w:cs="Times New Roman"/>
          <w:lang w:val="en-US" w:eastAsia="zh-CN"/>
        </w:rPr>
        <w:t>3</w:t>
      </w:r>
      <w:r>
        <w:rPr>
          <w:rFonts w:hint="default" w:ascii="Times New Roman" w:hAnsi="Times New Roman" w:cs="Times New Roman"/>
        </w:rPr>
        <w:t xml:space="preserve"> 饮用水水源地</w:t>
      </w:r>
      <w:bookmarkEnd w:id="109"/>
      <w:r>
        <w:rPr>
          <w:rFonts w:hint="default" w:ascii="Times New Roman" w:hAnsi="Times New Roman" w:cs="Times New Roman"/>
        </w:rPr>
        <w:t>水环境质量评价</w:t>
      </w:r>
      <w:bookmarkEnd w:id="110"/>
      <w:bookmarkEnd w:id="111"/>
      <w:bookmarkEnd w:id="112"/>
      <w:bookmarkEnd w:id="113"/>
    </w:p>
    <w:p>
      <w:pPr>
        <w:pStyle w:val="5"/>
        <w:spacing w:before="163" w:after="163"/>
        <w:rPr>
          <w:rFonts w:hint="default" w:ascii="Times New Roman" w:hAnsi="Times New Roman" w:cs="Times New Roman"/>
        </w:rPr>
      </w:pPr>
      <w:bookmarkStart w:id="114" w:name="_Toc453061574"/>
      <w:bookmarkStart w:id="115" w:name="_Toc453061728"/>
      <w:bookmarkStart w:id="116" w:name="_Toc23553"/>
      <w:bookmarkStart w:id="117" w:name="_Toc32596"/>
      <w:r>
        <w:rPr>
          <w:rFonts w:hint="default" w:ascii="Times New Roman" w:hAnsi="Times New Roman" w:cs="Times New Roman"/>
        </w:rPr>
        <w:t>2.4</w:t>
      </w:r>
      <w:r>
        <w:rPr>
          <w:rFonts w:hint="eastAsia" w:ascii="Times New Roman" w:hAnsi="Times New Roman" w:cs="Times New Roman"/>
          <w:lang w:val="en-US" w:eastAsia="zh-CN"/>
        </w:rPr>
        <w:t>.3</w:t>
      </w:r>
      <w:r>
        <w:rPr>
          <w:rFonts w:hint="default" w:ascii="Times New Roman" w:hAnsi="Times New Roman" w:cs="Times New Roman"/>
        </w:rPr>
        <w:t>.1水质监测数据的选取</w:t>
      </w:r>
      <w:bookmarkEnd w:id="114"/>
      <w:bookmarkEnd w:id="115"/>
      <w:bookmarkEnd w:id="116"/>
      <w:bookmarkEnd w:id="117"/>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bookmarkStart w:id="118" w:name="_Toc453061729"/>
      <w:bookmarkStart w:id="119" w:name="_Toc453061575"/>
      <w:r>
        <w:rPr>
          <w:rFonts w:hint="eastAsia" w:ascii="Calibri" w:hAnsi="Calibri" w:eastAsia="宋体" w:cs="宋体"/>
          <w:sz w:val="24"/>
          <w:szCs w:val="22"/>
          <w:lang w:bidi="ar"/>
        </w:rPr>
        <w:t>湘阴县</w:t>
      </w:r>
      <w:r>
        <w:rPr>
          <w:rFonts w:hint="eastAsia" w:ascii="Calibri" w:hAnsi="Calibri" w:eastAsia="宋体" w:cs="宋体"/>
          <w:sz w:val="24"/>
          <w:szCs w:val="22"/>
          <w:lang w:val="en-US" w:eastAsia="zh-CN" w:bidi="ar"/>
        </w:rPr>
        <w:t>疾病预防控制中心</w:t>
      </w:r>
      <w:r>
        <w:rPr>
          <w:rFonts w:hint="eastAsia" w:ascii="Calibri" w:hAnsi="Calibri" w:eastAsia="宋体" w:cs="宋体"/>
          <w:sz w:val="24"/>
          <w:szCs w:val="22"/>
          <w:lang w:bidi="ar"/>
        </w:rPr>
        <w:t>定期对原水</w:t>
      </w:r>
      <w:r>
        <w:rPr>
          <w:rFonts w:hint="eastAsia" w:ascii="Calibri" w:hAnsi="Calibri" w:eastAsia="宋体" w:cs="宋体"/>
          <w:sz w:val="24"/>
          <w:szCs w:val="22"/>
          <w:lang w:eastAsia="zh-CN" w:bidi="ar"/>
        </w:rPr>
        <w:t>、</w:t>
      </w:r>
      <w:r>
        <w:rPr>
          <w:rFonts w:hint="eastAsia" w:ascii="Calibri" w:hAnsi="Calibri" w:eastAsia="宋体" w:cs="宋体"/>
          <w:sz w:val="24"/>
          <w:szCs w:val="22"/>
          <w:lang w:val="en-US" w:eastAsia="zh-CN" w:bidi="ar"/>
        </w:rPr>
        <w:t>出厂水、末梢水的</w:t>
      </w:r>
      <w:r>
        <w:rPr>
          <w:rFonts w:hint="eastAsia" w:ascii="Calibri" w:hAnsi="Calibri" w:eastAsia="宋体" w:cs="宋体"/>
          <w:sz w:val="24"/>
          <w:szCs w:val="22"/>
          <w:lang w:bidi="ar"/>
        </w:rPr>
        <w:t>水质进行了监测，监测频次为</w:t>
      </w:r>
      <w:r>
        <w:rPr>
          <w:rFonts w:hint="eastAsia" w:ascii="Calibri" w:hAnsi="Calibri" w:eastAsia="宋体" w:cs="宋体"/>
          <w:sz w:val="24"/>
          <w:szCs w:val="22"/>
          <w:lang w:val="en-US" w:eastAsia="zh-CN" w:bidi="ar"/>
        </w:rPr>
        <w:t>原水</w:t>
      </w:r>
      <w:r>
        <w:rPr>
          <w:rFonts w:hint="eastAsia" w:ascii="Calibri" w:hAnsi="Calibri" w:eastAsia="宋体" w:cs="宋体"/>
          <w:sz w:val="24"/>
          <w:szCs w:val="22"/>
          <w:lang w:bidi="ar"/>
        </w:rPr>
        <w:t>每</w:t>
      </w:r>
      <w:r>
        <w:rPr>
          <w:rFonts w:hint="eastAsia" w:ascii="Calibri" w:hAnsi="Calibri" w:eastAsia="宋体" w:cs="宋体"/>
          <w:sz w:val="24"/>
          <w:szCs w:val="22"/>
          <w:lang w:val="en-US" w:eastAsia="zh-CN" w:bidi="ar"/>
        </w:rPr>
        <w:t>年</w:t>
      </w:r>
      <w:r>
        <w:rPr>
          <w:rFonts w:hint="eastAsia" w:ascii="Calibri" w:hAnsi="Calibri" w:eastAsia="宋体" w:cs="宋体"/>
          <w:sz w:val="24"/>
          <w:szCs w:val="22"/>
          <w:lang w:bidi="ar"/>
        </w:rPr>
        <w:t>监测一次</w:t>
      </w:r>
      <w:r>
        <w:rPr>
          <w:rFonts w:hint="eastAsia" w:ascii="Calibri" w:hAnsi="Calibri" w:eastAsia="宋体" w:cs="宋体"/>
          <w:sz w:val="24"/>
          <w:szCs w:val="22"/>
          <w:lang w:eastAsia="zh-CN" w:bidi="ar"/>
        </w:rPr>
        <w:t>、</w:t>
      </w:r>
      <w:r>
        <w:rPr>
          <w:rFonts w:hint="eastAsia" w:ascii="Calibri" w:hAnsi="Calibri" w:eastAsia="宋体" w:cs="宋体"/>
          <w:sz w:val="24"/>
          <w:szCs w:val="22"/>
          <w:lang w:val="en-US" w:eastAsia="zh-CN" w:bidi="ar"/>
        </w:rPr>
        <w:t>出厂水和末梢水每年监测两次</w:t>
      </w:r>
      <w:r>
        <w:rPr>
          <w:rFonts w:hint="eastAsia" w:ascii="Calibri" w:hAnsi="Calibri" w:eastAsia="宋体" w:cs="宋体"/>
          <w:sz w:val="24"/>
          <w:szCs w:val="22"/>
          <w:lang w:bidi="ar"/>
        </w:rPr>
        <w:t>，</w:t>
      </w:r>
      <w:r>
        <w:rPr>
          <w:rFonts w:hint="eastAsia" w:ascii="Calibri" w:hAnsi="Calibri" w:eastAsia="宋体" w:cs="宋体"/>
          <w:sz w:val="24"/>
          <w:szCs w:val="22"/>
          <w:lang w:val="en-US" w:eastAsia="zh-CN" w:bidi="ar"/>
        </w:rPr>
        <w:t>原水</w:t>
      </w:r>
      <w:r>
        <w:rPr>
          <w:rFonts w:hint="eastAsia" w:ascii="Calibri" w:hAnsi="Calibri" w:eastAsia="宋体" w:cs="宋体"/>
          <w:sz w:val="24"/>
          <w:szCs w:val="22"/>
          <w:lang w:bidi="ar"/>
        </w:rPr>
        <w:t>每次监测</w:t>
      </w:r>
      <w:r>
        <w:rPr>
          <w:rFonts w:hint="eastAsia" w:ascii="Calibri" w:hAnsi="Calibri" w:eastAsia="宋体" w:cs="宋体"/>
          <w:sz w:val="24"/>
          <w:szCs w:val="22"/>
          <w:lang w:val="en-US" w:eastAsia="zh-CN" w:bidi="ar"/>
        </w:rPr>
        <w:t>色度、浊度等30</w:t>
      </w:r>
      <w:r>
        <w:rPr>
          <w:rFonts w:hint="eastAsia" w:ascii="Calibri" w:hAnsi="Calibri" w:eastAsia="宋体" w:cs="宋体"/>
          <w:sz w:val="24"/>
          <w:szCs w:val="22"/>
          <w:lang w:bidi="ar"/>
        </w:rPr>
        <w:t>个</w:t>
      </w:r>
      <w:r>
        <w:rPr>
          <w:rFonts w:hint="eastAsia" w:ascii="Calibri" w:hAnsi="Calibri" w:eastAsia="宋体" w:cs="宋体"/>
          <w:sz w:val="24"/>
          <w:szCs w:val="22"/>
          <w:lang w:val="en-US" w:eastAsia="zh-CN" w:bidi="ar"/>
        </w:rPr>
        <w:t>指标因子，出厂水和末梢水每次监测菌落总数、总大肠菌群等30个指标因子</w:t>
      </w:r>
      <w:r>
        <w:rPr>
          <w:rFonts w:hint="eastAsia" w:ascii="Calibri" w:hAnsi="Calibri" w:eastAsia="宋体" w:cs="宋体"/>
          <w:sz w:val="24"/>
          <w:szCs w:val="22"/>
          <w:lang w:bidi="ar"/>
        </w:rPr>
        <w:t>。本报告调取湘阴县疾病预防控制中心201</w:t>
      </w:r>
      <w:r>
        <w:rPr>
          <w:rFonts w:hint="eastAsia" w:ascii="Calibri" w:hAnsi="Calibri" w:eastAsia="宋体" w:cs="宋体"/>
          <w:sz w:val="24"/>
          <w:szCs w:val="22"/>
          <w:lang w:val="en-US" w:eastAsia="zh-CN" w:bidi="ar"/>
        </w:rPr>
        <w:t>8</w:t>
      </w:r>
      <w:r>
        <w:rPr>
          <w:rFonts w:hint="eastAsia" w:ascii="Calibri" w:hAnsi="Calibri" w:eastAsia="宋体" w:cs="宋体"/>
          <w:sz w:val="24"/>
          <w:szCs w:val="22"/>
          <w:lang w:bidi="ar"/>
        </w:rPr>
        <w:t>年</w:t>
      </w:r>
      <w:r>
        <w:rPr>
          <w:rFonts w:hint="eastAsia" w:ascii="Calibri" w:hAnsi="Calibri" w:eastAsia="宋体" w:cs="宋体"/>
          <w:sz w:val="24"/>
          <w:szCs w:val="22"/>
          <w:lang w:val="en-US" w:eastAsia="zh-CN" w:bidi="ar"/>
        </w:rPr>
        <w:t>以及2019年的常规监测数据来</w:t>
      </w:r>
      <w:r>
        <w:rPr>
          <w:rFonts w:hint="eastAsia" w:ascii="Calibri" w:hAnsi="Calibri" w:eastAsia="宋体" w:cs="宋体"/>
          <w:sz w:val="24"/>
          <w:szCs w:val="22"/>
          <w:lang w:bidi="ar"/>
        </w:rPr>
        <w:t>评价湘阴县</w:t>
      </w:r>
      <w:r>
        <w:rPr>
          <w:rFonts w:hint="eastAsia" w:ascii="Calibri" w:hAnsi="Calibri" w:eastAsia="宋体" w:cs="宋体"/>
          <w:sz w:val="24"/>
          <w:szCs w:val="22"/>
          <w:highlight w:val="none"/>
          <w:lang w:val="en-US" w:eastAsia="zh-CN" w:bidi="ar"/>
        </w:rPr>
        <w:t>三塘镇拦河坝水厂</w:t>
      </w:r>
      <w:r>
        <w:rPr>
          <w:rFonts w:hint="eastAsia" w:ascii="Calibri" w:hAnsi="Calibri" w:eastAsia="宋体" w:cs="宋体"/>
          <w:sz w:val="24"/>
          <w:szCs w:val="22"/>
          <w:lang w:bidi="ar"/>
        </w:rPr>
        <w:t>水源地的水质情况。</w:t>
      </w:r>
      <w:r>
        <w:rPr>
          <w:rFonts w:hint="eastAsia" w:ascii="Calibri" w:hAnsi="Calibri" w:eastAsia="宋体" w:cs="宋体"/>
          <w:sz w:val="24"/>
          <w:szCs w:val="22"/>
          <w:lang w:val="en-US" w:eastAsia="zh-CN" w:bidi="ar"/>
        </w:rPr>
        <w:t>同时，</w:t>
      </w:r>
      <w:r>
        <w:rPr>
          <w:rFonts w:hint="eastAsia" w:ascii="Calibri" w:hAnsi="Calibri" w:eastAsia="宋体" w:cs="宋体"/>
          <w:sz w:val="24"/>
          <w:szCs w:val="22"/>
          <w:highlight w:val="none"/>
          <w:lang w:val="en-US" w:eastAsia="zh-CN" w:bidi="ar"/>
        </w:rPr>
        <w:t>湘阴县人民政府委托岳阳市环境监测站对三塘镇拦河坝水井的原水进行采样，按照《地下水质量标准》（GB/T14848-2017）中表1和表2的指标因子进行现状分析</w:t>
      </w:r>
      <w:r>
        <w:rPr>
          <w:rFonts w:hint="eastAsia" w:ascii="Calibri" w:hAnsi="Calibri" w:eastAsia="宋体" w:cs="宋体"/>
          <w:sz w:val="24"/>
          <w:szCs w:val="22"/>
          <w:lang w:val="en-US" w:eastAsia="zh-CN" w:bidi="ar"/>
        </w:rPr>
        <w:t>。</w:t>
      </w:r>
    </w:p>
    <w:p>
      <w:pPr>
        <w:pStyle w:val="5"/>
        <w:spacing w:before="163" w:after="163"/>
        <w:rPr>
          <w:rFonts w:hint="default" w:ascii="Times New Roman" w:hAnsi="Times New Roman" w:cs="Times New Roman"/>
          <w:sz w:val="30"/>
          <w:szCs w:val="30"/>
        </w:rPr>
      </w:pPr>
      <w:bookmarkStart w:id="120" w:name="_Toc32044"/>
      <w:bookmarkStart w:id="121" w:name="_Toc4352"/>
      <w:r>
        <w:rPr>
          <w:rFonts w:hint="default" w:ascii="Times New Roman" w:hAnsi="Times New Roman" w:cs="Times New Roman"/>
          <w:sz w:val="30"/>
          <w:szCs w:val="30"/>
        </w:rPr>
        <w:t>2.4.</w:t>
      </w:r>
      <w:r>
        <w:rPr>
          <w:rFonts w:hint="eastAsia" w:ascii="Times New Roman" w:hAnsi="Times New Roman" w:cs="Times New Roman"/>
          <w:sz w:val="30"/>
          <w:szCs w:val="30"/>
          <w:lang w:val="en-US" w:eastAsia="zh-CN"/>
        </w:rPr>
        <w:t>3</w:t>
      </w:r>
      <w:r>
        <w:rPr>
          <w:rFonts w:hint="default" w:ascii="Times New Roman" w:hAnsi="Times New Roman" w:cs="Times New Roman"/>
          <w:sz w:val="30"/>
          <w:szCs w:val="30"/>
        </w:rPr>
        <w:t>.2水质评价标准及方法</w:t>
      </w:r>
      <w:bookmarkEnd w:id="118"/>
      <w:bookmarkEnd w:id="119"/>
      <w:bookmarkEnd w:id="120"/>
      <w:bookmarkEnd w:id="121"/>
    </w:p>
    <w:p>
      <w:pPr>
        <w:spacing w:line="360" w:lineRule="auto"/>
        <w:ind w:firstLine="480"/>
        <w:jc w:val="left"/>
        <w:rPr>
          <w:rFonts w:hint="default" w:ascii="Times New Roman" w:hAnsi="Times New Roman" w:eastAsia="宋体" w:cs="Times New Roman"/>
          <w:lang w:bidi="ar"/>
        </w:rPr>
      </w:pPr>
      <w:bookmarkStart w:id="122" w:name="_Toc453061576"/>
      <w:bookmarkStart w:id="123" w:name="_Toc453061730"/>
      <w:r>
        <w:rPr>
          <w:rFonts w:hint="default" w:ascii="Times New Roman" w:hAnsi="Times New Roman" w:eastAsia="宋体" w:cs="Times New Roman"/>
          <w:lang w:bidi="ar"/>
        </w:rPr>
        <w:t>依据《地下水质量标准》（GB/T14848-2017），单因子采用从优不从劣的原则，对水质进行综合评价。</w:t>
      </w:r>
    </w:p>
    <w:p>
      <w:pPr>
        <w:pStyle w:val="5"/>
        <w:spacing w:before="163" w:after="163"/>
        <w:rPr>
          <w:rFonts w:hint="default" w:ascii="Times New Roman" w:hAnsi="Times New Roman" w:cs="Times New Roman"/>
          <w:sz w:val="30"/>
          <w:szCs w:val="30"/>
        </w:rPr>
      </w:pPr>
      <w:bookmarkStart w:id="124" w:name="_Toc2530"/>
      <w:bookmarkStart w:id="125" w:name="_Toc1881"/>
      <w:r>
        <w:rPr>
          <w:rFonts w:hint="default" w:ascii="Times New Roman" w:hAnsi="Times New Roman" w:cs="Times New Roman"/>
          <w:sz w:val="30"/>
          <w:szCs w:val="30"/>
        </w:rPr>
        <w:t>2.4.</w:t>
      </w:r>
      <w:r>
        <w:rPr>
          <w:rFonts w:hint="eastAsia" w:ascii="Times New Roman" w:hAnsi="Times New Roman" w:cs="Times New Roman"/>
          <w:sz w:val="30"/>
          <w:szCs w:val="30"/>
          <w:lang w:val="en-US" w:eastAsia="zh-CN"/>
        </w:rPr>
        <w:t>3</w:t>
      </w:r>
      <w:r>
        <w:rPr>
          <w:rFonts w:hint="default" w:ascii="Times New Roman" w:hAnsi="Times New Roman" w:cs="Times New Roman"/>
          <w:sz w:val="30"/>
          <w:szCs w:val="30"/>
        </w:rPr>
        <w:t>.3 水质评价结果</w:t>
      </w:r>
      <w:bookmarkEnd w:id="122"/>
      <w:bookmarkEnd w:id="123"/>
      <w:bookmarkEnd w:id="124"/>
      <w:bookmarkEnd w:id="125"/>
    </w:p>
    <w:p>
      <w:pPr>
        <w:spacing w:line="360" w:lineRule="auto"/>
        <w:ind w:firstLine="482"/>
        <w:jc w:val="left"/>
        <w:rPr>
          <w:rFonts w:hint="default" w:ascii="Times New Roman" w:hAnsi="Times New Roman" w:cs="Times New Roman"/>
          <w:b/>
          <w:bCs/>
        </w:rPr>
      </w:pPr>
      <w:r>
        <w:rPr>
          <w:rFonts w:hint="default" w:ascii="Times New Roman" w:hAnsi="Times New Roman" w:cs="Times New Roman"/>
          <w:b/>
          <w:bCs/>
        </w:rPr>
        <w:t>一、常规监测水质评价</w:t>
      </w:r>
    </w:p>
    <w:p>
      <w:pPr>
        <w:spacing w:line="360" w:lineRule="auto"/>
        <w:ind w:firstLine="480"/>
        <w:jc w:val="left"/>
        <w:rPr>
          <w:rFonts w:hint="default" w:ascii="Times New Roman" w:hAnsi="Times New Roman" w:eastAsia="宋体" w:cs="Times New Roman"/>
          <w:lang w:bidi="ar"/>
        </w:rPr>
      </w:pPr>
      <w:r>
        <w:rPr>
          <w:rFonts w:hint="default" w:ascii="Times New Roman" w:hAnsi="Times New Roman" w:eastAsia="宋体" w:cs="Times New Roman"/>
          <w:lang w:bidi="ar"/>
        </w:rPr>
        <w:t>监测点位：原水、出厂水、末梢水</w:t>
      </w:r>
    </w:p>
    <w:p>
      <w:pPr>
        <w:spacing w:line="360" w:lineRule="auto"/>
        <w:ind w:firstLine="480"/>
        <w:jc w:val="left"/>
        <w:rPr>
          <w:rFonts w:hint="default" w:ascii="Times New Roman" w:hAnsi="Times New Roman" w:eastAsia="宋体" w:cs="Times New Roman"/>
          <w:lang w:bidi="ar"/>
        </w:rPr>
      </w:pPr>
      <w:r>
        <w:rPr>
          <w:rFonts w:hint="default" w:ascii="Times New Roman" w:hAnsi="Times New Roman" w:eastAsia="宋体" w:cs="Times New Roman"/>
          <w:lang w:bidi="ar"/>
        </w:rPr>
        <w:t>监测频次：原水每年监测一次、出厂水和末梢水每年监测两次</w:t>
      </w:r>
    </w:p>
    <w:p>
      <w:pPr>
        <w:spacing w:line="360" w:lineRule="auto"/>
        <w:ind w:firstLine="480"/>
        <w:jc w:val="left"/>
        <w:rPr>
          <w:rFonts w:hint="default" w:ascii="Times New Roman" w:hAnsi="Times New Roman" w:cs="Times New Roman"/>
          <w:b/>
          <w:szCs w:val="21"/>
        </w:rPr>
      </w:pPr>
      <w:r>
        <w:rPr>
          <w:rFonts w:hint="default" w:ascii="Times New Roman" w:hAnsi="Times New Roman" w:eastAsia="宋体" w:cs="Times New Roman"/>
          <w:lang w:bidi="ar"/>
        </w:rPr>
        <w:t>监测指标：原水监测色度、浊度等30个指标因子，出厂水、末梢水监测菌落总数、总大肠菌群等3</w:t>
      </w:r>
      <w:r>
        <w:rPr>
          <w:rFonts w:hint="eastAsia" w:ascii="Times New Roman" w:hAnsi="Times New Roman" w:eastAsia="宋体" w:cs="Times New Roman"/>
          <w:lang w:val="en-US" w:eastAsia="zh-CN" w:bidi="ar"/>
        </w:rPr>
        <w:t>0</w:t>
      </w:r>
      <w:r>
        <w:rPr>
          <w:rFonts w:hint="default" w:ascii="Times New Roman" w:hAnsi="Times New Roman" w:eastAsia="宋体" w:cs="Times New Roman"/>
          <w:lang w:bidi="ar"/>
        </w:rPr>
        <w:t>个指标因子。</w:t>
      </w:r>
    </w:p>
    <w:p>
      <w:pPr>
        <w:adjustRightInd/>
        <w:spacing w:line="240" w:lineRule="auto"/>
        <w:ind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表2-4-1    2018年湘阴县三塘镇拦河坝水厂原水水质常规检测明细表</w:t>
      </w:r>
    </w:p>
    <w:tbl>
      <w:tblPr>
        <w:tblStyle w:val="19"/>
        <w:tblW w:w="8852" w:type="dxa"/>
        <w:jc w:val="center"/>
        <w:tblLayout w:type="fixed"/>
        <w:tblCellMar>
          <w:top w:w="0" w:type="dxa"/>
          <w:left w:w="108" w:type="dxa"/>
          <w:bottom w:w="0" w:type="dxa"/>
          <w:right w:w="108" w:type="dxa"/>
        </w:tblCellMar>
      </w:tblPr>
      <w:tblGrid>
        <w:gridCol w:w="779"/>
        <w:gridCol w:w="2295"/>
        <w:gridCol w:w="943"/>
        <w:gridCol w:w="1511"/>
        <w:gridCol w:w="3324"/>
      </w:tblGrid>
      <w:tr>
        <w:tblPrEx>
          <w:tblCellMar>
            <w:top w:w="0" w:type="dxa"/>
            <w:left w:w="108" w:type="dxa"/>
            <w:bottom w:w="0" w:type="dxa"/>
            <w:right w:w="108" w:type="dxa"/>
          </w:tblCellMar>
        </w:tblPrEx>
        <w:trPr>
          <w:jc w:val="center"/>
        </w:trPr>
        <w:tc>
          <w:tcPr>
            <w:tcW w:w="77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序号</w:t>
            </w:r>
          </w:p>
        </w:tc>
        <w:tc>
          <w:tcPr>
            <w:tcW w:w="229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检验项目名称</w:t>
            </w:r>
          </w:p>
        </w:tc>
        <w:tc>
          <w:tcPr>
            <w:tcW w:w="9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单位</w:t>
            </w:r>
          </w:p>
        </w:tc>
        <w:tc>
          <w:tcPr>
            <w:tcW w:w="15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检测结果</w:t>
            </w:r>
          </w:p>
        </w:tc>
        <w:tc>
          <w:tcPr>
            <w:tcW w:w="3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评价标准值</w:t>
            </w:r>
          </w:p>
        </w:tc>
      </w:tr>
      <w:tr>
        <w:tblPrEx>
          <w:tblCellMar>
            <w:top w:w="0" w:type="dxa"/>
            <w:left w:w="108" w:type="dxa"/>
            <w:bottom w:w="0" w:type="dxa"/>
            <w:right w:w="108" w:type="dxa"/>
          </w:tblCellMar>
        </w:tblPrEx>
        <w:trPr>
          <w:jc w:val="center"/>
        </w:trPr>
        <w:tc>
          <w:tcPr>
            <w:tcW w:w="779"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p>
        </w:tc>
        <w:tc>
          <w:tcPr>
            <w:tcW w:w="22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p>
        </w:tc>
        <w:tc>
          <w:tcPr>
            <w:tcW w:w="943"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p>
        </w:tc>
        <w:tc>
          <w:tcPr>
            <w:tcW w:w="15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2018年</w:t>
            </w:r>
          </w:p>
        </w:tc>
        <w:tc>
          <w:tcPr>
            <w:tcW w:w="3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《地下水质量标准》（GB/T14848-2017）</w:t>
            </w:r>
            <w:r>
              <w:rPr>
                <w:rFonts w:hint="default" w:ascii="Times New Roman" w:hAnsi="Times New Roman" w:eastAsia="微软雅黑" w:cs="Times New Roman"/>
                <w:kern w:val="0"/>
                <w:sz w:val="21"/>
                <w:szCs w:val="21"/>
              </w:rPr>
              <w:t>Ⅲ</w:t>
            </w:r>
            <w:r>
              <w:rPr>
                <w:rFonts w:hint="default" w:ascii="Times New Roman" w:hAnsi="Times New Roman" w:eastAsia="宋体" w:cs="Times New Roman"/>
                <w:kern w:val="0"/>
                <w:sz w:val="21"/>
                <w:szCs w:val="21"/>
              </w:rPr>
              <w:t>类标准</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2295"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色度</w:t>
            </w:r>
          </w:p>
        </w:tc>
        <w:tc>
          <w:tcPr>
            <w:tcW w:w="943"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度</w:t>
            </w:r>
          </w:p>
        </w:tc>
        <w:tc>
          <w:tcPr>
            <w:tcW w:w="151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w:t>
            </w:r>
          </w:p>
        </w:tc>
        <w:tc>
          <w:tcPr>
            <w:tcW w:w="332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≤15</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2295"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浊度</w:t>
            </w:r>
          </w:p>
        </w:tc>
        <w:tc>
          <w:tcPr>
            <w:tcW w:w="943"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NTU</w:t>
            </w:r>
          </w:p>
        </w:tc>
        <w:tc>
          <w:tcPr>
            <w:tcW w:w="151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＜0.5</w:t>
            </w:r>
          </w:p>
        </w:tc>
        <w:tc>
          <w:tcPr>
            <w:tcW w:w="332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c>
          <w:tcPr>
            <w:tcW w:w="2295"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臭和味</w:t>
            </w:r>
          </w:p>
        </w:tc>
        <w:tc>
          <w:tcPr>
            <w:tcW w:w="943"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c>
          <w:tcPr>
            <w:tcW w:w="151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无异臭异味</w:t>
            </w:r>
          </w:p>
        </w:tc>
        <w:tc>
          <w:tcPr>
            <w:tcW w:w="332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无</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w:t>
            </w:r>
          </w:p>
        </w:tc>
        <w:tc>
          <w:tcPr>
            <w:tcW w:w="2295"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肉眼可见物</w:t>
            </w:r>
          </w:p>
        </w:tc>
        <w:tc>
          <w:tcPr>
            <w:tcW w:w="943"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c>
          <w:tcPr>
            <w:tcW w:w="151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无肉眼可见物</w:t>
            </w:r>
          </w:p>
        </w:tc>
        <w:tc>
          <w:tcPr>
            <w:tcW w:w="332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无</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w:t>
            </w:r>
          </w:p>
        </w:tc>
        <w:tc>
          <w:tcPr>
            <w:tcW w:w="2295"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铬（六价）</w:t>
            </w:r>
          </w:p>
        </w:tc>
        <w:tc>
          <w:tcPr>
            <w:tcW w:w="943"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＜0.004</w:t>
            </w:r>
          </w:p>
        </w:tc>
        <w:tc>
          <w:tcPr>
            <w:tcW w:w="332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≤0.05</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6</w:t>
            </w:r>
          </w:p>
        </w:tc>
        <w:tc>
          <w:tcPr>
            <w:tcW w:w="2295"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PH值</w:t>
            </w:r>
          </w:p>
        </w:tc>
        <w:tc>
          <w:tcPr>
            <w:tcW w:w="943"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PH单位</w:t>
            </w:r>
          </w:p>
        </w:tc>
        <w:tc>
          <w:tcPr>
            <w:tcW w:w="151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7.1</w:t>
            </w:r>
          </w:p>
        </w:tc>
        <w:tc>
          <w:tcPr>
            <w:tcW w:w="332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6.5≤PH≤8.5</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w:t>
            </w:r>
          </w:p>
        </w:tc>
        <w:tc>
          <w:tcPr>
            <w:tcW w:w="2295"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铁</w:t>
            </w:r>
          </w:p>
        </w:tc>
        <w:tc>
          <w:tcPr>
            <w:tcW w:w="943"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w:t>
            </w:r>
            <w:r>
              <w:rPr>
                <w:rFonts w:hint="default" w:ascii="Times New Roman" w:hAnsi="Times New Roman" w:eastAsia="宋体" w:cs="Times New Roman"/>
                <w:kern w:val="0"/>
                <w:sz w:val="21"/>
                <w:szCs w:val="21"/>
                <w:lang w:val="en-US" w:eastAsia="zh-CN"/>
              </w:rPr>
              <w:t>3</w:t>
            </w:r>
          </w:p>
        </w:tc>
        <w:tc>
          <w:tcPr>
            <w:tcW w:w="332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≤0.3</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8</w:t>
            </w:r>
          </w:p>
        </w:tc>
        <w:tc>
          <w:tcPr>
            <w:tcW w:w="2295"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锰</w:t>
            </w:r>
          </w:p>
        </w:tc>
        <w:tc>
          <w:tcPr>
            <w:tcW w:w="943"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＜0.01</w:t>
            </w:r>
          </w:p>
        </w:tc>
        <w:tc>
          <w:tcPr>
            <w:tcW w:w="332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≤0.1</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9</w:t>
            </w:r>
          </w:p>
        </w:tc>
        <w:tc>
          <w:tcPr>
            <w:tcW w:w="2295"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氯化物</w:t>
            </w:r>
          </w:p>
        </w:tc>
        <w:tc>
          <w:tcPr>
            <w:tcW w:w="943"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14.9</w:t>
            </w:r>
          </w:p>
        </w:tc>
        <w:tc>
          <w:tcPr>
            <w:tcW w:w="332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≤250</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w:t>
            </w:r>
          </w:p>
        </w:tc>
        <w:tc>
          <w:tcPr>
            <w:tcW w:w="2295"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硫酸盐</w:t>
            </w:r>
          </w:p>
        </w:tc>
        <w:tc>
          <w:tcPr>
            <w:tcW w:w="943"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rPr>
            </w:pPr>
            <w:r>
              <w:rPr>
                <w:rFonts w:hint="default" w:ascii="Times New Roman" w:hAnsi="Times New Roman" w:eastAsia="宋体" w:cs="Times New Roman"/>
                <w:kern w:val="0"/>
                <w:sz w:val="21"/>
                <w:szCs w:val="21"/>
                <w:lang w:val="en-US" w:eastAsia="zh-CN"/>
              </w:rPr>
              <w:t>16.2</w:t>
            </w:r>
          </w:p>
        </w:tc>
        <w:tc>
          <w:tcPr>
            <w:tcW w:w="332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≤250</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11</w:t>
            </w:r>
          </w:p>
        </w:tc>
        <w:tc>
          <w:tcPr>
            <w:tcW w:w="2295"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总硬度（以CaCO</w:t>
            </w:r>
            <w:r>
              <w:rPr>
                <w:rFonts w:hint="default" w:ascii="Times New Roman" w:hAnsi="Times New Roman" w:eastAsia="宋体" w:cs="Times New Roman"/>
                <w:kern w:val="0"/>
                <w:sz w:val="21"/>
                <w:szCs w:val="21"/>
                <w:vertAlign w:val="subscript"/>
              </w:rPr>
              <w:t>3</w:t>
            </w:r>
            <w:r>
              <w:rPr>
                <w:rFonts w:hint="default" w:ascii="Times New Roman" w:hAnsi="Times New Roman" w:eastAsia="宋体" w:cs="Times New Roman"/>
                <w:kern w:val="0"/>
                <w:sz w:val="21"/>
                <w:szCs w:val="21"/>
              </w:rPr>
              <w:t>计）</w:t>
            </w:r>
          </w:p>
        </w:tc>
        <w:tc>
          <w:tcPr>
            <w:tcW w:w="943"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rPr>
            </w:pPr>
            <w:r>
              <w:rPr>
                <w:rFonts w:hint="default" w:ascii="Times New Roman" w:hAnsi="Times New Roman" w:eastAsia="宋体" w:cs="Times New Roman"/>
                <w:kern w:val="0"/>
                <w:sz w:val="21"/>
                <w:szCs w:val="21"/>
                <w:lang w:val="en-US" w:eastAsia="zh-CN"/>
              </w:rPr>
              <w:t>59.2</w:t>
            </w:r>
          </w:p>
        </w:tc>
        <w:tc>
          <w:tcPr>
            <w:tcW w:w="332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≤450</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12</w:t>
            </w:r>
          </w:p>
        </w:tc>
        <w:tc>
          <w:tcPr>
            <w:tcW w:w="2295"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耗氧量</w:t>
            </w:r>
          </w:p>
        </w:tc>
        <w:tc>
          <w:tcPr>
            <w:tcW w:w="943"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0.92</w:t>
            </w:r>
          </w:p>
        </w:tc>
        <w:tc>
          <w:tcPr>
            <w:tcW w:w="332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13</w:t>
            </w:r>
          </w:p>
        </w:tc>
        <w:tc>
          <w:tcPr>
            <w:tcW w:w="2295"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氨氮</w:t>
            </w:r>
          </w:p>
        </w:tc>
        <w:tc>
          <w:tcPr>
            <w:tcW w:w="943"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w:t>
            </w:r>
            <w:r>
              <w:rPr>
                <w:rFonts w:hint="default" w:ascii="Times New Roman" w:hAnsi="Times New Roman" w:eastAsia="宋体" w:cs="Times New Roman"/>
                <w:kern w:val="0"/>
                <w:sz w:val="21"/>
                <w:szCs w:val="21"/>
                <w:lang w:val="en-US" w:eastAsia="zh-CN"/>
              </w:rPr>
              <w:t>7</w:t>
            </w:r>
          </w:p>
        </w:tc>
        <w:tc>
          <w:tcPr>
            <w:tcW w:w="332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≤0.5</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w:t>
            </w:r>
          </w:p>
        </w:tc>
        <w:tc>
          <w:tcPr>
            <w:tcW w:w="2295"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氟化物</w:t>
            </w:r>
          </w:p>
        </w:tc>
        <w:tc>
          <w:tcPr>
            <w:tcW w:w="943"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0.14</w:t>
            </w:r>
          </w:p>
        </w:tc>
        <w:tc>
          <w:tcPr>
            <w:tcW w:w="332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15</w:t>
            </w:r>
          </w:p>
        </w:tc>
        <w:tc>
          <w:tcPr>
            <w:tcW w:w="2295"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砷</w:t>
            </w:r>
          </w:p>
        </w:tc>
        <w:tc>
          <w:tcPr>
            <w:tcW w:w="943"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＜0.001</w:t>
            </w:r>
          </w:p>
        </w:tc>
        <w:tc>
          <w:tcPr>
            <w:tcW w:w="332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≤0.01</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16</w:t>
            </w:r>
          </w:p>
        </w:tc>
        <w:tc>
          <w:tcPr>
            <w:tcW w:w="2295"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汞</w:t>
            </w:r>
          </w:p>
        </w:tc>
        <w:tc>
          <w:tcPr>
            <w:tcW w:w="943"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＜0.0001</w:t>
            </w:r>
          </w:p>
        </w:tc>
        <w:tc>
          <w:tcPr>
            <w:tcW w:w="332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≤0.001</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17</w:t>
            </w:r>
          </w:p>
        </w:tc>
        <w:tc>
          <w:tcPr>
            <w:tcW w:w="2295"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硝酸盐（以N计）</w:t>
            </w:r>
          </w:p>
        </w:tc>
        <w:tc>
          <w:tcPr>
            <w:tcW w:w="943"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0.97</w:t>
            </w:r>
          </w:p>
        </w:tc>
        <w:tc>
          <w:tcPr>
            <w:tcW w:w="332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18</w:t>
            </w:r>
          </w:p>
        </w:tc>
        <w:tc>
          <w:tcPr>
            <w:tcW w:w="2295"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铅</w:t>
            </w:r>
          </w:p>
        </w:tc>
        <w:tc>
          <w:tcPr>
            <w:tcW w:w="943"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＜0.0025</w:t>
            </w:r>
          </w:p>
        </w:tc>
        <w:tc>
          <w:tcPr>
            <w:tcW w:w="332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≤0.01</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19</w:t>
            </w:r>
          </w:p>
        </w:tc>
        <w:tc>
          <w:tcPr>
            <w:tcW w:w="2295"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镉</w:t>
            </w:r>
          </w:p>
        </w:tc>
        <w:tc>
          <w:tcPr>
            <w:tcW w:w="943"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＜0.0005</w:t>
            </w:r>
          </w:p>
        </w:tc>
        <w:tc>
          <w:tcPr>
            <w:tcW w:w="332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≤0.005</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w:t>
            </w:r>
          </w:p>
        </w:tc>
        <w:tc>
          <w:tcPr>
            <w:tcW w:w="2295"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铜</w:t>
            </w:r>
          </w:p>
        </w:tc>
        <w:tc>
          <w:tcPr>
            <w:tcW w:w="943"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＜0.10</w:t>
            </w:r>
          </w:p>
        </w:tc>
        <w:tc>
          <w:tcPr>
            <w:tcW w:w="332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21</w:t>
            </w:r>
          </w:p>
        </w:tc>
        <w:tc>
          <w:tcPr>
            <w:tcW w:w="2295"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锌</w:t>
            </w:r>
          </w:p>
        </w:tc>
        <w:tc>
          <w:tcPr>
            <w:tcW w:w="943"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＜0.10</w:t>
            </w:r>
          </w:p>
        </w:tc>
        <w:tc>
          <w:tcPr>
            <w:tcW w:w="332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22</w:t>
            </w:r>
          </w:p>
        </w:tc>
        <w:tc>
          <w:tcPr>
            <w:tcW w:w="2295"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溶解性总固体</w:t>
            </w:r>
          </w:p>
        </w:tc>
        <w:tc>
          <w:tcPr>
            <w:tcW w:w="943"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138</w:t>
            </w:r>
          </w:p>
        </w:tc>
        <w:tc>
          <w:tcPr>
            <w:tcW w:w="332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≤1000</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23</w:t>
            </w:r>
          </w:p>
        </w:tc>
        <w:tc>
          <w:tcPr>
            <w:tcW w:w="2295"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铝</w:t>
            </w:r>
          </w:p>
        </w:tc>
        <w:tc>
          <w:tcPr>
            <w:tcW w:w="943"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rPr>
            </w:pPr>
            <w:r>
              <w:rPr>
                <w:rFonts w:hint="default" w:ascii="Times New Roman" w:hAnsi="Times New Roman" w:eastAsia="宋体" w:cs="Times New Roman"/>
                <w:kern w:val="0"/>
                <w:sz w:val="21"/>
                <w:szCs w:val="21"/>
              </w:rPr>
              <w:t>＜</w:t>
            </w:r>
            <w:r>
              <w:rPr>
                <w:rFonts w:hint="default" w:ascii="Times New Roman" w:hAnsi="Times New Roman" w:eastAsia="宋体" w:cs="Times New Roman"/>
                <w:kern w:val="0"/>
                <w:sz w:val="21"/>
                <w:szCs w:val="21"/>
                <w:lang w:val="en-US" w:eastAsia="zh-CN"/>
              </w:rPr>
              <w:t>0.008</w:t>
            </w:r>
          </w:p>
        </w:tc>
        <w:tc>
          <w:tcPr>
            <w:tcW w:w="332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≤0.2</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24</w:t>
            </w:r>
          </w:p>
        </w:tc>
        <w:tc>
          <w:tcPr>
            <w:tcW w:w="2295"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挥发酚类（以苯酚计）</w:t>
            </w:r>
          </w:p>
        </w:tc>
        <w:tc>
          <w:tcPr>
            <w:tcW w:w="943"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w:t>
            </w:r>
            <w:r>
              <w:rPr>
                <w:rFonts w:hint="default" w:ascii="Times New Roman" w:hAnsi="Times New Roman" w:eastAsia="宋体" w:cs="Times New Roman"/>
                <w:kern w:val="0"/>
                <w:sz w:val="21"/>
                <w:szCs w:val="21"/>
                <w:lang w:val="en-US" w:eastAsia="zh-CN"/>
              </w:rPr>
              <w:t>0.002</w:t>
            </w:r>
          </w:p>
        </w:tc>
        <w:tc>
          <w:tcPr>
            <w:tcW w:w="332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≤0.002</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25</w:t>
            </w:r>
          </w:p>
        </w:tc>
        <w:tc>
          <w:tcPr>
            <w:tcW w:w="2295"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氰化物</w:t>
            </w:r>
          </w:p>
        </w:tc>
        <w:tc>
          <w:tcPr>
            <w:tcW w:w="943"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＜0.00</w:t>
            </w:r>
            <w:r>
              <w:rPr>
                <w:rFonts w:hint="default" w:ascii="Times New Roman" w:hAnsi="Times New Roman" w:eastAsia="宋体" w:cs="Times New Roman"/>
                <w:kern w:val="0"/>
                <w:sz w:val="21"/>
                <w:szCs w:val="21"/>
                <w:lang w:val="en-US" w:eastAsia="zh-CN"/>
              </w:rPr>
              <w:t>2</w:t>
            </w:r>
          </w:p>
        </w:tc>
        <w:tc>
          <w:tcPr>
            <w:tcW w:w="332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≤0.05</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26</w:t>
            </w:r>
          </w:p>
        </w:tc>
        <w:tc>
          <w:tcPr>
            <w:tcW w:w="2295"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阴离子合成洗涤剂</w:t>
            </w:r>
          </w:p>
        </w:tc>
        <w:tc>
          <w:tcPr>
            <w:tcW w:w="943"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＜0.0</w:t>
            </w:r>
            <w:r>
              <w:rPr>
                <w:rFonts w:hint="default" w:ascii="Times New Roman" w:hAnsi="Times New Roman" w:eastAsia="宋体" w:cs="Times New Roman"/>
                <w:kern w:val="0"/>
                <w:sz w:val="21"/>
                <w:szCs w:val="21"/>
                <w:lang w:val="en-US" w:eastAsia="zh-CN"/>
              </w:rPr>
              <w:t>50</w:t>
            </w:r>
          </w:p>
        </w:tc>
        <w:tc>
          <w:tcPr>
            <w:tcW w:w="332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≤0.3</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27</w:t>
            </w:r>
          </w:p>
        </w:tc>
        <w:tc>
          <w:tcPr>
            <w:tcW w:w="2295"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硒</w:t>
            </w:r>
          </w:p>
        </w:tc>
        <w:tc>
          <w:tcPr>
            <w:tcW w:w="943"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w:t>
            </w:r>
            <w:r>
              <w:rPr>
                <w:rFonts w:hint="default" w:ascii="Times New Roman" w:hAnsi="Times New Roman" w:eastAsia="宋体" w:cs="Times New Roman"/>
                <w:kern w:val="0"/>
                <w:sz w:val="21"/>
                <w:szCs w:val="21"/>
                <w:lang w:val="en-US" w:eastAsia="zh-CN"/>
              </w:rPr>
              <w:t>0.0005</w:t>
            </w:r>
          </w:p>
        </w:tc>
        <w:tc>
          <w:tcPr>
            <w:tcW w:w="332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≤0.01</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28</w:t>
            </w:r>
          </w:p>
        </w:tc>
        <w:tc>
          <w:tcPr>
            <w:tcW w:w="2295"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三氯甲烷</w:t>
            </w:r>
          </w:p>
        </w:tc>
        <w:tc>
          <w:tcPr>
            <w:tcW w:w="943"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w:t>
            </w:r>
            <w:r>
              <w:rPr>
                <w:rFonts w:hint="default" w:ascii="Times New Roman" w:hAnsi="Times New Roman" w:eastAsia="宋体" w:cs="Times New Roman"/>
                <w:kern w:val="0"/>
                <w:sz w:val="21"/>
                <w:szCs w:val="21"/>
                <w:lang w:val="en-US" w:eastAsia="zh-CN"/>
              </w:rPr>
              <w:t>0.0002</w:t>
            </w:r>
          </w:p>
        </w:tc>
        <w:tc>
          <w:tcPr>
            <w:tcW w:w="332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≤60</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29</w:t>
            </w:r>
          </w:p>
        </w:tc>
        <w:tc>
          <w:tcPr>
            <w:tcW w:w="2295"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四氯化碳</w:t>
            </w:r>
          </w:p>
        </w:tc>
        <w:tc>
          <w:tcPr>
            <w:tcW w:w="943"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＜0.000</w:t>
            </w:r>
            <w:r>
              <w:rPr>
                <w:rFonts w:hint="default" w:ascii="Times New Roman" w:hAnsi="Times New Roman" w:eastAsia="宋体" w:cs="Times New Roman"/>
                <w:kern w:val="0"/>
                <w:sz w:val="21"/>
                <w:szCs w:val="21"/>
                <w:lang w:val="en-US" w:eastAsia="zh-CN"/>
              </w:rPr>
              <w:t>1</w:t>
            </w:r>
          </w:p>
        </w:tc>
        <w:tc>
          <w:tcPr>
            <w:tcW w:w="332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w:t>
            </w:r>
          </w:p>
        </w:tc>
      </w:tr>
      <w:tr>
        <w:tblPrEx>
          <w:tblCellMar>
            <w:top w:w="0" w:type="dxa"/>
            <w:left w:w="108" w:type="dxa"/>
            <w:bottom w:w="0" w:type="dxa"/>
            <w:right w:w="108" w:type="dxa"/>
          </w:tblCellMar>
        </w:tblPrEx>
        <w:trPr>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w:t>
            </w:r>
          </w:p>
        </w:tc>
        <w:tc>
          <w:tcPr>
            <w:tcW w:w="2295"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亚氯酸盐</w:t>
            </w:r>
          </w:p>
        </w:tc>
        <w:tc>
          <w:tcPr>
            <w:tcW w:w="943"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＜0.001</w:t>
            </w:r>
          </w:p>
        </w:tc>
        <w:tc>
          <w:tcPr>
            <w:tcW w:w="332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w:t>
            </w:r>
          </w:p>
        </w:tc>
      </w:tr>
    </w:tbl>
    <w:p>
      <w:pPr>
        <w:widowControl/>
        <w:adjustRightInd/>
        <w:snapToGrid/>
        <w:spacing w:line="240" w:lineRule="auto"/>
        <w:ind w:firstLine="0" w:firstLineChars="0"/>
        <w:jc w:val="left"/>
        <w:rPr>
          <w:rFonts w:hint="default" w:ascii="Times New Roman" w:hAnsi="Times New Roman" w:eastAsia="宋体" w:cs="Times New Roman"/>
          <w:b/>
          <w:sz w:val="21"/>
          <w:szCs w:val="21"/>
        </w:rPr>
        <w:sectPr>
          <w:pgSz w:w="11906" w:h="16838"/>
          <w:pgMar w:top="1440" w:right="1797" w:bottom="1440" w:left="1797" w:header="851" w:footer="992" w:gutter="0"/>
          <w:pgBorders>
            <w:top w:val="none" w:sz="0" w:space="0"/>
            <w:left w:val="none" w:sz="0" w:space="0"/>
            <w:bottom w:val="none" w:sz="0" w:space="0"/>
            <w:right w:val="none" w:sz="0" w:space="0"/>
          </w:pgBorders>
          <w:pgNumType w:fmt="decimal" w:start="1"/>
          <w:cols w:space="0" w:num="1"/>
          <w:rtlGutter w:val="0"/>
          <w:docGrid w:type="linesAndChars" w:linePitch="332" w:charSpace="915"/>
        </w:sectPr>
      </w:pPr>
      <w:r>
        <w:rPr>
          <w:rFonts w:hint="default" w:ascii="Times New Roman" w:hAnsi="Times New Roman" w:eastAsia="宋体" w:cs="Times New Roman"/>
          <w:b/>
          <w:sz w:val="21"/>
          <w:szCs w:val="21"/>
        </w:rPr>
        <w:br w:type="page"/>
      </w:r>
    </w:p>
    <w:p>
      <w:pPr>
        <w:adjustRightInd/>
        <w:spacing w:line="240" w:lineRule="auto"/>
        <w:ind w:firstLine="0" w:firstLineChars="0"/>
        <w:jc w:val="center"/>
        <w:rPr>
          <w:rFonts w:hint="default" w:ascii="Times New Roman" w:hAnsi="Times New Roman" w:eastAsia="宋体" w:cs="Times New Roman"/>
          <w:b/>
          <w:sz w:val="21"/>
          <w:szCs w:val="24"/>
        </w:rPr>
      </w:pPr>
      <w:r>
        <w:rPr>
          <w:rFonts w:hint="default" w:ascii="Times New Roman" w:hAnsi="Times New Roman" w:eastAsia="宋体" w:cs="Times New Roman"/>
          <w:b/>
          <w:sz w:val="21"/>
          <w:szCs w:val="21"/>
        </w:rPr>
        <w:t>表2-4-2    2018年以及2019年湘阴县</w:t>
      </w:r>
      <w:r>
        <w:rPr>
          <w:rFonts w:hint="default" w:ascii="Times New Roman" w:hAnsi="Times New Roman" w:eastAsia="宋体" w:cs="Times New Roman"/>
          <w:b/>
          <w:sz w:val="21"/>
          <w:szCs w:val="21"/>
          <w:lang w:val="en-US" w:eastAsia="zh-CN"/>
        </w:rPr>
        <w:t>三塘</w:t>
      </w:r>
      <w:r>
        <w:rPr>
          <w:rFonts w:hint="default" w:ascii="Times New Roman" w:hAnsi="Times New Roman" w:eastAsia="宋体" w:cs="Times New Roman"/>
          <w:b/>
          <w:sz w:val="21"/>
          <w:szCs w:val="21"/>
        </w:rPr>
        <w:t>镇</w:t>
      </w:r>
      <w:r>
        <w:rPr>
          <w:rFonts w:hint="default" w:ascii="Times New Roman" w:hAnsi="Times New Roman" w:eastAsia="宋体" w:cs="Times New Roman"/>
          <w:b/>
          <w:sz w:val="21"/>
          <w:szCs w:val="21"/>
          <w:lang w:val="en-US" w:eastAsia="zh-CN"/>
        </w:rPr>
        <w:t>拦河坝</w:t>
      </w:r>
      <w:r>
        <w:rPr>
          <w:rFonts w:hint="default" w:ascii="Times New Roman" w:hAnsi="Times New Roman" w:eastAsia="宋体" w:cs="Times New Roman"/>
          <w:b/>
          <w:sz w:val="21"/>
          <w:szCs w:val="21"/>
        </w:rPr>
        <w:t>水厂出厂水水质常规检测明细表</w:t>
      </w:r>
    </w:p>
    <w:tbl>
      <w:tblPr>
        <w:tblStyle w:val="19"/>
        <w:tblW w:w="13363" w:type="dxa"/>
        <w:jc w:val="center"/>
        <w:tblLayout w:type="fixed"/>
        <w:tblCellMar>
          <w:top w:w="0" w:type="dxa"/>
          <w:left w:w="108" w:type="dxa"/>
          <w:bottom w:w="0" w:type="dxa"/>
          <w:right w:w="108" w:type="dxa"/>
        </w:tblCellMar>
      </w:tblPr>
      <w:tblGrid>
        <w:gridCol w:w="762"/>
        <w:gridCol w:w="2234"/>
        <w:gridCol w:w="1061"/>
        <w:gridCol w:w="1617"/>
        <w:gridCol w:w="1618"/>
        <w:gridCol w:w="1586"/>
        <w:gridCol w:w="1564"/>
        <w:gridCol w:w="2921"/>
      </w:tblGrid>
      <w:tr>
        <w:tblPrEx>
          <w:tblCellMar>
            <w:top w:w="0" w:type="dxa"/>
            <w:left w:w="108" w:type="dxa"/>
            <w:bottom w:w="0" w:type="dxa"/>
            <w:right w:w="108" w:type="dxa"/>
          </w:tblCellMar>
        </w:tblPrEx>
        <w:trPr>
          <w:jc w:val="center"/>
        </w:trPr>
        <w:tc>
          <w:tcPr>
            <w:tcW w:w="76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序号</w:t>
            </w:r>
          </w:p>
        </w:tc>
        <w:tc>
          <w:tcPr>
            <w:tcW w:w="22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检验项目名称</w:t>
            </w:r>
          </w:p>
        </w:tc>
        <w:tc>
          <w:tcPr>
            <w:tcW w:w="106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单位</w:t>
            </w:r>
          </w:p>
        </w:tc>
        <w:tc>
          <w:tcPr>
            <w:tcW w:w="638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检测结果</w:t>
            </w:r>
          </w:p>
        </w:tc>
        <w:tc>
          <w:tcPr>
            <w:tcW w:w="29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评价标准值</w:t>
            </w:r>
          </w:p>
        </w:tc>
      </w:tr>
      <w:tr>
        <w:tblPrEx>
          <w:tblCellMar>
            <w:top w:w="0" w:type="dxa"/>
            <w:left w:w="108" w:type="dxa"/>
            <w:bottom w:w="0" w:type="dxa"/>
            <w:right w:w="108" w:type="dxa"/>
          </w:tblCellMar>
        </w:tblPrEx>
        <w:trPr>
          <w:jc w:val="center"/>
        </w:trPr>
        <w:tc>
          <w:tcPr>
            <w:tcW w:w="762"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p>
        </w:tc>
        <w:tc>
          <w:tcPr>
            <w:tcW w:w="2234"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p>
        </w:tc>
        <w:tc>
          <w:tcPr>
            <w:tcW w:w="106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auto"/>
                <w:kern w:val="0"/>
                <w:sz w:val="21"/>
                <w:szCs w:val="21"/>
              </w:rPr>
              <w:t>2018年丰水期</w:t>
            </w:r>
          </w:p>
        </w:tc>
        <w:tc>
          <w:tcPr>
            <w:tcW w:w="16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2018年枯水期</w:t>
            </w:r>
          </w:p>
        </w:tc>
        <w:tc>
          <w:tcPr>
            <w:tcW w:w="158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color w:val="C00000"/>
                <w:kern w:val="0"/>
                <w:sz w:val="21"/>
                <w:szCs w:val="21"/>
              </w:rPr>
            </w:pPr>
            <w:r>
              <w:rPr>
                <w:rFonts w:hint="default" w:ascii="Times New Roman" w:hAnsi="Times New Roman" w:eastAsia="宋体" w:cs="Times New Roman"/>
                <w:color w:val="auto"/>
                <w:kern w:val="0"/>
                <w:sz w:val="21"/>
                <w:szCs w:val="21"/>
              </w:rPr>
              <w:t>2019年3月</w:t>
            </w:r>
          </w:p>
        </w:tc>
        <w:tc>
          <w:tcPr>
            <w:tcW w:w="15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color w:val="C00000"/>
                <w:kern w:val="0"/>
                <w:sz w:val="21"/>
                <w:szCs w:val="21"/>
              </w:rPr>
            </w:pPr>
            <w:r>
              <w:rPr>
                <w:rFonts w:hint="default" w:ascii="Times New Roman" w:hAnsi="Times New Roman" w:eastAsia="宋体" w:cs="Times New Roman"/>
                <w:color w:val="auto"/>
                <w:kern w:val="0"/>
                <w:sz w:val="21"/>
                <w:szCs w:val="21"/>
              </w:rPr>
              <w:t>2019年5月</w:t>
            </w:r>
          </w:p>
        </w:tc>
        <w:tc>
          <w:tcPr>
            <w:tcW w:w="29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《生活饮用水卫生标准》（GB5749-2006）标准限值</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223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色度</w:t>
            </w:r>
          </w:p>
        </w:tc>
        <w:tc>
          <w:tcPr>
            <w:tcW w:w="106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度</w:t>
            </w:r>
          </w:p>
        </w:tc>
        <w:tc>
          <w:tcPr>
            <w:tcW w:w="1617"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w:t>
            </w:r>
          </w:p>
        </w:tc>
        <w:tc>
          <w:tcPr>
            <w:tcW w:w="1618"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w:t>
            </w:r>
          </w:p>
        </w:tc>
        <w:tc>
          <w:tcPr>
            <w:tcW w:w="1586"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w:t>
            </w:r>
          </w:p>
        </w:tc>
        <w:tc>
          <w:tcPr>
            <w:tcW w:w="156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w:t>
            </w:r>
          </w:p>
        </w:tc>
        <w:tc>
          <w:tcPr>
            <w:tcW w:w="292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15</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223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浊度</w:t>
            </w:r>
          </w:p>
        </w:tc>
        <w:tc>
          <w:tcPr>
            <w:tcW w:w="106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NTU</w:t>
            </w:r>
          </w:p>
        </w:tc>
        <w:tc>
          <w:tcPr>
            <w:tcW w:w="1617"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＜0.5</w:t>
            </w:r>
          </w:p>
        </w:tc>
        <w:tc>
          <w:tcPr>
            <w:tcW w:w="1618"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＜0.5</w:t>
            </w:r>
          </w:p>
        </w:tc>
        <w:tc>
          <w:tcPr>
            <w:tcW w:w="1586"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＜0.5</w:t>
            </w:r>
          </w:p>
        </w:tc>
        <w:tc>
          <w:tcPr>
            <w:tcW w:w="156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＜0.5</w:t>
            </w:r>
          </w:p>
        </w:tc>
        <w:tc>
          <w:tcPr>
            <w:tcW w:w="292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c>
          <w:tcPr>
            <w:tcW w:w="223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臭和味</w:t>
            </w:r>
          </w:p>
        </w:tc>
        <w:tc>
          <w:tcPr>
            <w:tcW w:w="106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c>
          <w:tcPr>
            <w:tcW w:w="1617"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无异臭异味</w:t>
            </w:r>
          </w:p>
        </w:tc>
        <w:tc>
          <w:tcPr>
            <w:tcW w:w="1618"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无异臭异味</w:t>
            </w:r>
          </w:p>
        </w:tc>
        <w:tc>
          <w:tcPr>
            <w:tcW w:w="1586"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无异臭异味</w:t>
            </w:r>
          </w:p>
        </w:tc>
        <w:tc>
          <w:tcPr>
            <w:tcW w:w="156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无异臭异味</w:t>
            </w:r>
          </w:p>
        </w:tc>
        <w:tc>
          <w:tcPr>
            <w:tcW w:w="292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无异臭异味</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w:t>
            </w:r>
          </w:p>
        </w:tc>
        <w:tc>
          <w:tcPr>
            <w:tcW w:w="223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肉眼可见物</w:t>
            </w:r>
          </w:p>
        </w:tc>
        <w:tc>
          <w:tcPr>
            <w:tcW w:w="106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c>
          <w:tcPr>
            <w:tcW w:w="1617"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无肉眼可见物</w:t>
            </w:r>
          </w:p>
        </w:tc>
        <w:tc>
          <w:tcPr>
            <w:tcW w:w="1618"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无肉眼可见物</w:t>
            </w:r>
          </w:p>
        </w:tc>
        <w:tc>
          <w:tcPr>
            <w:tcW w:w="1586"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无肉眼可见物</w:t>
            </w:r>
          </w:p>
        </w:tc>
        <w:tc>
          <w:tcPr>
            <w:tcW w:w="156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无肉眼可见物</w:t>
            </w:r>
          </w:p>
        </w:tc>
        <w:tc>
          <w:tcPr>
            <w:tcW w:w="292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无</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w:t>
            </w:r>
          </w:p>
        </w:tc>
        <w:tc>
          <w:tcPr>
            <w:tcW w:w="223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铬（六价）</w:t>
            </w:r>
          </w:p>
        </w:tc>
        <w:tc>
          <w:tcPr>
            <w:tcW w:w="106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＜0.004</w:t>
            </w:r>
          </w:p>
        </w:tc>
        <w:tc>
          <w:tcPr>
            <w:tcW w:w="1618"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＜0.004</w:t>
            </w:r>
          </w:p>
        </w:tc>
        <w:tc>
          <w:tcPr>
            <w:tcW w:w="1586"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＜0.004</w:t>
            </w:r>
          </w:p>
        </w:tc>
        <w:tc>
          <w:tcPr>
            <w:tcW w:w="156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＜0.004</w:t>
            </w:r>
          </w:p>
        </w:tc>
        <w:tc>
          <w:tcPr>
            <w:tcW w:w="292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0.05</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6</w:t>
            </w:r>
          </w:p>
        </w:tc>
        <w:tc>
          <w:tcPr>
            <w:tcW w:w="223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PH值</w:t>
            </w:r>
          </w:p>
        </w:tc>
        <w:tc>
          <w:tcPr>
            <w:tcW w:w="106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PH单位</w:t>
            </w:r>
          </w:p>
        </w:tc>
        <w:tc>
          <w:tcPr>
            <w:tcW w:w="1617"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6.6</w:t>
            </w:r>
          </w:p>
        </w:tc>
        <w:tc>
          <w:tcPr>
            <w:tcW w:w="1618"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7.</w:t>
            </w:r>
            <w:r>
              <w:rPr>
                <w:rFonts w:hint="default" w:ascii="Times New Roman" w:hAnsi="Times New Roman" w:eastAsia="宋体" w:cs="Times New Roman"/>
                <w:kern w:val="0"/>
                <w:sz w:val="21"/>
                <w:szCs w:val="21"/>
                <w:lang w:val="en-US" w:eastAsia="zh-CN"/>
              </w:rPr>
              <w:t>1</w:t>
            </w:r>
          </w:p>
        </w:tc>
        <w:tc>
          <w:tcPr>
            <w:tcW w:w="1586"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6.7</w:t>
            </w:r>
          </w:p>
        </w:tc>
        <w:tc>
          <w:tcPr>
            <w:tcW w:w="156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6.6</w:t>
            </w:r>
          </w:p>
        </w:tc>
        <w:tc>
          <w:tcPr>
            <w:tcW w:w="292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不小于6.5不大于8.5</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w:t>
            </w:r>
          </w:p>
        </w:tc>
        <w:tc>
          <w:tcPr>
            <w:tcW w:w="223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铁</w:t>
            </w:r>
          </w:p>
        </w:tc>
        <w:tc>
          <w:tcPr>
            <w:tcW w:w="106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0.1</w:t>
            </w:r>
            <w:r>
              <w:rPr>
                <w:rFonts w:hint="default" w:ascii="Times New Roman" w:hAnsi="Times New Roman" w:eastAsia="宋体" w:cs="Times New Roman"/>
                <w:kern w:val="0"/>
                <w:sz w:val="21"/>
                <w:szCs w:val="21"/>
                <w:lang w:val="en-US" w:eastAsia="zh-CN"/>
              </w:rPr>
              <w:t>5</w:t>
            </w:r>
          </w:p>
        </w:tc>
        <w:tc>
          <w:tcPr>
            <w:tcW w:w="1618"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＜0.0</w:t>
            </w:r>
            <w:r>
              <w:rPr>
                <w:rFonts w:hint="default" w:ascii="Times New Roman" w:hAnsi="Times New Roman" w:eastAsia="宋体" w:cs="Times New Roman"/>
                <w:kern w:val="0"/>
                <w:sz w:val="21"/>
                <w:szCs w:val="21"/>
                <w:lang w:val="en-US" w:eastAsia="zh-CN"/>
              </w:rPr>
              <w:t>1</w:t>
            </w:r>
          </w:p>
        </w:tc>
        <w:tc>
          <w:tcPr>
            <w:tcW w:w="1586"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＜0.01</w:t>
            </w:r>
          </w:p>
        </w:tc>
        <w:tc>
          <w:tcPr>
            <w:tcW w:w="156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0.0</w:t>
            </w:r>
            <w:r>
              <w:rPr>
                <w:rFonts w:hint="default" w:ascii="Times New Roman" w:hAnsi="Times New Roman" w:eastAsia="宋体" w:cs="Times New Roman"/>
                <w:kern w:val="0"/>
                <w:sz w:val="21"/>
                <w:szCs w:val="21"/>
                <w:lang w:val="en-US" w:eastAsia="zh-CN"/>
              </w:rPr>
              <w:t>2</w:t>
            </w:r>
          </w:p>
        </w:tc>
        <w:tc>
          <w:tcPr>
            <w:tcW w:w="292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0.3</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8</w:t>
            </w:r>
          </w:p>
        </w:tc>
        <w:tc>
          <w:tcPr>
            <w:tcW w:w="223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锰</w:t>
            </w:r>
          </w:p>
        </w:tc>
        <w:tc>
          <w:tcPr>
            <w:tcW w:w="106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0.0</w:t>
            </w:r>
            <w:r>
              <w:rPr>
                <w:rFonts w:hint="default" w:ascii="Times New Roman" w:hAnsi="Times New Roman" w:eastAsia="宋体" w:cs="Times New Roman"/>
                <w:kern w:val="0"/>
                <w:sz w:val="21"/>
                <w:szCs w:val="21"/>
                <w:lang w:val="en-US" w:eastAsia="zh-CN"/>
              </w:rPr>
              <w:t>3</w:t>
            </w:r>
          </w:p>
        </w:tc>
        <w:tc>
          <w:tcPr>
            <w:tcW w:w="1618"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＜0.01</w:t>
            </w:r>
          </w:p>
        </w:tc>
        <w:tc>
          <w:tcPr>
            <w:tcW w:w="1586"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0.0</w:t>
            </w:r>
            <w:r>
              <w:rPr>
                <w:rFonts w:hint="default" w:ascii="Times New Roman" w:hAnsi="Times New Roman" w:eastAsia="宋体" w:cs="Times New Roman"/>
                <w:kern w:val="0"/>
                <w:sz w:val="21"/>
                <w:szCs w:val="21"/>
                <w:lang w:val="en-US" w:eastAsia="zh-CN"/>
              </w:rPr>
              <w:t>6</w:t>
            </w:r>
          </w:p>
        </w:tc>
        <w:tc>
          <w:tcPr>
            <w:tcW w:w="156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＜0.01</w:t>
            </w:r>
          </w:p>
        </w:tc>
        <w:tc>
          <w:tcPr>
            <w:tcW w:w="292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0.1</w:t>
            </w:r>
          </w:p>
        </w:tc>
      </w:tr>
      <w:tr>
        <w:tblPrEx>
          <w:tblCellMar>
            <w:top w:w="0" w:type="dxa"/>
            <w:left w:w="108" w:type="dxa"/>
            <w:bottom w:w="0" w:type="dxa"/>
            <w:right w:w="108" w:type="dxa"/>
          </w:tblCellMar>
        </w:tblPrEx>
        <w:trPr>
          <w:trHeight w:val="9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9</w:t>
            </w:r>
          </w:p>
        </w:tc>
        <w:tc>
          <w:tcPr>
            <w:tcW w:w="223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氯化物</w:t>
            </w:r>
          </w:p>
        </w:tc>
        <w:tc>
          <w:tcPr>
            <w:tcW w:w="106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17.5</w:t>
            </w:r>
          </w:p>
        </w:tc>
        <w:tc>
          <w:tcPr>
            <w:tcW w:w="1618"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16.3</w:t>
            </w:r>
          </w:p>
        </w:tc>
        <w:tc>
          <w:tcPr>
            <w:tcW w:w="1586"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15.3</w:t>
            </w:r>
          </w:p>
        </w:tc>
        <w:tc>
          <w:tcPr>
            <w:tcW w:w="156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14.9</w:t>
            </w:r>
          </w:p>
        </w:tc>
        <w:tc>
          <w:tcPr>
            <w:tcW w:w="292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250</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w:t>
            </w:r>
          </w:p>
        </w:tc>
        <w:tc>
          <w:tcPr>
            <w:tcW w:w="223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硫酸盐</w:t>
            </w:r>
          </w:p>
        </w:tc>
        <w:tc>
          <w:tcPr>
            <w:tcW w:w="106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2.</w:t>
            </w:r>
            <w:r>
              <w:rPr>
                <w:rFonts w:hint="default" w:ascii="Times New Roman" w:hAnsi="Times New Roman" w:eastAsia="宋体" w:cs="Times New Roman"/>
                <w:kern w:val="0"/>
                <w:sz w:val="21"/>
                <w:szCs w:val="21"/>
                <w:lang w:val="en-US" w:eastAsia="zh-CN"/>
              </w:rPr>
              <w:t>76</w:t>
            </w:r>
          </w:p>
        </w:tc>
        <w:tc>
          <w:tcPr>
            <w:tcW w:w="1618"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16.1</w:t>
            </w:r>
          </w:p>
        </w:tc>
        <w:tc>
          <w:tcPr>
            <w:tcW w:w="1586"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2.83</w:t>
            </w:r>
          </w:p>
        </w:tc>
        <w:tc>
          <w:tcPr>
            <w:tcW w:w="156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2.</w:t>
            </w:r>
            <w:r>
              <w:rPr>
                <w:rFonts w:hint="default" w:ascii="Times New Roman" w:hAnsi="Times New Roman" w:eastAsia="宋体" w:cs="Times New Roman"/>
                <w:kern w:val="0"/>
                <w:sz w:val="21"/>
                <w:szCs w:val="21"/>
                <w:lang w:val="en-US" w:eastAsia="zh-CN"/>
              </w:rPr>
              <w:t>94</w:t>
            </w:r>
          </w:p>
        </w:tc>
        <w:tc>
          <w:tcPr>
            <w:tcW w:w="292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250</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11</w:t>
            </w:r>
          </w:p>
        </w:tc>
        <w:tc>
          <w:tcPr>
            <w:tcW w:w="223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总硬度</w:t>
            </w:r>
          </w:p>
        </w:tc>
        <w:tc>
          <w:tcPr>
            <w:tcW w:w="106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59.1</w:t>
            </w:r>
          </w:p>
        </w:tc>
        <w:tc>
          <w:tcPr>
            <w:tcW w:w="1618"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58.9</w:t>
            </w:r>
          </w:p>
        </w:tc>
        <w:tc>
          <w:tcPr>
            <w:tcW w:w="1586"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58.9</w:t>
            </w:r>
          </w:p>
        </w:tc>
        <w:tc>
          <w:tcPr>
            <w:tcW w:w="156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61.1</w:t>
            </w:r>
          </w:p>
        </w:tc>
        <w:tc>
          <w:tcPr>
            <w:tcW w:w="292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450</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12</w:t>
            </w:r>
          </w:p>
        </w:tc>
        <w:tc>
          <w:tcPr>
            <w:tcW w:w="223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耗氧量</w:t>
            </w:r>
          </w:p>
        </w:tc>
        <w:tc>
          <w:tcPr>
            <w:tcW w:w="106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0.86</w:t>
            </w:r>
          </w:p>
        </w:tc>
        <w:tc>
          <w:tcPr>
            <w:tcW w:w="1618"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0.90</w:t>
            </w:r>
          </w:p>
        </w:tc>
        <w:tc>
          <w:tcPr>
            <w:tcW w:w="1586"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0.8</w:t>
            </w:r>
            <w:r>
              <w:rPr>
                <w:rFonts w:hint="default" w:ascii="Times New Roman" w:hAnsi="Times New Roman" w:eastAsia="宋体" w:cs="Times New Roman"/>
                <w:kern w:val="0"/>
                <w:sz w:val="21"/>
                <w:szCs w:val="21"/>
                <w:lang w:val="en-US" w:eastAsia="zh-CN"/>
              </w:rPr>
              <w:t>4</w:t>
            </w:r>
          </w:p>
        </w:tc>
        <w:tc>
          <w:tcPr>
            <w:tcW w:w="156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0.</w:t>
            </w:r>
            <w:r>
              <w:rPr>
                <w:rFonts w:hint="default" w:ascii="Times New Roman" w:hAnsi="Times New Roman" w:eastAsia="宋体" w:cs="Times New Roman"/>
                <w:kern w:val="0"/>
                <w:sz w:val="21"/>
                <w:szCs w:val="21"/>
                <w:lang w:val="en-US" w:eastAsia="zh-CN"/>
              </w:rPr>
              <w:t>79</w:t>
            </w:r>
          </w:p>
        </w:tc>
        <w:tc>
          <w:tcPr>
            <w:tcW w:w="292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13</w:t>
            </w:r>
          </w:p>
        </w:tc>
        <w:tc>
          <w:tcPr>
            <w:tcW w:w="223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氨氮</w:t>
            </w:r>
          </w:p>
        </w:tc>
        <w:tc>
          <w:tcPr>
            <w:tcW w:w="106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0.07</w:t>
            </w:r>
          </w:p>
        </w:tc>
        <w:tc>
          <w:tcPr>
            <w:tcW w:w="1618"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0.06</w:t>
            </w:r>
          </w:p>
        </w:tc>
        <w:tc>
          <w:tcPr>
            <w:tcW w:w="1586"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0.0</w:t>
            </w:r>
            <w:r>
              <w:rPr>
                <w:rFonts w:hint="default" w:ascii="Times New Roman" w:hAnsi="Times New Roman" w:eastAsia="宋体" w:cs="Times New Roman"/>
                <w:kern w:val="0"/>
                <w:sz w:val="21"/>
                <w:szCs w:val="21"/>
                <w:lang w:val="en-US" w:eastAsia="zh-CN"/>
              </w:rPr>
              <w:t>7</w:t>
            </w:r>
          </w:p>
        </w:tc>
        <w:tc>
          <w:tcPr>
            <w:tcW w:w="156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0.0</w:t>
            </w:r>
            <w:r>
              <w:rPr>
                <w:rFonts w:hint="default" w:ascii="Times New Roman" w:hAnsi="Times New Roman" w:eastAsia="宋体" w:cs="Times New Roman"/>
                <w:kern w:val="0"/>
                <w:sz w:val="21"/>
                <w:szCs w:val="21"/>
                <w:lang w:val="en-US" w:eastAsia="zh-CN"/>
              </w:rPr>
              <w:t>6</w:t>
            </w:r>
          </w:p>
        </w:tc>
        <w:tc>
          <w:tcPr>
            <w:tcW w:w="292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0.5</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w:t>
            </w:r>
          </w:p>
        </w:tc>
        <w:tc>
          <w:tcPr>
            <w:tcW w:w="223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氟化物</w:t>
            </w:r>
          </w:p>
        </w:tc>
        <w:tc>
          <w:tcPr>
            <w:tcW w:w="106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0.1</w:t>
            </w:r>
            <w:r>
              <w:rPr>
                <w:rFonts w:hint="default" w:ascii="Times New Roman" w:hAnsi="Times New Roman" w:eastAsia="宋体" w:cs="Times New Roman"/>
                <w:kern w:val="0"/>
                <w:sz w:val="21"/>
                <w:szCs w:val="21"/>
                <w:lang w:val="en-US" w:eastAsia="zh-CN"/>
              </w:rPr>
              <w:t>0</w:t>
            </w:r>
          </w:p>
        </w:tc>
        <w:tc>
          <w:tcPr>
            <w:tcW w:w="1618"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0.13</w:t>
            </w:r>
          </w:p>
        </w:tc>
        <w:tc>
          <w:tcPr>
            <w:tcW w:w="1586"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0.1</w:t>
            </w:r>
            <w:r>
              <w:rPr>
                <w:rFonts w:hint="default" w:ascii="Times New Roman" w:hAnsi="Times New Roman" w:eastAsia="宋体" w:cs="Times New Roman"/>
                <w:kern w:val="0"/>
                <w:sz w:val="21"/>
                <w:szCs w:val="21"/>
                <w:lang w:val="en-US" w:eastAsia="zh-CN"/>
              </w:rPr>
              <w:t>0</w:t>
            </w:r>
          </w:p>
        </w:tc>
        <w:tc>
          <w:tcPr>
            <w:tcW w:w="156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＜0.1</w:t>
            </w:r>
            <w:r>
              <w:rPr>
                <w:rFonts w:hint="default" w:ascii="Times New Roman" w:hAnsi="Times New Roman" w:eastAsia="宋体" w:cs="Times New Roman"/>
                <w:kern w:val="0"/>
                <w:sz w:val="21"/>
                <w:szCs w:val="21"/>
                <w:lang w:val="en-US" w:eastAsia="zh-CN"/>
              </w:rPr>
              <w:t>0</w:t>
            </w:r>
          </w:p>
        </w:tc>
        <w:tc>
          <w:tcPr>
            <w:tcW w:w="292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w:t>
            </w:r>
          </w:p>
        </w:tc>
      </w:tr>
      <w:tr>
        <w:tblPrEx>
          <w:tblCellMar>
            <w:top w:w="0" w:type="dxa"/>
            <w:left w:w="108" w:type="dxa"/>
            <w:bottom w:w="0" w:type="dxa"/>
            <w:right w:w="108" w:type="dxa"/>
          </w:tblCellMar>
        </w:tblPrEx>
        <w:trPr>
          <w:trHeight w:val="9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15</w:t>
            </w:r>
          </w:p>
        </w:tc>
        <w:tc>
          <w:tcPr>
            <w:tcW w:w="223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砷</w:t>
            </w:r>
          </w:p>
        </w:tc>
        <w:tc>
          <w:tcPr>
            <w:tcW w:w="106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0.00</w:t>
            </w:r>
            <w:r>
              <w:rPr>
                <w:rFonts w:hint="default" w:ascii="Times New Roman" w:hAnsi="Times New Roman" w:eastAsia="宋体" w:cs="Times New Roman"/>
                <w:kern w:val="0"/>
                <w:sz w:val="21"/>
                <w:szCs w:val="21"/>
                <w:lang w:val="en-US" w:eastAsia="zh-CN"/>
              </w:rPr>
              <w:t>3</w:t>
            </w:r>
          </w:p>
        </w:tc>
        <w:tc>
          <w:tcPr>
            <w:tcW w:w="1618"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＜0.001</w:t>
            </w:r>
          </w:p>
        </w:tc>
        <w:tc>
          <w:tcPr>
            <w:tcW w:w="1586"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0.00</w:t>
            </w:r>
            <w:r>
              <w:rPr>
                <w:rFonts w:hint="default" w:ascii="Times New Roman" w:hAnsi="Times New Roman" w:eastAsia="宋体" w:cs="Times New Roman"/>
                <w:kern w:val="0"/>
                <w:sz w:val="21"/>
                <w:szCs w:val="21"/>
                <w:lang w:val="en-US" w:eastAsia="zh-CN"/>
              </w:rPr>
              <w:t>1</w:t>
            </w:r>
          </w:p>
        </w:tc>
        <w:tc>
          <w:tcPr>
            <w:tcW w:w="156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＜0.001</w:t>
            </w:r>
          </w:p>
        </w:tc>
        <w:tc>
          <w:tcPr>
            <w:tcW w:w="292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0.01</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16</w:t>
            </w:r>
          </w:p>
        </w:tc>
        <w:tc>
          <w:tcPr>
            <w:tcW w:w="223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汞</w:t>
            </w:r>
          </w:p>
        </w:tc>
        <w:tc>
          <w:tcPr>
            <w:tcW w:w="106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0.0007</w:t>
            </w:r>
          </w:p>
        </w:tc>
        <w:tc>
          <w:tcPr>
            <w:tcW w:w="1618"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＜0.0001</w:t>
            </w:r>
          </w:p>
        </w:tc>
        <w:tc>
          <w:tcPr>
            <w:tcW w:w="1586"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＜0.0001</w:t>
            </w:r>
          </w:p>
        </w:tc>
        <w:tc>
          <w:tcPr>
            <w:tcW w:w="156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0.000</w:t>
            </w:r>
            <w:r>
              <w:rPr>
                <w:rFonts w:hint="default" w:ascii="Times New Roman" w:hAnsi="Times New Roman" w:eastAsia="宋体" w:cs="Times New Roman"/>
                <w:kern w:val="0"/>
                <w:sz w:val="21"/>
                <w:szCs w:val="21"/>
                <w:lang w:val="en-US" w:eastAsia="zh-CN"/>
              </w:rPr>
              <w:t>5</w:t>
            </w:r>
          </w:p>
        </w:tc>
        <w:tc>
          <w:tcPr>
            <w:tcW w:w="292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0.001</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17</w:t>
            </w:r>
          </w:p>
        </w:tc>
        <w:tc>
          <w:tcPr>
            <w:tcW w:w="223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硝酸盐（以N计）</w:t>
            </w:r>
          </w:p>
        </w:tc>
        <w:tc>
          <w:tcPr>
            <w:tcW w:w="106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1.56</w:t>
            </w:r>
          </w:p>
        </w:tc>
        <w:tc>
          <w:tcPr>
            <w:tcW w:w="1618"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0.</w:t>
            </w:r>
            <w:r>
              <w:rPr>
                <w:rFonts w:hint="default" w:ascii="Times New Roman" w:hAnsi="Times New Roman" w:eastAsia="宋体" w:cs="Times New Roman"/>
                <w:kern w:val="0"/>
                <w:sz w:val="21"/>
                <w:szCs w:val="21"/>
                <w:lang w:val="en-US" w:eastAsia="zh-CN"/>
              </w:rPr>
              <w:t>96</w:t>
            </w:r>
          </w:p>
        </w:tc>
        <w:tc>
          <w:tcPr>
            <w:tcW w:w="1586"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1.</w:t>
            </w:r>
            <w:r>
              <w:rPr>
                <w:rFonts w:hint="default" w:ascii="Times New Roman" w:hAnsi="Times New Roman" w:eastAsia="宋体" w:cs="Times New Roman"/>
                <w:kern w:val="0"/>
                <w:sz w:val="21"/>
                <w:szCs w:val="21"/>
                <w:lang w:val="en-US" w:eastAsia="zh-CN"/>
              </w:rPr>
              <w:t>67</w:t>
            </w:r>
          </w:p>
        </w:tc>
        <w:tc>
          <w:tcPr>
            <w:tcW w:w="156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1.52</w:t>
            </w:r>
          </w:p>
        </w:tc>
        <w:tc>
          <w:tcPr>
            <w:tcW w:w="292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18</w:t>
            </w:r>
          </w:p>
        </w:tc>
        <w:tc>
          <w:tcPr>
            <w:tcW w:w="223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铅</w:t>
            </w:r>
          </w:p>
        </w:tc>
        <w:tc>
          <w:tcPr>
            <w:tcW w:w="106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＜0.0025</w:t>
            </w:r>
          </w:p>
        </w:tc>
        <w:tc>
          <w:tcPr>
            <w:tcW w:w="1618"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＜0.0025</w:t>
            </w:r>
          </w:p>
        </w:tc>
        <w:tc>
          <w:tcPr>
            <w:tcW w:w="1586"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＜0.0025</w:t>
            </w:r>
          </w:p>
        </w:tc>
        <w:tc>
          <w:tcPr>
            <w:tcW w:w="156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＜0.0025</w:t>
            </w:r>
          </w:p>
        </w:tc>
        <w:tc>
          <w:tcPr>
            <w:tcW w:w="292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0.01</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19</w:t>
            </w:r>
          </w:p>
        </w:tc>
        <w:tc>
          <w:tcPr>
            <w:tcW w:w="223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镉</w:t>
            </w:r>
          </w:p>
        </w:tc>
        <w:tc>
          <w:tcPr>
            <w:tcW w:w="106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＜0.0005</w:t>
            </w:r>
          </w:p>
        </w:tc>
        <w:tc>
          <w:tcPr>
            <w:tcW w:w="1618"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＜0.0005</w:t>
            </w:r>
          </w:p>
        </w:tc>
        <w:tc>
          <w:tcPr>
            <w:tcW w:w="1586"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＜0.0005</w:t>
            </w:r>
          </w:p>
        </w:tc>
        <w:tc>
          <w:tcPr>
            <w:tcW w:w="156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＜0.0005</w:t>
            </w:r>
          </w:p>
        </w:tc>
        <w:tc>
          <w:tcPr>
            <w:tcW w:w="292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0.005</w:t>
            </w:r>
          </w:p>
        </w:tc>
      </w:tr>
      <w:tr>
        <w:tblPrEx>
          <w:tblCellMar>
            <w:top w:w="0" w:type="dxa"/>
            <w:left w:w="108" w:type="dxa"/>
            <w:bottom w:w="0" w:type="dxa"/>
            <w:right w:w="108" w:type="dxa"/>
          </w:tblCellMar>
        </w:tblPrEx>
        <w:trPr>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铜</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＜0.10</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＜0.10</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＜0.10</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＜0.10</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w:t>
            </w:r>
          </w:p>
        </w:tc>
      </w:tr>
      <w:tr>
        <w:tblPrEx>
          <w:tblCellMar>
            <w:top w:w="0" w:type="dxa"/>
            <w:left w:w="108" w:type="dxa"/>
            <w:bottom w:w="0" w:type="dxa"/>
            <w:right w:w="108" w:type="dxa"/>
          </w:tblCellMar>
        </w:tblPrEx>
        <w:trPr>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21</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锌</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＜0.10</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＜0.10</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＜0.10</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＜0.10</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w:t>
            </w:r>
          </w:p>
        </w:tc>
      </w:tr>
      <w:tr>
        <w:tblPrEx>
          <w:tblCellMar>
            <w:top w:w="0" w:type="dxa"/>
            <w:left w:w="108" w:type="dxa"/>
            <w:bottom w:w="0" w:type="dxa"/>
            <w:right w:w="108" w:type="dxa"/>
          </w:tblCellMar>
        </w:tblPrEx>
        <w:trPr>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22</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溶解性总固体</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147</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1</w:t>
            </w:r>
            <w:r>
              <w:rPr>
                <w:rFonts w:hint="default" w:ascii="Times New Roman" w:hAnsi="Times New Roman" w:eastAsia="宋体" w:cs="Times New Roman"/>
                <w:kern w:val="0"/>
                <w:sz w:val="21"/>
                <w:szCs w:val="21"/>
                <w:lang w:val="en-US" w:eastAsia="zh-CN"/>
              </w:rPr>
              <w:t>37</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1</w:t>
            </w:r>
            <w:r>
              <w:rPr>
                <w:rFonts w:hint="default" w:ascii="Times New Roman" w:hAnsi="Times New Roman" w:eastAsia="宋体" w:cs="Times New Roman"/>
                <w:kern w:val="0"/>
                <w:sz w:val="21"/>
                <w:szCs w:val="21"/>
                <w:lang w:val="en-US" w:eastAsia="zh-CN"/>
              </w:rPr>
              <w:t>44</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1</w:t>
            </w:r>
            <w:r>
              <w:rPr>
                <w:rFonts w:hint="default" w:ascii="Times New Roman" w:hAnsi="Times New Roman" w:eastAsia="宋体" w:cs="Times New Roman"/>
                <w:kern w:val="0"/>
                <w:sz w:val="21"/>
                <w:szCs w:val="21"/>
                <w:lang w:val="en-US" w:eastAsia="zh-CN"/>
              </w:rPr>
              <w:t>51</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1000</w:t>
            </w:r>
          </w:p>
        </w:tc>
      </w:tr>
      <w:tr>
        <w:tblPrEx>
          <w:tblCellMar>
            <w:top w:w="0" w:type="dxa"/>
            <w:left w:w="108" w:type="dxa"/>
            <w:bottom w:w="0" w:type="dxa"/>
            <w:right w:w="108" w:type="dxa"/>
          </w:tblCellMar>
        </w:tblPrEx>
        <w:trPr>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23</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菌落总数</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cfu/mL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10</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16</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14</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66</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100</w:t>
            </w:r>
          </w:p>
        </w:tc>
      </w:tr>
      <w:tr>
        <w:tblPrEx>
          <w:tblCellMar>
            <w:top w:w="0" w:type="dxa"/>
            <w:left w:w="108" w:type="dxa"/>
            <w:bottom w:w="0" w:type="dxa"/>
            <w:right w:w="108" w:type="dxa"/>
          </w:tblCellMar>
        </w:tblPrEx>
        <w:trPr>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24</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总大肠菌群</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MPN/100mL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41</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不得检出</w:t>
            </w:r>
          </w:p>
        </w:tc>
      </w:tr>
      <w:tr>
        <w:tblPrEx>
          <w:tblCellMar>
            <w:top w:w="0" w:type="dxa"/>
            <w:left w:w="108" w:type="dxa"/>
            <w:bottom w:w="0" w:type="dxa"/>
            <w:right w:w="108" w:type="dxa"/>
          </w:tblCellMar>
        </w:tblPrEx>
        <w:trPr>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25</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铝</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＜0.008</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＜0.008</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＜0.008</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＜0.008</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0.2</w:t>
            </w:r>
          </w:p>
        </w:tc>
      </w:tr>
      <w:tr>
        <w:tblPrEx>
          <w:tblCellMar>
            <w:top w:w="0" w:type="dxa"/>
            <w:left w:w="108" w:type="dxa"/>
            <w:bottom w:w="0" w:type="dxa"/>
            <w:right w:w="108" w:type="dxa"/>
          </w:tblCellMar>
        </w:tblPrEx>
        <w:trPr>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26</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挥发酚类（以苯酚计）</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＜0.002</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＜0.002</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＜0.002</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＜0.002</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0.002</w:t>
            </w:r>
          </w:p>
        </w:tc>
      </w:tr>
      <w:tr>
        <w:tblPrEx>
          <w:tblCellMar>
            <w:top w:w="0" w:type="dxa"/>
            <w:left w:w="108" w:type="dxa"/>
            <w:bottom w:w="0" w:type="dxa"/>
            <w:right w:w="108" w:type="dxa"/>
          </w:tblCellMar>
        </w:tblPrEx>
        <w:trPr>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27</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氰化物</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＜0.002</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＜0.002</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＜0.002</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＜0.002</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0.05</w:t>
            </w:r>
          </w:p>
        </w:tc>
      </w:tr>
      <w:tr>
        <w:tblPrEx>
          <w:tblCellMar>
            <w:top w:w="0" w:type="dxa"/>
            <w:left w:w="108" w:type="dxa"/>
            <w:bottom w:w="0" w:type="dxa"/>
            <w:right w:w="108" w:type="dxa"/>
          </w:tblCellMar>
        </w:tblPrEx>
        <w:trPr>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28</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阴离子合成洗涤剂</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＜0.05</w:t>
            </w:r>
            <w:r>
              <w:rPr>
                <w:rFonts w:hint="default" w:ascii="Times New Roman" w:hAnsi="Times New Roman" w:eastAsia="宋体" w:cs="Times New Roman"/>
                <w:kern w:val="0"/>
                <w:sz w:val="21"/>
                <w:szCs w:val="21"/>
                <w:lang w:val="en-US" w:eastAsia="zh-CN"/>
              </w:rPr>
              <w:t>0</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＜0.05</w:t>
            </w:r>
            <w:r>
              <w:rPr>
                <w:rFonts w:hint="default" w:ascii="Times New Roman" w:hAnsi="Times New Roman" w:eastAsia="宋体" w:cs="Times New Roman"/>
                <w:kern w:val="0"/>
                <w:sz w:val="21"/>
                <w:szCs w:val="21"/>
                <w:lang w:val="en-US" w:eastAsia="zh-CN"/>
              </w:rPr>
              <w:t>0</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＜0.05</w:t>
            </w:r>
            <w:r>
              <w:rPr>
                <w:rFonts w:hint="default" w:ascii="Times New Roman" w:hAnsi="Times New Roman" w:eastAsia="宋体" w:cs="Times New Roman"/>
                <w:kern w:val="0"/>
                <w:sz w:val="21"/>
                <w:szCs w:val="21"/>
                <w:lang w:val="en-US" w:eastAsia="zh-CN"/>
              </w:rPr>
              <w:t>0</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＜0.05</w:t>
            </w:r>
            <w:r>
              <w:rPr>
                <w:rFonts w:hint="default" w:ascii="Times New Roman" w:hAnsi="Times New Roman" w:eastAsia="宋体" w:cs="Times New Roman"/>
                <w:kern w:val="0"/>
                <w:sz w:val="21"/>
                <w:szCs w:val="21"/>
                <w:lang w:val="en-US" w:eastAsia="zh-CN"/>
              </w:rPr>
              <w:t>0</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0.3</w:t>
            </w:r>
          </w:p>
        </w:tc>
      </w:tr>
      <w:tr>
        <w:tblPrEx>
          <w:tblCellMar>
            <w:top w:w="0" w:type="dxa"/>
            <w:left w:w="108" w:type="dxa"/>
            <w:bottom w:w="0" w:type="dxa"/>
            <w:right w:w="108" w:type="dxa"/>
          </w:tblCellMar>
        </w:tblPrEx>
        <w:trPr>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29</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硒</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＜0.0005</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0.01</w:t>
            </w:r>
          </w:p>
        </w:tc>
      </w:tr>
      <w:tr>
        <w:tblPrEx>
          <w:tblCellMar>
            <w:top w:w="0" w:type="dxa"/>
            <w:left w:w="108" w:type="dxa"/>
            <w:bottom w:w="0" w:type="dxa"/>
            <w:right w:w="108" w:type="dxa"/>
          </w:tblCellMar>
        </w:tblPrEx>
        <w:trPr>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三氯甲烷</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＜0.0002</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＜0.0002</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＜0.0002</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＜0.0002</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0.06</w:t>
            </w:r>
          </w:p>
        </w:tc>
      </w:tr>
      <w:tr>
        <w:tblPrEx>
          <w:tblCellMar>
            <w:top w:w="0" w:type="dxa"/>
            <w:left w:w="108" w:type="dxa"/>
            <w:bottom w:w="0" w:type="dxa"/>
            <w:right w:w="108" w:type="dxa"/>
          </w:tblCellMar>
        </w:tblPrEx>
        <w:trPr>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31</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四氯化碳</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＜0.0001</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＜0.0001</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＜0.0001</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＜0.0001</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0.002</w:t>
            </w:r>
          </w:p>
        </w:tc>
      </w:tr>
      <w:tr>
        <w:tblPrEx>
          <w:tblCellMar>
            <w:top w:w="0" w:type="dxa"/>
            <w:left w:w="108" w:type="dxa"/>
            <w:bottom w:w="0" w:type="dxa"/>
            <w:right w:w="108" w:type="dxa"/>
          </w:tblCellMar>
        </w:tblPrEx>
        <w:trPr>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32</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亚氯酸盐</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0.</w:t>
            </w:r>
            <w:r>
              <w:rPr>
                <w:rFonts w:hint="default" w:ascii="Times New Roman" w:hAnsi="Times New Roman" w:eastAsia="宋体" w:cs="Times New Roman"/>
                <w:kern w:val="0"/>
                <w:sz w:val="21"/>
                <w:szCs w:val="21"/>
                <w:lang w:val="en-US" w:eastAsia="zh-CN"/>
              </w:rPr>
              <w:t>08</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＜0.001</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0.7</w:t>
            </w:r>
          </w:p>
        </w:tc>
      </w:tr>
    </w:tbl>
    <w:p>
      <w:pPr>
        <w:adjustRightInd/>
        <w:snapToGrid/>
        <w:spacing w:line="360" w:lineRule="auto"/>
        <w:ind w:firstLine="480"/>
        <w:jc w:val="left"/>
        <w:rPr>
          <w:rFonts w:hint="default" w:ascii="Times New Roman" w:hAnsi="Times New Roman" w:eastAsia="宋体" w:cs="Times New Roman"/>
          <w:szCs w:val="24"/>
        </w:rPr>
      </w:pPr>
    </w:p>
    <w:p>
      <w:pPr>
        <w:adjustRightInd/>
        <w:spacing w:line="240" w:lineRule="auto"/>
        <w:ind w:firstLine="0" w:firstLineChars="0"/>
        <w:jc w:val="center"/>
        <w:rPr>
          <w:rFonts w:hint="default" w:ascii="Times New Roman" w:hAnsi="Times New Roman" w:eastAsia="宋体" w:cs="Times New Roman"/>
          <w:b/>
          <w:sz w:val="21"/>
          <w:szCs w:val="21"/>
        </w:rPr>
      </w:pPr>
    </w:p>
    <w:p>
      <w:pPr>
        <w:adjustRightInd/>
        <w:spacing w:line="240" w:lineRule="auto"/>
        <w:ind w:firstLine="0" w:firstLineChars="0"/>
        <w:jc w:val="center"/>
        <w:rPr>
          <w:rFonts w:hint="default" w:ascii="Times New Roman" w:hAnsi="Times New Roman" w:eastAsia="宋体" w:cs="Times New Roman"/>
          <w:b/>
          <w:sz w:val="21"/>
          <w:szCs w:val="21"/>
        </w:rPr>
      </w:pPr>
    </w:p>
    <w:p>
      <w:pPr>
        <w:adjustRightInd/>
        <w:spacing w:line="240" w:lineRule="auto"/>
        <w:ind w:firstLine="0" w:firstLineChars="0"/>
        <w:jc w:val="both"/>
        <w:rPr>
          <w:rFonts w:hint="default" w:ascii="Times New Roman" w:hAnsi="Times New Roman" w:eastAsia="宋体" w:cs="Times New Roman"/>
          <w:b/>
          <w:sz w:val="21"/>
          <w:szCs w:val="21"/>
        </w:rPr>
      </w:pPr>
    </w:p>
    <w:p>
      <w:pPr>
        <w:adjustRightInd/>
        <w:spacing w:line="240" w:lineRule="auto"/>
        <w:ind w:firstLine="0" w:firstLineChars="0"/>
        <w:jc w:val="center"/>
        <w:rPr>
          <w:rFonts w:hint="default" w:ascii="Times New Roman" w:hAnsi="Times New Roman" w:eastAsia="宋体" w:cs="Times New Roman"/>
          <w:b/>
          <w:sz w:val="21"/>
          <w:szCs w:val="24"/>
        </w:rPr>
      </w:pPr>
      <w:r>
        <w:rPr>
          <w:rFonts w:hint="default" w:ascii="Times New Roman" w:hAnsi="Times New Roman" w:eastAsia="宋体" w:cs="Times New Roman"/>
          <w:b/>
          <w:sz w:val="21"/>
          <w:szCs w:val="21"/>
        </w:rPr>
        <w:t>表2-4-3   2018年以及2019年湘阴县</w:t>
      </w:r>
      <w:r>
        <w:rPr>
          <w:rFonts w:hint="default" w:ascii="Times New Roman" w:hAnsi="Times New Roman" w:eastAsia="宋体" w:cs="Times New Roman"/>
          <w:b/>
          <w:sz w:val="21"/>
          <w:szCs w:val="21"/>
          <w:lang w:val="en-US" w:eastAsia="zh-CN"/>
        </w:rPr>
        <w:t>三塘</w:t>
      </w:r>
      <w:r>
        <w:rPr>
          <w:rFonts w:hint="default" w:ascii="Times New Roman" w:hAnsi="Times New Roman" w:eastAsia="宋体" w:cs="Times New Roman"/>
          <w:b/>
          <w:sz w:val="21"/>
          <w:szCs w:val="21"/>
        </w:rPr>
        <w:t>镇</w:t>
      </w:r>
      <w:r>
        <w:rPr>
          <w:rFonts w:hint="default" w:ascii="Times New Roman" w:hAnsi="Times New Roman" w:eastAsia="宋体" w:cs="Times New Roman"/>
          <w:b/>
          <w:sz w:val="21"/>
          <w:szCs w:val="21"/>
          <w:lang w:val="en-US" w:eastAsia="zh-CN"/>
        </w:rPr>
        <w:t>拦河坝</w:t>
      </w:r>
      <w:r>
        <w:rPr>
          <w:rFonts w:hint="default" w:ascii="Times New Roman" w:hAnsi="Times New Roman" w:eastAsia="宋体" w:cs="Times New Roman"/>
          <w:b/>
          <w:sz w:val="21"/>
          <w:szCs w:val="21"/>
        </w:rPr>
        <w:t>水厂末梢水水质常规检测明细表</w:t>
      </w:r>
    </w:p>
    <w:tbl>
      <w:tblPr>
        <w:tblStyle w:val="19"/>
        <w:tblW w:w="13363" w:type="dxa"/>
        <w:jc w:val="center"/>
        <w:tblLayout w:type="fixed"/>
        <w:tblCellMar>
          <w:top w:w="0" w:type="dxa"/>
          <w:left w:w="108" w:type="dxa"/>
          <w:bottom w:w="0" w:type="dxa"/>
          <w:right w:w="108" w:type="dxa"/>
        </w:tblCellMar>
      </w:tblPr>
      <w:tblGrid>
        <w:gridCol w:w="762"/>
        <w:gridCol w:w="2234"/>
        <w:gridCol w:w="1061"/>
        <w:gridCol w:w="1617"/>
        <w:gridCol w:w="1618"/>
        <w:gridCol w:w="1804"/>
        <w:gridCol w:w="1346"/>
        <w:gridCol w:w="2921"/>
      </w:tblGrid>
      <w:tr>
        <w:tblPrEx>
          <w:tblCellMar>
            <w:top w:w="0" w:type="dxa"/>
            <w:left w:w="108" w:type="dxa"/>
            <w:bottom w:w="0" w:type="dxa"/>
            <w:right w:w="108" w:type="dxa"/>
          </w:tblCellMar>
        </w:tblPrEx>
        <w:trPr>
          <w:jc w:val="center"/>
        </w:trPr>
        <w:tc>
          <w:tcPr>
            <w:tcW w:w="76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序号</w:t>
            </w:r>
          </w:p>
        </w:tc>
        <w:tc>
          <w:tcPr>
            <w:tcW w:w="22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检验项目名称</w:t>
            </w:r>
          </w:p>
        </w:tc>
        <w:tc>
          <w:tcPr>
            <w:tcW w:w="106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单位</w:t>
            </w:r>
          </w:p>
        </w:tc>
        <w:tc>
          <w:tcPr>
            <w:tcW w:w="638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检测结果</w:t>
            </w:r>
          </w:p>
        </w:tc>
        <w:tc>
          <w:tcPr>
            <w:tcW w:w="29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评价标准值</w:t>
            </w:r>
          </w:p>
        </w:tc>
      </w:tr>
      <w:tr>
        <w:tblPrEx>
          <w:tblCellMar>
            <w:top w:w="0" w:type="dxa"/>
            <w:left w:w="108" w:type="dxa"/>
            <w:bottom w:w="0" w:type="dxa"/>
            <w:right w:w="108" w:type="dxa"/>
          </w:tblCellMar>
        </w:tblPrEx>
        <w:trPr>
          <w:jc w:val="center"/>
        </w:trPr>
        <w:tc>
          <w:tcPr>
            <w:tcW w:w="762"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p>
        </w:tc>
        <w:tc>
          <w:tcPr>
            <w:tcW w:w="2234"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p>
        </w:tc>
        <w:tc>
          <w:tcPr>
            <w:tcW w:w="106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2018年丰水期</w:t>
            </w:r>
          </w:p>
        </w:tc>
        <w:tc>
          <w:tcPr>
            <w:tcW w:w="16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color w:val="FF0000"/>
                <w:kern w:val="0"/>
                <w:sz w:val="21"/>
                <w:szCs w:val="21"/>
              </w:rPr>
            </w:pPr>
            <w:r>
              <w:rPr>
                <w:rFonts w:hint="default" w:ascii="Times New Roman" w:hAnsi="Times New Roman" w:eastAsia="宋体" w:cs="Times New Roman"/>
                <w:color w:val="auto"/>
                <w:kern w:val="0"/>
                <w:sz w:val="21"/>
                <w:szCs w:val="21"/>
              </w:rPr>
              <w:t>2018年枯水期</w:t>
            </w:r>
          </w:p>
        </w:tc>
        <w:tc>
          <w:tcPr>
            <w:tcW w:w="18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color w:val="C00000"/>
                <w:kern w:val="0"/>
                <w:sz w:val="21"/>
                <w:szCs w:val="21"/>
                <w:shd w:val="clear" w:color="auto" w:fill="auto"/>
              </w:rPr>
            </w:pPr>
            <w:r>
              <w:rPr>
                <w:rFonts w:hint="default" w:ascii="Times New Roman" w:hAnsi="Times New Roman" w:eastAsia="宋体" w:cs="Times New Roman"/>
                <w:color w:val="auto"/>
                <w:kern w:val="0"/>
                <w:sz w:val="21"/>
                <w:szCs w:val="21"/>
                <w:shd w:val="clear" w:color="auto" w:fill="auto"/>
              </w:rPr>
              <w:t>2019年3月</w:t>
            </w:r>
          </w:p>
        </w:tc>
        <w:tc>
          <w:tcPr>
            <w:tcW w:w="134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color w:val="auto"/>
                <w:kern w:val="0"/>
                <w:sz w:val="21"/>
                <w:szCs w:val="21"/>
                <w:shd w:val="clear" w:color="auto" w:fill="auto"/>
              </w:rPr>
            </w:pPr>
            <w:r>
              <w:rPr>
                <w:rFonts w:hint="default" w:ascii="Times New Roman" w:hAnsi="Times New Roman" w:eastAsia="宋体" w:cs="Times New Roman"/>
                <w:color w:val="auto"/>
                <w:kern w:val="0"/>
                <w:sz w:val="21"/>
                <w:szCs w:val="21"/>
                <w:shd w:val="clear" w:color="auto" w:fill="auto"/>
              </w:rPr>
              <w:t>2019年5月</w:t>
            </w:r>
          </w:p>
        </w:tc>
        <w:tc>
          <w:tcPr>
            <w:tcW w:w="29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《生活饮用水卫生标准》（GB5749-2006）标准限值</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223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色度</w:t>
            </w:r>
          </w:p>
        </w:tc>
        <w:tc>
          <w:tcPr>
            <w:tcW w:w="106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度</w:t>
            </w:r>
          </w:p>
        </w:tc>
        <w:tc>
          <w:tcPr>
            <w:tcW w:w="1617"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w:t>
            </w:r>
          </w:p>
        </w:tc>
        <w:tc>
          <w:tcPr>
            <w:tcW w:w="1618"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w:t>
            </w:r>
          </w:p>
        </w:tc>
        <w:tc>
          <w:tcPr>
            <w:tcW w:w="180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w:t>
            </w:r>
          </w:p>
        </w:tc>
        <w:tc>
          <w:tcPr>
            <w:tcW w:w="1346"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w:t>
            </w:r>
          </w:p>
        </w:tc>
        <w:tc>
          <w:tcPr>
            <w:tcW w:w="292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15</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223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浊度</w:t>
            </w:r>
          </w:p>
        </w:tc>
        <w:tc>
          <w:tcPr>
            <w:tcW w:w="106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NTU</w:t>
            </w:r>
          </w:p>
        </w:tc>
        <w:tc>
          <w:tcPr>
            <w:tcW w:w="1617"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＜0.5</w:t>
            </w:r>
          </w:p>
        </w:tc>
        <w:tc>
          <w:tcPr>
            <w:tcW w:w="1618"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＜0.5</w:t>
            </w:r>
          </w:p>
        </w:tc>
        <w:tc>
          <w:tcPr>
            <w:tcW w:w="180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＜0.5</w:t>
            </w:r>
          </w:p>
        </w:tc>
        <w:tc>
          <w:tcPr>
            <w:tcW w:w="1346"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＜0.5</w:t>
            </w:r>
          </w:p>
        </w:tc>
        <w:tc>
          <w:tcPr>
            <w:tcW w:w="292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c>
          <w:tcPr>
            <w:tcW w:w="223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臭和味</w:t>
            </w:r>
          </w:p>
        </w:tc>
        <w:tc>
          <w:tcPr>
            <w:tcW w:w="106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c>
          <w:tcPr>
            <w:tcW w:w="1617"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无异臭异味</w:t>
            </w:r>
          </w:p>
        </w:tc>
        <w:tc>
          <w:tcPr>
            <w:tcW w:w="1618"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无异臭异味</w:t>
            </w:r>
          </w:p>
        </w:tc>
        <w:tc>
          <w:tcPr>
            <w:tcW w:w="180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无异臭异味</w:t>
            </w:r>
          </w:p>
        </w:tc>
        <w:tc>
          <w:tcPr>
            <w:tcW w:w="1346"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无异臭异味</w:t>
            </w:r>
          </w:p>
        </w:tc>
        <w:tc>
          <w:tcPr>
            <w:tcW w:w="292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无异臭异味</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w:t>
            </w:r>
          </w:p>
        </w:tc>
        <w:tc>
          <w:tcPr>
            <w:tcW w:w="223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肉眼可见物</w:t>
            </w:r>
          </w:p>
        </w:tc>
        <w:tc>
          <w:tcPr>
            <w:tcW w:w="106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c>
          <w:tcPr>
            <w:tcW w:w="1617"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无肉眼可见物</w:t>
            </w:r>
          </w:p>
        </w:tc>
        <w:tc>
          <w:tcPr>
            <w:tcW w:w="1618"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无肉眼可见物</w:t>
            </w:r>
          </w:p>
        </w:tc>
        <w:tc>
          <w:tcPr>
            <w:tcW w:w="180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无肉眼可见物</w:t>
            </w:r>
          </w:p>
        </w:tc>
        <w:tc>
          <w:tcPr>
            <w:tcW w:w="1346"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无肉眼可见物</w:t>
            </w:r>
          </w:p>
        </w:tc>
        <w:tc>
          <w:tcPr>
            <w:tcW w:w="292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无</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w:t>
            </w:r>
          </w:p>
        </w:tc>
        <w:tc>
          <w:tcPr>
            <w:tcW w:w="223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铬（六价）</w:t>
            </w:r>
          </w:p>
        </w:tc>
        <w:tc>
          <w:tcPr>
            <w:tcW w:w="106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＜0.004</w:t>
            </w:r>
          </w:p>
        </w:tc>
        <w:tc>
          <w:tcPr>
            <w:tcW w:w="1618"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＜0.004</w:t>
            </w:r>
          </w:p>
        </w:tc>
        <w:tc>
          <w:tcPr>
            <w:tcW w:w="180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＜0.004</w:t>
            </w:r>
          </w:p>
        </w:tc>
        <w:tc>
          <w:tcPr>
            <w:tcW w:w="1346"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＜0.004</w:t>
            </w:r>
          </w:p>
        </w:tc>
        <w:tc>
          <w:tcPr>
            <w:tcW w:w="292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0.05</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6</w:t>
            </w:r>
          </w:p>
        </w:tc>
        <w:tc>
          <w:tcPr>
            <w:tcW w:w="223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PH值</w:t>
            </w:r>
          </w:p>
        </w:tc>
        <w:tc>
          <w:tcPr>
            <w:tcW w:w="106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PH单位</w:t>
            </w:r>
          </w:p>
        </w:tc>
        <w:tc>
          <w:tcPr>
            <w:tcW w:w="1617"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6.7</w:t>
            </w:r>
          </w:p>
        </w:tc>
        <w:tc>
          <w:tcPr>
            <w:tcW w:w="1618"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7.</w:t>
            </w:r>
            <w:r>
              <w:rPr>
                <w:rFonts w:hint="default" w:ascii="Times New Roman" w:hAnsi="Times New Roman" w:eastAsia="宋体" w:cs="Times New Roman"/>
                <w:kern w:val="0"/>
                <w:sz w:val="21"/>
                <w:szCs w:val="21"/>
                <w:lang w:val="en-US" w:eastAsia="zh-CN"/>
              </w:rPr>
              <w:t>0</w:t>
            </w:r>
          </w:p>
        </w:tc>
        <w:tc>
          <w:tcPr>
            <w:tcW w:w="180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6.</w:t>
            </w:r>
            <w:r>
              <w:rPr>
                <w:rFonts w:hint="default" w:ascii="Times New Roman" w:hAnsi="Times New Roman" w:eastAsia="宋体" w:cs="Times New Roman"/>
                <w:kern w:val="0"/>
                <w:sz w:val="21"/>
                <w:szCs w:val="21"/>
                <w:lang w:val="en-US" w:eastAsia="zh-CN"/>
              </w:rPr>
              <w:t>5</w:t>
            </w:r>
          </w:p>
        </w:tc>
        <w:tc>
          <w:tcPr>
            <w:tcW w:w="1346"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6.</w:t>
            </w:r>
            <w:r>
              <w:rPr>
                <w:rFonts w:hint="default" w:ascii="Times New Roman" w:hAnsi="Times New Roman" w:eastAsia="宋体" w:cs="Times New Roman"/>
                <w:kern w:val="0"/>
                <w:sz w:val="21"/>
                <w:szCs w:val="21"/>
                <w:lang w:val="en-US" w:eastAsia="zh-CN"/>
              </w:rPr>
              <w:t>6</w:t>
            </w:r>
          </w:p>
        </w:tc>
        <w:tc>
          <w:tcPr>
            <w:tcW w:w="292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不小于6.5不大于8.5</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w:t>
            </w:r>
          </w:p>
        </w:tc>
        <w:tc>
          <w:tcPr>
            <w:tcW w:w="223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铁</w:t>
            </w:r>
          </w:p>
        </w:tc>
        <w:tc>
          <w:tcPr>
            <w:tcW w:w="106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0.10</w:t>
            </w:r>
          </w:p>
        </w:tc>
        <w:tc>
          <w:tcPr>
            <w:tcW w:w="1618"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0.0</w:t>
            </w:r>
            <w:r>
              <w:rPr>
                <w:rFonts w:hint="default" w:ascii="Times New Roman" w:hAnsi="Times New Roman" w:eastAsia="宋体" w:cs="Times New Roman"/>
                <w:kern w:val="0"/>
                <w:sz w:val="21"/>
                <w:szCs w:val="21"/>
                <w:lang w:val="en-US" w:eastAsia="zh-CN"/>
              </w:rPr>
              <w:t>5</w:t>
            </w:r>
          </w:p>
        </w:tc>
        <w:tc>
          <w:tcPr>
            <w:tcW w:w="180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0.30</w:t>
            </w:r>
          </w:p>
        </w:tc>
        <w:tc>
          <w:tcPr>
            <w:tcW w:w="1346"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0.0</w:t>
            </w:r>
            <w:r>
              <w:rPr>
                <w:rFonts w:hint="default" w:ascii="Times New Roman" w:hAnsi="Times New Roman" w:eastAsia="宋体" w:cs="Times New Roman"/>
                <w:kern w:val="0"/>
                <w:sz w:val="21"/>
                <w:szCs w:val="21"/>
                <w:lang w:val="en-US" w:eastAsia="zh-CN"/>
              </w:rPr>
              <w:t>2</w:t>
            </w:r>
          </w:p>
        </w:tc>
        <w:tc>
          <w:tcPr>
            <w:tcW w:w="292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0.3</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8</w:t>
            </w:r>
          </w:p>
        </w:tc>
        <w:tc>
          <w:tcPr>
            <w:tcW w:w="223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锰</w:t>
            </w:r>
          </w:p>
        </w:tc>
        <w:tc>
          <w:tcPr>
            <w:tcW w:w="106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0.0</w:t>
            </w:r>
            <w:r>
              <w:rPr>
                <w:rFonts w:hint="default" w:ascii="Times New Roman" w:hAnsi="Times New Roman" w:eastAsia="宋体" w:cs="Times New Roman"/>
                <w:kern w:val="0"/>
                <w:sz w:val="21"/>
                <w:szCs w:val="21"/>
                <w:lang w:val="en-US" w:eastAsia="zh-CN"/>
              </w:rPr>
              <w:t>1</w:t>
            </w:r>
          </w:p>
        </w:tc>
        <w:tc>
          <w:tcPr>
            <w:tcW w:w="1618"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＜0.01</w:t>
            </w:r>
          </w:p>
        </w:tc>
        <w:tc>
          <w:tcPr>
            <w:tcW w:w="180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0.0</w:t>
            </w:r>
            <w:r>
              <w:rPr>
                <w:rFonts w:hint="default" w:ascii="Times New Roman" w:hAnsi="Times New Roman" w:eastAsia="宋体" w:cs="Times New Roman"/>
                <w:kern w:val="0"/>
                <w:sz w:val="21"/>
                <w:szCs w:val="21"/>
                <w:lang w:val="en-US" w:eastAsia="zh-CN"/>
              </w:rPr>
              <w:t>7</w:t>
            </w:r>
          </w:p>
        </w:tc>
        <w:tc>
          <w:tcPr>
            <w:tcW w:w="1346"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＜0.01</w:t>
            </w:r>
          </w:p>
        </w:tc>
        <w:tc>
          <w:tcPr>
            <w:tcW w:w="292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0.1</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9</w:t>
            </w:r>
          </w:p>
        </w:tc>
        <w:tc>
          <w:tcPr>
            <w:tcW w:w="223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氯化物</w:t>
            </w:r>
          </w:p>
        </w:tc>
        <w:tc>
          <w:tcPr>
            <w:tcW w:w="106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17.5</w:t>
            </w:r>
          </w:p>
        </w:tc>
        <w:tc>
          <w:tcPr>
            <w:tcW w:w="1618"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16.4</w:t>
            </w:r>
          </w:p>
        </w:tc>
        <w:tc>
          <w:tcPr>
            <w:tcW w:w="180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16.8</w:t>
            </w:r>
          </w:p>
        </w:tc>
        <w:tc>
          <w:tcPr>
            <w:tcW w:w="1346"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15.0</w:t>
            </w:r>
          </w:p>
        </w:tc>
        <w:tc>
          <w:tcPr>
            <w:tcW w:w="292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250</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w:t>
            </w:r>
          </w:p>
        </w:tc>
        <w:tc>
          <w:tcPr>
            <w:tcW w:w="223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硫酸盐</w:t>
            </w:r>
          </w:p>
        </w:tc>
        <w:tc>
          <w:tcPr>
            <w:tcW w:w="106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2.</w:t>
            </w:r>
            <w:r>
              <w:rPr>
                <w:rFonts w:hint="default" w:ascii="Times New Roman" w:hAnsi="Times New Roman" w:eastAsia="宋体" w:cs="Times New Roman"/>
                <w:kern w:val="0"/>
                <w:sz w:val="21"/>
                <w:szCs w:val="21"/>
                <w:lang w:val="en-US" w:eastAsia="zh-CN"/>
              </w:rPr>
              <w:t>75</w:t>
            </w:r>
          </w:p>
        </w:tc>
        <w:tc>
          <w:tcPr>
            <w:tcW w:w="1618"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15.9</w:t>
            </w:r>
          </w:p>
        </w:tc>
        <w:tc>
          <w:tcPr>
            <w:tcW w:w="180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2.85</w:t>
            </w:r>
          </w:p>
        </w:tc>
        <w:tc>
          <w:tcPr>
            <w:tcW w:w="1346"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3.07</w:t>
            </w:r>
          </w:p>
        </w:tc>
        <w:tc>
          <w:tcPr>
            <w:tcW w:w="292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250</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11</w:t>
            </w:r>
          </w:p>
        </w:tc>
        <w:tc>
          <w:tcPr>
            <w:tcW w:w="223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总硬度</w:t>
            </w:r>
          </w:p>
        </w:tc>
        <w:tc>
          <w:tcPr>
            <w:tcW w:w="106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59.0</w:t>
            </w:r>
          </w:p>
        </w:tc>
        <w:tc>
          <w:tcPr>
            <w:tcW w:w="1618"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58.6</w:t>
            </w:r>
          </w:p>
        </w:tc>
        <w:tc>
          <w:tcPr>
            <w:tcW w:w="180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58.5</w:t>
            </w:r>
          </w:p>
        </w:tc>
        <w:tc>
          <w:tcPr>
            <w:tcW w:w="1346"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68.9</w:t>
            </w:r>
          </w:p>
        </w:tc>
        <w:tc>
          <w:tcPr>
            <w:tcW w:w="292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450</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12</w:t>
            </w:r>
          </w:p>
        </w:tc>
        <w:tc>
          <w:tcPr>
            <w:tcW w:w="223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耗氧量</w:t>
            </w:r>
          </w:p>
        </w:tc>
        <w:tc>
          <w:tcPr>
            <w:tcW w:w="106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0.8</w:t>
            </w:r>
            <w:r>
              <w:rPr>
                <w:rFonts w:hint="default" w:ascii="Times New Roman" w:hAnsi="Times New Roman" w:eastAsia="宋体" w:cs="Times New Roman"/>
                <w:kern w:val="0"/>
                <w:sz w:val="21"/>
                <w:szCs w:val="21"/>
                <w:lang w:val="en-US" w:eastAsia="zh-CN"/>
              </w:rPr>
              <w:t>5</w:t>
            </w:r>
          </w:p>
        </w:tc>
        <w:tc>
          <w:tcPr>
            <w:tcW w:w="1618"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0.89</w:t>
            </w:r>
          </w:p>
        </w:tc>
        <w:tc>
          <w:tcPr>
            <w:tcW w:w="180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0.8</w:t>
            </w:r>
            <w:r>
              <w:rPr>
                <w:rFonts w:hint="default" w:ascii="Times New Roman" w:hAnsi="Times New Roman" w:eastAsia="宋体" w:cs="Times New Roman"/>
                <w:kern w:val="0"/>
                <w:sz w:val="21"/>
                <w:szCs w:val="21"/>
                <w:lang w:val="en-US" w:eastAsia="zh-CN"/>
              </w:rPr>
              <w:t>2</w:t>
            </w:r>
          </w:p>
        </w:tc>
        <w:tc>
          <w:tcPr>
            <w:tcW w:w="1346"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0.7</w:t>
            </w:r>
            <w:r>
              <w:rPr>
                <w:rFonts w:hint="default" w:ascii="Times New Roman" w:hAnsi="Times New Roman" w:eastAsia="宋体" w:cs="Times New Roman"/>
                <w:kern w:val="0"/>
                <w:sz w:val="21"/>
                <w:szCs w:val="21"/>
                <w:lang w:val="en-US" w:eastAsia="zh-CN"/>
              </w:rPr>
              <w:t>7</w:t>
            </w:r>
          </w:p>
        </w:tc>
        <w:tc>
          <w:tcPr>
            <w:tcW w:w="292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13</w:t>
            </w:r>
          </w:p>
        </w:tc>
        <w:tc>
          <w:tcPr>
            <w:tcW w:w="223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氨氮</w:t>
            </w:r>
          </w:p>
        </w:tc>
        <w:tc>
          <w:tcPr>
            <w:tcW w:w="106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0.06</w:t>
            </w:r>
          </w:p>
        </w:tc>
        <w:tc>
          <w:tcPr>
            <w:tcW w:w="1618"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0.0</w:t>
            </w:r>
            <w:r>
              <w:rPr>
                <w:rFonts w:hint="default" w:ascii="Times New Roman" w:hAnsi="Times New Roman" w:eastAsia="宋体" w:cs="Times New Roman"/>
                <w:kern w:val="0"/>
                <w:sz w:val="21"/>
                <w:szCs w:val="21"/>
                <w:lang w:val="en-US" w:eastAsia="zh-CN"/>
              </w:rPr>
              <w:t>5</w:t>
            </w:r>
          </w:p>
        </w:tc>
        <w:tc>
          <w:tcPr>
            <w:tcW w:w="180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0.0</w:t>
            </w:r>
            <w:r>
              <w:rPr>
                <w:rFonts w:hint="default" w:ascii="Times New Roman" w:hAnsi="Times New Roman" w:eastAsia="宋体" w:cs="Times New Roman"/>
                <w:kern w:val="0"/>
                <w:sz w:val="21"/>
                <w:szCs w:val="21"/>
                <w:lang w:val="en-US" w:eastAsia="zh-CN"/>
              </w:rPr>
              <w:t>9</w:t>
            </w:r>
          </w:p>
        </w:tc>
        <w:tc>
          <w:tcPr>
            <w:tcW w:w="1346"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0.0</w:t>
            </w:r>
            <w:r>
              <w:rPr>
                <w:rFonts w:hint="default" w:ascii="Times New Roman" w:hAnsi="Times New Roman" w:eastAsia="宋体" w:cs="Times New Roman"/>
                <w:kern w:val="0"/>
                <w:sz w:val="21"/>
                <w:szCs w:val="21"/>
                <w:lang w:val="en-US" w:eastAsia="zh-CN"/>
              </w:rPr>
              <w:t>5</w:t>
            </w:r>
          </w:p>
        </w:tc>
        <w:tc>
          <w:tcPr>
            <w:tcW w:w="292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0.5</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w:t>
            </w:r>
          </w:p>
        </w:tc>
        <w:tc>
          <w:tcPr>
            <w:tcW w:w="223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氟化物</w:t>
            </w:r>
          </w:p>
        </w:tc>
        <w:tc>
          <w:tcPr>
            <w:tcW w:w="106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0.10</w:t>
            </w:r>
          </w:p>
        </w:tc>
        <w:tc>
          <w:tcPr>
            <w:tcW w:w="1618"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0.10</w:t>
            </w:r>
          </w:p>
        </w:tc>
        <w:tc>
          <w:tcPr>
            <w:tcW w:w="180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＜0.1</w:t>
            </w:r>
            <w:r>
              <w:rPr>
                <w:rFonts w:hint="default" w:ascii="Times New Roman" w:hAnsi="Times New Roman" w:eastAsia="宋体" w:cs="Times New Roman"/>
                <w:kern w:val="0"/>
                <w:sz w:val="21"/>
                <w:szCs w:val="21"/>
                <w:lang w:val="en-US" w:eastAsia="zh-CN"/>
              </w:rPr>
              <w:t>0</w:t>
            </w:r>
          </w:p>
        </w:tc>
        <w:tc>
          <w:tcPr>
            <w:tcW w:w="1346"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＜0.1</w:t>
            </w:r>
          </w:p>
        </w:tc>
        <w:tc>
          <w:tcPr>
            <w:tcW w:w="292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15</w:t>
            </w:r>
          </w:p>
        </w:tc>
        <w:tc>
          <w:tcPr>
            <w:tcW w:w="223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砷</w:t>
            </w:r>
          </w:p>
        </w:tc>
        <w:tc>
          <w:tcPr>
            <w:tcW w:w="106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0.00</w:t>
            </w:r>
            <w:r>
              <w:rPr>
                <w:rFonts w:hint="default" w:ascii="Times New Roman" w:hAnsi="Times New Roman" w:eastAsia="宋体" w:cs="Times New Roman"/>
                <w:kern w:val="0"/>
                <w:sz w:val="21"/>
                <w:szCs w:val="21"/>
                <w:lang w:val="en-US" w:eastAsia="zh-CN"/>
              </w:rPr>
              <w:t>5</w:t>
            </w:r>
          </w:p>
        </w:tc>
        <w:tc>
          <w:tcPr>
            <w:tcW w:w="1618"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＜0.001</w:t>
            </w:r>
          </w:p>
        </w:tc>
        <w:tc>
          <w:tcPr>
            <w:tcW w:w="180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0.00</w:t>
            </w:r>
            <w:r>
              <w:rPr>
                <w:rFonts w:hint="default" w:ascii="Times New Roman" w:hAnsi="Times New Roman" w:eastAsia="宋体" w:cs="Times New Roman"/>
                <w:kern w:val="0"/>
                <w:sz w:val="21"/>
                <w:szCs w:val="21"/>
                <w:lang w:val="en-US" w:eastAsia="zh-CN"/>
              </w:rPr>
              <w:t>1</w:t>
            </w:r>
          </w:p>
        </w:tc>
        <w:tc>
          <w:tcPr>
            <w:tcW w:w="1346"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＜0.001</w:t>
            </w:r>
          </w:p>
        </w:tc>
        <w:tc>
          <w:tcPr>
            <w:tcW w:w="292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0.01</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16</w:t>
            </w:r>
          </w:p>
        </w:tc>
        <w:tc>
          <w:tcPr>
            <w:tcW w:w="223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汞</w:t>
            </w:r>
          </w:p>
        </w:tc>
        <w:tc>
          <w:tcPr>
            <w:tcW w:w="106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0.0007</w:t>
            </w:r>
          </w:p>
        </w:tc>
        <w:tc>
          <w:tcPr>
            <w:tcW w:w="1618"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＜0.0001</w:t>
            </w:r>
          </w:p>
        </w:tc>
        <w:tc>
          <w:tcPr>
            <w:tcW w:w="180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＜0.000</w:t>
            </w:r>
            <w:r>
              <w:rPr>
                <w:rFonts w:hint="default" w:ascii="Times New Roman" w:hAnsi="Times New Roman" w:eastAsia="宋体" w:cs="Times New Roman"/>
                <w:kern w:val="0"/>
                <w:sz w:val="21"/>
                <w:szCs w:val="21"/>
                <w:lang w:val="en-US" w:eastAsia="zh-CN"/>
              </w:rPr>
              <w:t>2</w:t>
            </w:r>
          </w:p>
        </w:tc>
        <w:tc>
          <w:tcPr>
            <w:tcW w:w="1346"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0.000</w:t>
            </w:r>
            <w:r>
              <w:rPr>
                <w:rFonts w:hint="default" w:ascii="Times New Roman" w:hAnsi="Times New Roman" w:eastAsia="宋体" w:cs="Times New Roman"/>
                <w:kern w:val="0"/>
                <w:sz w:val="21"/>
                <w:szCs w:val="21"/>
                <w:lang w:val="en-US" w:eastAsia="zh-CN"/>
              </w:rPr>
              <w:t>4</w:t>
            </w:r>
          </w:p>
        </w:tc>
        <w:tc>
          <w:tcPr>
            <w:tcW w:w="292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0.001</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17</w:t>
            </w:r>
          </w:p>
        </w:tc>
        <w:tc>
          <w:tcPr>
            <w:tcW w:w="223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硝酸盐（以N计）</w:t>
            </w:r>
          </w:p>
        </w:tc>
        <w:tc>
          <w:tcPr>
            <w:tcW w:w="106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1.53</w:t>
            </w:r>
          </w:p>
        </w:tc>
        <w:tc>
          <w:tcPr>
            <w:tcW w:w="1618"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0.97</w:t>
            </w:r>
          </w:p>
        </w:tc>
        <w:tc>
          <w:tcPr>
            <w:tcW w:w="180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4.28</w:t>
            </w:r>
          </w:p>
        </w:tc>
        <w:tc>
          <w:tcPr>
            <w:tcW w:w="1346"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1.65</w:t>
            </w:r>
          </w:p>
        </w:tc>
        <w:tc>
          <w:tcPr>
            <w:tcW w:w="292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18</w:t>
            </w:r>
          </w:p>
        </w:tc>
        <w:tc>
          <w:tcPr>
            <w:tcW w:w="223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铅</w:t>
            </w:r>
          </w:p>
        </w:tc>
        <w:tc>
          <w:tcPr>
            <w:tcW w:w="106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＜0.0025</w:t>
            </w:r>
          </w:p>
        </w:tc>
        <w:tc>
          <w:tcPr>
            <w:tcW w:w="1618"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＜0.0025</w:t>
            </w:r>
          </w:p>
        </w:tc>
        <w:tc>
          <w:tcPr>
            <w:tcW w:w="180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＜0.0025</w:t>
            </w:r>
          </w:p>
        </w:tc>
        <w:tc>
          <w:tcPr>
            <w:tcW w:w="1346"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＜0.0025</w:t>
            </w:r>
          </w:p>
        </w:tc>
        <w:tc>
          <w:tcPr>
            <w:tcW w:w="292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0.01</w:t>
            </w:r>
          </w:p>
        </w:tc>
      </w:tr>
      <w:tr>
        <w:tblPrEx>
          <w:tblCellMar>
            <w:top w:w="0" w:type="dxa"/>
            <w:left w:w="108" w:type="dxa"/>
            <w:bottom w:w="0" w:type="dxa"/>
            <w:right w:w="108" w:type="dxa"/>
          </w:tblCellMar>
        </w:tblPrEx>
        <w:trPr>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19</w:t>
            </w:r>
          </w:p>
        </w:tc>
        <w:tc>
          <w:tcPr>
            <w:tcW w:w="223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镉</w:t>
            </w:r>
          </w:p>
        </w:tc>
        <w:tc>
          <w:tcPr>
            <w:tcW w:w="106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＜0.0005</w:t>
            </w:r>
          </w:p>
        </w:tc>
        <w:tc>
          <w:tcPr>
            <w:tcW w:w="1618"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＜0.0005</w:t>
            </w:r>
          </w:p>
        </w:tc>
        <w:tc>
          <w:tcPr>
            <w:tcW w:w="1804"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＜0.0005</w:t>
            </w:r>
          </w:p>
        </w:tc>
        <w:tc>
          <w:tcPr>
            <w:tcW w:w="1346"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＜0.0005</w:t>
            </w:r>
          </w:p>
        </w:tc>
        <w:tc>
          <w:tcPr>
            <w:tcW w:w="2921" w:type="dxa"/>
            <w:tcBorders>
              <w:top w:val="nil"/>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0.005</w:t>
            </w:r>
          </w:p>
        </w:tc>
      </w:tr>
      <w:tr>
        <w:tblPrEx>
          <w:tblCellMar>
            <w:top w:w="0" w:type="dxa"/>
            <w:left w:w="108" w:type="dxa"/>
            <w:bottom w:w="0" w:type="dxa"/>
            <w:right w:w="108" w:type="dxa"/>
          </w:tblCellMar>
        </w:tblPrEx>
        <w:trPr>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铜</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＜0.10</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＜0.10</w:t>
            </w:r>
          </w:p>
        </w:tc>
        <w:tc>
          <w:tcPr>
            <w:tcW w:w="180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＜0.10</w:t>
            </w:r>
          </w:p>
        </w:tc>
        <w:tc>
          <w:tcPr>
            <w:tcW w:w="1346"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＜0.10</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w:t>
            </w:r>
          </w:p>
        </w:tc>
      </w:tr>
      <w:tr>
        <w:tblPrEx>
          <w:tblCellMar>
            <w:top w:w="0" w:type="dxa"/>
            <w:left w:w="108" w:type="dxa"/>
            <w:bottom w:w="0" w:type="dxa"/>
            <w:right w:w="108" w:type="dxa"/>
          </w:tblCellMar>
        </w:tblPrEx>
        <w:trPr>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21</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锌</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＜0.10</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＜0.10</w:t>
            </w:r>
          </w:p>
        </w:tc>
        <w:tc>
          <w:tcPr>
            <w:tcW w:w="180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＜0.10</w:t>
            </w:r>
          </w:p>
        </w:tc>
        <w:tc>
          <w:tcPr>
            <w:tcW w:w="1346"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w:t>
            </w:r>
            <w:r>
              <w:rPr>
                <w:rFonts w:hint="default" w:ascii="Times New Roman" w:hAnsi="Times New Roman" w:eastAsia="宋体" w:cs="Times New Roman"/>
                <w:kern w:val="0"/>
                <w:sz w:val="21"/>
                <w:szCs w:val="21"/>
                <w:lang w:val="en-US" w:eastAsia="zh-CN"/>
              </w:rPr>
              <w:t>0.10</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w:t>
            </w:r>
          </w:p>
        </w:tc>
      </w:tr>
      <w:tr>
        <w:tblPrEx>
          <w:tblCellMar>
            <w:top w:w="0" w:type="dxa"/>
            <w:left w:w="108" w:type="dxa"/>
            <w:bottom w:w="0" w:type="dxa"/>
            <w:right w:w="108" w:type="dxa"/>
          </w:tblCellMar>
        </w:tblPrEx>
        <w:trPr>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22</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溶解性总固体</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145</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137</w:t>
            </w:r>
          </w:p>
        </w:tc>
        <w:tc>
          <w:tcPr>
            <w:tcW w:w="180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141</w:t>
            </w:r>
          </w:p>
        </w:tc>
        <w:tc>
          <w:tcPr>
            <w:tcW w:w="1346"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154</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1000</w:t>
            </w:r>
          </w:p>
        </w:tc>
      </w:tr>
      <w:tr>
        <w:tblPrEx>
          <w:tblCellMar>
            <w:top w:w="0" w:type="dxa"/>
            <w:left w:w="108" w:type="dxa"/>
            <w:bottom w:w="0" w:type="dxa"/>
            <w:right w:w="108" w:type="dxa"/>
          </w:tblCellMar>
        </w:tblPrEx>
        <w:trPr>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23</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菌落总数</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cfu/mL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12</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18</w:t>
            </w:r>
          </w:p>
        </w:tc>
        <w:tc>
          <w:tcPr>
            <w:tcW w:w="180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17</w:t>
            </w:r>
          </w:p>
        </w:tc>
        <w:tc>
          <w:tcPr>
            <w:tcW w:w="1346"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70</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100</w:t>
            </w:r>
          </w:p>
        </w:tc>
      </w:tr>
      <w:tr>
        <w:tblPrEx>
          <w:tblCellMar>
            <w:top w:w="0" w:type="dxa"/>
            <w:left w:w="108" w:type="dxa"/>
            <w:bottom w:w="0" w:type="dxa"/>
            <w:right w:w="108" w:type="dxa"/>
          </w:tblCellMar>
        </w:tblPrEx>
        <w:trPr>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24</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总大肠菌群</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MPN/100mL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180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1346"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46</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不得检出</w:t>
            </w:r>
          </w:p>
        </w:tc>
      </w:tr>
      <w:tr>
        <w:tblPrEx>
          <w:tblCellMar>
            <w:top w:w="0" w:type="dxa"/>
            <w:left w:w="108" w:type="dxa"/>
            <w:bottom w:w="0" w:type="dxa"/>
            <w:right w:w="108" w:type="dxa"/>
          </w:tblCellMar>
        </w:tblPrEx>
        <w:trPr>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25</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铝</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＜0.008</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＜0.008</w:t>
            </w:r>
          </w:p>
        </w:tc>
        <w:tc>
          <w:tcPr>
            <w:tcW w:w="180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＜0.008</w:t>
            </w:r>
          </w:p>
        </w:tc>
        <w:tc>
          <w:tcPr>
            <w:tcW w:w="1346"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＜0.008</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0.2</w:t>
            </w:r>
          </w:p>
        </w:tc>
      </w:tr>
      <w:tr>
        <w:tblPrEx>
          <w:tblCellMar>
            <w:top w:w="0" w:type="dxa"/>
            <w:left w:w="108" w:type="dxa"/>
            <w:bottom w:w="0" w:type="dxa"/>
            <w:right w:w="108" w:type="dxa"/>
          </w:tblCellMar>
        </w:tblPrEx>
        <w:trPr>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26</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挥发酚类（以苯酚计）</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＜0.002</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＜0.002</w:t>
            </w:r>
          </w:p>
        </w:tc>
        <w:tc>
          <w:tcPr>
            <w:tcW w:w="180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＜0.002</w:t>
            </w:r>
          </w:p>
        </w:tc>
        <w:tc>
          <w:tcPr>
            <w:tcW w:w="1346"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＜0.002</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0.002</w:t>
            </w:r>
          </w:p>
        </w:tc>
      </w:tr>
      <w:tr>
        <w:tblPrEx>
          <w:tblCellMar>
            <w:top w:w="0" w:type="dxa"/>
            <w:left w:w="108" w:type="dxa"/>
            <w:bottom w:w="0" w:type="dxa"/>
            <w:right w:w="108" w:type="dxa"/>
          </w:tblCellMar>
        </w:tblPrEx>
        <w:trPr>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27</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氰化物</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＜0.002</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＜0.002</w:t>
            </w:r>
          </w:p>
        </w:tc>
        <w:tc>
          <w:tcPr>
            <w:tcW w:w="180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＜0.002</w:t>
            </w:r>
          </w:p>
        </w:tc>
        <w:tc>
          <w:tcPr>
            <w:tcW w:w="1346"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＜0.002</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0.05</w:t>
            </w:r>
          </w:p>
        </w:tc>
      </w:tr>
      <w:tr>
        <w:tblPrEx>
          <w:tblCellMar>
            <w:top w:w="0" w:type="dxa"/>
            <w:left w:w="108" w:type="dxa"/>
            <w:bottom w:w="0" w:type="dxa"/>
            <w:right w:w="108" w:type="dxa"/>
          </w:tblCellMar>
        </w:tblPrEx>
        <w:trPr>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28</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阴离子合成洗涤剂</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＜0.05</w:t>
            </w:r>
            <w:r>
              <w:rPr>
                <w:rFonts w:hint="default" w:ascii="Times New Roman" w:hAnsi="Times New Roman" w:eastAsia="宋体" w:cs="Times New Roman"/>
                <w:kern w:val="0"/>
                <w:sz w:val="21"/>
                <w:szCs w:val="21"/>
                <w:lang w:val="en-US" w:eastAsia="zh-CN"/>
              </w:rPr>
              <w:t>0</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＜0.05</w:t>
            </w:r>
            <w:r>
              <w:rPr>
                <w:rFonts w:hint="default" w:ascii="Times New Roman" w:hAnsi="Times New Roman" w:eastAsia="宋体" w:cs="Times New Roman"/>
                <w:kern w:val="0"/>
                <w:sz w:val="21"/>
                <w:szCs w:val="21"/>
                <w:lang w:val="en-US" w:eastAsia="zh-CN"/>
              </w:rPr>
              <w:t>0</w:t>
            </w:r>
          </w:p>
        </w:tc>
        <w:tc>
          <w:tcPr>
            <w:tcW w:w="180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＜0.05</w:t>
            </w:r>
            <w:r>
              <w:rPr>
                <w:rFonts w:hint="default" w:ascii="Times New Roman" w:hAnsi="Times New Roman" w:eastAsia="宋体" w:cs="Times New Roman"/>
                <w:kern w:val="0"/>
                <w:sz w:val="21"/>
                <w:szCs w:val="21"/>
                <w:lang w:val="en-US" w:eastAsia="zh-CN"/>
              </w:rPr>
              <w:t>0</w:t>
            </w:r>
          </w:p>
        </w:tc>
        <w:tc>
          <w:tcPr>
            <w:tcW w:w="1346"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＜0.05</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0.3</w:t>
            </w:r>
          </w:p>
        </w:tc>
      </w:tr>
      <w:tr>
        <w:tblPrEx>
          <w:tblCellMar>
            <w:top w:w="0" w:type="dxa"/>
            <w:left w:w="108" w:type="dxa"/>
            <w:bottom w:w="0" w:type="dxa"/>
            <w:right w:w="108" w:type="dxa"/>
          </w:tblCellMar>
        </w:tblPrEx>
        <w:trPr>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29</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硒</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color w:val="FF0000"/>
                <w:kern w:val="0"/>
                <w:sz w:val="21"/>
                <w:szCs w:val="21"/>
              </w:rPr>
            </w:pPr>
            <w:r>
              <w:rPr>
                <w:rFonts w:hint="default" w:ascii="Times New Roman" w:hAnsi="Times New Roman" w:eastAsia="宋体" w:cs="Times New Roman"/>
                <w:kern w:val="0"/>
                <w:sz w:val="21"/>
                <w:szCs w:val="21"/>
              </w:rPr>
              <w:t>——</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rPr>
            </w:pPr>
            <w:r>
              <w:rPr>
                <w:rFonts w:hint="default" w:ascii="Times New Roman" w:hAnsi="Times New Roman" w:eastAsia="宋体" w:cs="Times New Roman"/>
                <w:kern w:val="0"/>
                <w:sz w:val="21"/>
                <w:szCs w:val="21"/>
              </w:rPr>
              <w:t>＜0.0</w:t>
            </w:r>
            <w:r>
              <w:rPr>
                <w:rFonts w:hint="default" w:ascii="Times New Roman" w:hAnsi="Times New Roman" w:eastAsia="宋体" w:cs="Times New Roman"/>
                <w:kern w:val="0"/>
                <w:sz w:val="21"/>
                <w:szCs w:val="21"/>
                <w:lang w:val="en-US" w:eastAsia="zh-CN"/>
              </w:rPr>
              <w:t>005</w:t>
            </w:r>
          </w:p>
        </w:tc>
        <w:tc>
          <w:tcPr>
            <w:tcW w:w="180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c>
          <w:tcPr>
            <w:tcW w:w="1346"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0.01</w:t>
            </w:r>
          </w:p>
        </w:tc>
      </w:tr>
      <w:tr>
        <w:tblPrEx>
          <w:tblCellMar>
            <w:top w:w="0" w:type="dxa"/>
            <w:left w:w="108" w:type="dxa"/>
            <w:bottom w:w="0" w:type="dxa"/>
            <w:right w:w="108" w:type="dxa"/>
          </w:tblCellMar>
        </w:tblPrEx>
        <w:trPr>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三氯甲烷</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＜0.0002</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＜0.0002</w:t>
            </w:r>
          </w:p>
        </w:tc>
        <w:tc>
          <w:tcPr>
            <w:tcW w:w="180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＜0.0002</w:t>
            </w:r>
          </w:p>
        </w:tc>
        <w:tc>
          <w:tcPr>
            <w:tcW w:w="1346"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＜0.0002</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0.06</w:t>
            </w:r>
          </w:p>
        </w:tc>
      </w:tr>
      <w:tr>
        <w:tblPrEx>
          <w:tblCellMar>
            <w:top w:w="0" w:type="dxa"/>
            <w:left w:w="108" w:type="dxa"/>
            <w:bottom w:w="0" w:type="dxa"/>
            <w:right w:w="108" w:type="dxa"/>
          </w:tblCellMar>
        </w:tblPrEx>
        <w:trPr>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31</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四氯化碳</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＜0.0001</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＜0.0001</w:t>
            </w:r>
          </w:p>
        </w:tc>
        <w:tc>
          <w:tcPr>
            <w:tcW w:w="180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＜0.0001</w:t>
            </w:r>
          </w:p>
        </w:tc>
        <w:tc>
          <w:tcPr>
            <w:tcW w:w="1346"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＜0.000</w:t>
            </w:r>
            <w:r>
              <w:rPr>
                <w:rFonts w:hint="default" w:ascii="Times New Roman" w:hAnsi="Times New Roman" w:eastAsia="宋体" w:cs="Times New Roman"/>
                <w:kern w:val="0"/>
                <w:sz w:val="21"/>
                <w:szCs w:val="21"/>
                <w:lang w:val="en-US" w:eastAsia="zh-CN"/>
              </w:rPr>
              <w:t>1</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0.002</w:t>
            </w:r>
          </w:p>
        </w:tc>
      </w:tr>
      <w:tr>
        <w:tblPrEx>
          <w:tblCellMar>
            <w:top w:w="0" w:type="dxa"/>
            <w:left w:w="108" w:type="dxa"/>
            <w:bottom w:w="0" w:type="dxa"/>
            <w:right w:w="108" w:type="dxa"/>
          </w:tblCellMar>
        </w:tblPrEx>
        <w:trPr>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32</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亚氯酸盐</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0.0</w:t>
            </w:r>
            <w:r>
              <w:rPr>
                <w:rFonts w:hint="default" w:ascii="Times New Roman" w:hAnsi="Times New Roman" w:eastAsia="宋体" w:cs="Times New Roman"/>
                <w:kern w:val="0"/>
                <w:sz w:val="21"/>
                <w:szCs w:val="21"/>
                <w:lang w:val="en-US" w:eastAsia="zh-CN"/>
              </w:rPr>
              <w:t>8</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＜0.001</w:t>
            </w:r>
          </w:p>
        </w:tc>
        <w:tc>
          <w:tcPr>
            <w:tcW w:w="180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c>
          <w:tcPr>
            <w:tcW w:w="1346"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0.7</w:t>
            </w:r>
          </w:p>
        </w:tc>
      </w:tr>
    </w:tbl>
    <w:p>
      <w:pPr>
        <w:widowControl/>
        <w:adjustRightInd/>
        <w:snapToGrid/>
        <w:spacing w:line="240" w:lineRule="auto"/>
        <w:ind w:firstLine="0" w:firstLineChars="0"/>
        <w:jc w:val="left"/>
        <w:rPr>
          <w:rFonts w:hint="default" w:ascii="Times New Roman" w:hAnsi="Times New Roman" w:eastAsia="宋体" w:cs="Times New Roman"/>
          <w:b/>
          <w:sz w:val="21"/>
          <w:szCs w:val="21"/>
        </w:rPr>
      </w:pPr>
    </w:p>
    <w:p>
      <w:pPr>
        <w:widowControl/>
        <w:adjustRightInd/>
        <w:snapToGrid/>
        <w:spacing w:line="240" w:lineRule="auto"/>
        <w:ind w:firstLine="0" w:firstLineChars="0"/>
        <w:jc w:val="left"/>
        <w:rPr>
          <w:rFonts w:hint="default" w:ascii="Times New Roman" w:hAnsi="Times New Roman" w:eastAsia="宋体" w:cs="Times New Roman"/>
          <w:b/>
          <w:sz w:val="21"/>
          <w:szCs w:val="21"/>
        </w:rPr>
      </w:pPr>
    </w:p>
    <w:p>
      <w:pPr>
        <w:spacing w:line="360" w:lineRule="auto"/>
        <w:ind w:firstLine="480"/>
        <w:jc w:val="left"/>
        <w:rPr>
          <w:rFonts w:hint="default" w:ascii="Times New Roman" w:hAnsi="Times New Roman" w:cs="Times New Roman"/>
          <w:color w:val="auto"/>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0" w:num="1"/>
          <w:rtlGutter w:val="0"/>
          <w:docGrid w:type="linesAndChars" w:linePitch="332" w:charSpace="915"/>
        </w:sectPr>
      </w:pPr>
    </w:p>
    <w:p>
      <w:pPr>
        <w:spacing w:line="360" w:lineRule="auto"/>
        <w:ind w:firstLine="480"/>
        <w:jc w:val="left"/>
        <w:rPr>
          <w:rFonts w:hint="default" w:ascii="Times New Roman" w:hAnsi="Times New Roman" w:cs="Times New Roman"/>
          <w:color w:val="auto"/>
        </w:rPr>
      </w:pPr>
      <w:r>
        <w:rPr>
          <w:rFonts w:hint="default" w:ascii="Times New Roman" w:hAnsi="Times New Roman" w:cs="Times New Roman"/>
          <w:color w:val="auto"/>
        </w:rPr>
        <w:t>从表2-4-1分析可知，</w:t>
      </w:r>
      <w:r>
        <w:rPr>
          <w:rFonts w:hint="default" w:ascii="Times New Roman" w:hAnsi="Times New Roman" w:cs="Times New Roman"/>
          <w:color w:val="auto"/>
          <w:lang w:eastAsia="zh-CN"/>
        </w:rPr>
        <w:t>拦河坝</w:t>
      </w:r>
      <w:r>
        <w:rPr>
          <w:rFonts w:hint="default" w:ascii="Times New Roman" w:hAnsi="Times New Roman" w:cs="Times New Roman"/>
          <w:color w:val="auto"/>
        </w:rPr>
        <w:t>水厂地下水</w:t>
      </w:r>
      <w:r>
        <w:rPr>
          <w:rFonts w:hint="default" w:ascii="Times New Roman" w:hAnsi="Times New Roman" w:cs="Times New Roman"/>
          <w:color w:val="auto"/>
          <w:lang w:val="en-US" w:eastAsia="zh-CN"/>
        </w:rPr>
        <w:t>源</w:t>
      </w:r>
      <w:r>
        <w:rPr>
          <w:rFonts w:hint="default" w:ascii="Times New Roman" w:hAnsi="Times New Roman" w:cs="Times New Roman"/>
          <w:color w:val="auto"/>
        </w:rPr>
        <w:t>水水质常规监测30项指标因子全部满足《地下水质量标准》（GB/T14848-2017）Ⅲ类标准，从表2-4-2、表2-4-3分析可知，2018年以及2019年湘阴县三塘镇</w:t>
      </w:r>
      <w:r>
        <w:rPr>
          <w:rFonts w:hint="default" w:ascii="Times New Roman" w:hAnsi="Times New Roman" w:cs="Times New Roman"/>
          <w:color w:val="auto"/>
          <w:lang w:val="en-US" w:eastAsia="zh-CN"/>
        </w:rPr>
        <w:t>谢坪村</w:t>
      </w:r>
      <w:r>
        <w:rPr>
          <w:rFonts w:hint="default" w:ascii="Times New Roman" w:hAnsi="Times New Roman" w:cs="Times New Roman"/>
          <w:color w:val="auto"/>
        </w:rPr>
        <w:t>末梢水水质常规监测3</w:t>
      </w:r>
      <w:r>
        <w:rPr>
          <w:rFonts w:hint="eastAsia" w:ascii="Times New Roman" w:hAnsi="Times New Roman" w:cs="Times New Roman"/>
          <w:color w:val="auto"/>
          <w:lang w:val="en-US" w:eastAsia="zh-CN"/>
        </w:rPr>
        <w:t>0</w:t>
      </w:r>
      <w:r>
        <w:rPr>
          <w:rFonts w:hint="default" w:ascii="Times New Roman" w:hAnsi="Times New Roman" w:cs="Times New Roman"/>
          <w:color w:val="auto"/>
        </w:rPr>
        <w:t>项指标因子除总大肠菌群外，其余</w:t>
      </w:r>
      <w:r>
        <w:rPr>
          <w:rFonts w:hint="eastAsia" w:ascii="Times New Roman" w:hAnsi="Times New Roman" w:cs="Times New Roman"/>
          <w:color w:val="auto"/>
          <w:lang w:val="en-US" w:eastAsia="zh-CN"/>
        </w:rPr>
        <w:t>29</w:t>
      </w:r>
      <w:r>
        <w:rPr>
          <w:rFonts w:hint="default" w:ascii="Times New Roman" w:hAnsi="Times New Roman" w:cs="Times New Roman"/>
          <w:color w:val="auto"/>
        </w:rPr>
        <w:t>项指标因子全部满足《生活饮用水卫生标准》（GB5749-2006）标准限值。</w:t>
      </w:r>
    </w:p>
    <w:p>
      <w:pPr>
        <w:spacing w:line="360" w:lineRule="auto"/>
        <w:ind w:firstLine="480"/>
        <w:jc w:val="left"/>
        <w:rPr>
          <w:rFonts w:hint="default" w:ascii="Times New Roman" w:hAnsi="Times New Roman" w:cs="Times New Roman"/>
          <w:color w:val="auto"/>
        </w:rPr>
      </w:pPr>
      <w:r>
        <w:rPr>
          <w:rFonts w:hint="default" w:ascii="Times New Roman" w:hAnsi="Times New Roman" w:cs="Times New Roman"/>
          <w:color w:val="auto"/>
        </w:rPr>
        <w:t>为保证饮水安全，使此水源地的水质符合标准，在原水中加入次氯酸钠，保证游离性余氯0.3-0.5mg/L。30分钟，可以基本消毒去除大肠菌群。如此复测3天，若总大肠菌群达到《生活饮用水卫生标准》（GB5749-2006）标准限值，可持续供水，</w:t>
      </w:r>
      <w:r>
        <w:rPr>
          <w:rFonts w:hint="default" w:ascii="Times New Roman" w:hAnsi="Times New Roman" w:cs="Times New Roman"/>
          <w:color w:val="auto"/>
          <w:lang w:val="en-US" w:eastAsia="zh-CN"/>
        </w:rPr>
        <w:t>拦河坝</w:t>
      </w:r>
      <w:r>
        <w:rPr>
          <w:rFonts w:hint="default" w:ascii="Times New Roman" w:hAnsi="Times New Roman" w:cs="Times New Roman"/>
          <w:color w:val="auto"/>
        </w:rPr>
        <w:t>水厂每日常规监测中持续监测总大肠菌群指标因子。</w:t>
      </w:r>
    </w:p>
    <w:p>
      <w:pPr>
        <w:spacing w:line="360" w:lineRule="auto"/>
        <w:ind w:firstLine="48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二、</w:t>
      </w:r>
      <w:r>
        <w:rPr>
          <w:rFonts w:hint="eastAsia" w:ascii="Times New Roman" w:hAnsi="Times New Roman" w:cs="Times New Roman"/>
          <w:color w:val="auto"/>
          <w:lang w:val="en-US" w:eastAsia="zh-CN"/>
        </w:rPr>
        <w:t>现状</w:t>
      </w:r>
      <w:r>
        <w:rPr>
          <w:rFonts w:hint="default" w:ascii="Times New Roman" w:hAnsi="Times New Roman" w:cs="Times New Roman"/>
          <w:color w:val="auto"/>
          <w:lang w:val="en-US" w:eastAsia="zh-CN"/>
        </w:rPr>
        <w:t>监测水质评价</w:t>
      </w:r>
    </w:p>
    <w:p>
      <w:pPr>
        <w:spacing w:line="360" w:lineRule="auto"/>
        <w:ind w:firstLine="480"/>
        <w:jc w:val="left"/>
        <w:rPr>
          <w:rFonts w:hint="default" w:ascii="Times New Roman" w:hAnsi="Times New Roman" w:cs="Times New Roman"/>
          <w:color w:val="auto"/>
          <w:lang w:val="en-US" w:eastAsia="zh-CN"/>
        </w:rPr>
      </w:pPr>
      <w:r>
        <w:rPr>
          <w:rFonts w:hint="default" w:ascii="Times New Roman" w:hAnsi="Times New Roman" w:cs="Times New Roman"/>
          <w:color w:val="auto"/>
        </w:rPr>
        <w:t>监测点位：</w:t>
      </w:r>
      <w:r>
        <w:rPr>
          <w:rFonts w:hint="default" w:ascii="Times New Roman" w:hAnsi="Times New Roman" w:cs="Times New Roman"/>
          <w:color w:val="auto"/>
          <w:lang w:val="en-US" w:eastAsia="zh-CN"/>
        </w:rPr>
        <w:t>拦河坝水厂原水（一号水井、二号水井汇水处）</w:t>
      </w:r>
    </w:p>
    <w:p>
      <w:pPr>
        <w:spacing w:line="360" w:lineRule="auto"/>
        <w:ind w:firstLine="480"/>
        <w:jc w:val="left"/>
        <w:rPr>
          <w:rFonts w:hint="default" w:ascii="Times New Roman" w:hAnsi="Times New Roman" w:cs="Times New Roman"/>
          <w:color w:val="auto"/>
        </w:rPr>
      </w:pPr>
      <w:r>
        <w:rPr>
          <w:rFonts w:hint="default" w:ascii="Times New Roman" w:hAnsi="Times New Roman" w:cs="Times New Roman"/>
          <w:color w:val="auto"/>
        </w:rPr>
        <w:t>监测频次：监测一次</w:t>
      </w:r>
    </w:p>
    <w:p>
      <w:pPr>
        <w:spacing w:line="360" w:lineRule="auto"/>
        <w:ind w:firstLine="480"/>
        <w:jc w:val="left"/>
        <w:rPr>
          <w:rFonts w:hint="default" w:ascii="Times New Roman" w:hAnsi="Times New Roman" w:cs="Times New Roman"/>
          <w:color w:val="auto"/>
        </w:rPr>
      </w:pPr>
      <w:r>
        <w:rPr>
          <w:rFonts w:hint="default" w:ascii="Times New Roman" w:hAnsi="Times New Roman" w:cs="Times New Roman"/>
          <w:color w:val="auto"/>
        </w:rPr>
        <w:t>监测指标：《地下水质量标准》（GB/T14848-2017）中表1</w:t>
      </w:r>
      <w:r>
        <w:rPr>
          <w:rFonts w:hint="default" w:ascii="Times New Roman" w:hAnsi="Times New Roman" w:cs="Times New Roman"/>
          <w:color w:val="auto"/>
          <w:lang w:eastAsia="zh-CN"/>
        </w:rPr>
        <w:t>中</w:t>
      </w:r>
      <w:r>
        <w:rPr>
          <w:rFonts w:hint="default" w:ascii="Times New Roman" w:hAnsi="Times New Roman" w:cs="Times New Roman"/>
          <w:color w:val="auto"/>
        </w:rPr>
        <w:t>的指标因子</w:t>
      </w:r>
      <w:r>
        <w:rPr>
          <w:rFonts w:hint="default" w:ascii="Times New Roman" w:hAnsi="Times New Roman" w:cs="Times New Roman"/>
          <w:color w:val="auto"/>
          <w:lang w:eastAsia="zh-CN"/>
        </w:rPr>
        <w:t>（碘化物、放射性指标除外），</w:t>
      </w:r>
      <w:r>
        <w:rPr>
          <w:rFonts w:hint="default" w:ascii="Times New Roman" w:hAnsi="Times New Roman" w:cs="Times New Roman"/>
          <w:color w:val="auto"/>
          <w:lang w:val="en-US" w:eastAsia="zh-CN"/>
        </w:rPr>
        <w:t>共36项</w:t>
      </w:r>
      <w:r>
        <w:rPr>
          <w:rFonts w:hint="default" w:ascii="Times New Roman" w:hAnsi="Times New Roman" w:cs="Times New Roman"/>
          <w:color w:val="auto"/>
        </w:rPr>
        <w:t>。</w:t>
      </w:r>
    </w:p>
    <w:p>
      <w:pPr>
        <w:adjustRightInd/>
        <w:spacing w:line="240" w:lineRule="auto"/>
        <w:ind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表2-4-</w:t>
      </w:r>
      <w:r>
        <w:rPr>
          <w:rFonts w:hint="default" w:ascii="Times New Roman" w:hAnsi="Times New Roman" w:eastAsia="宋体" w:cs="Times New Roman"/>
          <w:b/>
          <w:sz w:val="21"/>
          <w:szCs w:val="21"/>
          <w:lang w:val="en-US" w:eastAsia="zh-CN"/>
        </w:rPr>
        <w:t>4</w:t>
      </w:r>
      <w:r>
        <w:rPr>
          <w:rFonts w:hint="default" w:ascii="Times New Roman" w:hAnsi="Times New Roman" w:eastAsia="宋体" w:cs="Times New Roman"/>
          <w:b/>
          <w:sz w:val="21"/>
          <w:szCs w:val="21"/>
        </w:rPr>
        <w:t xml:space="preserve">    2019年湘阴县</w:t>
      </w:r>
      <w:r>
        <w:rPr>
          <w:rFonts w:hint="default" w:ascii="Times New Roman" w:hAnsi="Times New Roman" w:eastAsia="宋体" w:cs="Times New Roman"/>
          <w:b/>
          <w:sz w:val="21"/>
          <w:szCs w:val="21"/>
          <w:lang w:val="en-US" w:eastAsia="zh-CN"/>
        </w:rPr>
        <w:t>三塘镇拦河坝</w:t>
      </w:r>
      <w:r>
        <w:rPr>
          <w:rFonts w:hint="default" w:ascii="Times New Roman" w:hAnsi="Times New Roman" w:eastAsia="宋体" w:cs="Times New Roman"/>
          <w:b/>
          <w:sz w:val="21"/>
          <w:szCs w:val="21"/>
        </w:rPr>
        <w:t>水厂原水水质检测明细表</w:t>
      </w:r>
    </w:p>
    <w:tbl>
      <w:tblPr>
        <w:tblStyle w:val="19"/>
        <w:tblW w:w="8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2169"/>
        <w:gridCol w:w="1375"/>
        <w:gridCol w:w="1205"/>
        <w:gridCol w:w="695"/>
        <w:gridCol w:w="2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vMerge w:val="restart"/>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bookmarkStart w:id="126" w:name="_Toc453061578"/>
            <w:bookmarkStart w:id="127" w:name="_Toc438805134"/>
            <w:bookmarkStart w:id="128" w:name="_Toc453061732"/>
            <w:r>
              <w:rPr>
                <w:rFonts w:hint="default" w:ascii="Times New Roman" w:hAnsi="Times New Roman" w:eastAsia="宋体" w:cs="Times New Roman"/>
                <w:kern w:val="0"/>
                <w:sz w:val="21"/>
                <w:szCs w:val="21"/>
              </w:rPr>
              <w:t>序号</w:t>
            </w:r>
          </w:p>
        </w:tc>
        <w:tc>
          <w:tcPr>
            <w:tcW w:w="2169" w:type="dxa"/>
            <w:vMerge w:val="restart"/>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检验项目名称</w:t>
            </w:r>
          </w:p>
        </w:tc>
        <w:tc>
          <w:tcPr>
            <w:tcW w:w="1375" w:type="dxa"/>
            <w:vMerge w:val="restart"/>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单位</w:t>
            </w:r>
          </w:p>
        </w:tc>
        <w:tc>
          <w:tcPr>
            <w:tcW w:w="120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检测结果</w:t>
            </w:r>
          </w:p>
        </w:tc>
        <w:tc>
          <w:tcPr>
            <w:tcW w:w="69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评价标准</w:t>
            </w:r>
          </w:p>
        </w:tc>
        <w:tc>
          <w:tcPr>
            <w:tcW w:w="2117"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《地下水质量标准》（GB/T14848-2017）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vMerge w:val="continue"/>
            <w:tcBorders>
              <w:tl2br w:val="nil"/>
              <w:tr2bl w:val="nil"/>
            </w:tcBorders>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p>
        </w:tc>
        <w:tc>
          <w:tcPr>
            <w:tcW w:w="2169" w:type="dxa"/>
            <w:vMerge w:val="continue"/>
            <w:tcBorders>
              <w:tl2br w:val="nil"/>
              <w:tr2bl w:val="nil"/>
            </w:tcBorders>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p>
        </w:tc>
        <w:tc>
          <w:tcPr>
            <w:tcW w:w="1375" w:type="dxa"/>
            <w:vMerge w:val="continue"/>
            <w:tcBorders>
              <w:tl2br w:val="nil"/>
              <w:tr2bl w:val="nil"/>
            </w:tcBorders>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p>
        </w:tc>
        <w:tc>
          <w:tcPr>
            <w:tcW w:w="120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2019年</w:t>
            </w:r>
          </w:p>
        </w:tc>
        <w:tc>
          <w:tcPr>
            <w:tcW w:w="2812" w:type="dxa"/>
            <w:gridSpan w:val="2"/>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评价类别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216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色度</w:t>
            </w:r>
          </w:p>
        </w:tc>
        <w:tc>
          <w:tcPr>
            <w:tcW w:w="137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val="en-US" w:eastAsia="zh-CN"/>
              </w:rPr>
              <w:t>度</w:t>
            </w:r>
          </w:p>
        </w:tc>
        <w:tc>
          <w:tcPr>
            <w:tcW w:w="120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8</w:t>
            </w:r>
          </w:p>
        </w:tc>
        <w:tc>
          <w:tcPr>
            <w:tcW w:w="2812" w:type="dxa"/>
            <w:gridSpan w:val="2"/>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216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臭和味</w:t>
            </w:r>
          </w:p>
        </w:tc>
        <w:tc>
          <w:tcPr>
            <w:tcW w:w="137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w:t>
            </w:r>
          </w:p>
        </w:tc>
        <w:tc>
          <w:tcPr>
            <w:tcW w:w="120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无</w:t>
            </w:r>
          </w:p>
        </w:tc>
        <w:tc>
          <w:tcPr>
            <w:tcW w:w="2812" w:type="dxa"/>
            <w:gridSpan w:val="2"/>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c>
          <w:tcPr>
            <w:tcW w:w="216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浊度</w:t>
            </w:r>
          </w:p>
        </w:tc>
        <w:tc>
          <w:tcPr>
            <w:tcW w:w="137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val="en-US" w:eastAsia="zh-CN"/>
              </w:rPr>
              <w:t>NTU</w:t>
            </w:r>
          </w:p>
        </w:tc>
        <w:tc>
          <w:tcPr>
            <w:tcW w:w="120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0.6</w:t>
            </w:r>
          </w:p>
        </w:tc>
        <w:tc>
          <w:tcPr>
            <w:tcW w:w="2812" w:type="dxa"/>
            <w:gridSpan w:val="2"/>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w:t>
            </w:r>
          </w:p>
        </w:tc>
        <w:tc>
          <w:tcPr>
            <w:tcW w:w="216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肉眼可见物</w:t>
            </w:r>
          </w:p>
        </w:tc>
        <w:tc>
          <w:tcPr>
            <w:tcW w:w="137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w:t>
            </w:r>
          </w:p>
        </w:tc>
        <w:tc>
          <w:tcPr>
            <w:tcW w:w="120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无</w:t>
            </w:r>
          </w:p>
        </w:tc>
        <w:tc>
          <w:tcPr>
            <w:tcW w:w="2812" w:type="dxa"/>
            <w:gridSpan w:val="2"/>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w:t>
            </w:r>
          </w:p>
        </w:tc>
        <w:tc>
          <w:tcPr>
            <w:tcW w:w="216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PH值</w:t>
            </w:r>
          </w:p>
        </w:tc>
        <w:tc>
          <w:tcPr>
            <w:tcW w:w="137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PH单位</w:t>
            </w:r>
          </w:p>
        </w:tc>
        <w:tc>
          <w:tcPr>
            <w:tcW w:w="120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6.</w:t>
            </w:r>
            <w:r>
              <w:rPr>
                <w:rFonts w:hint="eastAsia" w:ascii="Times New Roman" w:hAnsi="Times New Roman" w:eastAsia="宋体" w:cs="Times New Roman"/>
                <w:kern w:val="0"/>
                <w:sz w:val="21"/>
                <w:szCs w:val="21"/>
                <w:lang w:val="en-US" w:eastAsia="zh-CN"/>
              </w:rPr>
              <w:t>88</w:t>
            </w:r>
          </w:p>
        </w:tc>
        <w:tc>
          <w:tcPr>
            <w:tcW w:w="2812" w:type="dxa"/>
            <w:gridSpan w:val="2"/>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6</w:t>
            </w:r>
          </w:p>
        </w:tc>
        <w:tc>
          <w:tcPr>
            <w:tcW w:w="216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总硬度</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lang w:val="en-US" w:eastAsia="zh-CN"/>
              </w:rPr>
              <w:t>以CaCO</w:t>
            </w:r>
            <w:r>
              <w:rPr>
                <w:rFonts w:hint="default" w:ascii="Times New Roman" w:hAnsi="Times New Roman" w:eastAsia="宋体" w:cs="Times New Roman"/>
                <w:kern w:val="0"/>
                <w:sz w:val="21"/>
                <w:szCs w:val="21"/>
                <w:vertAlign w:val="subscript"/>
                <w:lang w:val="en-US" w:eastAsia="zh-CN"/>
              </w:rPr>
              <w:t>3</w:t>
            </w:r>
            <w:r>
              <w:rPr>
                <w:rFonts w:hint="default" w:ascii="Times New Roman" w:hAnsi="Times New Roman" w:eastAsia="宋体" w:cs="Times New Roman"/>
                <w:kern w:val="0"/>
                <w:sz w:val="21"/>
                <w:szCs w:val="21"/>
                <w:lang w:val="en-US" w:eastAsia="zh-CN"/>
              </w:rPr>
              <w:t>计</w:t>
            </w:r>
            <w:r>
              <w:rPr>
                <w:rFonts w:hint="default" w:ascii="Times New Roman" w:hAnsi="Times New Roman" w:eastAsia="宋体" w:cs="Times New Roman"/>
                <w:kern w:val="0"/>
                <w:sz w:val="21"/>
                <w:szCs w:val="21"/>
                <w:lang w:eastAsia="zh-CN"/>
              </w:rPr>
              <w:t>）</w:t>
            </w:r>
          </w:p>
        </w:tc>
        <w:tc>
          <w:tcPr>
            <w:tcW w:w="137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20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14</w:t>
            </w:r>
            <w:r>
              <w:rPr>
                <w:rFonts w:hint="eastAsia" w:ascii="Times New Roman" w:hAnsi="Times New Roman" w:eastAsia="宋体" w:cs="Times New Roman"/>
                <w:kern w:val="0"/>
                <w:sz w:val="21"/>
                <w:szCs w:val="21"/>
                <w:lang w:val="en-US" w:eastAsia="zh-CN"/>
              </w:rPr>
              <w:t>9</w:t>
            </w:r>
          </w:p>
        </w:tc>
        <w:tc>
          <w:tcPr>
            <w:tcW w:w="2812" w:type="dxa"/>
            <w:gridSpan w:val="2"/>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w:t>
            </w:r>
          </w:p>
        </w:tc>
        <w:tc>
          <w:tcPr>
            <w:tcW w:w="216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溶解性总固体</w:t>
            </w:r>
          </w:p>
        </w:tc>
        <w:tc>
          <w:tcPr>
            <w:tcW w:w="137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20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w:t>
            </w:r>
            <w:r>
              <w:rPr>
                <w:rFonts w:hint="eastAsia" w:ascii="Times New Roman" w:hAnsi="Times New Roman" w:eastAsia="宋体" w:cs="Times New Roman"/>
                <w:kern w:val="0"/>
                <w:sz w:val="21"/>
                <w:szCs w:val="21"/>
                <w:lang w:val="en-US" w:eastAsia="zh-CN"/>
              </w:rPr>
              <w:t>16</w:t>
            </w:r>
          </w:p>
        </w:tc>
        <w:tc>
          <w:tcPr>
            <w:tcW w:w="2812" w:type="dxa"/>
            <w:gridSpan w:val="2"/>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8</w:t>
            </w:r>
          </w:p>
        </w:tc>
        <w:tc>
          <w:tcPr>
            <w:tcW w:w="216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硫酸盐</w:t>
            </w:r>
          </w:p>
        </w:tc>
        <w:tc>
          <w:tcPr>
            <w:tcW w:w="137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20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w:t>
            </w:r>
            <w:r>
              <w:rPr>
                <w:rFonts w:hint="eastAsia" w:ascii="Times New Roman" w:hAnsi="Times New Roman" w:eastAsia="宋体" w:cs="Times New Roman"/>
                <w:kern w:val="0"/>
                <w:sz w:val="21"/>
                <w:szCs w:val="21"/>
                <w:lang w:val="en-US" w:eastAsia="zh-CN"/>
              </w:rPr>
              <w:t>7.1</w:t>
            </w:r>
          </w:p>
        </w:tc>
        <w:tc>
          <w:tcPr>
            <w:tcW w:w="2812" w:type="dxa"/>
            <w:gridSpan w:val="2"/>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9</w:t>
            </w:r>
          </w:p>
        </w:tc>
        <w:tc>
          <w:tcPr>
            <w:tcW w:w="216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氯化物</w:t>
            </w:r>
          </w:p>
        </w:tc>
        <w:tc>
          <w:tcPr>
            <w:tcW w:w="137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20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49.2</w:t>
            </w:r>
          </w:p>
        </w:tc>
        <w:tc>
          <w:tcPr>
            <w:tcW w:w="2812" w:type="dxa"/>
            <w:gridSpan w:val="2"/>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w:t>
            </w:r>
          </w:p>
        </w:tc>
        <w:tc>
          <w:tcPr>
            <w:tcW w:w="216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铁</w:t>
            </w:r>
          </w:p>
        </w:tc>
        <w:tc>
          <w:tcPr>
            <w:tcW w:w="137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20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0.1</w:t>
            </w:r>
            <w:r>
              <w:rPr>
                <w:rFonts w:hint="eastAsia" w:ascii="Times New Roman" w:hAnsi="Times New Roman" w:eastAsia="宋体" w:cs="Times New Roman"/>
                <w:kern w:val="0"/>
                <w:sz w:val="21"/>
                <w:szCs w:val="21"/>
                <w:lang w:val="en-US" w:eastAsia="zh-CN"/>
              </w:rPr>
              <w:t>34</w:t>
            </w:r>
          </w:p>
        </w:tc>
        <w:tc>
          <w:tcPr>
            <w:tcW w:w="2812" w:type="dxa"/>
            <w:gridSpan w:val="2"/>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11</w:t>
            </w:r>
          </w:p>
        </w:tc>
        <w:tc>
          <w:tcPr>
            <w:tcW w:w="216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锰</w:t>
            </w:r>
          </w:p>
        </w:tc>
        <w:tc>
          <w:tcPr>
            <w:tcW w:w="137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20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ND</w:t>
            </w:r>
          </w:p>
        </w:tc>
        <w:tc>
          <w:tcPr>
            <w:tcW w:w="2812" w:type="dxa"/>
            <w:gridSpan w:val="2"/>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12</w:t>
            </w:r>
          </w:p>
        </w:tc>
        <w:tc>
          <w:tcPr>
            <w:tcW w:w="216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铜</w:t>
            </w:r>
          </w:p>
        </w:tc>
        <w:tc>
          <w:tcPr>
            <w:tcW w:w="137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20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ND</w:t>
            </w:r>
          </w:p>
        </w:tc>
        <w:tc>
          <w:tcPr>
            <w:tcW w:w="2812" w:type="dxa"/>
            <w:gridSpan w:val="2"/>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13</w:t>
            </w:r>
          </w:p>
        </w:tc>
        <w:tc>
          <w:tcPr>
            <w:tcW w:w="216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锌</w:t>
            </w:r>
          </w:p>
        </w:tc>
        <w:tc>
          <w:tcPr>
            <w:tcW w:w="137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20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ND</w:t>
            </w:r>
          </w:p>
        </w:tc>
        <w:tc>
          <w:tcPr>
            <w:tcW w:w="2812" w:type="dxa"/>
            <w:gridSpan w:val="2"/>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w:t>
            </w:r>
          </w:p>
        </w:tc>
        <w:tc>
          <w:tcPr>
            <w:tcW w:w="216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铝</w:t>
            </w:r>
          </w:p>
        </w:tc>
        <w:tc>
          <w:tcPr>
            <w:tcW w:w="137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20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ND</w:t>
            </w:r>
          </w:p>
        </w:tc>
        <w:tc>
          <w:tcPr>
            <w:tcW w:w="2812" w:type="dxa"/>
            <w:gridSpan w:val="2"/>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15</w:t>
            </w:r>
          </w:p>
        </w:tc>
        <w:tc>
          <w:tcPr>
            <w:tcW w:w="216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挥发酚类（以苯酚计）</w:t>
            </w:r>
          </w:p>
        </w:tc>
        <w:tc>
          <w:tcPr>
            <w:tcW w:w="137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20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ND</w:t>
            </w:r>
          </w:p>
        </w:tc>
        <w:tc>
          <w:tcPr>
            <w:tcW w:w="2812" w:type="dxa"/>
            <w:gridSpan w:val="2"/>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16</w:t>
            </w:r>
          </w:p>
        </w:tc>
        <w:tc>
          <w:tcPr>
            <w:tcW w:w="216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阴离子表面活性剂</w:t>
            </w:r>
          </w:p>
        </w:tc>
        <w:tc>
          <w:tcPr>
            <w:tcW w:w="137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20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ND</w:t>
            </w:r>
          </w:p>
        </w:tc>
        <w:tc>
          <w:tcPr>
            <w:tcW w:w="2812" w:type="dxa"/>
            <w:gridSpan w:val="2"/>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17</w:t>
            </w:r>
          </w:p>
        </w:tc>
        <w:tc>
          <w:tcPr>
            <w:tcW w:w="216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耗氧量</w:t>
            </w:r>
          </w:p>
        </w:tc>
        <w:tc>
          <w:tcPr>
            <w:tcW w:w="137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20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0.</w:t>
            </w:r>
            <w:r>
              <w:rPr>
                <w:rFonts w:hint="eastAsia" w:ascii="Times New Roman" w:hAnsi="Times New Roman" w:eastAsia="宋体" w:cs="Times New Roman"/>
                <w:kern w:val="0"/>
                <w:sz w:val="21"/>
                <w:szCs w:val="21"/>
                <w:lang w:val="en-US" w:eastAsia="zh-CN"/>
              </w:rPr>
              <w:t>38</w:t>
            </w:r>
          </w:p>
        </w:tc>
        <w:tc>
          <w:tcPr>
            <w:tcW w:w="2812" w:type="dxa"/>
            <w:gridSpan w:val="2"/>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18</w:t>
            </w:r>
          </w:p>
        </w:tc>
        <w:tc>
          <w:tcPr>
            <w:tcW w:w="216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val="en-US" w:eastAsia="zh-CN"/>
              </w:rPr>
              <w:t>氨氮</w:t>
            </w:r>
          </w:p>
        </w:tc>
        <w:tc>
          <w:tcPr>
            <w:tcW w:w="137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20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0.</w:t>
            </w:r>
            <w:r>
              <w:rPr>
                <w:rFonts w:hint="eastAsia" w:ascii="Times New Roman" w:hAnsi="Times New Roman" w:eastAsia="宋体" w:cs="Times New Roman"/>
                <w:kern w:val="0"/>
                <w:sz w:val="21"/>
                <w:szCs w:val="21"/>
                <w:lang w:val="en-US" w:eastAsia="zh-CN"/>
              </w:rPr>
              <w:t>17</w:t>
            </w:r>
          </w:p>
        </w:tc>
        <w:tc>
          <w:tcPr>
            <w:tcW w:w="2812" w:type="dxa"/>
            <w:gridSpan w:val="2"/>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19</w:t>
            </w:r>
          </w:p>
        </w:tc>
        <w:tc>
          <w:tcPr>
            <w:tcW w:w="216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硫化物</w:t>
            </w:r>
          </w:p>
        </w:tc>
        <w:tc>
          <w:tcPr>
            <w:tcW w:w="137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20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ND</w:t>
            </w:r>
          </w:p>
        </w:tc>
        <w:tc>
          <w:tcPr>
            <w:tcW w:w="2812" w:type="dxa"/>
            <w:gridSpan w:val="2"/>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w:t>
            </w:r>
          </w:p>
        </w:tc>
        <w:tc>
          <w:tcPr>
            <w:tcW w:w="216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钠</w:t>
            </w:r>
          </w:p>
        </w:tc>
        <w:tc>
          <w:tcPr>
            <w:tcW w:w="137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20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28.</w:t>
            </w:r>
            <w:r>
              <w:rPr>
                <w:rFonts w:hint="eastAsia" w:ascii="Times New Roman" w:hAnsi="Times New Roman" w:eastAsia="宋体" w:cs="Times New Roman"/>
                <w:kern w:val="0"/>
                <w:sz w:val="21"/>
                <w:szCs w:val="21"/>
                <w:lang w:val="en-US" w:eastAsia="zh-CN"/>
              </w:rPr>
              <w:t>0</w:t>
            </w:r>
          </w:p>
        </w:tc>
        <w:tc>
          <w:tcPr>
            <w:tcW w:w="2812" w:type="dxa"/>
            <w:gridSpan w:val="2"/>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21</w:t>
            </w:r>
          </w:p>
        </w:tc>
        <w:tc>
          <w:tcPr>
            <w:tcW w:w="216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总大肠菌群</w:t>
            </w:r>
          </w:p>
        </w:tc>
        <w:tc>
          <w:tcPr>
            <w:tcW w:w="137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MPN/100mL</w:t>
            </w:r>
          </w:p>
        </w:tc>
        <w:tc>
          <w:tcPr>
            <w:tcW w:w="120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未检出</w:t>
            </w:r>
            <w:r>
              <w:rPr>
                <w:rFonts w:hint="eastAsia" w:ascii="Times New Roman" w:hAnsi="Times New Roman" w:eastAsia="宋体" w:cs="Times New Roman"/>
                <w:kern w:val="0"/>
                <w:sz w:val="21"/>
                <w:szCs w:val="21"/>
                <w:lang w:val="en-US" w:eastAsia="zh-CN"/>
              </w:rPr>
              <w:t>（&lt;2）</w:t>
            </w:r>
          </w:p>
        </w:tc>
        <w:tc>
          <w:tcPr>
            <w:tcW w:w="2812" w:type="dxa"/>
            <w:gridSpan w:val="2"/>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22</w:t>
            </w:r>
          </w:p>
        </w:tc>
        <w:tc>
          <w:tcPr>
            <w:tcW w:w="216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菌落总数</w:t>
            </w:r>
          </w:p>
        </w:tc>
        <w:tc>
          <w:tcPr>
            <w:tcW w:w="137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CFU/mL</w:t>
            </w:r>
          </w:p>
        </w:tc>
        <w:tc>
          <w:tcPr>
            <w:tcW w:w="120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34</w:t>
            </w:r>
          </w:p>
        </w:tc>
        <w:tc>
          <w:tcPr>
            <w:tcW w:w="2812" w:type="dxa"/>
            <w:gridSpan w:val="2"/>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23</w:t>
            </w:r>
          </w:p>
        </w:tc>
        <w:tc>
          <w:tcPr>
            <w:tcW w:w="216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eastAsia="zh-CN"/>
              </w:rPr>
              <w:t>亚</w:t>
            </w:r>
            <w:r>
              <w:rPr>
                <w:rFonts w:hint="default" w:ascii="Times New Roman" w:hAnsi="Times New Roman" w:eastAsia="宋体" w:cs="Times New Roman"/>
                <w:kern w:val="0"/>
                <w:sz w:val="21"/>
                <w:szCs w:val="21"/>
              </w:rPr>
              <w:t>硝酸盐</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lang w:val="en-US" w:eastAsia="zh-CN"/>
              </w:rPr>
              <w:t>以N计</w:t>
            </w:r>
            <w:r>
              <w:rPr>
                <w:rFonts w:hint="default" w:ascii="Times New Roman" w:hAnsi="Times New Roman" w:eastAsia="宋体" w:cs="Times New Roman"/>
                <w:kern w:val="0"/>
                <w:sz w:val="21"/>
                <w:szCs w:val="21"/>
                <w:lang w:eastAsia="zh-CN"/>
              </w:rPr>
              <w:t>）</w:t>
            </w:r>
          </w:p>
        </w:tc>
        <w:tc>
          <w:tcPr>
            <w:tcW w:w="137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20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ND</w:t>
            </w:r>
          </w:p>
        </w:tc>
        <w:tc>
          <w:tcPr>
            <w:tcW w:w="2812" w:type="dxa"/>
            <w:gridSpan w:val="2"/>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24</w:t>
            </w:r>
          </w:p>
        </w:tc>
        <w:tc>
          <w:tcPr>
            <w:tcW w:w="216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硝酸盐</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lang w:val="en-US" w:eastAsia="zh-CN"/>
              </w:rPr>
              <w:t>以N计</w:t>
            </w:r>
            <w:r>
              <w:rPr>
                <w:rFonts w:hint="default" w:ascii="Times New Roman" w:hAnsi="Times New Roman" w:eastAsia="宋体" w:cs="Times New Roman"/>
                <w:kern w:val="0"/>
                <w:sz w:val="21"/>
                <w:szCs w:val="21"/>
                <w:lang w:eastAsia="zh-CN"/>
              </w:rPr>
              <w:t>）</w:t>
            </w:r>
          </w:p>
        </w:tc>
        <w:tc>
          <w:tcPr>
            <w:tcW w:w="137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20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w:t>
            </w:r>
            <w:r>
              <w:rPr>
                <w:rFonts w:hint="eastAsia" w:ascii="Times New Roman" w:hAnsi="Times New Roman" w:eastAsia="宋体" w:cs="Times New Roman"/>
                <w:kern w:val="0"/>
                <w:sz w:val="21"/>
                <w:szCs w:val="21"/>
                <w:lang w:val="en-US" w:eastAsia="zh-CN"/>
              </w:rPr>
              <w:t>54</w:t>
            </w:r>
          </w:p>
        </w:tc>
        <w:tc>
          <w:tcPr>
            <w:tcW w:w="2812" w:type="dxa"/>
            <w:gridSpan w:val="2"/>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25</w:t>
            </w:r>
          </w:p>
        </w:tc>
        <w:tc>
          <w:tcPr>
            <w:tcW w:w="216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氰化物</w:t>
            </w:r>
          </w:p>
        </w:tc>
        <w:tc>
          <w:tcPr>
            <w:tcW w:w="137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20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ND</w:t>
            </w:r>
          </w:p>
        </w:tc>
        <w:tc>
          <w:tcPr>
            <w:tcW w:w="2812" w:type="dxa"/>
            <w:gridSpan w:val="2"/>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26</w:t>
            </w:r>
          </w:p>
        </w:tc>
        <w:tc>
          <w:tcPr>
            <w:tcW w:w="216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氟化物</w:t>
            </w:r>
          </w:p>
        </w:tc>
        <w:tc>
          <w:tcPr>
            <w:tcW w:w="137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20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0.05</w:t>
            </w:r>
            <w:r>
              <w:rPr>
                <w:rFonts w:hint="eastAsia" w:ascii="Times New Roman" w:hAnsi="Times New Roman" w:eastAsia="宋体" w:cs="Times New Roman"/>
                <w:kern w:val="0"/>
                <w:sz w:val="21"/>
                <w:szCs w:val="21"/>
                <w:lang w:val="en-US" w:eastAsia="zh-CN"/>
              </w:rPr>
              <w:t>6</w:t>
            </w:r>
          </w:p>
        </w:tc>
        <w:tc>
          <w:tcPr>
            <w:tcW w:w="2812" w:type="dxa"/>
            <w:gridSpan w:val="2"/>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27</w:t>
            </w:r>
          </w:p>
        </w:tc>
        <w:tc>
          <w:tcPr>
            <w:tcW w:w="216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汞</w:t>
            </w:r>
          </w:p>
        </w:tc>
        <w:tc>
          <w:tcPr>
            <w:tcW w:w="137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20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ND</w:t>
            </w:r>
          </w:p>
        </w:tc>
        <w:tc>
          <w:tcPr>
            <w:tcW w:w="2812" w:type="dxa"/>
            <w:gridSpan w:val="2"/>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28</w:t>
            </w:r>
          </w:p>
        </w:tc>
        <w:tc>
          <w:tcPr>
            <w:tcW w:w="216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砷</w:t>
            </w:r>
          </w:p>
        </w:tc>
        <w:tc>
          <w:tcPr>
            <w:tcW w:w="137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20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ND</w:t>
            </w:r>
          </w:p>
        </w:tc>
        <w:tc>
          <w:tcPr>
            <w:tcW w:w="2812" w:type="dxa"/>
            <w:gridSpan w:val="2"/>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29</w:t>
            </w:r>
          </w:p>
        </w:tc>
        <w:tc>
          <w:tcPr>
            <w:tcW w:w="216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硒</w:t>
            </w:r>
          </w:p>
        </w:tc>
        <w:tc>
          <w:tcPr>
            <w:tcW w:w="137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20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ND</w:t>
            </w:r>
          </w:p>
        </w:tc>
        <w:tc>
          <w:tcPr>
            <w:tcW w:w="2812" w:type="dxa"/>
            <w:gridSpan w:val="2"/>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30</w:t>
            </w:r>
          </w:p>
        </w:tc>
        <w:tc>
          <w:tcPr>
            <w:tcW w:w="216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镉</w:t>
            </w:r>
          </w:p>
        </w:tc>
        <w:tc>
          <w:tcPr>
            <w:tcW w:w="137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20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ND</w:t>
            </w:r>
          </w:p>
        </w:tc>
        <w:tc>
          <w:tcPr>
            <w:tcW w:w="2812" w:type="dxa"/>
            <w:gridSpan w:val="2"/>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31</w:t>
            </w:r>
          </w:p>
        </w:tc>
        <w:tc>
          <w:tcPr>
            <w:tcW w:w="216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铬（六价）</w:t>
            </w:r>
          </w:p>
        </w:tc>
        <w:tc>
          <w:tcPr>
            <w:tcW w:w="137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20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ND</w:t>
            </w:r>
          </w:p>
        </w:tc>
        <w:tc>
          <w:tcPr>
            <w:tcW w:w="2812" w:type="dxa"/>
            <w:gridSpan w:val="2"/>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32</w:t>
            </w:r>
          </w:p>
        </w:tc>
        <w:tc>
          <w:tcPr>
            <w:tcW w:w="216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铅</w:t>
            </w:r>
          </w:p>
        </w:tc>
        <w:tc>
          <w:tcPr>
            <w:tcW w:w="137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mg/L</w:t>
            </w:r>
          </w:p>
        </w:tc>
        <w:tc>
          <w:tcPr>
            <w:tcW w:w="120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rPr>
            </w:pPr>
            <w:r>
              <w:rPr>
                <w:rFonts w:hint="default" w:ascii="Times New Roman" w:hAnsi="Times New Roman" w:eastAsia="宋体" w:cs="Times New Roman"/>
                <w:kern w:val="0"/>
                <w:sz w:val="21"/>
                <w:szCs w:val="21"/>
                <w:lang w:val="en-US" w:eastAsia="zh-CN"/>
              </w:rPr>
              <w:t>ND</w:t>
            </w:r>
          </w:p>
        </w:tc>
        <w:tc>
          <w:tcPr>
            <w:tcW w:w="2812" w:type="dxa"/>
            <w:gridSpan w:val="2"/>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33</w:t>
            </w:r>
          </w:p>
        </w:tc>
        <w:tc>
          <w:tcPr>
            <w:tcW w:w="216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三氯甲烷</w:t>
            </w:r>
          </w:p>
        </w:tc>
        <w:tc>
          <w:tcPr>
            <w:tcW w:w="137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u</w:t>
            </w:r>
            <w:r>
              <w:rPr>
                <w:rFonts w:hint="default" w:ascii="Times New Roman" w:hAnsi="Times New Roman" w:eastAsia="宋体" w:cs="Times New Roman"/>
                <w:kern w:val="0"/>
                <w:sz w:val="21"/>
                <w:szCs w:val="21"/>
              </w:rPr>
              <w:t>g/L</w:t>
            </w:r>
          </w:p>
        </w:tc>
        <w:tc>
          <w:tcPr>
            <w:tcW w:w="120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rPr>
            </w:pPr>
            <w:r>
              <w:rPr>
                <w:rFonts w:hint="default" w:ascii="Times New Roman" w:hAnsi="Times New Roman" w:eastAsia="宋体" w:cs="Times New Roman"/>
                <w:kern w:val="0"/>
                <w:sz w:val="21"/>
                <w:szCs w:val="21"/>
                <w:lang w:val="en-US" w:eastAsia="zh-CN"/>
              </w:rPr>
              <w:t>ND</w:t>
            </w:r>
          </w:p>
        </w:tc>
        <w:tc>
          <w:tcPr>
            <w:tcW w:w="2812" w:type="dxa"/>
            <w:gridSpan w:val="2"/>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34</w:t>
            </w:r>
          </w:p>
        </w:tc>
        <w:tc>
          <w:tcPr>
            <w:tcW w:w="216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四氯化碳</w:t>
            </w:r>
          </w:p>
        </w:tc>
        <w:tc>
          <w:tcPr>
            <w:tcW w:w="137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u</w:t>
            </w:r>
            <w:r>
              <w:rPr>
                <w:rFonts w:hint="default" w:ascii="Times New Roman" w:hAnsi="Times New Roman" w:eastAsia="宋体" w:cs="Times New Roman"/>
                <w:kern w:val="0"/>
                <w:sz w:val="21"/>
                <w:szCs w:val="21"/>
              </w:rPr>
              <w:t>g/L</w:t>
            </w:r>
          </w:p>
        </w:tc>
        <w:tc>
          <w:tcPr>
            <w:tcW w:w="120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rPr>
            </w:pPr>
            <w:r>
              <w:rPr>
                <w:rFonts w:hint="default" w:ascii="Times New Roman" w:hAnsi="Times New Roman" w:eastAsia="宋体" w:cs="Times New Roman"/>
                <w:kern w:val="0"/>
                <w:sz w:val="21"/>
                <w:szCs w:val="21"/>
                <w:lang w:val="en-US" w:eastAsia="zh-CN"/>
              </w:rPr>
              <w:t>ND</w:t>
            </w:r>
          </w:p>
        </w:tc>
        <w:tc>
          <w:tcPr>
            <w:tcW w:w="2812" w:type="dxa"/>
            <w:gridSpan w:val="2"/>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35</w:t>
            </w:r>
          </w:p>
        </w:tc>
        <w:tc>
          <w:tcPr>
            <w:tcW w:w="216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苯</w:t>
            </w:r>
          </w:p>
        </w:tc>
        <w:tc>
          <w:tcPr>
            <w:tcW w:w="137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u</w:t>
            </w:r>
            <w:r>
              <w:rPr>
                <w:rFonts w:hint="default" w:ascii="Times New Roman" w:hAnsi="Times New Roman" w:eastAsia="宋体" w:cs="Times New Roman"/>
                <w:kern w:val="0"/>
                <w:sz w:val="21"/>
                <w:szCs w:val="21"/>
              </w:rPr>
              <w:t>g/L</w:t>
            </w:r>
          </w:p>
        </w:tc>
        <w:tc>
          <w:tcPr>
            <w:tcW w:w="120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rPr>
            </w:pPr>
            <w:r>
              <w:rPr>
                <w:rFonts w:hint="default" w:ascii="Times New Roman" w:hAnsi="Times New Roman" w:eastAsia="宋体" w:cs="Times New Roman"/>
                <w:kern w:val="0"/>
                <w:sz w:val="21"/>
                <w:szCs w:val="21"/>
                <w:lang w:val="en-US" w:eastAsia="zh-CN"/>
              </w:rPr>
              <w:t>ND</w:t>
            </w:r>
          </w:p>
        </w:tc>
        <w:tc>
          <w:tcPr>
            <w:tcW w:w="2812" w:type="dxa"/>
            <w:gridSpan w:val="2"/>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36</w:t>
            </w:r>
          </w:p>
        </w:tc>
        <w:tc>
          <w:tcPr>
            <w:tcW w:w="2169"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甲苯</w:t>
            </w:r>
          </w:p>
        </w:tc>
        <w:tc>
          <w:tcPr>
            <w:tcW w:w="137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u</w:t>
            </w:r>
            <w:r>
              <w:rPr>
                <w:rFonts w:hint="default" w:ascii="Times New Roman" w:hAnsi="Times New Roman" w:eastAsia="宋体" w:cs="Times New Roman"/>
                <w:kern w:val="0"/>
                <w:sz w:val="21"/>
                <w:szCs w:val="21"/>
              </w:rPr>
              <w:t>g/L</w:t>
            </w:r>
          </w:p>
        </w:tc>
        <w:tc>
          <w:tcPr>
            <w:tcW w:w="1205" w:type="dxa"/>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ND</w:t>
            </w:r>
          </w:p>
        </w:tc>
        <w:tc>
          <w:tcPr>
            <w:tcW w:w="2812" w:type="dxa"/>
            <w:gridSpan w:val="2"/>
            <w:tcBorders>
              <w:tl2br w:val="nil"/>
              <w:tr2bl w:val="nil"/>
            </w:tcBorders>
            <w:shd w:val="clear" w:color="auto" w:fill="auto"/>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Ⅰ</w:t>
            </w:r>
          </w:p>
        </w:tc>
      </w:tr>
    </w:tbl>
    <w:p>
      <w:pPr>
        <w:spacing w:line="360" w:lineRule="auto"/>
        <w:ind w:firstLine="480"/>
        <w:jc w:val="left"/>
        <w:rPr>
          <w:rFonts w:hint="default" w:ascii="Times New Roman" w:hAnsi="Times New Roman" w:cs="Times New Roman"/>
          <w:color w:val="auto"/>
          <w:lang w:eastAsia="zh-CN"/>
        </w:rPr>
      </w:pPr>
      <w:r>
        <w:rPr>
          <w:rFonts w:hint="default" w:ascii="Times New Roman" w:hAnsi="Times New Roman" w:cs="Times New Roman"/>
          <w:color w:val="auto"/>
        </w:rPr>
        <w:t>从表2-4-</w:t>
      </w:r>
      <w:r>
        <w:rPr>
          <w:rFonts w:hint="default" w:ascii="Times New Roman" w:hAnsi="Times New Roman" w:cs="Times New Roman"/>
          <w:color w:val="auto"/>
          <w:lang w:val="en-US" w:eastAsia="zh-CN"/>
        </w:rPr>
        <w:t>4</w:t>
      </w:r>
      <w:r>
        <w:rPr>
          <w:rFonts w:hint="default" w:ascii="Times New Roman" w:hAnsi="Times New Roman" w:cs="Times New Roman"/>
          <w:color w:val="auto"/>
        </w:rPr>
        <w:t>分析可知，依据《地下水质量标准》（GB/T14848-2017），</w:t>
      </w:r>
      <w:r>
        <w:rPr>
          <w:rFonts w:hint="default" w:ascii="Times New Roman" w:hAnsi="Times New Roman" w:cs="Times New Roman"/>
          <w:color w:val="auto"/>
          <w:lang w:eastAsia="zh-CN"/>
        </w:rPr>
        <w:t>拦河坝</w:t>
      </w:r>
      <w:r>
        <w:rPr>
          <w:rFonts w:hint="default" w:ascii="Times New Roman" w:hAnsi="Times New Roman" w:cs="Times New Roman"/>
          <w:color w:val="auto"/>
        </w:rPr>
        <w:t>水厂地下水原水水质为Ⅲ类</w:t>
      </w:r>
      <w:r>
        <w:rPr>
          <w:rFonts w:hint="default" w:ascii="Times New Roman" w:hAnsi="Times New Roman" w:cs="Times New Roman"/>
          <w:color w:val="auto"/>
          <w:lang w:eastAsia="zh-CN"/>
        </w:rPr>
        <w:t>。</w:t>
      </w:r>
    </w:p>
    <w:bookmarkEnd w:id="126"/>
    <w:bookmarkEnd w:id="127"/>
    <w:bookmarkEnd w:id="128"/>
    <w:p>
      <w:pPr>
        <w:pStyle w:val="4"/>
        <w:spacing w:before="156" w:after="156"/>
        <w:rPr>
          <w:rFonts w:hint="eastAsia" w:asciiTheme="minorEastAsia" w:hAnsiTheme="minorEastAsia" w:eastAsiaTheme="minorEastAsia" w:cstheme="minorEastAsia"/>
          <w:b/>
          <w:bCs w:val="0"/>
        </w:rPr>
      </w:pPr>
      <w:bookmarkStart w:id="129" w:name="_Toc18327"/>
      <w:bookmarkStart w:id="130" w:name="_Toc3666"/>
      <w:bookmarkStart w:id="131" w:name="_Toc17062"/>
      <w:bookmarkStart w:id="132" w:name="_Toc453061735"/>
      <w:bookmarkStart w:id="133" w:name="_Toc453061581"/>
      <w:bookmarkStart w:id="134" w:name="_Toc438805135"/>
      <w:r>
        <w:rPr>
          <w:rFonts w:hint="eastAsia" w:asciiTheme="minorEastAsia" w:hAnsiTheme="minorEastAsia" w:eastAsiaTheme="minorEastAsia" w:cstheme="minorEastAsia"/>
          <w:b/>
          <w:bCs w:val="0"/>
        </w:rPr>
        <w:t>2.4.</w:t>
      </w:r>
      <w:r>
        <w:rPr>
          <w:rFonts w:hint="eastAsia" w:asciiTheme="minorEastAsia" w:hAnsiTheme="minorEastAsia" w:eastAsiaTheme="minorEastAsia" w:cstheme="minorEastAsia"/>
          <w:b/>
          <w:bCs w:val="0"/>
          <w:lang w:val="en-US" w:eastAsia="zh-CN"/>
        </w:rPr>
        <w:t>4</w:t>
      </w:r>
      <w:r>
        <w:rPr>
          <w:rFonts w:hint="eastAsia" w:asciiTheme="minorEastAsia" w:hAnsiTheme="minorEastAsia" w:eastAsiaTheme="minorEastAsia" w:cstheme="minorEastAsia"/>
          <w:b/>
          <w:bCs w:val="0"/>
        </w:rPr>
        <w:t>饮用水水源地污染状况分析</w:t>
      </w:r>
      <w:bookmarkEnd w:id="129"/>
      <w:bookmarkEnd w:id="130"/>
      <w:bookmarkEnd w:id="131"/>
    </w:p>
    <w:p>
      <w:pPr>
        <w:spacing w:line="360" w:lineRule="auto"/>
        <w:ind w:firstLine="480"/>
        <w:jc w:val="left"/>
        <w:rPr>
          <w:rFonts w:hint="eastAsia" w:ascii="Times New Roman" w:hAnsi="Times New Roman" w:cs="Times New Roman"/>
          <w:color w:val="auto"/>
        </w:rPr>
      </w:pPr>
      <w:r>
        <w:rPr>
          <w:rFonts w:hint="default" w:ascii="Times New Roman" w:hAnsi="Times New Roman" w:cs="Times New Roman"/>
          <w:color w:val="auto"/>
        </w:rPr>
        <w:t>根据《饮用水水源保护区划分技术规范》（HJ338-2018），污染调查范围分为两方面：一是调查水源地的补给区、径流区、排泄区。本水源地的重要补给区位于洞庭湖周边的山岗地，离本水源距离较远，不便于环境管理，水源地所在的洞庭湖盆地为主要排泄区。因此，结合水源地的水文地质条件，本次重点调查：取水井周边30m及</w:t>
      </w:r>
      <w:r>
        <w:rPr>
          <w:rFonts w:hint="eastAsia" w:ascii="Times New Roman" w:hAnsi="Times New Roman" w:cs="Times New Roman"/>
          <w:color w:val="auto"/>
        </w:rPr>
        <w:t>1k</w:t>
      </w:r>
      <w:r>
        <w:rPr>
          <w:rFonts w:hint="default" w:ascii="Times New Roman" w:hAnsi="Times New Roman" w:cs="Times New Roman"/>
          <w:color w:val="auto"/>
        </w:rPr>
        <w:t>m范围内的区域。调查对象主要为取水井周边30m范围内的点源、农业面源和潜在风险源，30m以外、1</w:t>
      </w:r>
      <w:r>
        <w:rPr>
          <w:rFonts w:hint="eastAsia" w:ascii="Times New Roman" w:hAnsi="Times New Roman" w:cs="Times New Roman"/>
          <w:color w:val="auto"/>
        </w:rPr>
        <w:t>k</w:t>
      </w:r>
      <w:r>
        <w:rPr>
          <w:rFonts w:hint="default" w:ascii="Times New Roman" w:hAnsi="Times New Roman" w:cs="Times New Roman"/>
          <w:color w:val="auto"/>
        </w:rPr>
        <w:t>m以内重大污染源和潜在风险源。</w:t>
      </w:r>
      <w:r>
        <w:rPr>
          <w:rFonts w:hint="eastAsia" w:ascii="Times New Roman" w:hAnsi="Times New Roman" w:cs="Times New Roman"/>
          <w:color w:val="auto"/>
        </w:rPr>
        <w:t>主要污染源位置分布见附图3。</w:t>
      </w:r>
    </w:p>
    <w:p>
      <w:pPr>
        <w:pStyle w:val="4"/>
        <w:spacing w:before="156" w:after="156"/>
        <w:rPr>
          <w:rFonts w:hint="eastAsia" w:asciiTheme="minorEastAsia" w:hAnsiTheme="minorEastAsia" w:eastAsiaTheme="minorEastAsia" w:cstheme="minorEastAsia"/>
          <w:b/>
          <w:bCs w:val="0"/>
        </w:rPr>
      </w:pPr>
      <w:bookmarkStart w:id="135" w:name="_Toc20398"/>
      <w:bookmarkStart w:id="136" w:name="_Toc5238"/>
      <w:r>
        <w:rPr>
          <w:rFonts w:hint="eastAsia" w:asciiTheme="minorEastAsia" w:hAnsiTheme="minorEastAsia" w:eastAsiaTheme="minorEastAsia" w:cstheme="minorEastAsia"/>
          <w:b/>
          <w:bCs w:val="0"/>
        </w:rPr>
        <w:t>2.4.</w:t>
      </w:r>
      <w:r>
        <w:rPr>
          <w:rFonts w:hint="eastAsia" w:asciiTheme="minorEastAsia" w:hAnsiTheme="minorEastAsia" w:eastAsiaTheme="minorEastAsia" w:cstheme="minorEastAsia"/>
          <w:b/>
          <w:bCs w:val="0"/>
          <w:lang w:val="en-US" w:eastAsia="zh-CN"/>
        </w:rPr>
        <w:t>5</w:t>
      </w:r>
      <w:r>
        <w:rPr>
          <w:rFonts w:hint="eastAsia" w:asciiTheme="minorEastAsia" w:hAnsiTheme="minorEastAsia" w:eastAsiaTheme="minorEastAsia" w:cstheme="minorEastAsia"/>
          <w:b/>
          <w:bCs w:val="0"/>
        </w:rPr>
        <w:t>保护区范围内</w:t>
      </w:r>
      <w:bookmarkEnd w:id="135"/>
      <w:bookmarkEnd w:id="136"/>
    </w:p>
    <w:p>
      <w:pPr>
        <w:spacing w:line="360" w:lineRule="auto"/>
        <w:ind w:firstLine="480"/>
        <w:jc w:val="left"/>
        <w:rPr>
          <w:rFonts w:hint="default" w:ascii="Times New Roman" w:hAnsi="Times New Roman" w:cs="Times New Roman"/>
          <w:color w:val="auto"/>
        </w:rPr>
      </w:pPr>
      <w:r>
        <w:rPr>
          <w:rFonts w:hint="default" w:ascii="Times New Roman" w:hAnsi="Times New Roman" w:cs="Times New Roman"/>
          <w:color w:val="auto"/>
        </w:rPr>
        <w:t>根据现场调查核实，一级保护区范围内的主要环境问题如下：</w:t>
      </w:r>
    </w:p>
    <w:p>
      <w:pPr>
        <w:spacing w:line="360" w:lineRule="auto"/>
        <w:ind w:firstLine="480"/>
        <w:jc w:val="left"/>
        <w:rPr>
          <w:rFonts w:hint="eastAsia" w:ascii="Times New Roman" w:hAnsi="Times New Roman" w:cs="Times New Roman"/>
          <w:color w:val="auto"/>
          <w:lang w:eastAsia="zh-CN"/>
        </w:rPr>
      </w:pPr>
      <w:r>
        <w:rPr>
          <w:rFonts w:hint="default" w:ascii="Times New Roman" w:hAnsi="Times New Roman" w:cs="Times New Roman"/>
          <w:color w:val="auto"/>
        </w:rPr>
        <w:t>一、</w:t>
      </w:r>
      <w:r>
        <w:rPr>
          <w:rFonts w:hint="eastAsia" w:ascii="Times New Roman" w:hAnsi="Times New Roman" w:cs="Times New Roman"/>
          <w:color w:val="auto"/>
          <w:lang w:eastAsia="zh-CN"/>
        </w:rPr>
        <w:t>面源</w:t>
      </w:r>
    </w:p>
    <w:p>
      <w:pPr>
        <w:spacing w:line="360" w:lineRule="auto"/>
        <w:ind w:firstLine="480"/>
        <w:jc w:val="left"/>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一号水井面源为水井旁的水塘；二号水井面源为0.35亩水田及水厂工作人员所产生的生活垃圾及生活污水。</w:t>
      </w:r>
    </w:p>
    <w:p>
      <w:pPr>
        <w:spacing w:line="360" w:lineRule="auto"/>
        <w:ind w:firstLine="480"/>
        <w:jc w:val="left"/>
        <w:rPr>
          <w:rFonts w:hint="default" w:ascii="Times New Roman" w:hAnsi="Times New Roman" w:cs="Times New Roman"/>
          <w:color w:val="auto"/>
        </w:rPr>
      </w:pPr>
      <w:r>
        <w:rPr>
          <w:rFonts w:hint="eastAsia" w:ascii="Times New Roman" w:hAnsi="Times New Roman" w:cs="Times New Roman"/>
          <w:color w:val="auto"/>
          <w:lang w:eastAsia="zh-CN"/>
        </w:rPr>
        <w:t>二、点源</w:t>
      </w:r>
    </w:p>
    <w:p>
      <w:pPr>
        <w:spacing w:line="360" w:lineRule="auto"/>
        <w:ind w:firstLine="480"/>
        <w:jc w:val="left"/>
        <w:rPr>
          <w:rFonts w:hint="default" w:ascii="Times New Roman" w:hAnsi="Times New Roman" w:cs="Times New Roman"/>
          <w:color w:val="auto"/>
        </w:rPr>
      </w:pPr>
      <w:r>
        <w:rPr>
          <w:rFonts w:hint="eastAsia" w:ascii="Times New Roman" w:hAnsi="Times New Roman" w:cs="Times New Roman"/>
          <w:color w:val="auto"/>
          <w:lang w:eastAsia="zh-CN"/>
        </w:rPr>
        <w:t>无</w:t>
      </w:r>
      <w:r>
        <w:rPr>
          <w:rFonts w:hint="default" w:ascii="Times New Roman" w:hAnsi="Times New Roman" w:cs="Times New Roman"/>
          <w:color w:val="auto"/>
        </w:rPr>
        <w:t>工业企业排污口、污水处理厂排污口、货运码头、畜禽养殖场（小区）、养殖专业户</w:t>
      </w:r>
      <w:r>
        <w:rPr>
          <w:rFonts w:hint="eastAsia" w:ascii="Times New Roman" w:hAnsi="Times New Roman" w:cs="Times New Roman"/>
          <w:color w:val="auto"/>
          <w:lang w:eastAsia="zh-CN"/>
        </w:rPr>
        <w:t>等点</w:t>
      </w:r>
      <w:r>
        <w:rPr>
          <w:rFonts w:hint="default" w:ascii="Times New Roman" w:hAnsi="Times New Roman" w:cs="Times New Roman"/>
          <w:color w:val="auto"/>
        </w:rPr>
        <w:t>源污染。</w:t>
      </w:r>
    </w:p>
    <w:p>
      <w:pPr>
        <w:spacing w:line="360" w:lineRule="auto"/>
        <w:ind w:firstLine="480"/>
        <w:jc w:val="left"/>
        <w:rPr>
          <w:rFonts w:hint="default" w:ascii="Times New Roman" w:hAnsi="Times New Roman" w:cs="Times New Roman"/>
          <w:color w:val="auto"/>
        </w:rPr>
      </w:pPr>
      <w:r>
        <w:rPr>
          <w:rFonts w:hint="eastAsia" w:ascii="Times New Roman" w:hAnsi="Times New Roman" w:cs="Times New Roman"/>
          <w:color w:val="auto"/>
          <w:lang w:eastAsia="zh-CN"/>
        </w:rPr>
        <w:t>三、</w:t>
      </w:r>
      <w:r>
        <w:rPr>
          <w:rFonts w:hint="default" w:ascii="Times New Roman" w:hAnsi="Times New Roman" w:cs="Times New Roman"/>
          <w:color w:val="auto"/>
        </w:rPr>
        <w:t>流动源</w:t>
      </w:r>
    </w:p>
    <w:p>
      <w:pPr>
        <w:spacing w:line="360" w:lineRule="auto"/>
        <w:ind w:firstLine="480"/>
        <w:jc w:val="left"/>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   一号水井东面为村道。</w:t>
      </w:r>
    </w:p>
    <w:p>
      <w:pPr>
        <w:spacing w:line="360" w:lineRule="auto"/>
        <w:ind w:firstLine="480"/>
        <w:jc w:val="left"/>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   二号水井水厂门前村道。</w:t>
      </w:r>
    </w:p>
    <w:p>
      <w:pPr>
        <w:spacing w:line="360" w:lineRule="auto"/>
        <w:ind w:firstLine="480"/>
        <w:jc w:val="left"/>
        <w:rPr>
          <w:rFonts w:hint="default" w:ascii="Times New Roman" w:hAnsi="Times New Roman" w:cs="Times New Roman"/>
          <w:color w:val="auto"/>
        </w:rPr>
      </w:pPr>
      <w:r>
        <w:rPr>
          <w:rFonts w:hint="eastAsia" w:ascii="Times New Roman" w:hAnsi="Times New Roman" w:cs="Times New Roman"/>
          <w:color w:val="auto"/>
          <w:lang w:eastAsia="zh-CN"/>
        </w:rPr>
        <w:t>四</w:t>
      </w:r>
      <w:r>
        <w:rPr>
          <w:rFonts w:hint="default" w:ascii="Times New Roman" w:hAnsi="Times New Roman" w:cs="Times New Roman"/>
          <w:color w:val="auto"/>
        </w:rPr>
        <w:t>、潜在风险源</w:t>
      </w:r>
    </w:p>
    <w:p>
      <w:pPr>
        <w:spacing w:line="360" w:lineRule="auto"/>
        <w:ind w:firstLine="480"/>
        <w:jc w:val="left"/>
        <w:rPr>
          <w:rFonts w:hint="default" w:ascii="Times New Roman" w:hAnsi="Times New Roman" w:cs="Times New Roman"/>
          <w:color w:val="auto"/>
        </w:rPr>
      </w:pPr>
      <w:r>
        <w:rPr>
          <w:rFonts w:hint="default" w:ascii="Times New Roman" w:hAnsi="Times New Roman" w:cs="Times New Roman"/>
          <w:color w:val="auto"/>
        </w:rPr>
        <w:t>一级保护区范围内无石油化工行业、垃圾填埋场、危险废弃物填埋场、加油站、污水处理设施、危险品仓储设施、尾矿库等固定潜在风险源。</w:t>
      </w:r>
    </w:p>
    <w:p>
      <w:pPr>
        <w:pStyle w:val="4"/>
        <w:spacing w:before="156" w:after="156"/>
        <w:rPr>
          <w:rFonts w:hint="eastAsia" w:asciiTheme="minorEastAsia" w:hAnsiTheme="minorEastAsia" w:eastAsiaTheme="minorEastAsia" w:cstheme="minorEastAsia"/>
          <w:b/>
          <w:bCs w:val="0"/>
        </w:rPr>
      </w:pPr>
      <w:bookmarkStart w:id="137" w:name="_Toc3009"/>
      <w:bookmarkStart w:id="138" w:name="_Toc8269"/>
      <w:r>
        <w:rPr>
          <w:rFonts w:hint="eastAsia" w:asciiTheme="minorEastAsia" w:hAnsiTheme="minorEastAsia" w:eastAsiaTheme="minorEastAsia" w:cstheme="minorEastAsia"/>
          <w:b/>
          <w:bCs w:val="0"/>
        </w:rPr>
        <w:t>2.4.</w:t>
      </w:r>
      <w:r>
        <w:rPr>
          <w:rFonts w:hint="eastAsia" w:asciiTheme="minorEastAsia" w:hAnsiTheme="minorEastAsia" w:eastAsiaTheme="minorEastAsia" w:cstheme="minorEastAsia"/>
          <w:b/>
          <w:bCs w:val="0"/>
          <w:lang w:val="en-US" w:eastAsia="zh-CN"/>
        </w:rPr>
        <w:t>6</w:t>
      </w:r>
      <w:r>
        <w:rPr>
          <w:rFonts w:hint="eastAsia" w:asciiTheme="minorEastAsia" w:hAnsiTheme="minorEastAsia" w:eastAsiaTheme="minorEastAsia" w:cstheme="minorEastAsia"/>
          <w:b/>
          <w:bCs w:val="0"/>
        </w:rPr>
        <w:t xml:space="preserve"> 1km范围内的其他情况</w:t>
      </w:r>
      <w:bookmarkEnd w:id="137"/>
      <w:bookmarkEnd w:id="138"/>
    </w:p>
    <w:p>
      <w:pPr>
        <w:spacing w:line="360" w:lineRule="auto"/>
        <w:ind w:firstLine="480"/>
        <w:jc w:val="left"/>
        <w:rPr>
          <w:rFonts w:hint="default" w:ascii="Times New Roman" w:hAnsi="Times New Roman" w:cs="Times New Roman"/>
          <w:color w:val="auto"/>
        </w:rPr>
      </w:pPr>
      <w:r>
        <w:rPr>
          <w:rFonts w:hint="default" w:ascii="Times New Roman" w:hAnsi="Times New Roman" w:cs="Times New Roman"/>
          <w:color w:val="auto"/>
        </w:rPr>
        <w:t>根据现场调查，本保护区外1km 以内无工业源及排污口</w:t>
      </w:r>
      <w:r>
        <w:rPr>
          <w:rFonts w:hint="eastAsia" w:ascii="Times New Roman" w:hAnsi="Times New Roman" w:cs="Times New Roman"/>
          <w:color w:val="auto"/>
          <w:lang w:eastAsia="zh-CN"/>
        </w:rPr>
        <w:t>，</w:t>
      </w:r>
      <w:r>
        <w:rPr>
          <w:rFonts w:hint="default" w:ascii="Times New Roman" w:hAnsi="Times New Roman" w:cs="Times New Roman"/>
          <w:color w:val="auto"/>
        </w:rPr>
        <w:t>生活源</w:t>
      </w:r>
      <w:r>
        <w:rPr>
          <w:rFonts w:hint="eastAsia" w:ascii="Times New Roman" w:hAnsi="Times New Roman" w:cs="Times New Roman"/>
          <w:color w:val="auto"/>
          <w:lang w:eastAsia="zh-CN"/>
        </w:rPr>
        <w:t>为居民</w:t>
      </w:r>
      <w:r>
        <w:rPr>
          <w:rFonts w:hint="eastAsia" w:ascii="Times New Roman" w:hAnsi="Times New Roman" w:cs="Times New Roman"/>
          <w:color w:val="auto"/>
        </w:rPr>
        <w:t xml:space="preserve"> </w:t>
      </w:r>
      <w:r>
        <w:rPr>
          <w:rFonts w:hint="default" w:ascii="Times New Roman" w:hAnsi="Times New Roman" w:cs="Times New Roman"/>
          <w:color w:val="auto"/>
        </w:rPr>
        <w:t>集中镇区、</w:t>
      </w:r>
      <w:r>
        <w:rPr>
          <w:rFonts w:hint="eastAsia" w:ascii="Times New Roman" w:hAnsi="Times New Roman" w:cs="Times New Roman"/>
          <w:color w:val="auto"/>
          <w:lang w:eastAsia="zh-CN"/>
        </w:rPr>
        <w:t>农田。距离</w:t>
      </w:r>
      <w:r>
        <w:rPr>
          <w:rFonts w:hint="eastAsia" w:ascii="Times New Roman" w:hAnsi="Times New Roman" w:cs="Times New Roman"/>
          <w:color w:val="auto"/>
          <w:lang w:val="en-US" w:eastAsia="zh-CN"/>
        </w:rPr>
        <w:t>1号水井100米处有一座加油站，</w:t>
      </w:r>
      <w:r>
        <w:rPr>
          <w:rFonts w:hint="eastAsia" w:ascii="Times New Roman" w:hAnsi="Times New Roman" w:cs="Times New Roman"/>
          <w:color w:val="auto"/>
          <w:lang w:eastAsia="zh-CN"/>
        </w:rPr>
        <w:t>无其他</w:t>
      </w:r>
      <w:r>
        <w:rPr>
          <w:rFonts w:hint="default" w:ascii="Times New Roman" w:hAnsi="Times New Roman" w:cs="Times New Roman"/>
          <w:color w:val="auto"/>
        </w:rPr>
        <w:t>重大污染点源。</w:t>
      </w:r>
    </w:p>
    <w:p>
      <w:pPr>
        <w:spacing w:line="360" w:lineRule="auto"/>
        <w:ind w:firstLine="480"/>
        <w:jc w:val="left"/>
        <w:rPr>
          <w:rFonts w:hint="eastAsia" w:ascii="Times New Roman" w:hAnsi="Times New Roman" w:cs="Times New Roman"/>
          <w:color w:val="auto"/>
        </w:rPr>
      </w:pPr>
      <w:r>
        <w:rPr>
          <w:rFonts w:hint="default" w:ascii="Times New Roman" w:hAnsi="Times New Roman" w:cs="Times New Roman"/>
          <w:color w:val="auto"/>
        </w:rPr>
        <w:t>无石油化工行业、垃圾填埋场、危险废弃物填埋场、污水处理设施、危险品仓储设施、尾矿库等固定潜在风险源。</w:t>
      </w:r>
    </w:p>
    <w:p>
      <w:pPr>
        <w:spacing w:line="360" w:lineRule="auto"/>
        <w:ind w:firstLine="480"/>
        <w:jc w:val="left"/>
        <w:rPr>
          <w:rFonts w:hint="eastAsia" w:ascii="Times New Roman" w:hAnsi="Times New Roman" w:cs="Times New Roman"/>
          <w:color w:val="auto"/>
        </w:rPr>
      </w:pPr>
      <w:r>
        <w:rPr>
          <w:rFonts w:hint="eastAsia" w:ascii="Times New Roman" w:hAnsi="Times New Roman" w:cs="Times New Roman"/>
          <w:color w:val="auto"/>
        </w:rPr>
        <w:t>主要的污染源为</w:t>
      </w:r>
      <w:r>
        <w:rPr>
          <w:rFonts w:hint="eastAsia" w:ascii="Times New Roman" w:hAnsi="Times New Roman" w:cs="Times New Roman"/>
          <w:color w:val="auto"/>
          <w:lang w:eastAsia="zh-CN"/>
        </w:rPr>
        <w:t>居民生活源及加油站点源</w:t>
      </w:r>
      <w:r>
        <w:rPr>
          <w:rFonts w:hint="eastAsia" w:ascii="Times New Roman" w:hAnsi="Times New Roman" w:cs="Times New Roman"/>
          <w:color w:val="auto"/>
        </w:rPr>
        <w:t>，农业种植源</w:t>
      </w:r>
      <w:r>
        <w:rPr>
          <w:rFonts w:hint="eastAsia" w:ascii="Times New Roman" w:hAnsi="Times New Roman" w:cs="Times New Roman"/>
          <w:color w:val="auto"/>
          <w:lang w:eastAsia="zh-CN"/>
        </w:rPr>
        <w:t>、</w:t>
      </w:r>
      <w:r>
        <w:rPr>
          <w:rFonts w:hint="eastAsia" w:ascii="Times New Roman" w:hAnsi="Times New Roman" w:cs="Times New Roman"/>
          <w:color w:val="auto"/>
        </w:rPr>
        <w:t>水井</w:t>
      </w:r>
      <w:r>
        <w:rPr>
          <w:rFonts w:hint="eastAsia" w:ascii="Times New Roman" w:hAnsi="Times New Roman" w:cs="Times New Roman"/>
          <w:color w:val="auto"/>
          <w:lang w:eastAsia="zh-CN"/>
        </w:rPr>
        <w:t>周</w:t>
      </w:r>
      <w:r>
        <w:rPr>
          <w:rFonts w:hint="eastAsia" w:ascii="Times New Roman" w:hAnsi="Times New Roman" w:cs="Times New Roman"/>
          <w:color w:val="auto"/>
        </w:rPr>
        <w:t>边的农田退水。</w:t>
      </w:r>
    </w:p>
    <w:p>
      <w:pPr>
        <w:pStyle w:val="4"/>
        <w:spacing w:before="156" w:after="156"/>
        <w:rPr>
          <w:rFonts w:hint="eastAsia" w:asciiTheme="minorEastAsia" w:hAnsiTheme="minorEastAsia" w:eastAsiaTheme="minorEastAsia" w:cstheme="minorEastAsia"/>
          <w:b/>
          <w:bCs w:val="0"/>
        </w:rPr>
      </w:pPr>
      <w:bookmarkStart w:id="139" w:name="_Toc20920"/>
      <w:bookmarkStart w:id="140" w:name="_Toc21120"/>
      <w:bookmarkStart w:id="141" w:name="_Toc5027"/>
      <w:r>
        <w:rPr>
          <w:rFonts w:hint="eastAsia" w:asciiTheme="minorEastAsia" w:hAnsiTheme="minorEastAsia" w:eastAsiaTheme="minorEastAsia" w:cstheme="minorEastAsia"/>
          <w:b/>
          <w:bCs w:val="0"/>
        </w:rPr>
        <w:t>2.4.</w:t>
      </w:r>
      <w:r>
        <w:rPr>
          <w:rFonts w:hint="eastAsia" w:asciiTheme="minorEastAsia" w:hAnsiTheme="minorEastAsia" w:eastAsiaTheme="minorEastAsia" w:cstheme="minorEastAsia"/>
          <w:b/>
          <w:bCs w:val="0"/>
          <w:lang w:val="en-US" w:eastAsia="zh-CN"/>
        </w:rPr>
        <w:t>7</w:t>
      </w:r>
      <w:r>
        <w:rPr>
          <w:rFonts w:hint="eastAsia" w:asciiTheme="minorEastAsia" w:hAnsiTheme="minorEastAsia" w:eastAsiaTheme="minorEastAsia" w:cstheme="minorEastAsia"/>
          <w:b/>
          <w:bCs w:val="0"/>
        </w:rPr>
        <w:t>饮用水水源地生态环境分析</w:t>
      </w:r>
      <w:bookmarkEnd w:id="139"/>
      <w:bookmarkEnd w:id="140"/>
      <w:bookmarkEnd w:id="141"/>
    </w:p>
    <w:p>
      <w:pPr>
        <w:spacing w:line="360" w:lineRule="auto"/>
        <w:ind w:firstLine="480"/>
        <w:jc w:val="left"/>
        <w:rPr>
          <w:rFonts w:hint="eastAsia" w:ascii="Times New Roman" w:hAnsi="Times New Roman" w:cs="Times New Roman"/>
          <w:color w:val="auto"/>
        </w:rPr>
      </w:pPr>
      <w:r>
        <w:rPr>
          <w:rFonts w:hint="eastAsia" w:ascii="Times New Roman" w:hAnsi="Times New Roman" w:cs="Times New Roman"/>
          <w:color w:val="auto"/>
        </w:rPr>
        <w:t>湘阴县生态环境优良，农业生物资源极为丰富，包括11种粮食作物， 15种经济作物，10多余种水生经济作物，以及228个树种，114个鱼类品种，9个畜禽种类。全县山林24万多亩，林业用地占陆地面积的16%，森林覆盖率为12.5%，该水源地流域水源涵养林、护岸林和自然湿地的面积等统计情况详见附表6。</w:t>
      </w:r>
    </w:p>
    <w:bookmarkEnd w:id="132"/>
    <w:bookmarkEnd w:id="133"/>
    <w:bookmarkEnd w:id="134"/>
    <w:p>
      <w:pPr>
        <w:pStyle w:val="4"/>
        <w:spacing w:before="156" w:after="156"/>
        <w:rPr>
          <w:rFonts w:hint="default" w:asciiTheme="minorEastAsia" w:hAnsiTheme="minorEastAsia" w:eastAsiaTheme="minorEastAsia" w:cstheme="minorEastAsia"/>
          <w:b/>
          <w:bCs w:val="0"/>
          <w:lang w:val="en-US" w:eastAsia="zh-CN"/>
        </w:rPr>
      </w:pPr>
      <w:bookmarkStart w:id="142" w:name="_Toc453061736"/>
      <w:bookmarkStart w:id="143" w:name="_Toc23310"/>
      <w:bookmarkStart w:id="144" w:name="_Toc453061582"/>
      <w:bookmarkStart w:id="145" w:name="_Toc25856"/>
      <w:r>
        <w:rPr>
          <w:rFonts w:hint="default" w:asciiTheme="minorEastAsia" w:hAnsiTheme="minorEastAsia" w:eastAsiaTheme="minorEastAsia" w:cstheme="minorEastAsia"/>
          <w:b/>
          <w:bCs w:val="0"/>
          <w:lang w:val="en-US" w:eastAsia="zh-CN"/>
        </w:rPr>
        <w:t>2.4.</w:t>
      </w:r>
      <w:r>
        <w:rPr>
          <w:rFonts w:hint="eastAsia" w:asciiTheme="minorEastAsia" w:hAnsiTheme="minorEastAsia" w:eastAsiaTheme="minorEastAsia" w:cstheme="minorEastAsia"/>
          <w:b/>
          <w:bCs w:val="0"/>
          <w:lang w:val="en-US" w:eastAsia="zh-CN"/>
        </w:rPr>
        <w:t>8</w:t>
      </w:r>
      <w:r>
        <w:rPr>
          <w:rFonts w:hint="default" w:asciiTheme="minorEastAsia" w:hAnsiTheme="minorEastAsia" w:eastAsiaTheme="minorEastAsia" w:cstheme="minorEastAsia"/>
          <w:b/>
          <w:bCs w:val="0"/>
          <w:lang w:val="en-US" w:eastAsia="zh-CN"/>
        </w:rPr>
        <w:t xml:space="preserve"> 饮用水水源地环境管理现状分析</w:t>
      </w:r>
      <w:bookmarkEnd w:id="142"/>
      <w:bookmarkEnd w:id="143"/>
      <w:bookmarkEnd w:id="144"/>
      <w:bookmarkEnd w:id="145"/>
    </w:p>
    <w:p>
      <w:pPr>
        <w:pStyle w:val="5"/>
        <w:spacing w:before="120" w:after="120"/>
        <w:rPr>
          <w:rFonts w:hint="default" w:ascii="Times New Roman" w:hAnsi="Times New Roman" w:cs="Times New Roman"/>
          <w:sz w:val="28"/>
          <w:szCs w:val="28"/>
        </w:rPr>
      </w:pPr>
      <w:bookmarkStart w:id="146" w:name="_Toc453061737"/>
      <w:bookmarkStart w:id="147" w:name="_Toc453061583"/>
      <w:bookmarkStart w:id="148" w:name="_Toc504"/>
      <w:bookmarkStart w:id="149" w:name="_Toc24318"/>
      <w:r>
        <w:rPr>
          <w:rFonts w:hint="default" w:ascii="Times New Roman" w:hAnsi="Times New Roman" w:cs="Times New Roman"/>
          <w:sz w:val="28"/>
          <w:szCs w:val="28"/>
        </w:rPr>
        <w:t>2.4.</w:t>
      </w:r>
      <w:r>
        <w:rPr>
          <w:rFonts w:hint="eastAsia" w:ascii="Times New Roman" w:hAnsi="Times New Roman" w:cs="Times New Roman"/>
          <w:sz w:val="28"/>
          <w:szCs w:val="28"/>
          <w:lang w:val="en-US" w:eastAsia="zh-CN"/>
        </w:rPr>
        <w:t>8</w:t>
      </w:r>
      <w:r>
        <w:rPr>
          <w:rFonts w:hint="default" w:ascii="Times New Roman" w:hAnsi="Times New Roman" w:cs="Times New Roman"/>
          <w:sz w:val="28"/>
          <w:szCs w:val="28"/>
        </w:rPr>
        <w:t>.1 饮用水水源地管理机制</w:t>
      </w:r>
      <w:bookmarkEnd w:id="146"/>
      <w:bookmarkEnd w:id="147"/>
      <w:bookmarkEnd w:id="148"/>
      <w:bookmarkEnd w:id="149"/>
    </w:p>
    <w:p>
      <w:pPr>
        <w:spacing w:line="360" w:lineRule="auto"/>
        <w:ind w:firstLine="480"/>
        <w:jc w:val="left"/>
        <w:rPr>
          <w:rFonts w:hint="default" w:ascii="Times New Roman" w:hAnsi="Times New Roman" w:cs="Times New Roman"/>
          <w:color w:val="auto"/>
          <w:lang w:eastAsia="zh-CN"/>
        </w:rPr>
      </w:pPr>
      <w:bookmarkStart w:id="150" w:name="_Toc453061584"/>
      <w:bookmarkStart w:id="151" w:name="_Toc453061738"/>
      <w:r>
        <w:rPr>
          <w:rFonts w:hint="eastAsia" w:ascii="Times New Roman" w:hAnsi="Times New Roman" w:cs="Times New Roman"/>
          <w:color w:val="auto"/>
          <w:lang w:val="en-US" w:eastAsia="zh-CN"/>
        </w:rPr>
        <w:t>三塘镇拦河坝水厂</w:t>
      </w:r>
      <w:r>
        <w:rPr>
          <w:rFonts w:hint="eastAsia" w:ascii="Times New Roman" w:hAnsi="Times New Roman" w:cs="Times New Roman"/>
          <w:color w:val="auto"/>
          <w:lang w:eastAsia="zh-CN"/>
        </w:rPr>
        <w:t>地下水</w:t>
      </w:r>
      <w:r>
        <w:rPr>
          <w:rFonts w:hint="eastAsia" w:ascii="Times New Roman" w:hAnsi="Times New Roman" w:cs="Times New Roman"/>
          <w:color w:val="auto"/>
        </w:rPr>
        <w:t>饮用水源地现由湘阴县</w:t>
      </w:r>
      <w:r>
        <w:rPr>
          <w:rFonts w:hint="eastAsia" w:ascii="Times New Roman" w:hAnsi="Times New Roman" w:cs="Times New Roman"/>
          <w:color w:val="auto"/>
          <w:lang w:val="en-US" w:eastAsia="zh-CN"/>
        </w:rPr>
        <w:t>水利局</w:t>
      </w:r>
      <w:r>
        <w:rPr>
          <w:rFonts w:hint="eastAsia" w:ascii="Times New Roman" w:hAnsi="Times New Roman" w:cs="Times New Roman"/>
          <w:color w:val="auto"/>
        </w:rPr>
        <w:t>直接管理，湘阴县环保局监督管理，</w:t>
      </w:r>
      <w:r>
        <w:rPr>
          <w:rFonts w:hint="eastAsia" w:ascii="Times New Roman" w:hAnsi="Times New Roman" w:cs="Times New Roman"/>
          <w:color w:val="auto"/>
          <w:lang w:eastAsia="zh-CN"/>
        </w:rPr>
        <w:t>二号水井</w:t>
      </w:r>
      <w:r>
        <w:rPr>
          <w:rFonts w:hint="eastAsia" w:ascii="Times New Roman" w:hAnsi="Times New Roman" w:cs="Times New Roman"/>
          <w:color w:val="auto"/>
        </w:rPr>
        <w:t>，周边有农田，</w:t>
      </w:r>
      <w:r>
        <w:rPr>
          <w:rFonts w:hint="eastAsia" w:ascii="Times New Roman" w:hAnsi="Times New Roman" w:cs="Times New Roman"/>
          <w:color w:val="auto"/>
          <w:lang w:eastAsia="zh-CN"/>
        </w:rPr>
        <w:t>一号水井旁有水塘</w:t>
      </w:r>
      <w:r>
        <w:rPr>
          <w:rFonts w:hint="eastAsia" w:ascii="Times New Roman" w:hAnsi="Times New Roman" w:cs="Times New Roman"/>
          <w:color w:val="auto"/>
        </w:rPr>
        <w:t>易受污染</w:t>
      </w:r>
      <w:r>
        <w:rPr>
          <w:rFonts w:hint="eastAsia" w:ascii="Times New Roman" w:hAnsi="Times New Roman" w:cs="Times New Roman"/>
          <w:color w:val="auto"/>
          <w:lang w:eastAsia="zh-CN"/>
        </w:rPr>
        <w:t>。水井周边都有公路</w:t>
      </w:r>
      <w:r>
        <w:rPr>
          <w:rFonts w:hint="eastAsia" w:ascii="Times New Roman" w:hAnsi="Times New Roman" w:cs="Times New Roman"/>
          <w:color w:val="auto"/>
        </w:rPr>
        <w:t>有危险物品通过的潜在危险。</w:t>
      </w:r>
    </w:p>
    <w:p>
      <w:pPr>
        <w:pStyle w:val="5"/>
        <w:spacing w:before="120" w:after="120"/>
        <w:rPr>
          <w:rFonts w:hint="default" w:ascii="Times New Roman" w:hAnsi="Times New Roman" w:cs="Times New Roman"/>
          <w:sz w:val="28"/>
          <w:szCs w:val="28"/>
        </w:rPr>
      </w:pPr>
      <w:bookmarkStart w:id="152" w:name="_Toc5684"/>
      <w:bookmarkStart w:id="153" w:name="_Toc1706"/>
      <w:r>
        <w:rPr>
          <w:rFonts w:hint="default" w:ascii="Times New Roman" w:hAnsi="Times New Roman" w:cs="Times New Roman"/>
          <w:sz w:val="28"/>
          <w:szCs w:val="28"/>
        </w:rPr>
        <w:t>2.4.</w:t>
      </w:r>
      <w:r>
        <w:rPr>
          <w:rFonts w:hint="eastAsia" w:ascii="Times New Roman" w:hAnsi="Times New Roman" w:cs="Times New Roman"/>
          <w:sz w:val="28"/>
          <w:szCs w:val="28"/>
          <w:lang w:val="en-US" w:eastAsia="zh-CN"/>
        </w:rPr>
        <w:t>8</w:t>
      </w:r>
      <w:r>
        <w:rPr>
          <w:rFonts w:hint="default" w:ascii="Times New Roman" w:hAnsi="Times New Roman" w:cs="Times New Roman"/>
          <w:sz w:val="28"/>
          <w:szCs w:val="28"/>
        </w:rPr>
        <w:t>.2 饮用水水源地保护现状</w:t>
      </w:r>
      <w:bookmarkEnd w:id="150"/>
      <w:bookmarkEnd w:id="151"/>
      <w:bookmarkEnd w:id="152"/>
      <w:bookmarkEnd w:id="153"/>
    </w:p>
    <w:p>
      <w:pPr>
        <w:spacing w:line="360" w:lineRule="auto"/>
        <w:ind w:firstLine="480"/>
        <w:jc w:val="left"/>
        <w:rPr>
          <w:rFonts w:hint="eastAsia" w:ascii="Times New Roman" w:hAnsi="Times New Roman" w:cs="Times New Roman"/>
          <w:color w:val="auto"/>
          <w:lang w:eastAsia="zh-CN"/>
        </w:rPr>
      </w:pPr>
      <w:bookmarkStart w:id="154" w:name="_Toc458323104"/>
      <w:r>
        <w:rPr>
          <w:rFonts w:hint="eastAsia" w:ascii="Times New Roman" w:hAnsi="Times New Roman" w:cs="Times New Roman"/>
          <w:color w:val="auto"/>
          <w:lang w:eastAsia="zh-CN"/>
        </w:rPr>
        <w:t>湘阴县人民政府已于2013 年 8 月制定出台了《湘阴县饮用水水源保护区暂行管理办法》，并以规范性文件形式（湘阴政办发【2013】39号）下发到各乡、镇人民政府及县直有关单位遵照执行。目前漕溪港街道长仑水厂地下水饮用水水源地的保护现状如下：</w:t>
      </w:r>
    </w:p>
    <w:p>
      <w:pPr>
        <w:spacing w:line="360" w:lineRule="auto"/>
        <w:ind w:firstLine="480"/>
        <w:jc w:val="left"/>
        <w:rPr>
          <w:rFonts w:hint="eastAsia" w:ascii="Times New Roman" w:hAnsi="Times New Roman" w:cs="Times New Roman"/>
          <w:color w:val="auto"/>
          <w:lang w:eastAsia="zh-CN"/>
        </w:rPr>
      </w:pPr>
      <w:r>
        <w:rPr>
          <w:rFonts w:hint="eastAsia" w:ascii="Times New Roman" w:hAnsi="Times New Roman" w:cs="Times New Roman"/>
          <w:color w:val="auto"/>
          <w:lang w:eastAsia="zh-CN"/>
        </w:rPr>
        <w:t>（一）保护区划分情况：正在进行保护区的划分工作。</w:t>
      </w:r>
    </w:p>
    <w:p>
      <w:pPr>
        <w:spacing w:line="360" w:lineRule="auto"/>
        <w:ind w:firstLine="480"/>
        <w:jc w:val="left"/>
        <w:rPr>
          <w:rFonts w:hint="eastAsia" w:ascii="Times New Roman" w:hAnsi="Times New Roman" w:cs="Times New Roman"/>
          <w:color w:val="auto"/>
          <w:lang w:eastAsia="zh-CN"/>
        </w:rPr>
      </w:pPr>
      <w:r>
        <w:rPr>
          <w:rFonts w:hint="eastAsia" w:ascii="Times New Roman" w:hAnsi="Times New Roman" w:cs="Times New Roman"/>
          <w:color w:val="auto"/>
          <w:lang w:eastAsia="zh-CN"/>
        </w:rPr>
        <w:t>（二）标志标牌的设置情况：一级保护区边界的界标设置不完善。</w:t>
      </w:r>
    </w:p>
    <w:p>
      <w:pPr>
        <w:spacing w:line="360" w:lineRule="auto"/>
        <w:ind w:firstLine="480"/>
        <w:jc w:val="left"/>
        <w:rPr>
          <w:rFonts w:hint="eastAsia" w:ascii="Times New Roman" w:hAnsi="Times New Roman" w:cs="Times New Roman"/>
          <w:color w:val="auto"/>
          <w:lang w:eastAsia="zh-CN"/>
        </w:rPr>
      </w:pPr>
      <w:r>
        <w:rPr>
          <w:rFonts w:hint="eastAsia" w:ascii="Times New Roman" w:hAnsi="Times New Roman" w:cs="Times New Roman"/>
          <w:color w:val="auto"/>
          <w:lang w:eastAsia="zh-CN"/>
        </w:rPr>
        <w:t>（三）防护隔离设施的设置情况：目前，水井未设隔离防护网。</w:t>
      </w:r>
    </w:p>
    <w:p>
      <w:pPr>
        <w:spacing w:line="360" w:lineRule="auto"/>
        <w:ind w:firstLine="480"/>
        <w:jc w:val="left"/>
        <w:rPr>
          <w:rFonts w:hint="eastAsia" w:ascii="Times New Roman" w:hAnsi="Times New Roman" w:cs="Times New Roman"/>
          <w:color w:val="auto"/>
          <w:lang w:eastAsia="zh-CN"/>
        </w:rPr>
      </w:pPr>
      <w:r>
        <w:rPr>
          <w:rFonts w:hint="eastAsia" w:ascii="Times New Roman" w:hAnsi="Times New Roman" w:cs="Times New Roman"/>
          <w:color w:val="auto"/>
          <w:lang w:eastAsia="zh-CN"/>
        </w:rPr>
        <w:t>（四）日常监测与监控</w:t>
      </w:r>
    </w:p>
    <w:p>
      <w:pPr>
        <w:spacing w:line="360" w:lineRule="auto"/>
        <w:ind w:firstLine="480"/>
        <w:jc w:val="left"/>
        <w:rPr>
          <w:rFonts w:hint="eastAsia" w:ascii="Times New Roman" w:hAnsi="Times New Roman" w:cs="Times New Roman"/>
          <w:color w:val="auto"/>
          <w:lang w:eastAsia="zh-CN"/>
        </w:rPr>
      </w:pPr>
      <w:r>
        <w:rPr>
          <w:rFonts w:hint="eastAsia" w:ascii="Times New Roman" w:hAnsi="Times New Roman" w:cs="Times New Roman"/>
          <w:color w:val="auto"/>
          <w:lang w:eastAsia="zh-CN"/>
        </w:rPr>
        <w:t>根据湘环办【2019】11号《2019全省生态环境监测方案》，监测频次为每季度采样监测1次，每两年（偶数年）开展一次水质常规监测。目前，湘阴县疾病预防控制中心定期对原水、出厂水、末梢水的水质进行了监测，监测频次为原水每年监测一次、出厂水和末梢水每年监测两次，原水每次监测色度、浊度等30个指标因子，出厂水、末梢水每次监测菌落总数、总大肠菌群等</w:t>
      </w:r>
      <w:r>
        <w:rPr>
          <w:rFonts w:hint="eastAsia" w:ascii="Times New Roman" w:hAnsi="Times New Roman" w:cs="Times New Roman"/>
          <w:color w:val="auto"/>
          <w:lang w:val="en-US" w:eastAsia="zh-CN"/>
        </w:rPr>
        <w:t>30</w:t>
      </w:r>
      <w:r>
        <w:rPr>
          <w:rFonts w:hint="eastAsia" w:ascii="Times New Roman" w:hAnsi="Times New Roman" w:cs="Times New Roman"/>
          <w:color w:val="auto"/>
          <w:lang w:eastAsia="zh-CN"/>
        </w:rPr>
        <w:t>个指标因子。拦河坝水厂每天将对出厂水和末梢水进行一次常规监测，每次监测总大肠菌群、菌落总数、余氯或二氧化氯、色度、浊度、PH、肉眼可见物、臭和味共8个监测指标因子。。</w:t>
      </w:r>
    </w:p>
    <w:p>
      <w:pPr>
        <w:spacing w:line="360" w:lineRule="auto"/>
        <w:ind w:firstLine="480"/>
        <w:jc w:val="left"/>
        <w:rPr>
          <w:rFonts w:hint="eastAsia" w:ascii="Times New Roman" w:hAnsi="Times New Roman" w:cs="Times New Roman"/>
          <w:color w:val="auto"/>
          <w:lang w:eastAsia="zh-CN"/>
        </w:rPr>
      </w:pPr>
      <w:r>
        <w:rPr>
          <w:rFonts w:hint="eastAsia" w:ascii="Times New Roman" w:hAnsi="Times New Roman" w:cs="Times New Roman"/>
          <w:color w:val="auto"/>
          <w:lang w:eastAsia="zh-CN"/>
        </w:rPr>
        <w:t>本地下水水源地属于中小型供水规模，无视频监控设施建设要求。</w:t>
      </w:r>
    </w:p>
    <w:p>
      <w:pPr>
        <w:spacing w:line="360" w:lineRule="auto"/>
        <w:ind w:firstLine="480"/>
        <w:jc w:val="left"/>
        <w:rPr>
          <w:rFonts w:hint="eastAsia" w:ascii="Times New Roman" w:hAnsi="Times New Roman" w:cs="Times New Roman"/>
          <w:color w:val="auto"/>
          <w:lang w:eastAsia="zh-CN"/>
        </w:rPr>
      </w:pPr>
      <w:r>
        <w:rPr>
          <w:rFonts w:hint="eastAsia" w:ascii="Times New Roman" w:hAnsi="Times New Roman" w:cs="Times New Roman"/>
          <w:color w:val="auto"/>
          <w:lang w:eastAsia="zh-CN"/>
        </w:rPr>
        <w:t>建议：有条件的基础上，增加视频监控。</w:t>
      </w:r>
      <w:bookmarkStart w:id="155" w:name="_Toc6835"/>
      <w:bookmarkStart w:id="156" w:name="_Toc29361"/>
    </w:p>
    <w:p>
      <w:pPr>
        <w:spacing w:line="360" w:lineRule="auto"/>
        <w:ind w:firstLine="480"/>
        <w:jc w:val="left"/>
        <w:rPr>
          <w:rFonts w:hint="eastAsia" w:ascii="Times New Roman" w:hAnsi="Times New Roman" w:cs="Times New Roman"/>
          <w:color w:val="auto"/>
          <w:lang w:eastAsia="zh-CN"/>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0" w:num="1"/>
          <w:rtlGutter w:val="0"/>
          <w:docGrid w:type="linesAndChars" w:linePitch="332" w:charSpace="915"/>
        </w:sectPr>
      </w:pPr>
    </w:p>
    <w:p>
      <w:pPr>
        <w:pStyle w:val="2"/>
        <w:spacing w:before="163" w:after="163"/>
        <w:jc w:val="center"/>
        <w:rPr>
          <w:rFonts w:hint="default" w:ascii="Times New Roman" w:hAnsi="Times New Roman" w:cs="Times New Roman"/>
        </w:rPr>
      </w:pPr>
      <w:r>
        <w:rPr>
          <w:rFonts w:hint="default" w:ascii="Times New Roman" w:hAnsi="Times New Roman" w:cs="Times New Roman"/>
        </w:rPr>
        <w:t>第三章 饮用水水源地保护区划分</w:t>
      </w:r>
      <w:bookmarkEnd w:id="154"/>
      <w:bookmarkEnd w:id="155"/>
      <w:bookmarkEnd w:id="156"/>
    </w:p>
    <w:p>
      <w:pPr>
        <w:pStyle w:val="3"/>
        <w:spacing w:before="120" w:after="120"/>
        <w:rPr>
          <w:rFonts w:hint="default" w:ascii="Times New Roman" w:hAnsi="Times New Roman" w:cs="Times New Roman"/>
          <w:color w:val="auto"/>
        </w:rPr>
      </w:pPr>
      <w:bookmarkStart w:id="157" w:name="_Toc16847"/>
      <w:bookmarkStart w:id="158" w:name="_Toc458323105"/>
      <w:bookmarkStart w:id="159" w:name="_Toc3310"/>
      <w:r>
        <w:rPr>
          <w:rFonts w:hint="default" w:ascii="Times New Roman" w:hAnsi="Times New Roman" w:cs="Times New Roman"/>
          <w:color w:val="auto"/>
        </w:rPr>
        <w:t>3.1 饮用水水源保护区划分的技术方法</w:t>
      </w:r>
      <w:bookmarkEnd w:id="157"/>
      <w:bookmarkEnd w:id="158"/>
      <w:bookmarkEnd w:id="159"/>
    </w:p>
    <w:p>
      <w:pPr>
        <w:spacing w:line="360" w:lineRule="auto"/>
        <w:ind w:firstLine="480"/>
        <w:jc w:val="left"/>
        <w:rPr>
          <w:rFonts w:hint="eastAsia" w:ascii="Times New Roman" w:hAnsi="Times New Roman" w:cs="Times New Roman"/>
          <w:color w:val="auto"/>
          <w:lang w:eastAsia="zh-CN"/>
        </w:rPr>
      </w:pPr>
      <w:bookmarkStart w:id="160" w:name="_Toc453061587"/>
      <w:bookmarkStart w:id="161" w:name="_Toc453061741"/>
      <w:bookmarkStart w:id="162" w:name="_Toc458323108"/>
      <w:r>
        <w:rPr>
          <w:rFonts w:hint="eastAsia" w:ascii="Times New Roman" w:hAnsi="Times New Roman" w:cs="Times New Roman"/>
          <w:color w:val="auto"/>
          <w:lang w:eastAsia="zh-CN"/>
        </w:rPr>
        <w:t>一、《饮用水水源保护区划分技术规范》（HJ338-2018）</w:t>
      </w:r>
    </w:p>
    <w:p>
      <w:pPr>
        <w:spacing w:line="360" w:lineRule="auto"/>
        <w:ind w:firstLine="480"/>
        <w:jc w:val="left"/>
        <w:rPr>
          <w:rFonts w:hint="eastAsia" w:ascii="Times New Roman" w:hAnsi="Times New Roman" w:cs="Times New Roman"/>
          <w:color w:val="auto"/>
          <w:lang w:eastAsia="zh-CN"/>
        </w:rPr>
      </w:pPr>
      <w:r>
        <w:rPr>
          <w:rFonts w:hint="eastAsia" w:ascii="Times New Roman" w:hAnsi="Times New Roman" w:cs="Times New Roman"/>
          <w:color w:val="auto"/>
          <w:lang w:eastAsia="zh-CN"/>
        </w:rPr>
        <w:t>该水源地为中小型水源地（日开采能力小于5万立方米），类型为孔隙承压 水，因此，采用《饮用水水源保护区划分技术规范》（HJ338-2018）推荐的类比经验法，小型孔隙水承压水水源保护区划分方法为：</w:t>
      </w:r>
    </w:p>
    <w:p>
      <w:pPr>
        <w:spacing w:line="360" w:lineRule="auto"/>
        <w:ind w:firstLine="480"/>
        <w:jc w:val="left"/>
        <w:rPr>
          <w:rFonts w:hint="eastAsia" w:ascii="Times New Roman" w:hAnsi="Times New Roman" w:cs="Times New Roman"/>
          <w:color w:val="auto"/>
          <w:lang w:eastAsia="zh-CN"/>
        </w:rPr>
      </w:pPr>
      <w:r>
        <w:rPr>
          <w:rFonts w:hint="eastAsia" w:ascii="Times New Roman" w:hAnsi="Times New Roman" w:cs="Times New Roman"/>
          <w:color w:val="auto"/>
          <w:lang w:eastAsia="zh-CN"/>
        </w:rPr>
        <w:t>（一）一级保护区</w:t>
      </w:r>
    </w:p>
    <w:p>
      <w:pPr>
        <w:spacing w:line="360" w:lineRule="auto"/>
        <w:ind w:firstLine="480"/>
        <w:jc w:val="left"/>
        <w:rPr>
          <w:rFonts w:hint="eastAsia" w:ascii="Times New Roman" w:hAnsi="Times New Roman" w:cs="Times New Roman"/>
          <w:color w:val="auto"/>
          <w:lang w:eastAsia="zh-CN"/>
        </w:rPr>
      </w:pPr>
      <w:r>
        <w:rPr>
          <w:rFonts w:hint="eastAsia" w:ascii="Times New Roman" w:hAnsi="Times New Roman" w:cs="Times New Roman"/>
          <w:color w:val="auto"/>
          <w:lang w:eastAsia="zh-CN"/>
        </w:rPr>
        <w:t>将上部潜水的一级保护区作为承压水的一级保护区，划定方法同孔隙潜水小型水源地。</w:t>
      </w:r>
    </w:p>
    <w:p>
      <w:pPr>
        <w:adjustRightInd/>
        <w:spacing w:line="240" w:lineRule="auto"/>
        <w:ind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表3-1 孔隙水潜水型水源地保护区范围经验值</w:t>
      </w:r>
    </w:p>
    <w:tbl>
      <w:tblPr>
        <w:tblStyle w:val="19"/>
        <w:tblW w:w="6420" w:type="dxa"/>
        <w:jc w:val="center"/>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Layout w:type="fixed"/>
        <w:tblCellMar>
          <w:top w:w="0" w:type="dxa"/>
          <w:left w:w="0" w:type="dxa"/>
          <w:bottom w:w="0" w:type="dxa"/>
          <w:right w:w="0" w:type="dxa"/>
        </w:tblCellMar>
      </w:tblPr>
      <w:tblGrid>
        <w:gridCol w:w="1197"/>
        <w:gridCol w:w="2598"/>
        <w:gridCol w:w="2625"/>
      </w:tblGrid>
      <w:tr>
        <w:tblPrEx>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CellMar>
            <w:top w:w="0" w:type="dxa"/>
            <w:left w:w="0" w:type="dxa"/>
            <w:bottom w:w="0" w:type="dxa"/>
            <w:right w:w="0" w:type="dxa"/>
          </w:tblCellMar>
        </w:tblPrEx>
        <w:trPr>
          <w:cantSplit/>
          <w:trHeight w:val="390" w:hRule="exact"/>
          <w:jc w:val="center"/>
        </w:trPr>
        <w:tc>
          <w:tcPr>
            <w:tcW w:w="1197" w:type="dxa"/>
            <w:tcBorders>
              <w:top w:val="single" w:color="000000" w:sz="8" w:space="0"/>
              <w:left w:val="single" w:color="000000" w:sz="8" w:space="0"/>
              <w:bottom w:val="single" w:color="000000" w:sz="8" w:space="0"/>
              <w:right w:val="single" w:color="000000" w:sz="8" w:space="0"/>
            </w:tcBorders>
            <w:vAlign w:val="top"/>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介质类型</w:t>
            </w:r>
          </w:p>
        </w:tc>
        <w:tc>
          <w:tcPr>
            <w:tcW w:w="2598" w:type="dxa"/>
            <w:tcBorders>
              <w:top w:val="single" w:color="000000" w:sz="8" w:space="0"/>
              <w:left w:val="single" w:color="000000" w:sz="8" w:space="0"/>
              <w:bottom w:val="single" w:color="000000" w:sz="8" w:space="0"/>
              <w:right w:val="single" w:color="000000" w:sz="8" w:space="0"/>
            </w:tcBorders>
            <w:vAlign w:val="top"/>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一级保护区半径R（m）</w:t>
            </w:r>
          </w:p>
        </w:tc>
        <w:tc>
          <w:tcPr>
            <w:tcW w:w="2625" w:type="dxa"/>
            <w:tcBorders>
              <w:top w:val="single" w:color="000000" w:sz="8" w:space="0"/>
              <w:left w:val="single" w:color="000000" w:sz="8" w:space="0"/>
              <w:bottom w:val="single" w:color="000000" w:sz="8" w:space="0"/>
              <w:right w:val="single" w:color="000000" w:sz="8" w:space="0"/>
            </w:tcBorders>
            <w:vAlign w:val="top"/>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二级保护区半径R（m）</w:t>
            </w:r>
          </w:p>
        </w:tc>
      </w:tr>
      <w:tr>
        <w:tblPrEx>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CellMar>
            <w:top w:w="0" w:type="dxa"/>
            <w:left w:w="0" w:type="dxa"/>
            <w:bottom w:w="0" w:type="dxa"/>
            <w:right w:w="0" w:type="dxa"/>
          </w:tblCellMar>
        </w:tblPrEx>
        <w:trPr>
          <w:cantSplit/>
          <w:trHeight w:val="397" w:hRule="exact"/>
          <w:jc w:val="center"/>
        </w:trPr>
        <w:tc>
          <w:tcPr>
            <w:tcW w:w="1197" w:type="dxa"/>
            <w:tcBorders>
              <w:top w:val="single" w:color="000000" w:sz="8" w:space="0"/>
              <w:left w:val="single" w:color="000000" w:sz="8" w:space="0"/>
              <w:bottom w:val="single" w:color="000000" w:sz="8" w:space="0"/>
              <w:right w:val="single" w:color="000000" w:sz="8" w:space="0"/>
            </w:tcBorders>
            <w:vAlign w:val="top"/>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细砂</w:t>
            </w:r>
          </w:p>
        </w:tc>
        <w:tc>
          <w:tcPr>
            <w:tcW w:w="2598" w:type="dxa"/>
            <w:tcBorders>
              <w:top w:val="single" w:color="000000" w:sz="8" w:space="0"/>
              <w:left w:val="single" w:color="000000" w:sz="8" w:space="0"/>
              <w:bottom w:val="single" w:color="000000" w:sz="8" w:space="0"/>
              <w:right w:val="single" w:color="000000" w:sz="8" w:space="0"/>
            </w:tcBorders>
            <w:vAlign w:val="top"/>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w:t>
            </w:r>
          </w:p>
        </w:tc>
        <w:tc>
          <w:tcPr>
            <w:tcW w:w="2625" w:type="dxa"/>
            <w:tcBorders>
              <w:top w:val="single" w:color="000000" w:sz="8" w:space="0"/>
              <w:left w:val="single" w:color="000000" w:sz="8" w:space="0"/>
              <w:bottom w:val="single" w:color="000000" w:sz="8" w:space="0"/>
              <w:right w:val="single" w:color="000000" w:sz="8" w:space="0"/>
            </w:tcBorders>
            <w:vAlign w:val="top"/>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300</w:t>
            </w:r>
          </w:p>
        </w:tc>
      </w:tr>
      <w:tr>
        <w:tblPrEx>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CellMar>
            <w:top w:w="0" w:type="dxa"/>
            <w:left w:w="0" w:type="dxa"/>
            <w:bottom w:w="0" w:type="dxa"/>
            <w:right w:w="0" w:type="dxa"/>
          </w:tblCellMar>
        </w:tblPrEx>
        <w:trPr>
          <w:cantSplit/>
          <w:trHeight w:val="397" w:hRule="exact"/>
          <w:jc w:val="center"/>
        </w:trPr>
        <w:tc>
          <w:tcPr>
            <w:tcW w:w="1197" w:type="dxa"/>
            <w:tcBorders>
              <w:top w:val="single" w:color="000000" w:sz="8" w:space="0"/>
              <w:left w:val="single" w:color="000000" w:sz="8" w:space="0"/>
              <w:bottom w:val="single" w:color="000000" w:sz="8" w:space="0"/>
              <w:right w:val="single" w:color="000000" w:sz="8" w:space="0"/>
            </w:tcBorders>
            <w:vAlign w:val="top"/>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中砂</w:t>
            </w:r>
          </w:p>
        </w:tc>
        <w:tc>
          <w:tcPr>
            <w:tcW w:w="2598" w:type="dxa"/>
            <w:tcBorders>
              <w:top w:val="single" w:color="000000" w:sz="8" w:space="0"/>
              <w:left w:val="single" w:color="000000" w:sz="8" w:space="0"/>
              <w:bottom w:val="single" w:color="000000" w:sz="8" w:space="0"/>
              <w:right w:val="single" w:color="000000" w:sz="8" w:space="0"/>
            </w:tcBorders>
            <w:vAlign w:val="top"/>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50</w:t>
            </w:r>
          </w:p>
        </w:tc>
        <w:tc>
          <w:tcPr>
            <w:tcW w:w="2625" w:type="dxa"/>
            <w:tcBorders>
              <w:top w:val="single" w:color="000000" w:sz="8" w:space="0"/>
              <w:left w:val="single" w:color="000000" w:sz="8" w:space="0"/>
              <w:bottom w:val="single" w:color="000000" w:sz="8" w:space="0"/>
              <w:right w:val="single" w:color="000000" w:sz="8" w:space="0"/>
            </w:tcBorders>
            <w:vAlign w:val="top"/>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500</w:t>
            </w:r>
          </w:p>
        </w:tc>
      </w:tr>
      <w:tr>
        <w:tblPrEx>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CellMar>
            <w:top w:w="0" w:type="dxa"/>
            <w:left w:w="0" w:type="dxa"/>
            <w:bottom w:w="0" w:type="dxa"/>
            <w:right w:w="0" w:type="dxa"/>
          </w:tblCellMar>
        </w:tblPrEx>
        <w:trPr>
          <w:cantSplit/>
          <w:trHeight w:val="397" w:hRule="exact"/>
          <w:jc w:val="center"/>
        </w:trPr>
        <w:tc>
          <w:tcPr>
            <w:tcW w:w="1197" w:type="dxa"/>
            <w:tcBorders>
              <w:top w:val="single" w:color="000000" w:sz="8" w:space="0"/>
              <w:left w:val="single" w:color="000000" w:sz="8" w:space="0"/>
              <w:bottom w:val="single" w:color="000000" w:sz="8" w:space="0"/>
              <w:right w:val="single" w:color="000000" w:sz="8" w:space="0"/>
            </w:tcBorders>
            <w:vAlign w:val="top"/>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粗砂</w:t>
            </w:r>
          </w:p>
        </w:tc>
        <w:tc>
          <w:tcPr>
            <w:tcW w:w="2598" w:type="dxa"/>
            <w:tcBorders>
              <w:top w:val="single" w:color="000000" w:sz="8" w:space="0"/>
              <w:left w:val="single" w:color="000000" w:sz="8" w:space="0"/>
              <w:bottom w:val="single" w:color="000000" w:sz="8" w:space="0"/>
              <w:right w:val="single" w:color="000000" w:sz="8" w:space="0"/>
            </w:tcBorders>
            <w:vAlign w:val="top"/>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100</w:t>
            </w:r>
          </w:p>
        </w:tc>
        <w:tc>
          <w:tcPr>
            <w:tcW w:w="2625" w:type="dxa"/>
            <w:tcBorders>
              <w:top w:val="single" w:color="000000" w:sz="8" w:space="0"/>
              <w:left w:val="single" w:color="000000" w:sz="8" w:space="0"/>
              <w:bottom w:val="single" w:color="000000" w:sz="8" w:space="0"/>
              <w:right w:val="single" w:color="000000" w:sz="8" w:space="0"/>
            </w:tcBorders>
            <w:vAlign w:val="top"/>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1000</w:t>
            </w:r>
          </w:p>
        </w:tc>
      </w:tr>
      <w:tr>
        <w:tblPrEx>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CellMar>
            <w:top w:w="0" w:type="dxa"/>
            <w:left w:w="0" w:type="dxa"/>
            <w:bottom w:w="0" w:type="dxa"/>
            <w:right w:w="0" w:type="dxa"/>
          </w:tblCellMar>
        </w:tblPrEx>
        <w:trPr>
          <w:cantSplit/>
          <w:trHeight w:val="397" w:hRule="exact"/>
          <w:jc w:val="center"/>
        </w:trPr>
        <w:tc>
          <w:tcPr>
            <w:tcW w:w="1197" w:type="dxa"/>
            <w:tcBorders>
              <w:top w:val="single" w:color="000000" w:sz="8" w:space="0"/>
              <w:left w:val="single" w:color="000000" w:sz="8" w:space="0"/>
              <w:bottom w:val="single" w:color="000000" w:sz="8" w:space="0"/>
              <w:right w:val="single" w:color="000000" w:sz="8" w:space="0"/>
            </w:tcBorders>
            <w:vAlign w:val="top"/>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砾石</w:t>
            </w:r>
          </w:p>
        </w:tc>
        <w:tc>
          <w:tcPr>
            <w:tcW w:w="2598" w:type="dxa"/>
            <w:tcBorders>
              <w:top w:val="single" w:color="000000" w:sz="8" w:space="0"/>
              <w:left w:val="single" w:color="000000" w:sz="8" w:space="0"/>
              <w:bottom w:val="single" w:color="000000" w:sz="8" w:space="0"/>
              <w:right w:val="single" w:color="000000" w:sz="8" w:space="0"/>
            </w:tcBorders>
            <w:vAlign w:val="top"/>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200</w:t>
            </w:r>
          </w:p>
        </w:tc>
        <w:tc>
          <w:tcPr>
            <w:tcW w:w="2625" w:type="dxa"/>
            <w:tcBorders>
              <w:top w:val="single" w:color="000000" w:sz="8" w:space="0"/>
              <w:left w:val="single" w:color="000000" w:sz="8" w:space="0"/>
              <w:bottom w:val="single" w:color="000000" w:sz="8" w:space="0"/>
              <w:right w:val="single" w:color="000000" w:sz="8" w:space="0"/>
            </w:tcBorders>
            <w:vAlign w:val="top"/>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2000</w:t>
            </w:r>
          </w:p>
        </w:tc>
      </w:tr>
      <w:tr>
        <w:tblPrEx>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CellMar>
            <w:top w:w="0" w:type="dxa"/>
            <w:left w:w="0" w:type="dxa"/>
            <w:bottom w:w="0" w:type="dxa"/>
            <w:right w:w="0" w:type="dxa"/>
          </w:tblCellMar>
        </w:tblPrEx>
        <w:trPr>
          <w:cantSplit/>
          <w:trHeight w:val="404" w:hRule="exact"/>
          <w:jc w:val="center"/>
        </w:trPr>
        <w:tc>
          <w:tcPr>
            <w:tcW w:w="1197" w:type="dxa"/>
            <w:tcBorders>
              <w:top w:val="single" w:color="000000" w:sz="8" w:space="0"/>
              <w:left w:val="single" w:color="000000" w:sz="8" w:space="0"/>
              <w:bottom w:val="single" w:color="000000" w:sz="8" w:space="0"/>
              <w:right w:val="single" w:color="000000" w:sz="8" w:space="0"/>
            </w:tcBorders>
            <w:vAlign w:val="top"/>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卵石</w:t>
            </w:r>
          </w:p>
        </w:tc>
        <w:tc>
          <w:tcPr>
            <w:tcW w:w="2598" w:type="dxa"/>
            <w:tcBorders>
              <w:top w:val="single" w:color="000000" w:sz="8" w:space="0"/>
              <w:left w:val="single" w:color="000000" w:sz="8" w:space="0"/>
              <w:bottom w:val="single" w:color="000000" w:sz="8" w:space="0"/>
              <w:right w:val="single" w:color="000000" w:sz="8" w:space="0"/>
            </w:tcBorders>
            <w:vAlign w:val="top"/>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500</w:t>
            </w:r>
          </w:p>
        </w:tc>
        <w:tc>
          <w:tcPr>
            <w:tcW w:w="2625" w:type="dxa"/>
            <w:tcBorders>
              <w:top w:val="single" w:color="000000" w:sz="8" w:space="0"/>
              <w:left w:val="single" w:color="000000" w:sz="8" w:space="0"/>
              <w:bottom w:val="single" w:color="000000" w:sz="8" w:space="0"/>
              <w:right w:val="single" w:color="000000" w:sz="8" w:space="0"/>
            </w:tcBorders>
            <w:vAlign w:val="top"/>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5000</w:t>
            </w:r>
          </w:p>
        </w:tc>
      </w:tr>
    </w:tbl>
    <w:p>
      <w:pPr>
        <w:spacing w:line="360" w:lineRule="auto"/>
        <w:ind w:firstLine="480"/>
        <w:jc w:val="left"/>
        <w:rPr>
          <w:rFonts w:hint="eastAsia" w:ascii="Times New Roman" w:hAnsi="Times New Roman" w:cs="Times New Roman"/>
          <w:color w:val="auto"/>
          <w:lang w:eastAsia="zh-CN"/>
        </w:rPr>
      </w:pPr>
      <w:r>
        <w:rPr>
          <w:rFonts w:hint="eastAsia" w:ascii="Times New Roman" w:hAnsi="Times New Roman" w:cs="Times New Roman"/>
          <w:color w:val="auto"/>
          <w:lang w:eastAsia="zh-CN"/>
        </w:rPr>
        <w:t>（二）二级保护区</w:t>
      </w:r>
    </w:p>
    <w:p>
      <w:pPr>
        <w:spacing w:line="360" w:lineRule="auto"/>
        <w:ind w:firstLine="480"/>
        <w:jc w:val="left"/>
        <w:rPr>
          <w:rFonts w:hint="eastAsia" w:ascii="Times New Roman" w:hAnsi="Times New Roman" w:cs="Times New Roman"/>
          <w:color w:val="auto"/>
          <w:lang w:eastAsia="zh-CN"/>
        </w:rPr>
      </w:pPr>
      <w:r>
        <w:rPr>
          <w:rFonts w:hint="eastAsia" w:ascii="Times New Roman" w:hAnsi="Times New Roman" w:cs="Times New Roman"/>
          <w:color w:val="auto"/>
          <w:lang w:eastAsia="zh-CN"/>
        </w:rPr>
        <w:t>不设二级保护区。</w:t>
      </w:r>
    </w:p>
    <w:p>
      <w:pPr>
        <w:spacing w:line="360" w:lineRule="auto"/>
        <w:ind w:firstLine="480"/>
        <w:jc w:val="left"/>
        <w:rPr>
          <w:rFonts w:hint="eastAsia" w:ascii="Times New Roman" w:hAnsi="Times New Roman" w:cs="Times New Roman"/>
          <w:color w:val="auto"/>
          <w:lang w:eastAsia="zh-CN"/>
        </w:rPr>
      </w:pPr>
      <w:r>
        <w:rPr>
          <w:rFonts w:hint="eastAsia" w:ascii="Times New Roman" w:hAnsi="Times New Roman" w:cs="Times New Roman"/>
          <w:color w:val="auto"/>
          <w:lang w:eastAsia="zh-CN"/>
        </w:rPr>
        <w:t>（三）准保护区</w:t>
      </w:r>
    </w:p>
    <w:p>
      <w:pPr>
        <w:spacing w:line="360" w:lineRule="auto"/>
        <w:ind w:firstLine="480"/>
        <w:jc w:val="left"/>
        <w:rPr>
          <w:rFonts w:hint="eastAsia" w:ascii="Times New Roman" w:hAnsi="Times New Roman" w:cs="Times New Roman"/>
          <w:color w:val="auto"/>
          <w:lang w:eastAsia="zh-CN"/>
        </w:rPr>
      </w:pPr>
      <w:r>
        <w:rPr>
          <w:rFonts w:hint="eastAsia" w:ascii="Times New Roman" w:hAnsi="Times New Roman" w:cs="Times New Roman"/>
          <w:color w:val="auto"/>
          <w:lang w:eastAsia="zh-CN"/>
        </w:rPr>
        <w:t>将水源补给区划为准保护区。</w:t>
      </w:r>
    </w:p>
    <w:p>
      <w:pPr>
        <w:spacing w:line="360" w:lineRule="auto"/>
        <w:ind w:firstLine="480"/>
        <w:jc w:val="left"/>
        <w:rPr>
          <w:rFonts w:hint="eastAsia" w:ascii="Times New Roman" w:hAnsi="Times New Roman" w:cs="Times New Roman"/>
          <w:color w:val="auto"/>
          <w:lang w:eastAsia="zh-CN"/>
        </w:rPr>
      </w:pPr>
      <w:r>
        <w:rPr>
          <w:rFonts w:hint="eastAsia" w:ascii="Times New Roman" w:hAnsi="Times New Roman" w:cs="Times New Roman"/>
          <w:color w:val="auto"/>
          <w:lang w:eastAsia="zh-CN"/>
        </w:rPr>
        <w:t>二、环水体函[2019]92 号文的相关规定</w:t>
      </w:r>
    </w:p>
    <w:p>
      <w:pPr>
        <w:spacing w:line="360" w:lineRule="auto"/>
        <w:ind w:firstLine="480"/>
        <w:jc w:val="left"/>
        <w:rPr>
          <w:rFonts w:hint="eastAsia" w:ascii="Times New Roman" w:hAnsi="Times New Roman" w:cs="Times New Roman"/>
          <w:color w:val="auto"/>
          <w:lang w:eastAsia="zh-CN"/>
        </w:rPr>
      </w:pPr>
      <w:r>
        <w:rPr>
          <w:rFonts w:hint="eastAsia" w:ascii="Times New Roman" w:hAnsi="Times New Roman" w:cs="Times New Roman"/>
          <w:color w:val="auto"/>
          <w:lang w:eastAsia="zh-CN"/>
        </w:rPr>
        <w:t>保护区划分为一级保护区和二级保护区。各地在保障农村水源地水质安全的前提下，结合当地实际，因地制宜合理确定农村饮用水水源保护区。原则上，地下水型保护区，以取水口为中心，径向距离不小于30米的区域。</w:t>
      </w:r>
    </w:p>
    <w:bookmarkEnd w:id="160"/>
    <w:bookmarkEnd w:id="161"/>
    <w:bookmarkEnd w:id="162"/>
    <w:p>
      <w:pPr>
        <w:pStyle w:val="3"/>
        <w:spacing w:before="120" w:after="120"/>
        <w:rPr>
          <w:rFonts w:hint="default" w:ascii="Times New Roman" w:hAnsi="Times New Roman" w:cs="Times New Roman"/>
          <w:color w:val="auto"/>
        </w:rPr>
      </w:pPr>
      <w:bookmarkStart w:id="163" w:name="_Toc11560"/>
      <w:bookmarkStart w:id="164" w:name="_Toc9698"/>
      <w:bookmarkStart w:id="165" w:name="_Toc458323115"/>
      <w:r>
        <w:rPr>
          <w:rFonts w:hint="eastAsia" w:ascii="Times New Roman" w:hAnsi="Times New Roman" w:cs="Times New Roman"/>
          <w:color w:val="auto"/>
          <w:lang w:val="en-US" w:eastAsia="zh-CN"/>
        </w:rPr>
        <w:t>3.2</w:t>
      </w:r>
      <w:r>
        <w:rPr>
          <w:rFonts w:hint="eastAsia" w:ascii="Times New Roman" w:hAnsi="Times New Roman" w:cs="Times New Roman"/>
          <w:color w:val="auto"/>
          <w:lang w:eastAsia="zh-CN"/>
        </w:rPr>
        <w:t>拦河坝</w:t>
      </w:r>
      <w:r>
        <w:rPr>
          <w:rFonts w:hint="default" w:ascii="Times New Roman" w:hAnsi="Times New Roman" w:cs="Times New Roman"/>
          <w:color w:val="auto"/>
        </w:rPr>
        <w:t>水厂地下水饮用水水源保护区的初步划分</w:t>
      </w:r>
      <w:bookmarkEnd w:id="163"/>
      <w:bookmarkEnd w:id="164"/>
    </w:p>
    <w:p>
      <w:pPr>
        <w:pStyle w:val="4"/>
        <w:spacing w:before="156" w:after="156"/>
        <w:rPr>
          <w:rFonts w:hint="default" w:asciiTheme="minorEastAsia" w:hAnsiTheme="minorEastAsia" w:eastAsiaTheme="minorEastAsia" w:cstheme="minorEastAsia"/>
          <w:b/>
          <w:bCs w:val="0"/>
          <w:lang w:val="en-US" w:eastAsia="zh-CN"/>
        </w:rPr>
      </w:pPr>
      <w:bookmarkStart w:id="166" w:name="_Toc18385"/>
      <w:bookmarkStart w:id="167" w:name="_Toc8687"/>
      <w:r>
        <w:rPr>
          <w:rFonts w:hint="eastAsia" w:asciiTheme="minorEastAsia" w:hAnsiTheme="minorEastAsia" w:eastAsiaTheme="minorEastAsia" w:cstheme="minorEastAsia"/>
          <w:b/>
          <w:bCs w:val="0"/>
          <w:lang w:val="en-US" w:eastAsia="zh-CN"/>
        </w:rPr>
        <w:t>3.2.1</w:t>
      </w:r>
      <w:r>
        <w:rPr>
          <w:rFonts w:hint="default" w:asciiTheme="minorEastAsia" w:hAnsiTheme="minorEastAsia" w:eastAsiaTheme="minorEastAsia" w:cstheme="minorEastAsia"/>
          <w:b/>
          <w:bCs w:val="0"/>
          <w:lang w:val="en-US" w:eastAsia="zh-CN"/>
        </w:rPr>
        <w:t>一级保护区</w:t>
      </w:r>
      <w:bookmarkEnd w:id="166"/>
      <w:bookmarkEnd w:id="167"/>
    </w:p>
    <w:p>
      <w:pPr>
        <w:spacing w:line="360" w:lineRule="auto"/>
        <w:ind w:firstLine="480"/>
        <w:jc w:val="left"/>
        <w:rPr>
          <w:rFonts w:hint="eastAsia" w:ascii="Times New Roman" w:hAnsi="Times New Roman" w:cs="Times New Roman"/>
          <w:color w:val="auto"/>
          <w:lang w:eastAsia="zh-CN"/>
        </w:rPr>
      </w:pPr>
      <w:r>
        <w:rPr>
          <w:rFonts w:hint="eastAsia" w:ascii="Times New Roman" w:hAnsi="Times New Roman" w:cs="Times New Roman"/>
          <w:color w:val="auto"/>
          <w:lang w:eastAsia="zh-CN"/>
        </w:rPr>
        <w:t>（一）划分方法的确定</w:t>
      </w:r>
    </w:p>
    <w:p>
      <w:pPr>
        <w:spacing w:line="360" w:lineRule="auto"/>
        <w:ind w:firstLine="480"/>
        <w:jc w:val="left"/>
        <w:rPr>
          <w:rFonts w:hint="eastAsia" w:ascii="Times New Roman" w:hAnsi="Times New Roman" w:cs="Times New Roman"/>
          <w:color w:val="auto"/>
          <w:lang w:eastAsia="zh-CN"/>
        </w:rPr>
      </w:pPr>
      <w:r>
        <w:rPr>
          <w:rFonts w:hint="eastAsia" w:ascii="Times New Roman" w:hAnsi="Times New Roman" w:cs="Times New Roman"/>
          <w:color w:val="auto"/>
          <w:lang w:eastAsia="zh-CN"/>
        </w:rPr>
        <w:t>由于本水源地的上部为粘土隔水层，取水层承压水上部无潜水，所以直接采用HJ338-2018 中的经验值法确定保护区范围。</w:t>
      </w:r>
    </w:p>
    <w:p>
      <w:pPr>
        <w:spacing w:line="360" w:lineRule="auto"/>
        <w:ind w:firstLine="480"/>
        <w:jc w:val="left"/>
        <w:rPr>
          <w:rFonts w:hint="eastAsia" w:ascii="Times New Roman" w:hAnsi="Times New Roman" w:cs="Times New Roman"/>
          <w:color w:val="auto"/>
          <w:lang w:eastAsia="zh-CN"/>
        </w:rPr>
      </w:pPr>
      <w:r>
        <w:rPr>
          <w:rFonts w:hint="eastAsia" w:ascii="Times New Roman" w:hAnsi="Times New Roman" w:cs="Times New Roman"/>
          <w:color w:val="auto"/>
          <w:lang w:eastAsia="zh-CN"/>
        </w:rPr>
        <w:t>（二）单井保护区范围的确定</w:t>
      </w:r>
    </w:p>
    <w:p>
      <w:pPr>
        <w:spacing w:line="360" w:lineRule="auto"/>
        <w:ind w:firstLine="480"/>
        <w:jc w:val="left"/>
        <w:rPr>
          <w:rFonts w:hint="eastAsia" w:ascii="Times New Roman" w:hAnsi="Times New Roman" w:cs="Times New Roman"/>
          <w:color w:val="auto"/>
          <w:lang w:eastAsia="zh-CN"/>
        </w:rPr>
      </w:pPr>
      <w:r>
        <w:rPr>
          <w:rFonts w:hint="eastAsia" w:ascii="Times New Roman" w:hAnsi="Times New Roman" w:cs="Times New Roman"/>
          <w:color w:val="auto"/>
          <w:lang w:eastAsia="zh-CN"/>
        </w:rPr>
        <w:t>本水源地上层为粘土层，其渗透系数远小于HJ338-2018 中4.5.2.1 表1 中的 细砂，直接取细砂的经验值30m，因此单井保护区半径R取30m。</w:t>
      </w:r>
    </w:p>
    <w:p>
      <w:pPr>
        <w:spacing w:line="360" w:lineRule="auto"/>
        <w:ind w:firstLine="480"/>
        <w:jc w:val="left"/>
        <w:rPr>
          <w:rFonts w:hint="eastAsia" w:ascii="Times New Roman" w:hAnsi="Times New Roman" w:cs="Times New Roman"/>
          <w:color w:val="auto"/>
          <w:lang w:eastAsia="zh-CN"/>
        </w:rPr>
      </w:pPr>
      <w:r>
        <w:rPr>
          <w:rFonts w:hint="eastAsia" w:ascii="Times New Roman" w:hAnsi="Times New Roman" w:cs="Times New Roman"/>
          <w:color w:val="auto"/>
          <w:lang w:eastAsia="zh-CN"/>
        </w:rPr>
        <w:t>（三）井群保护区范围的确定</w:t>
      </w:r>
    </w:p>
    <w:p>
      <w:pPr>
        <w:spacing w:line="360" w:lineRule="auto"/>
        <w:ind w:firstLine="480"/>
        <w:jc w:val="left"/>
        <w:rPr>
          <w:rFonts w:hint="eastAsia" w:ascii="Times New Roman" w:hAnsi="Times New Roman" w:cs="Times New Roman"/>
          <w:color w:val="auto"/>
          <w:lang w:eastAsia="zh-CN"/>
        </w:rPr>
      </w:pPr>
      <w:r>
        <w:rPr>
          <w:rFonts w:hint="eastAsia" w:ascii="Times New Roman" w:hAnsi="Times New Roman" w:cs="Times New Roman"/>
          <w:color w:val="auto"/>
          <w:lang w:eastAsia="zh-CN"/>
        </w:rPr>
        <w:t>按 HJ338-2018 中的 4.5.2.3，对于集中式供水水源地，井群内间距大于一级保护区半径的2倍时，可以分别对每口井进行一级保护区划分；井群内间距小于等于一级保护区半径的2倍时，则以外围井的外接多边形为边界，向外径向距离为一级保护区半径的多边形区域。</w:t>
      </w:r>
    </w:p>
    <w:p>
      <w:pPr>
        <w:spacing w:line="360" w:lineRule="auto"/>
        <w:ind w:firstLine="480"/>
        <w:jc w:val="left"/>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拦河坝水厂1号井和2号井相距约410m，大于一级保护区半径的2倍，其他井群内间距大于一级保护区半径的2倍，因此，本水源地一级保护区划分方案为：以1号、2号取水井为中心，半径各30米的圆形区域，1号水井东面以道路迎心侧路肩为界。</w:t>
      </w:r>
    </w:p>
    <w:p>
      <w:pPr>
        <w:pStyle w:val="4"/>
        <w:spacing w:before="156" w:after="156"/>
        <w:rPr>
          <w:rFonts w:hint="eastAsia" w:asciiTheme="minorEastAsia" w:hAnsiTheme="minorEastAsia" w:eastAsiaTheme="minorEastAsia" w:cstheme="minorEastAsia"/>
          <w:b/>
          <w:bCs w:val="0"/>
          <w:lang w:val="en-US" w:eastAsia="zh-CN"/>
        </w:rPr>
      </w:pPr>
      <w:bookmarkStart w:id="168" w:name="_Toc28738"/>
      <w:bookmarkStart w:id="169" w:name="_Toc21673"/>
      <w:r>
        <w:rPr>
          <w:rFonts w:hint="eastAsia" w:asciiTheme="minorEastAsia" w:hAnsiTheme="minorEastAsia" w:eastAsiaTheme="minorEastAsia" w:cstheme="minorEastAsia"/>
          <w:b/>
          <w:bCs w:val="0"/>
          <w:lang w:val="en-US" w:eastAsia="zh-CN"/>
        </w:rPr>
        <w:t>3.2.2二级保护区</w:t>
      </w:r>
      <w:bookmarkEnd w:id="168"/>
      <w:bookmarkEnd w:id="169"/>
    </w:p>
    <w:p>
      <w:pPr>
        <w:spacing w:line="360" w:lineRule="auto"/>
        <w:ind w:firstLine="480"/>
        <w:jc w:val="left"/>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本项目取水水源为第四系松散层中的孔隙承压水，根据HJ338-2018，不设二级保护区。</w:t>
      </w:r>
    </w:p>
    <w:p>
      <w:pPr>
        <w:pStyle w:val="4"/>
        <w:spacing w:before="156" w:after="156"/>
        <w:rPr>
          <w:rFonts w:hint="eastAsia" w:asciiTheme="minorEastAsia" w:hAnsiTheme="minorEastAsia" w:eastAsiaTheme="minorEastAsia" w:cstheme="minorEastAsia"/>
          <w:b/>
          <w:bCs w:val="0"/>
          <w:lang w:val="en-US" w:eastAsia="zh-CN"/>
        </w:rPr>
      </w:pPr>
      <w:bookmarkStart w:id="170" w:name="_Toc8744"/>
      <w:bookmarkStart w:id="171" w:name="_Toc5371"/>
      <w:r>
        <w:rPr>
          <w:rFonts w:hint="eastAsia" w:asciiTheme="minorEastAsia" w:hAnsiTheme="minorEastAsia" w:eastAsiaTheme="minorEastAsia" w:cstheme="minorEastAsia"/>
          <w:b/>
          <w:bCs w:val="0"/>
          <w:lang w:val="en-US" w:eastAsia="zh-CN"/>
        </w:rPr>
        <w:t>3.2.3准保护区</w:t>
      </w:r>
      <w:bookmarkEnd w:id="170"/>
      <w:bookmarkEnd w:id="171"/>
    </w:p>
    <w:p>
      <w:pPr>
        <w:spacing w:line="360" w:lineRule="auto"/>
        <w:ind w:firstLine="480"/>
        <w:jc w:val="left"/>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本水源地承压水的重要补给区为洞庭湖周边的丘岗区，且目前该地质单元的边界条件不清，划分后也不便于环境管理。</w:t>
      </w:r>
    </w:p>
    <w:p>
      <w:pPr>
        <w:spacing w:line="360" w:lineRule="auto"/>
        <w:ind w:firstLine="480"/>
        <w:jc w:val="left"/>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结合环水体函[2019]92 号文的相关规定，综上，本水源地不设准保护区。 </w:t>
      </w:r>
    </w:p>
    <w:p>
      <w:pPr>
        <w:spacing w:line="360" w:lineRule="auto"/>
        <w:ind w:firstLine="480"/>
        <w:jc w:val="left"/>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拦河坝水厂地下水饮用水水源保护区范围见表3-2。</w:t>
      </w:r>
    </w:p>
    <w:p>
      <w:pPr>
        <w:adjustRightInd/>
        <w:spacing w:line="240" w:lineRule="auto"/>
        <w:ind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表3-2 地</w:t>
      </w:r>
      <w:r>
        <w:rPr>
          <w:rFonts w:hint="eastAsia" w:ascii="Times New Roman" w:hAnsi="Times New Roman" w:eastAsia="宋体" w:cs="Times New Roman"/>
          <w:b/>
          <w:sz w:val="21"/>
          <w:szCs w:val="21"/>
        </w:rPr>
        <w:t>下</w:t>
      </w:r>
      <w:r>
        <w:rPr>
          <w:rFonts w:hint="default" w:ascii="Times New Roman" w:hAnsi="Times New Roman" w:eastAsia="宋体" w:cs="Times New Roman"/>
          <w:b/>
          <w:sz w:val="21"/>
          <w:szCs w:val="21"/>
        </w:rPr>
        <w:t>水饮用水水源保护区的范围</w:t>
      </w:r>
    </w:p>
    <w:tbl>
      <w:tblPr>
        <w:tblStyle w:val="19"/>
        <w:tblW w:w="488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66"/>
        <w:gridCol w:w="3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90" w:hRule="atLeast"/>
          <w:jc w:val="center"/>
        </w:trPr>
        <w:tc>
          <w:tcPr>
            <w:tcW w:w="1366" w:type="dxa"/>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保护区级别</w:t>
            </w:r>
          </w:p>
        </w:tc>
        <w:tc>
          <w:tcPr>
            <w:tcW w:w="3516" w:type="dxa"/>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保护区范围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742" w:hRule="atLeast"/>
          <w:jc w:val="center"/>
        </w:trPr>
        <w:tc>
          <w:tcPr>
            <w:tcW w:w="1366" w:type="dxa"/>
            <w:vAlign w:val="center"/>
          </w:tcPr>
          <w:p>
            <w:pPr>
              <w:widowControl/>
              <w:adjustRightInd/>
              <w:snapToGrid/>
              <w:spacing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一级</w:t>
            </w:r>
          </w:p>
        </w:tc>
        <w:tc>
          <w:tcPr>
            <w:tcW w:w="3516" w:type="dxa"/>
            <w:vAlign w:val="center"/>
          </w:tcPr>
          <w:p>
            <w:pPr>
              <w:widowControl/>
              <w:adjustRightInd/>
              <w:snapToGrid/>
              <w:spacing w:line="400" w:lineRule="exact"/>
              <w:ind w:firstLine="0" w:firstLineChars="0"/>
              <w:jc w:val="center"/>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eastAsia="zh-CN"/>
              </w:rPr>
              <w:t>以1号、2号取水井为中心，半径各30米的圆形区域，1号水井东面以道路迎心侧路肩为界</w:t>
            </w:r>
          </w:p>
        </w:tc>
      </w:tr>
      <w:bookmarkEnd w:id="165"/>
    </w:tbl>
    <w:p>
      <w:pPr>
        <w:pStyle w:val="3"/>
        <w:spacing w:before="156" w:after="156"/>
        <w:rPr>
          <w:rFonts w:hint="eastAsia"/>
        </w:rPr>
      </w:pPr>
      <w:bookmarkStart w:id="172" w:name="_Toc9632"/>
      <w:bookmarkStart w:id="173" w:name="_Toc8454"/>
      <w:bookmarkStart w:id="174" w:name="_Toc24996"/>
      <w:bookmarkStart w:id="175" w:name="_Toc9621"/>
      <w:bookmarkStart w:id="176" w:name="_Toc28610"/>
      <w:bookmarkStart w:id="177" w:name="_Toc18679"/>
      <w:bookmarkStart w:id="178" w:name="OLE_LINK31"/>
      <w:r>
        <w:rPr>
          <w:rFonts w:hint="eastAsia"/>
        </w:rPr>
        <w:t>3.3 规划协调性符合性分析</w:t>
      </w:r>
      <w:bookmarkEnd w:id="172"/>
      <w:bookmarkEnd w:id="173"/>
      <w:bookmarkEnd w:id="174"/>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根据以上划分结果，初步划定的饮用水水源保护区不属于自然保护区等生态敏感区，同时，保护区土地利用类型以建设用地和农业用地为主。</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根据《湘阴县县城总体规划（2008-2030）》，本水源地所在的三塘镇规划为第一产业主导区；除了文星镇城镇所在地有城镇开发建设用地外，其他区域均为限制开发区和禁止开发区；在本次保护区范围内无交通规划。</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综上所述，该饮用水源保护区的划分与城市总体规划、土地利用总体规划、交通发展规划基本相协调一致。</w:t>
      </w:r>
    </w:p>
    <w:p>
      <w:pPr>
        <w:pStyle w:val="3"/>
        <w:spacing w:before="120" w:after="120"/>
        <w:rPr>
          <w:rFonts w:hint="eastAsia" w:ascii="Times New Roman" w:hAnsi="Times New Roman" w:cs="Times New Roman"/>
          <w:color w:val="auto"/>
          <w:lang w:eastAsia="zh-CN"/>
        </w:rPr>
      </w:pPr>
      <w:r>
        <w:rPr>
          <w:rFonts w:hint="eastAsia" w:ascii="Times New Roman" w:hAnsi="Times New Roman" w:cs="Times New Roman"/>
          <w:color w:val="auto"/>
          <w:lang w:eastAsia="zh-CN"/>
        </w:rPr>
        <w:t>3.</w:t>
      </w:r>
      <w:r>
        <w:rPr>
          <w:rFonts w:hint="eastAsia" w:ascii="Times New Roman" w:hAnsi="Times New Roman" w:cs="Times New Roman"/>
          <w:color w:val="auto"/>
          <w:lang w:val="en-US" w:eastAsia="zh-CN"/>
        </w:rPr>
        <w:t>4</w:t>
      </w:r>
      <w:r>
        <w:rPr>
          <w:rFonts w:hint="eastAsia" w:ascii="Times New Roman" w:hAnsi="Times New Roman" w:cs="Times New Roman"/>
          <w:color w:val="auto"/>
          <w:lang w:eastAsia="zh-CN"/>
        </w:rPr>
        <w:t>最终定界</w:t>
      </w:r>
      <w:bookmarkEnd w:id="175"/>
      <w:bookmarkEnd w:id="176"/>
      <w:bookmarkEnd w:id="177"/>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为了便于开展日常环境管理工作，依据保护区划分的分析、结合水源保护区的地形、地标、地物特点，确定湘阴县三塘镇拦河坝水厂地下水饮用水源保护区划分为一级保护区，不设二级保护区和准保护区。</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①利用目前世界较为先进的卫星地图Google Earth（谷歌）进行定位，标出三塘镇拦河坝水厂取水口、取水口半径220m、取水口半径95m、取水口半径100m等重要点位的大致地理位置，并记录经纬度坐标。</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②采用GPS智能测绘仪器进行实地测量，现场验证重要点位的准确性，并对其经纬度进行校核。</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③利用专业测绘技术对界线拐点经纬度再次进行校核。</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④将经过现场验证确定后，以不同颜色绘制出保护区范围示意图。</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按照上述程序以及现场的实际情况，确定了湘阴县三塘镇拦河坝水厂地下水饮用水源保护区边界为：</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以1号、2号取水井为中心，半径各30米的圆形区域，1号水井东面以道路迎心侧路肩为界。保护区详情见附图2（湘阴县三塘镇拦河坝水厂地下水饮用水源保护区划分结果图）。</w:t>
      </w:r>
    </w:p>
    <w:p>
      <w:pPr>
        <w:adjustRightInd/>
        <w:spacing w:line="240" w:lineRule="auto"/>
        <w:ind w:firstLine="0" w:firstLineChars="0"/>
        <w:jc w:val="center"/>
        <w:rPr>
          <w:rFonts w:hint="eastAsia" w:ascii="Times New Roman" w:hAnsi="Times New Roman" w:eastAsia="宋体" w:cs="Times New Roman"/>
          <w:b/>
          <w:sz w:val="21"/>
          <w:szCs w:val="21"/>
        </w:rPr>
      </w:pPr>
      <w:r>
        <w:rPr>
          <w:rFonts w:hint="eastAsia" w:ascii="Times New Roman" w:hAnsi="Times New Roman" w:eastAsia="宋体" w:cs="Times New Roman"/>
          <w:b/>
          <w:sz w:val="21"/>
          <w:szCs w:val="21"/>
        </w:rPr>
        <w:t>表3-3 取水井中心坐标和一级保护区边界坐标一览表</w:t>
      </w:r>
    </w:p>
    <w:tbl>
      <w:tblPr>
        <w:tblStyle w:val="19"/>
        <w:tblW w:w="4169"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09"/>
        <w:gridCol w:w="1558"/>
        <w:gridCol w:w="840"/>
        <w:gridCol w:w="1824"/>
        <w:gridCol w:w="181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jc w:val="center"/>
        </w:trPr>
        <w:tc>
          <w:tcPr>
            <w:tcW w:w="654"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井编号</w:t>
            </w:r>
          </w:p>
        </w:tc>
        <w:tc>
          <w:tcPr>
            <w:tcW w:w="4345" w:type="pct"/>
            <w:gridSpan w:val="4"/>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边界坐标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jc w:val="center"/>
        </w:trPr>
        <w:tc>
          <w:tcPr>
            <w:tcW w:w="654"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rPr>
            </w:pPr>
          </w:p>
        </w:tc>
        <w:tc>
          <w:tcPr>
            <w:tcW w:w="1121"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取水井中心坐标</w:t>
            </w:r>
          </w:p>
        </w:tc>
        <w:tc>
          <w:tcPr>
            <w:tcW w:w="604"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边界顶端编号</w:t>
            </w:r>
          </w:p>
        </w:tc>
        <w:tc>
          <w:tcPr>
            <w:tcW w:w="2620"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边界顶端坐标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jc w:val="center"/>
        </w:trPr>
        <w:tc>
          <w:tcPr>
            <w:tcW w:w="654"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rPr>
            </w:pPr>
          </w:p>
        </w:tc>
        <w:tc>
          <w:tcPr>
            <w:tcW w:w="112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rPr>
            </w:pPr>
          </w:p>
        </w:tc>
        <w:tc>
          <w:tcPr>
            <w:tcW w:w="604"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rPr>
            </w:pPr>
          </w:p>
        </w:tc>
        <w:tc>
          <w:tcPr>
            <w:tcW w:w="131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经度</w:t>
            </w:r>
          </w:p>
        </w:tc>
        <w:tc>
          <w:tcPr>
            <w:tcW w:w="130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纬度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jc w:val="center"/>
        </w:trPr>
        <w:tc>
          <w:tcPr>
            <w:tcW w:w="654"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lang w:val="en-US" w:eastAsia="zh-CN"/>
              </w:rPr>
              <w:t>1号</w:t>
            </w:r>
            <w:r>
              <w:rPr>
                <w:rFonts w:hint="eastAsia" w:ascii="Times New Roman" w:hAnsi="Times New Roman" w:eastAsia="宋体" w:cs="Times New Roman"/>
                <w:kern w:val="0"/>
                <w:sz w:val="21"/>
                <w:szCs w:val="21"/>
              </w:rPr>
              <w:t>水</w:t>
            </w:r>
            <w:r>
              <w:rPr>
                <w:rFonts w:hint="default" w:ascii="Times New Roman" w:hAnsi="Times New Roman" w:eastAsia="宋体" w:cs="Times New Roman"/>
                <w:kern w:val="0"/>
                <w:sz w:val="21"/>
                <w:szCs w:val="21"/>
              </w:rPr>
              <w:t>井</w:t>
            </w:r>
          </w:p>
        </w:tc>
        <w:tc>
          <w:tcPr>
            <w:tcW w:w="1121"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E</w:t>
            </w:r>
            <w:r>
              <w:rPr>
                <w:rFonts w:hint="default" w:ascii="Times New Roman" w:hAnsi="Times New Roman" w:eastAsia="宋体" w:cs="Times New Roman"/>
                <w:kern w:val="0"/>
                <w:sz w:val="21"/>
                <w:szCs w:val="21"/>
                <w:lang w:val="en-US" w:eastAsia="zh-CN"/>
              </w:rPr>
              <w:t>112°55'45.73"</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N</w:t>
            </w:r>
            <w:r>
              <w:rPr>
                <w:rFonts w:hint="default" w:ascii="Times New Roman" w:hAnsi="Times New Roman" w:eastAsia="宋体" w:cs="Times New Roman"/>
                <w:kern w:val="0"/>
                <w:sz w:val="21"/>
                <w:szCs w:val="21"/>
                <w:lang w:val="en-US" w:eastAsia="zh-CN"/>
              </w:rPr>
              <w:t>28°48'03.47"</w:t>
            </w:r>
          </w:p>
        </w:tc>
        <w:tc>
          <w:tcPr>
            <w:tcW w:w="60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A1</w:t>
            </w:r>
          </w:p>
        </w:tc>
        <w:tc>
          <w:tcPr>
            <w:tcW w:w="131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112°55'46.11"</w:t>
            </w:r>
          </w:p>
        </w:tc>
        <w:tc>
          <w:tcPr>
            <w:tcW w:w="130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28°48'04.45"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jc w:val="center"/>
        </w:trPr>
        <w:tc>
          <w:tcPr>
            <w:tcW w:w="654"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p>
        </w:tc>
        <w:tc>
          <w:tcPr>
            <w:tcW w:w="112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p>
        </w:tc>
        <w:tc>
          <w:tcPr>
            <w:tcW w:w="60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A2</w:t>
            </w:r>
          </w:p>
        </w:tc>
        <w:tc>
          <w:tcPr>
            <w:tcW w:w="131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112°55'45.67"</w:t>
            </w:r>
          </w:p>
        </w:tc>
        <w:tc>
          <w:tcPr>
            <w:tcW w:w="130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28°48'02.53"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jc w:val="center"/>
        </w:trPr>
        <w:tc>
          <w:tcPr>
            <w:tcW w:w="654"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p>
        </w:tc>
        <w:tc>
          <w:tcPr>
            <w:tcW w:w="112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p>
        </w:tc>
        <w:tc>
          <w:tcPr>
            <w:tcW w:w="60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A3</w:t>
            </w:r>
          </w:p>
        </w:tc>
        <w:tc>
          <w:tcPr>
            <w:tcW w:w="131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112°55'44.70"</w:t>
            </w:r>
          </w:p>
        </w:tc>
        <w:tc>
          <w:tcPr>
            <w:tcW w:w="130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28°48'03.93"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jc w:val="center"/>
        </w:trPr>
        <w:tc>
          <w:tcPr>
            <w:tcW w:w="654"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lang w:val="en-US" w:eastAsia="zh-CN"/>
              </w:rPr>
              <w:t>2号</w:t>
            </w:r>
            <w:r>
              <w:rPr>
                <w:rFonts w:hint="eastAsia" w:ascii="Times New Roman" w:hAnsi="Times New Roman" w:eastAsia="宋体" w:cs="Times New Roman"/>
                <w:kern w:val="0"/>
                <w:sz w:val="21"/>
                <w:szCs w:val="21"/>
              </w:rPr>
              <w:t>水</w:t>
            </w:r>
            <w:r>
              <w:rPr>
                <w:rFonts w:hint="default" w:ascii="Times New Roman" w:hAnsi="Times New Roman" w:eastAsia="宋体" w:cs="Times New Roman"/>
                <w:kern w:val="0"/>
                <w:sz w:val="21"/>
                <w:szCs w:val="21"/>
              </w:rPr>
              <w:t>井</w:t>
            </w:r>
          </w:p>
        </w:tc>
        <w:tc>
          <w:tcPr>
            <w:tcW w:w="1121"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E</w:t>
            </w:r>
            <w:r>
              <w:rPr>
                <w:rFonts w:hint="default" w:ascii="Times New Roman" w:hAnsi="Times New Roman" w:eastAsia="宋体" w:cs="Times New Roman"/>
                <w:kern w:val="0"/>
                <w:sz w:val="21"/>
                <w:szCs w:val="21"/>
                <w:lang w:val="en-US" w:eastAsia="zh-CN"/>
              </w:rPr>
              <w:t>112°55'59.84"</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N</w:t>
            </w:r>
            <w:r>
              <w:rPr>
                <w:rFonts w:hint="default" w:ascii="Times New Roman" w:hAnsi="Times New Roman" w:eastAsia="宋体" w:cs="Times New Roman"/>
                <w:kern w:val="0"/>
                <w:sz w:val="21"/>
                <w:szCs w:val="21"/>
                <w:lang w:val="en-US" w:eastAsia="zh-CN"/>
              </w:rPr>
              <w:t>28°47'58.36"</w:t>
            </w:r>
          </w:p>
        </w:tc>
        <w:tc>
          <w:tcPr>
            <w:tcW w:w="60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A4</w:t>
            </w:r>
          </w:p>
        </w:tc>
        <w:tc>
          <w:tcPr>
            <w:tcW w:w="131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112°55'59.00"</w:t>
            </w:r>
          </w:p>
        </w:tc>
        <w:tc>
          <w:tcPr>
            <w:tcW w:w="130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28°47'59.02"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jc w:val="center"/>
        </w:trPr>
        <w:tc>
          <w:tcPr>
            <w:tcW w:w="654"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p>
        </w:tc>
        <w:tc>
          <w:tcPr>
            <w:tcW w:w="112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p>
        </w:tc>
        <w:tc>
          <w:tcPr>
            <w:tcW w:w="60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A5</w:t>
            </w:r>
          </w:p>
        </w:tc>
        <w:tc>
          <w:tcPr>
            <w:tcW w:w="131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112°56'00.70"</w:t>
            </w:r>
          </w:p>
        </w:tc>
        <w:tc>
          <w:tcPr>
            <w:tcW w:w="130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28°47'59.06"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jc w:val="center"/>
        </w:trPr>
        <w:tc>
          <w:tcPr>
            <w:tcW w:w="654"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p>
        </w:tc>
        <w:tc>
          <w:tcPr>
            <w:tcW w:w="112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p>
        </w:tc>
        <w:tc>
          <w:tcPr>
            <w:tcW w:w="60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A6</w:t>
            </w:r>
          </w:p>
        </w:tc>
        <w:tc>
          <w:tcPr>
            <w:tcW w:w="131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112°56'00.88"</w:t>
            </w:r>
          </w:p>
        </w:tc>
        <w:tc>
          <w:tcPr>
            <w:tcW w:w="130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28°47'58.06"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jc w:val="center"/>
        </w:trPr>
        <w:tc>
          <w:tcPr>
            <w:tcW w:w="654"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p>
        </w:tc>
        <w:tc>
          <w:tcPr>
            <w:tcW w:w="112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p>
        </w:tc>
        <w:tc>
          <w:tcPr>
            <w:tcW w:w="60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A7</w:t>
            </w:r>
          </w:p>
        </w:tc>
        <w:tc>
          <w:tcPr>
            <w:tcW w:w="131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112°56'00.03"</w:t>
            </w:r>
          </w:p>
        </w:tc>
        <w:tc>
          <w:tcPr>
            <w:tcW w:w="130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28°47'57.43"</w:t>
            </w:r>
          </w:p>
        </w:tc>
      </w:tr>
      <w:bookmarkEnd w:id="178"/>
    </w:tbl>
    <w:p>
      <w:pPr>
        <w:spacing w:line="400" w:lineRule="exact"/>
        <w:jc w:val="left"/>
        <w:rPr>
          <w:rFonts w:hint="default" w:ascii="Times New Roman" w:hAnsi="Times New Roman" w:cs="Times New Roman"/>
        </w:rPr>
      </w:pPr>
      <w:r>
        <w:rPr>
          <w:rFonts w:hint="default" w:ascii="Times New Roman" w:hAnsi="Times New Roman" w:cs="Times New Roman"/>
        </w:rPr>
        <w:br w:type="page"/>
      </w:r>
    </w:p>
    <w:p>
      <w:pPr>
        <w:pStyle w:val="2"/>
        <w:spacing w:before="120" w:after="120"/>
        <w:jc w:val="center"/>
        <w:rPr>
          <w:rFonts w:hint="default" w:ascii="Times New Roman" w:hAnsi="Times New Roman" w:cs="Times New Roman"/>
        </w:rPr>
      </w:pPr>
      <w:bookmarkStart w:id="179" w:name="_Toc9331"/>
      <w:bookmarkStart w:id="180" w:name="_Toc453061595"/>
      <w:bookmarkStart w:id="181" w:name="_Toc453061749"/>
      <w:bookmarkStart w:id="182" w:name="_Toc18855"/>
      <w:r>
        <w:rPr>
          <w:rFonts w:hint="default" w:ascii="Times New Roman" w:hAnsi="Times New Roman" w:cs="Times New Roman"/>
        </w:rPr>
        <w:t>第四章饮用水水源保护区划分方案与分析</w:t>
      </w:r>
      <w:bookmarkEnd w:id="179"/>
      <w:bookmarkEnd w:id="180"/>
      <w:bookmarkEnd w:id="181"/>
      <w:bookmarkEnd w:id="182"/>
    </w:p>
    <w:p>
      <w:pPr>
        <w:keepNext/>
        <w:keepLines/>
        <w:adjustRightInd/>
        <w:snapToGrid/>
        <w:spacing w:before="120" w:beforeLines="50" w:after="120" w:afterLines="50" w:line="400" w:lineRule="exact"/>
        <w:ind w:firstLine="0" w:firstLineChars="0"/>
        <w:outlineLvl w:val="1"/>
        <w:rPr>
          <w:rFonts w:hint="default" w:ascii="Times New Roman" w:hAnsi="Times New Roman" w:eastAsia="黑体" w:cs="Times New Roman"/>
          <w:color w:val="auto"/>
          <w:sz w:val="32"/>
          <w:szCs w:val="32"/>
        </w:rPr>
      </w:pPr>
      <w:bookmarkStart w:id="183" w:name="_Toc20982"/>
      <w:bookmarkStart w:id="184" w:name="_Toc458323119"/>
      <w:bookmarkStart w:id="185" w:name="_Toc23058"/>
      <w:r>
        <w:rPr>
          <w:rFonts w:hint="default" w:ascii="Times New Roman" w:hAnsi="Times New Roman" w:eastAsia="黑体" w:cs="Times New Roman"/>
          <w:color w:val="auto"/>
          <w:sz w:val="32"/>
          <w:szCs w:val="32"/>
        </w:rPr>
        <w:t>4.</w:t>
      </w:r>
      <w:r>
        <w:rPr>
          <w:rFonts w:hint="eastAsia" w:ascii="Times New Roman" w:hAnsi="Times New Roman" w:eastAsia="黑体" w:cs="Times New Roman"/>
          <w:color w:val="auto"/>
          <w:sz w:val="32"/>
          <w:szCs w:val="32"/>
          <w:lang w:val="en-US" w:eastAsia="zh-CN"/>
        </w:rPr>
        <w:t>1</w:t>
      </w:r>
      <w:r>
        <w:rPr>
          <w:rFonts w:hint="default" w:ascii="Times New Roman" w:hAnsi="Times New Roman" w:eastAsia="黑体" w:cs="Times New Roman"/>
          <w:color w:val="auto"/>
          <w:sz w:val="32"/>
          <w:szCs w:val="32"/>
        </w:rPr>
        <w:t>饮用水水源保护区存在环境问题分析</w:t>
      </w:r>
      <w:bookmarkEnd w:id="183"/>
      <w:bookmarkEnd w:id="184"/>
      <w:bookmarkEnd w:id="185"/>
      <w:bookmarkStart w:id="186" w:name="_Toc453061752"/>
      <w:bookmarkStart w:id="187" w:name="_Toc453061598"/>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bookmarkStart w:id="188" w:name="_Toc29617"/>
      <w:bookmarkStart w:id="189" w:name="_Toc23327"/>
      <w:bookmarkStart w:id="190" w:name="_Toc15508"/>
      <w:r>
        <w:rPr>
          <w:rFonts w:hint="eastAsia" w:ascii="Calibri" w:hAnsi="Calibri" w:eastAsia="宋体" w:cs="宋体"/>
          <w:sz w:val="24"/>
          <w:szCs w:val="22"/>
          <w:lang w:val="en-US" w:eastAsia="zh-CN" w:bidi="ar"/>
        </w:rPr>
        <w:t>1、 每年常规监测不符合相关要求。2019年未按《2019 年全省生态环境监测方案》的要求监测相关的指标。</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2、 根据2.4.4章节污染状况调查结果，饮用水水源地存在的环境问题情况汇总见表4-1，其位置分布见附图3。</w:t>
      </w:r>
    </w:p>
    <w:p>
      <w:pPr>
        <w:keepNext/>
        <w:keepLines/>
        <w:pageBreakBefore w:val="0"/>
        <w:widowControl w:val="0"/>
        <w:kinsoku/>
        <w:wordWrap/>
        <w:overflowPunct/>
        <w:topLinePunct w:val="0"/>
        <w:autoSpaceDE/>
        <w:autoSpaceDN/>
        <w:bidi w:val="0"/>
        <w:adjustRightInd/>
        <w:snapToGrid/>
        <w:spacing w:line="360" w:lineRule="auto"/>
        <w:ind w:firstLine="488" w:firstLineChars="200"/>
        <w:textAlignment w:val="auto"/>
        <w:outlineLvl w:val="9"/>
        <w:rPr>
          <w:rFonts w:hint="eastAsia" w:ascii="Calibri" w:hAnsi="Calibri" w:eastAsia="宋体" w:cs="宋体"/>
          <w:b/>
          <w:bCs/>
          <w:sz w:val="24"/>
          <w:szCs w:val="22"/>
          <w:lang w:val="en-US" w:eastAsia="zh-CN" w:bidi="ar"/>
        </w:rPr>
      </w:pPr>
      <w:r>
        <w:rPr>
          <w:rFonts w:hint="eastAsia" w:ascii="Calibri" w:hAnsi="Calibri" w:eastAsia="宋体" w:cs="宋体"/>
          <w:b/>
          <w:bCs/>
          <w:sz w:val="24"/>
          <w:szCs w:val="22"/>
          <w:lang w:val="en-US" w:eastAsia="zh-CN" w:bidi="ar"/>
        </w:rPr>
        <w:t>一级保护区存在的主要问题：</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（1）标志标牌设置需要完善。</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（2）保护区范围内有长仑水厂工作人员。</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（3）一号水井东面、二号水井南面为村道，有行人、社会车辆通行，不涉及危险品的运输。</w:t>
      </w:r>
    </w:p>
    <w:p>
      <w:pPr>
        <w:adjustRightInd w:val="0"/>
        <w:snapToGrid w:val="0"/>
        <w:spacing w:line="360" w:lineRule="auto"/>
        <w:ind w:firstLine="488" w:firstLineChars="200"/>
        <w:jc w:val="left"/>
        <w:rPr>
          <w:rFonts w:hint="default" w:ascii="Calibri" w:hAnsi="Calibri" w:eastAsia="宋体" w:cs="宋体"/>
          <w:sz w:val="24"/>
          <w:szCs w:val="22"/>
          <w:lang w:val="en-US" w:eastAsia="zh-CN" w:bidi="ar"/>
        </w:rPr>
      </w:pPr>
      <w:r>
        <w:rPr>
          <w:rFonts w:hint="eastAsia" w:ascii="Calibri" w:hAnsi="Calibri" w:eastAsia="宋体" w:cs="宋体"/>
          <w:sz w:val="24"/>
          <w:szCs w:val="22"/>
          <w:lang w:val="en-US" w:eastAsia="zh-CN" w:bidi="ar"/>
        </w:rPr>
        <w:t>（4）保护区范围内有0.35亩水田，一处水塘。</w:t>
      </w:r>
    </w:p>
    <w:bookmarkEnd w:id="188"/>
    <w:bookmarkEnd w:id="189"/>
    <w:bookmarkEnd w:id="190"/>
    <w:p>
      <w:pPr>
        <w:pStyle w:val="3"/>
        <w:spacing w:before="120" w:after="120"/>
        <w:rPr>
          <w:rFonts w:hint="default" w:ascii="Times New Roman" w:hAnsi="Times New Roman" w:cs="Times New Roman"/>
        </w:rPr>
      </w:pPr>
      <w:bookmarkStart w:id="191" w:name="_Toc14967"/>
      <w:bookmarkStart w:id="192" w:name="_Toc19132"/>
      <w:r>
        <w:rPr>
          <w:rFonts w:hint="default" w:ascii="Times New Roman" w:hAnsi="Times New Roman" w:cs="Times New Roman"/>
        </w:rPr>
        <w:t>4.</w:t>
      </w:r>
      <w:r>
        <w:rPr>
          <w:rFonts w:hint="eastAsia" w:ascii="Times New Roman" w:hAnsi="Times New Roman" w:cs="Times New Roman"/>
          <w:lang w:val="en-US" w:eastAsia="zh-CN"/>
        </w:rPr>
        <w:t>2</w:t>
      </w:r>
      <w:r>
        <w:rPr>
          <w:rFonts w:hint="default" w:ascii="Times New Roman" w:hAnsi="Times New Roman" w:cs="Times New Roman"/>
        </w:rPr>
        <w:t xml:space="preserve"> 饮用水水源保护区污染整治措施</w:t>
      </w:r>
      <w:bookmarkEnd w:id="186"/>
      <w:bookmarkEnd w:id="187"/>
      <w:bookmarkEnd w:id="191"/>
      <w:bookmarkEnd w:id="192"/>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bookmarkStart w:id="193" w:name="_Toc453061753"/>
      <w:bookmarkStart w:id="194" w:name="_Toc453061599"/>
      <w:r>
        <w:rPr>
          <w:rFonts w:hint="eastAsia" w:ascii="Calibri" w:hAnsi="Calibri" w:eastAsia="宋体" w:cs="宋体"/>
          <w:sz w:val="24"/>
          <w:szCs w:val="22"/>
          <w:lang w:val="en-US" w:eastAsia="zh-CN" w:bidi="ar"/>
        </w:rPr>
        <w:t>针对本次划定的饮用水水源保护区内存在的环境问题，根据《湖南省饮用水水源保护条例》，结合《集中式饮用水水源地规范化整治建设环境保护技术要求》（HJ/T337-2015）、《关于答复全国集中式饮用水水源地环境保护专项行动有关问题的函》（环办环监函[2018]767 号）、《关于答复2019 年饮用水水源地环境保护专项行动有关问题的函》（环办执法函[2019]647 号）、环水体函[2019]92号文的相关要求，一级保护区拟采取以下整治措施：</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1、拦河坝水厂工作人员的生活污水分别采用四格净化池处理，生活垃圾进行收集处理；</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2、完善标志标牌的设置，在进出保护区的道路旁设置交通2块警示牌，长仑水厂、人类活动密集区设置宣传牌，共2块，保护区边界重要边界点设置界标，共4块；</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3、护区内0.35亩农田，逐步退出，目前加强测土配方，实施生态种植，水塘进行生态养殖。</w:t>
      </w:r>
    </w:p>
    <w:p>
      <w:pPr>
        <w:adjustRightInd/>
        <w:spacing w:line="240" w:lineRule="auto"/>
        <w:ind w:firstLine="0" w:firstLineChars="0"/>
        <w:jc w:val="center"/>
        <w:rPr>
          <w:rFonts w:hint="eastAsia" w:ascii="Times New Roman" w:hAnsi="Times New Roman" w:eastAsia="宋体" w:cs="Times New Roman"/>
          <w:b/>
          <w:sz w:val="21"/>
          <w:szCs w:val="21"/>
          <w:lang w:eastAsia="zh-CN"/>
        </w:rPr>
      </w:pPr>
    </w:p>
    <w:p>
      <w:pPr>
        <w:adjustRightInd/>
        <w:spacing w:line="240" w:lineRule="auto"/>
        <w:ind w:firstLine="0" w:firstLineChars="0"/>
        <w:jc w:val="center"/>
        <w:rPr>
          <w:rFonts w:hint="eastAsia" w:ascii="Times New Roman" w:hAnsi="Times New Roman" w:eastAsia="宋体" w:cs="Times New Roman"/>
          <w:b/>
          <w:sz w:val="21"/>
          <w:szCs w:val="21"/>
          <w:lang w:eastAsia="zh-CN"/>
        </w:rPr>
      </w:pPr>
    </w:p>
    <w:p>
      <w:pPr>
        <w:adjustRightInd/>
        <w:spacing w:line="240" w:lineRule="auto"/>
        <w:ind w:firstLine="0" w:firstLineChars="0"/>
        <w:jc w:val="center"/>
        <w:rPr>
          <w:rFonts w:hint="eastAsia" w:ascii="Times New Roman" w:hAnsi="Times New Roman" w:eastAsia="宋体" w:cs="Times New Roman"/>
          <w:b/>
          <w:sz w:val="21"/>
          <w:szCs w:val="21"/>
          <w:lang w:eastAsia="zh-CN"/>
        </w:rPr>
      </w:pPr>
    </w:p>
    <w:p>
      <w:pPr>
        <w:adjustRightInd/>
        <w:spacing w:line="240" w:lineRule="auto"/>
        <w:ind w:firstLine="0" w:firstLineChars="0"/>
        <w:jc w:val="center"/>
        <w:rPr>
          <w:rFonts w:hint="eastAsia" w:ascii="Times New Roman" w:hAnsi="Times New Roman" w:eastAsia="宋体" w:cs="Times New Roman"/>
          <w:b/>
          <w:sz w:val="21"/>
          <w:szCs w:val="21"/>
          <w:lang w:eastAsia="zh-CN"/>
        </w:rPr>
      </w:pPr>
    </w:p>
    <w:p>
      <w:pPr>
        <w:adjustRightInd/>
        <w:spacing w:line="240" w:lineRule="auto"/>
        <w:ind w:firstLine="0" w:firstLineChars="0"/>
        <w:jc w:val="center"/>
        <w:rPr>
          <w:rFonts w:hint="eastAsia" w:ascii="Times New Roman" w:hAnsi="Times New Roman" w:eastAsia="宋体" w:cs="Times New Roman"/>
          <w:b/>
          <w:sz w:val="21"/>
          <w:szCs w:val="21"/>
        </w:rPr>
      </w:pPr>
      <w:r>
        <w:rPr>
          <w:rFonts w:hint="eastAsia" w:ascii="Times New Roman" w:hAnsi="Times New Roman" w:eastAsia="宋体" w:cs="Times New Roman"/>
          <w:b/>
          <w:sz w:val="21"/>
          <w:szCs w:val="21"/>
          <w:lang w:eastAsia="zh-CN"/>
        </w:rPr>
        <w:t>表</w:t>
      </w:r>
      <w:r>
        <w:rPr>
          <w:rFonts w:hint="eastAsia" w:ascii="Times New Roman" w:hAnsi="Times New Roman" w:eastAsia="宋体" w:cs="Times New Roman"/>
          <w:b/>
          <w:sz w:val="21"/>
          <w:szCs w:val="21"/>
          <w:lang w:val="en-US" w:eastAsia="zh-CN"/>
        </w:rPr>
        <w:t>4-1一级保护区内主要污染源及整治措施一览表</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730"/>
        <w:gridCol w:w="1251"/>
        <w:gridCol w:w="1050"/>
        <w:gridCol w:w="1920"/>
        <w:gridCol w:w="1305"/>
        <w:gridCol w:w="727"/>
        <w:gridCol w:w="1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8"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bookmarkStart w:id="195" w:name="_Toc21745"/>
            <w:bookmarkStart w:id="196" w:name="_Toc28795"/>
            <w:bookmarkStart w:id="197" w:name="_Toc11598"/>
            <w:bookmarkStart w:id="198" w:name="_Toc22629"/>
            <w:bookmarkStart w:id="199" w:name="_Toc27971"/>
            <w:bookmarkStart w:id="200" w:name="_Toc2496"/>
            <w:bookmarkStart w:id="201" w:name="_Toc9102"/>
            <w:r>
              <w:rPr>
                <w:rFonts w:hint="eastAsia" w:ascii="Times New Roman" w:hAnsi="Times New Roman" w:eastAsia="宋体" w:cs="Times New Roman"/>
                <w:kern w:val="0"/>
                <w:sz w:val="21"/>
                <w:szCs w:val="21"/>
                <w:lang w:val="en-US" w:eastAsia="zh-CN"/>
              </w:rPr>
              <w:t>序号</w:t>
            </w:r>
            <w:bookmarkEnd w:id="195"/>
            <w:bookmarkEnd w:id="196"/>
            <w:bookmarkEnd w:id="197"/>
            <w:bookmarkEnd w:id="198"/>
            <w:bookmarkEnd w:id="199"/>
            <w:bookmarkEnd w:id="200"/>
            <w:bookmarkEnd w:id="201"/>
          </w:p>
        </w:tc>
        <w:tc>
          <w:tcPr>
            <w:tcW w:w="428"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bookmarkStart w:id="202" w:name="_Toc5026"/>
            <w:bookmarkStart w:id="203" w:name="_Toc8607"/>
            <w:bookmarkStart w:id="204" w:name="_Toc1355"/>
            <w:bookmarkStart w:id="205" w:name="_Toc12212"/>
            <w:bookmarkStart w:id="206" w:name="_Toc21041"/>
            <w:bookmarkStart w:id="207" w:name="_Toc30097"/>
            <w:bookmarkStart w:id="208" w:name="_Toc25093"/>
            <w:r>
              <w:rPr>
                <w:rFonts w:hint="eastAsia" w:ascii="Times New Roman" w:hAnsi="Times New Roman" w:eastAsia="宋体" w:cs="Times New Roman"/>
                <w:kern w:val="0"/>
                <w:sz w:val="21"/>
                <w:szCs w:val="21"/>
                <w:lang w:val="en-US" w:eastAsia="zh-CN"/>
              </w:rPr>
              <w:t>源类型</w:t>
            </w:r>
            <w:bookmarkEnd w:id="202"/>
            <w:bookmarkEnd w:id="203"/>
            <w:bookmarkEnd w:id="204"/>
            <w:bookmarkEnd w:id="205"/>
            <w:bookmarkEnd w:id="206"/>
            <w:bookmarkEnd w:id="207"/>
            <w:bookmarkEnd w:id="208"/>
          </w:p>
        </w:tc>
        <w:tc>
          <w:tcPr>
            <w:tcW w:w="733"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污染源名称</w:t>
            </w:r>
          </w:p>
        </w:tc>
        <w:tc>
          <w:tcPr>
            <w:tcW w:w="615"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主要污染因素</w:t>
            </w:r>
          </w:p>
        </w:tc>
        <w:tc>
          <w:tcPr>
            <w:tcW w:w="1126"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bookmarkStart w:id="209" w:name="_Toc25889"/>
            <w:bookmarkStart w:id="210" w:name="_Toc24979"/>
            <w:bookmarkStart w:id="211" w:name="_Toc10489"/>
            <w:bookmarkStart w:id="212" w:name="_Toc30010"/>
            <w:bookmarkStart w:id="213" w:name="_Toc22509"/>
            <w:bookmarkStart w:id="214" w:name="_Toc23142"/>
            <w:bookmarkStart w:id="215" w:name="_Toc27203"/>
            <w:r>
              <w:rPr>
                <w:rFonts w:hint="eastAsia" w:ascii="Times New Roman" w:hAnsi="Times New Roman" w:eastAsia="宋体" w:cs="Times New Roman"/>
                <w:kern w:val="0"/>
                <w:sz w:val="21"/>
                <w:szCs w:val="21"/>
                <w:lang w:val="en-US" w:eastAsia="zh-CN"/>
              </w:rPr>
              <w:t>整治措施</w:t>
            </w:r>
            <w:bookmarkEnd w:id="209"/>
            <w:bookmarkEnd w:id="210"/>
            <w:bookmarkEnd w:id="211"/>
            <w:bookmarkEnd w:id="212"/>
            <w:bookmarkEnd w:id="213"/>
            <w:bookmarkEnd w:id="214"/>
            <w:bookmarkEnd w:id="215"/>
          </w:p>
        </w:tc>
        <w:tc>
          <w:tcPr>
            <w:tcW w:w="765"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效果</w:t>
            </w:r>
          </w:p>
        </w:tc>
        <w:tc>
          <w:tcPr>
            <w:tcW w:w="426"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完成期限</w:t>
            </w:r>
          </w:p>
        </w:tc>
        <w:tc>
          <w:tcPr>
            <w:tcW w:w="635"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8"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bookmarkStart w:id="216" w:name="_Toc24622"/>
            <w:bookmarkStart w:id="217" w:name="_Toc22136"/>
            <w:bookmarkStart w:id="218" w:name="_Toc1939"/>
            <w:bookmarkStart w:id="219" w:name="_Toc2690"/>
            <w:bookmarkStart w:id="220" w:name="_Toc13021"/>
            <w:bookmarkStart w:id="221" w:name="_Toc3519"/>
            <w:bookmarkStart w:id="222" w:name="_Toc5053"/>
            <w:r>
              <w:rPr>
                <w:rFonts w:hint="eastAsia" w:ascii="Times New Roman" w:hAnsi="Times New Roman" w:eastAsia="宋体" w:cs="Times New Roman"/>
                <w:kern w:val="0"/>
                <w:sz w:val="21"/>
                <w:szCs w:val="21"/>
                <w:lang w:val="en-US" w:eastAsia="zh-CN"/>
              </w:rPr>
              <w:t>1</w:t>
            </w:r>
            <w:bookmarkEnd w:id="216"/>
            <w:bookmarkEnd w:id="217"/>
            <w:bookmarkEnd w:id="218"/>
            <w:bookmarkEnd w:id="219"/>
            <w:bookmarkEnd w:id="220"/>
            <w:bookmarkEnd w:id="221"/>
            <w:bookmarkEnd w:id="222"/>
          </w:p>
        </w:tc>
        <w:tc>
          <w:tcPr>
            <w:tcW w:w="428"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面源</w:t>
            </w:r>
          </w:p>
        </w:tc>
        <w:tc>
          <w:tcPr>
            <w:tcW w:w="733"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bookmarkStart w:id="223" w:name="_Toc8548"/>
            <w:bookmarkStart w:id="224" w:name="_Toc22700"/>
            <w:bookmarkStart w:id="225" w:name="_Toc24569"/>
            <w:bookmarkStart w:id="226" w:name="_Toc4657"/>
            <w:r>
              <w:rPr>
                <w:rFonts w:hint="eastAsia" w:ascii="Times New Roman" w:hAnsi="Times New Roman" w:eastAsia="宋体" w:cs="Times New Roman"/>
                <w:kern w:val="0"/>
                <w:sz w:val="21"/>
                <w:szCs w:val="21"/>
                <w:lang w:val="en-US" w:eastAsia="zh-CN"/>
              </w:rPr>
              <w:t>水塘</w:t>
            </w:r>
            <w:bookmarkEnd w:id="223"/>
            <w:bookmarkEnd w:id="224"/>
            <w:bookmarkEnd w:id="225"/>
            <w:bookmarkEnd w:id="226"/>
          </w:p>
        </w:tc>
        <w:tc>
          <w:tcPr>
            <w:tcW w:w="615"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投肥养殖</w:t>
            </w:r>
          </w:p>
        </w:tc>
        <w:tc>
          <w:tcPr>
            <w:tcW w:w="1126"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生态养殖</w:t>
            </w:r>
          </w:p>
        </w:tc>
        <w:tc>
          <w:tcPr>
            <w:tcW w:w="765"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p>
        </w:tc>
        <w:tc>
          <w:tcPr>
            <w:tcW w:w="426"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bookmarkStart w:id="227" w:name="_Toc24653"/>
            <w:bookmarkStart w:id="228" w:name="_Toc8181"/>
            <w:bookmarkStart w:id="229" w:name="_Toc5656"/>
            <w:bookmarkStart w:id="230" w:name="_Toc8769"/>
            <w:bookmarkStart w:id="231" w:name="_Toc12678"/>
            <w:bookmarkStart w:id="232" w:name="_Toc3782"/>
            <w:bookmarkStart w:id="233" w:name="_Toc21505"/>
            <w:r>
              <w:rPr>
                <w:rFonts w:hint="eastAsia" w:ascii="Times New Roman" w:hAnsi="Times New Roman" w:eastAsia="宋体" w:cs="Times New Roman"/>
                <w:kern w:val="0"/>
                <w:sz w:val="21"/>
                <w:szCs w:val="21"/>
                <w:lang w:val="en-US" w:eastAsia="zh-CN"/>
              </w:rPr>
              <w:t>2020.12.30</w:t>
            </w:r>
            <w:bookmarkEnd w:id="227"/>
            <w:bookmarkEnd w:id="228"/>
            <w:bookmarkEnd w:id="229"/>
            <w:bookmarkEnd w:id="230"/>
            <w:bookmarkEnd w:id="231"/>
            <w:bookmarkEnd w:id="232"/>
            <w:bookmarkEnd w:id="233"/>
          </w:p>
        </w:tc>
        <w:tc>
          <w:tcPr>
            <w:tcW w:w="635"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属地乡镇、村委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8"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bookmarkStart w:id="234" w:name="_Toc27833"/>
            <w:bookmarkStart w:id="235" w:name="_Toc6453"/>
            <w:bookmarkStart w:id="236" w:name="_Toc12867"/>
            <w:bookmarkStart w:id="237" w:name="_Toc23299"/>
            <w:r>
              <w:rPr>
                <w:rFonts w:hint="eastAsia" w:ascii="Times New Roman" w:hAnsi="Times New Roman" w:eastAsia="宋体" w:cs="Times New Roman"/>
                <w:kern w:val="0"/>
                <w:sz w:val="21"/>
                <w:szCs w:val="21"/>
                <w:lang w:val="en-US" w:eastAsia="zh-CN"/>
              </w:rPr>
              <w:t>2</w:t>
            </w:r>
            <w:bookmarkEnd w:id="234"/>
            <w:bookmarkEnd w:id="235"/>
            <w:bookmarkEnd w:id="236"/>
            <w:bookmarkEnd w:id="237"/>
          </w:p>
        </w:tc>
        <w:tc>
          <w:tcPr>
            <w:tcW w:w="428"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面源</w:t>
            </w:r>
          </w:p>
        </w:tc>
        <w:tc>
          <w:tcPr>
            <w:tcW w:w="733"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水厂工作人员</w:t>
            </w:r>
          </w:p>
        </w:tc>
        <w:tc>
          <w:tcPr>
            <w:tcW w:w="615"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生活污水及生活垃圾</w:t>
            </w:r>
          </w:p>
        </w:tc>
        <w:tc>
          <w:tcPr>
            <w:tcW w:w="1126"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①1套四格净化池</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②2个垃圾桶</w:t>
            </w:r>
          </w:p>
        </w:tc>
        <w:tc>
          <w:tcPr>
            <w:tcW w:w="765"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bookmarkStart w:id="238" w:name="_Toc16766"/>
            <w:bookmarkStart w:id="239" w:name="_Toc23769"/>
            <w:bookmarkStart w:id="240" w:name="_Toc12673"/>
            <w:bookmarkStart w:id="241" w:name="_Toc19193"/>
            <w:r>
              <w:rPr>
                <w:rFonts w:hint="eastAsia" w:ascii="Times New Roman" w:hAnsi="Times New Roman" w:eastAsia="宋体" w:cs="Times New Roman"/>
                <w:kern w:val="0"/>
                <w:sz w:val="21"/>
                <w:szCs w:val="21"/>
                <w:lang w:val="en-US" w:eastAsia="zh-CN"/>
              </w:rPr>
              <w:t>生活污水处理可削减COD、氨氮</w:t>
            </w:r>
            <w:bookmarkEnd w:id="238"/>
            <w:bookmarkEnd w:id="239"/>
            <w:bookmarkEnd w:id="240"/>
            <w:bookmarkEnd w:id="241"/>
          </w:p>
        </w:tc>
        <w:tc>
          <w:tcPr>
            <w:tcW w:w="426"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bookmarkStart w:id="242" w:name="_Toc11235"/>
            <w:bookmarkStart w:id="243" w:name="_Toc19623"/>
            <w:bookmarkStart w:id="244" w:name="_Toc14926"/>
            <w:bookmarkStart w:id="245" w:name="_Toc24087"/>
            <w:r>
              <w:rPr>
                <w:rFonts w:hint="eastAsia" w:ascii="Times New Roman" w:hAnsi="Times New Roman" w:eastAsia="宋体" w:cs="Times New Roman"/>
                <w:kern w:val="0"/>
                <w:sz w:val="21"/>
                <w:szCs w:val="21"/>
                <w:lang w:val="en-US" w:eastAsia="zh-CN"/>
              </w:rPr>
              <w:t>2020.12.30</w:t>
            </w:r>
            <w:bookmarkEnd w:id="242"/>
            <w:bookmarkEnd w:id="243"/>
            <w:bookmarkEnd w:id="244"/>
            <w:bookmarkEnd w:id="245"/>
          </w:p>
        </w:tc>
        <w:tc>
          <w:tcPr>
            <w:tcW w:w="635"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属地乡镇、村委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8"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bookmarkStart w:id="246" w:name="_Toc18330"/>
            <w:bookmarkStart w:id="247" w:name="_Toc32004"/>
            <w:bookmarkStart w:id="248" w:name="_Toc20805"/>
            <w:bookmarkStart w:id="249" w:name="_Toc3158"/>
            <w:r>
              <w:rPr>
                <w:rFonts w:hint="eastAsia" w:ascii="Times New Roman" w:hAnsi="Times New Roman" w:eastAsia="宋体" w:cs="Times New Roman"/>
                <w:kern w:val="0"/>
                <w:sz w:val="21"/>
                <w:szCs w:val="21"/>
                <w:lang w:val="en-US" w:eastAsia="zh-CN"/>
              </w:rPr>
              <w:t>3</w:t>
            </w:r>
            <w:bookmarkEnd w:id="246"/>
            <w:bookmarkEnd w:id="247"/>
            <w:bookmarkEnd w:id="248"/>
            <w:bookmarkEnd w:id="249"/>
          </w:p>
        </w:tc>
        <w:tc>
          <w:tcPr>
            <w:tcW w:w="428"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面源</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p>
        </w:tc>
        <w:tc>
          <w:tcPr>
            <w:tcW w:w="733"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0.35亩农田</w:t>
            </w:r>
          </w:p>
        </w:tc>
        <w:tc>
          <w:tcPr>
            <w:tcW w:w="615"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施肥、农药</w:t>
            </w:r>
          </w:p>
        </w:tc>
        <w:tc>
          <w:tcPr>
            <w:tcW w:w="1126"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逐步退出，目前加强测土配方，实施生态种植</w:t>
            </w:r>
          </w:p>
        </w:tc>
        <w:tc>
          <w:tcPr>
            <w:tcW w:w="765"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bookmarkStart w:id="250" w:name="_Toc4350"/>
            <w:bookmarkStart w:id="251" w:name="_Toc4437"/>
            <w:bookmarkStart w:id="252" w:name="_Toc12653"/>
            <w:bookmarkStart w:id="253" w:name="_Toc15120"/>
            <w:r>
              <w:rPr>
                <w:rFonts w:hint="eastAsia" w:ascii="Times New Roman" w:hAnsi="Times New Roman" w:eastAsia="宋体" w:cs="Times New Roman"/>
                <w:kern w:val="0"/>
                <w:sz w:val="21"/>
                <w:szCs w:val="21"/>
                <w:lang w:val="en-US" w:eastAsia="zh-CN"/>
              </w:rPr>
              <w:t>减小农业面源对水源地的影响</w:t>
            </w:r>
            <w:bookmarkEnd w:id="250"/>
            <w:bookmarkEnd w:id="251"/>
            <w:bookmarkEnd w:id="252"/>
            <w:bookmarkEnd w:id="253"/>
          </w:p>
        </w:tc>
        <w:tc>
          <w:tcPr>
            <w:tcW w:w="426"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bookmarkStart w:id="254" w:name="_Toc19633"/>
            <w:bookmarkStart w:id="255" w:name="_Toc179"/>
            <w:bookmarkStart w:id="256" w:name="_Toc10103"/>
            <w:bookmarkStart w:id="257" w:name="_Toc30179"/>
            <w:r>
              <w:rPr>
                <w:rFonts w:hint="eastAsia" w:ascii="Times New Roman" w:hAnsi="Times New Roman" w:eastAsia="宋体" w:cs="Times New Roman"/>
                <w:kern w:val="0"/>
                <w:sz w:val="21"/>
                <w:szCs w:val="21"/>
                <w:lang w:val="en-US" w:eastAsia="zh-CN"/>
              </w:rPr>
              <w:t>2020.12.30</w:t>
            </w:r>
            <w:bookmarkEnd w:id="254"/>
            <w:bookmarkEnd w:id="255"/>
            <w:bookmarkEnd w:id="256"/>
            <w:bookmarkEnd w:id="257"/>
          </w:p>
        </w:tc>
        <w:tc>
          <w:tcPr>
            <w:tcW w:w="635"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属地乡镇、村委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8"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bookmarkStart w:id="258" w:name="_Toc26062"/>
            <w:bookmarkStart w:id="259" w:name="_Toc32261"/>
            <w:bookmarkStart w:id="260" w:name="_Toc23406"/>
            <w:bookmarkStart w:id="261" w:name="_Toc30302"/>
            <w:r>
              <w:rPr>
                <w:rFonts w:hint="eastAsia" w:ascii="Times New Roman" w:hAnsi="Times New Roman" w:eastAsia="宋体" w:cs="Times New Roman"/>
                <w:kern w:val="0"/>
                <w:sz w:val="21"/>
                <w:szCs w:val="21"/>
                <w:lang w:val="en-US" w:eastAsia="zh-CN"/>
              </w:rPr>
              <w:t>4</w:t>
            </w:r>
            <w:bookmarkEnd w:id="258"/>
            <w:bookmarkEnd w:id="259"/>
            <w:bookmarkEnd w:id="260"/>
            <w:bookmarkEnd w:id="261"/>
          </w:p>
        </w:tc>
        <w:tc>
          <w:tcPr>
            <w:tcW w:w="428"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流动源</w:t>
            </w:r>
          </w:p>
        </w:tc>
        <w:tc>
          <w:tcPr>
            <w:tcW w:w="733"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一号水井东面村道；二号水井水厂门前村道</w:t>
            </w:r>
          </w:p>
        </w:tc>
        <w:tc>
          <w:tcPr>
            <w:tcW w:w="615"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行人、社会车辆</w:t>
            </w:r>
          </w:p>
        </w:tc>
        <w:tc>
          <w:tcPr>
            <w:tcW w:w="1126"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在1好保护区边界设立2块交通警示牌，3块界标，2号取水口设立1块界标，水厂门前设1块宣传牌。</w:t>
            </w:r>
          </w:p>
        </w:tc>
        <w:tc>
          <w:tcPr>
            <w:tcW w:w="765"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bookmarkStart w:id="262" w:name="_Toc596"/>
            <w:bookmarkStart w:id="263" w:name="_Toc8390"/>
            <w:bookmarkStart w:id="264" w:name="_Toc24893"/>
            <w:bookmarkStart w:id="265" w:name="_Toc15117"/>
            <w:r>
              <w:rPr>
                <w:rFonts w:hint="eastAsia" w:ascii="Times New Roman" w:hAnsi="Times New Roman" w:eastAsia="宋体" w:cs="Times New Roman"/>
                <w:kern w:val="0"/>
                <w:sz w:val="21"/>
                <w:szCs w:val="21"/>
                <w:lang w:val="en-US" w:eastAsia="zh-CN"/>
              </w:rPr>
              <w:t>警示作用</w:t>
            </w:r>
            <w:bookmarkEnd w:id="262"/>
            <w:bookmarkEnd w:id="263"/>
            <w:bookmarkEnd w:id="264"/>
            <w:bookmarkEnd w:id="265"/>
          </w:p>
        </w:tc>
        <w:tc>
          <w:tcPr>
            <w:tcW w:w="426"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bookmarkStart w:id="266" w:name="_Toc9274"/>
            <w:bookmarkStart w:id="267" w:name="_Toc28737"/>
            <w:bookmarkStart w:id="268" w:name="_Toc26947"/>
            <w:bookmarkStart w:id="269" w:name="_Toc1003"/>
            <w:r>
              <w:rPr>
                <w:rFonts w:hint="eastAsia" w:ascii="Times New Roman" w:hAnsi="Times New Roman" w:eastAsia="宋体" w:cs="Times New Roman"/>
                <w:kern w:val="0"/>
                <w:sz w:val="21"/>
                <w:szCs w:val="21"/>
                <w:lang w:val="en-US" w:eastAsia="zh-CN"/>
              </w:rPr>
              <w:t>2020.12.30</w:t>
            </w:r>
            <w:bookmarkEnd w:id="266"/>
            <w:bookmarkEnd w:id="267"/>
            <w:bookmarkEnd w:id="268"/>
            <w:bookmarkEnd w:id="269"/>
          </w:p>
        </w:tc>
        <w:tc>
          <w:tcPr>
            <w:tcW w:w="635"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县水利局</w:t>
            </w:r>
          </w:p>
        </w:tc>
      </w:tr>
    </w:tbl>
    <w:p>
      <w:pPr>
        <w:pStyle w:val="3"/>
        <w:spacing w:before="120" w:after="120"/>
        <w:rPr>
          <w:rFonts w:hint="default" w:ascii="Times New Roman" w:hAnsi="Times New Roman" w:cs="Times New Roman"/>
        </w:rPr>
      </w:pPr>
      <w:bookmarkStart w:id="270" w:name="_Toc8726"/>
      <w:bookmarkStart w:id="271" w:name="_Toc3260"/>
      <w:bookmarkStart w:id="272" w:name="_Toc29832"/>
      <w:r>
        <w:rPr>
          <w:rFonts w:hint="default" w:ascii="Times New Roman" w:hAnsi="Times New Roman" w:cs="Times New Roman"/>
        </w:rPr>
        <w:t>4.</w:t>
      </w:r>
      <w:r>
        <w:rPr>
          <w:rFonts w:hint="eastAsia" w:ascii="Times New Roman" w:hAnsi="Times New Roman" w:cs="Times New Roman"/>
          <w:lang w:val="en-US" w:eastAsia="zh-CN"/>
        </w:rPr>
        <w:t>3</w:t>
      </w:r>
      <w:r>
        <w:rPr>
          <w:rFonts w:hint="default" w:ascii="Times New Roman" w:hAnsi="Times New Roman" w:cs="Times New Roman"/>
        </w:rPr>
        <w:t>水质水量可达性分析</w:t>
      </w:r>
      <w:bookmarkEnd w:id="193"/>
      <w:bookmarkEnd w:id="194"/>
      <w:bookmarkEnd w:id="270"/>
      <w:bookmarkEnd w:id="271"/>
      <w:bookmarkEnd w:id="272"/>
    </w:p>
    <w:p>
      <w:pPr>
        <w:adjustRightInd w:val="0"/>
        <w:snapToGrid w:val="0"/>
        <w:spacing w:line="360" w:lineRule="auto"/>
        <w:ind w:firstLine="488" w:firstLineChars="200"/>
        <w:jc w:val="left"/>
        <w:rPr>
          <w:rFonts w:hint="eastAsia" w:ascii="Calibri" w:hAnsi="Calibri" w:eastAsia="宋体" w:cs="宋体"/>
          <w:sz w:val="24"/>
          <w:szCs w:val="22"/>
          <w:lang w:eastAsia="zh-CN" w:bidi="ar"/>
        </w:rPr>
      </w:pPr>
      <w:bookmarkStart w:id="273" w:name="_Toc453061600"/>
      <w:bookmarkStart w:id="274" w:name="_Toc453061754"/>
      <w:bookmarkStart w:id="275" w:name="_Toc438805141"/>
      <w:r>
        <w:rPr>
          <w:rFonts w:hint="eastAsia" w:ascii="Calibri" w:hAnsi="Calibri" w:eastAsia="宋体" w:cs="宋体"/>
          <w:sz w:val="24"/>
          <w:szCs w:val="22"/>
          <w:lang w:val="en-US" w:eastAsia="zh-CN" w:bidi="ar"/>
        </w:rPr>
        <w:t>本水厂设计日取水量</w:t>
      </w:r>
      <w:r>
        <w:rPr>
          <w:rFonts w:hint="default" w:ascii="Calibri" w:hAnsi="Calibri" w:eastAsia="宋体" w:cs="宋体"/>
          <w:sz w:val="24"/>
          <w:szCs w:val="22"/>
          <w:lang w:val="en-US" w:eastAsia="zh-CN" w:bidi="ar"/>
        </w:rPr>
        <w:t>1400</w:t>
      </w:r>
      <w:r>
        <w:rPr>
          <w:rFonts w:hint="default" w:ascii="Calibri" w:hAnsi="Calibri" w:eastAsia="宋体" w:cs="宋体"/>
          <w:sz w:val="24"/>
          <w:szCs w:val="22"/>
          <w:lang w:eastAsia="zh-CN" w:bidi="ar"/>
        </w:rPr>
        <w:t>t/d</w:t>
      </w:r>
      <w:r>
        <w:rPr>
          <w:rFonts w:hint="eastAsia" w:ascii="Calibri" w:hAnsi="Calibri" w:eastAsia="宋体" w:cs="宋体"/>
          <w:sz w:val="24"/>
          <w:szCs w:val="22"/>
          <w:lang w:val="en-US" w:eastAsia="zh-CN" w:bidi="ar"/>
        </w:rPr>
        <w:t>吨，现实际取水量 682.5吨</w:t>
      </w:r>
      <w:r>
        <w:rPr>
          <w:rFonts w:hint="default" w:ascii="Calibri" w:hAnsi="Calibri" w:eastAsia="宋体" w:cs="宋体"/>
          <w:sz w:val="24"/>
          <w:szCs w:val="22"/>
          <w:lang w:eastAsia="zh-CN" w:bidi="ar"/>
        </w:rPr>
        <w:t>根据《集中式饮用水水源地环境保护状况评估技术规范》（HJ774-2015），实际取水量小于或等于设计取水量时，水量保证率为100%。</w:t>
      </w:r>
    </w:p>
    <w:p>
      <w:pPr>
        <w:bidi w:val="0"/>
        <w:rPr>
          <w:rFonts w:hint="default"/>
        </w:rPr>
      </w:pPr>
      <w:r>
        <w:rPr>
          <w:rFonts w:hint="default"/>
        </w:rPr>
        <w:br w:type="page"/>
      </w:r>
    </w:p>
    <w:p>
      <w:pPr>
        <w:pStyle w:val="2"/>
        <w:spacing w:before="120" w:after="120"/>
        <w:jc w:val="center"/>
        <w:rPr>
          <w:rFonts w:hint="default" w:ascii="Times New Roman" w:hAnsi="Times New Roman" w:cs="Times New Roman"/>
        </w:rPr>
      </w:pPr>
      <w:bookmarkStart w:id="276" w:name="_Toc448"/>
      <w:bookmarkStart w:id="277" w:name="_Toc3962"/>
      <w:r>
        <w:rPr>
          <w:rFonts w:hint="default" w:ascii="Times New Roman" w:hAnsi="Times New Roman" w:cs="Times New Roman"/>
        </w:rPr>
        <w:t>第五章</w:t>
      </w:r>
      <w:r>
        <w:rPr>
          <w:rFonts w:hint="eastAsia" w:ascii="Times New Roman" w:hAnsi="Times New Roman" w:cs="Times New Roman"/>
          <w:lang w:val="en-US" w:eastAsia="zh-CN"/>
        </w:rPr>
        <w:t xml:space="preserve">  </w:t>
      </w:r>
      <w:r>
        <w:rPr>
          <w:rFonts w:hint="default" w:ascii="Times New Roman" w:hAnsi="Times New Roman" w:cs="Times New Roman"/>
        </w:rPr>
        <w:t>饮用水水源保护区图形标志</w:t>
      </w:r>
      <w:bookmarkEnd w:id="273"/>
      <w:bookmarkEnd w:id="274"/>
      <w:bookmarkEnd w:id="275"/>
      <w:bookmarkEnd w:id="276"/>
      <w:bookmarkEnd w:id="277"/>
    </w:p>
    <w:p>
      <w:pPr>
        <w:pStyle w:val="3"/>
        <w:spacing w:before="156" w:after="156"/>
        <w:rPr>
          <w:rFonts w:hint="default" w:ascii="Times New Roman" w:hAnsi="Times New Roman" w:cs="Times New Roman"/>
        </w:rPr>
      </w:pPr>
      <w:bookmarkStart w:id="278" w:name="_Toc453061755"/>
      <w:bookmarkStart w:id="279" w:name="_Toc438805142"/>
      <w:bookmarkStart w:id="280" w:name="_Toc453061601"/>
      <w:bookmarkStart w:id="281" w:name="_Toc30052"/>
      <w:bookmarkStart w:id="282" w:name="_Toc6500"/>
      <w:r>
        <w:rPr>
          <w:rFonts w:hint="default" w:ascii="Times New Roman" w:hAnsi="Times New Roman" w:cs="Times New Roman"/>
        </w:rPr>
        <w:t>5.1</w:t>
      </w:r>
      <w:bookmarkEnd w:id="278"/>
      <w:bookmarkEnd w:id="279"/>
      <w:bookmarkEnd w:id="280"/>
      <w:bookmarkStart w:id="283" w:name="_Toc453061602"/>
      <w:bookmarkStart w:id="284" w:name="_Toc453061756"/>
      <w:r>
        <w:rPr>
          <w:rFonts w:hint="eastAsia"/>
        </w:rPr>
        <w:t>饮用水水源保护区标志、隔离网的设置</w:t>
      </w:r>
      <w:bookmarkEnd w:id="281"/>
      <w:bookmarkEnd w:id="282"/>
    </w:p>
    <w:p>
      <w:pPr>
        <w:pStyle w:val="4"/>
        <w:spacing w:before="156" w:after="156" w:line="400" w:lineRule="exact"/>
        <w:ind w:firstLine="0" w:firstLineChars="0"/>
        <w:jc w:val="both"/>
        <w:rPr>
          <w:rFonts w:hint="default" w:ascii="Times New Roman" w:hAnsi="Times New Roman" w:cs="Times New Roman"/>
          <w:bCs w:val="0"/>
          <w:sz w:val="30"/>
          <w:lang w:val="en-US" w:eastAsia="zh-CN"/>
        </w:rPr>
      </w:pPr>
      <w:bookmarkStart w:id="285" w:name="_Toc18473"/>
      <w:bookmarkStart w:id="286" w:name="_Toc19519"/>
      <w:r>
        <w:rPr>
          <w:rFonts w:hint="default" w:ascii="Times New Roman" w:hAnsi="Times New Roman" w:cs="Times New Roman"/>
          <w:bCs w:val="0"/>
          <w:sz w:val="30"/>
          <w:lang w:val="en-US" w:eastAsia="zh-CN"/>
        </w:rPr>
        <w:t>5.1.1饮用水水源保护区图形标志的分类</w:t>
      </w:r>
      <w:bookmarkEnd w:id="283"/>
      <w:bookmarkEnd w:id="284"/>
      <w:bookmarkEnd w:id="285"/>
      <w:bookmarkEnd w:id="286"/>
    </w:p>
    <w:p>
      <w:pPr>
        <w:adjustRightInd w:val="0"/>
        <w:snapToGrid w:val="0"/>
        <w:spacing w:line="360" w:lineRule="auto"/>
        <w:ind w:firstLine="488" w:firstLineChars="200"/>
        <w:jc w:val="left"/>
        <w:rPr>
          <w:rFonts w:hint="default" w:ascii="Calibri" w:hAnsi="Calibri" w:eastAsia="宋体" w:cs="宋体"/>
          <w:sz w:val="24"/>
          <w:szCs w:val="22"/>
          <w:lang w:eastAsia="zh-CN" w:bidi="ar"/>
        </w:rPr>
      </w:pPr>
      <w:r>
        <w:rPr>
          <w:rFonts w:hint="default" w:ascii="Calibri" w:hAnsi="Calibri" w:eastAsia="宋体" w:cs="宋体"/>
          <w:sz w:val="24"/>
          <w:szCs w:val="22"/>
          <w:lang w:eastAsia="zh-CN" w:bidi="ar"/>
        </w:rPr>
        <w:t>依据《饮用水水源保护区标志技术要求》（HJ/T433—2008），饮用水水源保护区标志包括饮用水水源保护区界标、饮用水水源保护区交通警示牌和饮用水水源保护区宣传牌。</w:t>
      </w:r>
    </w:p>
    <w:p>
      <w:pPr>
        <w:adjustRightInd w:val="0"/>
        <w:snapToGrid w:val="0"/>
        <w:spacing w:line="360" w:lineRule="auto"/>
        <w:ind w:firstLine="488" w:firstLineChars="200"/>
        <w:jc w:val="left"/>
        <w:rPr>
          <w:rFonts w:hint="default" w:ascii="Calibri" w:hAnsi="Calibri" w:eastAsia="宋体" w:cs="宋体"/>
          <w:sz w:val="24"/>
          <w:szCs w:val="22"/>
          <w:lang w:eastAsia="zh-CN" w:bidi="ar"/>
        </w:rPr>
      </w:pPr>
      <w:r>
        <w:rPr>
          <w:rFonts w:hint="default" w:ascii="Calibri" w:hAnsi="Calibri" w:eastAsia="宋体" w:cs="宋体"/>
          <w:sz w:val="24"/>
          <w:szCs w:val="22"/>
          <w:lang w:eastAsia="zh-CN" w:bidi="ar"/>
        </w:rPr>
        <w:t>（1）饮用水水源保护区界标：是在饮用水水源保护区的地理边界设立的标志。标识饮用水水源保护区的范围，并警示人们需谨慎行为。</w:t>
      </w:r>
    </w:p>
    <w:p>
      <w:pPr>
        <w:adjustRightInd w:val="0"/>
        <w:snapToGrid w:val="0"/>
        <w:spacing w:line="360" w:lineRule="auto"/>
        <w:ind w:firstLine="488" w:firstLineChars="200"/>
        <w:jc w:val="left"/>
        <w:rPr>
          <w:rFonts w:hint="default" w:ascii="Calibri" w:hAnsi="Calibri" w:eastAsia="宋体" w:cs="宋体"/>
          <w:sz w:val="24"/>
          <w:szCs w:val="22"/>
          <w:lang w:eastAsia="zh-CN" w:bidi="ar"/>
        </w:rPr>
      </w:pPr>
      <w:r>
        <w:rPr>
          <w:rFonts w:hint="default" w:ascii="Calibri" w:hAnsi="Calibri" w:eastAsia="宋体" w:cs="宋体"/>
          <w:sz w:val="24"/>
          <w:szCs w:val="22"/>
          <w:lang w:eastAsia="zh-CN" w:bidi="ar"/>
        </w:rPr>
        <w:t>（2）饮用水水源保护区交通警示牌：警示车辆、船舶或行人进入饮用水水源保护区道路或航道，需谨慎驾驶或谨慎行为的标志。</w:t>
      </w:r>
    </w:p>
    <w:p>
      <w:pPr>
        <w:adjustRightInd w:val="0"/>
        <w:snapToGrid w:val="0"/>
        <w:spacing w:line="360" w:lineRule="auto"/>
        <w:ind w:firstLine="488" w:firstLineChars="200"/>
        <w:jc w:val="left"/>
        <w:rPr>
          <w:rFonts w:hint="default" w:ascii="Calibri" w:hAnsi="Calibri" w:eastAsia="宋体" w:cs="宋体"/>
          <w:sz w:val="24"/>
          <w:szCs w:val="22"/>
          <w:lang w:eastAsia="zh-CN" w:bidi="ar"/>
        </w:rPr>
      </w:pPr>
      <w:r>
        <w:rPr>
          <w:rFonts w:hint="default" w:ascii="Calibri" w:hAnsi="Calibri" w:eastAsia="宋体" w:cs="宋体"/>
          <w:sz w:val="24"/>
          <w:szCs w:val="22"/>
          <w:lang w:eastAsia="zh-CN" w:bidi="ar"/>
        </w:rPr>
        <w:t>饮用水水源保护区交通警示牌又分为：饮用水水源保护区道路警示牌和饮用水水源保护区航道警示牌。</w:t>
      </w:r>
    </w:p>
    <w:p>
      <w:pPr>
        <w:adjustRightInd w:val="0"/>
        <w:snapToGrid w:val="0"/>
        <w:spacing w:line="360" w:lineRule="auto"/>
        <w:ind w:firstLine="488" w:firstLineChars="200"/>
        <w:jc w:val="left"/>
        <w:rPr>
          <w:rFonts w:hint="default" w:ascii="Calibri" w:hAnsi="Calibri" w:eastAsia="宋体" w:cs="宋体"/>
          <w:sz w:val="24"/>
          <w:szCs w:val="22"/>
          <w:lang w:eastAsia="zh-CN" w:bidi="ar"/>
        </w:rPr>
      </w:pPr>
      <w:r>
        <w:rPr>
          <w:rFonts w:hint="default" w:ascii="Calibri" w:hAnsi="Calibri" w:eastAsia="宋体" w:cs="宋体"/>
          <w:sz w:val="24"/>
          <w:szCs w:val="22"/>
          <w:lang w:eastAsia="zh-CN" w:bidi="ar"/>
        </w:rPr>
        <w:t>（3）饮用水水源保护区宣传牌：根据实际需要，为保护当地饮用水水源而对过往人群进行宣传教育所设立的标志。</w:t>
      </w:r>
    </w:p>
    <w:p>
      <w:pPr>
        <w:adjustRightInd w:val="0"/>
        <w:snapToGrid w:val="0"/>
        <w:spacing w:line="360" w:lineRule="auto"/>
        <w:ind w:firstLine="488" w:firstLineChars="200"/>
        <w:jc w:val="left"/>
        <w:rPr>
          <w:rFonts w:hint="default" w:ascii="Calibri" w:hAnsi="Calibri" w:eastAsia="宋体" w:cs="宋体"/>
          <w:sz w:val="24"/>
          <w:szCs w:val="22"/>
          <w:lang w:eastAsia="zh-CN" w:bidi="ar"/>
        </w:rPr>
      </w:pPr>
      <w:r>
        <w:rPr>
          <w:rFonts w:hint="default" w:ascii="Calibri" w:hAnsi="Calibri" w:eastAsia="宋体" w:cs="宋体"/>
          <w:sz w:val="24"/>
          <w:szCs w:val="22"/>
          <w:lang w:eastAsia="zh-CN" w:bidi="ar"/>
        </w:rPr>
        <w:t>饮用水水源保护区图形标志如图5-1所示，其具体尺寸比例、颜色等见图5-2，饮用水水源保护区图形标的尺寸可根据实际情况按比例缩放。</w:t>
      </w:r>
    </w:p>
    <w:p>
      <w:pPr>
        <w:adjustRightInd/>
        <w:spacing w:line="240" w:lineRule="auto"/>
        <w:ind w:firstLine="0" w:firstLineChars="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drawing>
          <wp:inline distT="0" distB="0" distL="0" distR="0">
            <wp:extent cx="2541905" cy="2466340"/>
            <wp:effectExtent l="0" t="0" r="10795" b="1016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541905" cy="2466340"/>
                    </a:xfrm>
                    <a:prstGeom prst="rect">
                      <a:avLst/>
                    </a:prstGeom>
                    <a:noFill/>
                    <a:ln>
                      <a:noFill/>
                    </a:ln>
                  </pic:spPr>
                </pic:pic>
              </a:graphicData>
            </a:graphic>
          </wp:inline>
        </w:drawing>
      </w:r>
      <w:r>
        <w:rPr>
          <w:rFonts w:hint="default" w:ascii="Times New Roman" w:hAnsi="Times New Roman" w:eastAsia="宋体" w:cs="Times New Roman"/>
          <w:b/>
          <w:sz w:val="21"/>
          <w:szCs w:val="21"/>
          <w:lang w:val="en-US" w:eastAsia="zh-CN"/>
        </w:rPr>
        <w:drawing>
          <wp:inline distT="0" distB="0" distL="0" distR="0">
            <wp:extent cx="2601595" cy="2473960"/>
            <wp:effectExtent l="0" t="0" r="8255"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601595" cy="2473960"/>
                    </a:xfrm>
                    <a:prstGeom prst="rect">
                      <a:avLst/>
                    </a:prstGeom>
                    <a:noFill/>
                    <a:ln>
                      <a:noFill/>
                    </a:ln>
                  </pic:spPr>
                </pic:pic>
              </a:graphicData>
            </a:graphic>
          </wp:inline>
        </w:drawing>
      </w:r>
    </w:p>
    <w:p>
      <w:pPr>
        <w:adjustRightInd/>
        <w:spacing w:line="240" w:lineRule="auto"/>
        <w:ind w:firstLine="0" w:firstLineChars="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图5-1 饮用水水源保护区图形标志图</w:t>
      </w:r>
      <w:r>
        <w:rPr>
          <w:rFonts w:hint="eastAsia" w:ascii="Times New Roman" w:hAnsi="Times New Roman" w:eastAsia="宋体" w:cs="Times New Roman"/>
          <w:b/>
          <w:sz w:val="21"/>
          <w:szCs w:val="21"/>
          <w:lang w:val="en-US" w:eastAsia="zh-CN"/>
        </w:rPr>
        <w:t xml:space="preserve">    </w:t>
      </w:r>
      <w:r>
        <w:rPr>
          <w:rFonts w:hint="default" w:ascii="Times New Roman" w:hAnsi="Times New Roman" w:eastAsia="宋体" w:cs="Times New Roman"/>
          <w:b/>
          <w:sz w:val="21"/>
          <w:szCs w:val="21"/>
          <w:lang w:val="en-US" w:eastAsia="zh-CN"/>
        </w:rPr>
        <w:t>5-2饮用水水源保护区图形标志尺寸比例示意图</w:t>
      </w:r>
    </w:p>
    <w:p>
      <w:pPr>
        <w:pStyle w:val="4"/>
        <w:spacing w:before="156" w:after="156" w:line="400" w:lineRule="exact"/>
        <w:ind w:firstLine="0" w:firstLineChars="0"/>
        <w:jc w:val="both"/>
        <w:rPr>
          <w:rFonts w:hint="default" w:ascii="Times New Roman" w:hAnsi="Times New Roman" w:cs="Times New Roman"/>
          <w:bCs w:val="0"/>
          <w:sz w:val="30"/>
          <w:lang w:val="en-US" w:eastAsia="zh-CN"/>
        </w:rPr>
      </w:pPr>
      <w:bookmarkStart w:id="287" w:name="_Toc453061757"/>
      <w:bookmarkStart w:id="288" w:name="_Toc453061603"/>
      <w:bookmarkStart w:id="289" w:name="_Toc438805143"/>
      <w:bookmarkStart w:id="290" w:name="_Toc26437"/>
      <w:bookmarkStart w:id="291" w:name="_Toc3454"/>
      <w:r>
        <w:rPr>
          <w:rFonts w:hint="default" w:ascii="Times New Roman" w:hAnsi="Times New Roman" w:cs="Times New Roman"/>
          <w:bCs w:val="0"/>
          <w:sz w:val="30"/>
          <w:lang w:val="en-US" w:eastAsia="zh-CN"/>
        </w:rPr>
        <w:t>5.1.2饮用水水源保护区图形标志的内容</w:t>
      </w:r>
      <w:bookmarkEnd w:id="287"/>
      <w:bookmarkEnd w:id="288"/>
      <w:bookmarkEnd w:id="289"/>
      <w:bookmarkEnd w:id="290"/>
      <w:bookmarkEnd w:id="291"/>
    </w:p>
    <w:p>
      <w:pPr>
        <w:adjustRightInd w:val="0"/>
        <w:snapToGrid w:val="0"/>
        <w:spacing w:line="360" w:lineRule="auto"/>
        <w:ind w:firstLine="488" w:firstLineChars="200"/>
        <w:jc w:val="left"/>
        <w:rPr>
          <w:rFonts w:hint="default" w:ascii="Calibri" w:hAnsi="Calibri" w:eastAsia="宋体" w:cs="宋体"/>
          <w:sz w:val="24"/>
          <w:szCs w:val="22"/>
          <w:lang w:val="en-US" w:eastAsia="zh-CN" w:bidi="ar"/>
        </w:rPr>
      </w:pPr>
      <w:r>
        <w:rPr>
          <w:rFonts w:hint="default" w:ascii="Calibri" w:hAnsi="Calibri" w:eastAsia="宋体" w:cs="宋体"/>
          <w:sz w:val="24"/>
          <w:szCs w:val="22"/>
          <w:lang w:val="en-US" w:eastAsia="zh-CN" w:bidi="ar"/>
        </w:rPr>
        <w:t>（1）界标内容</w:t>
      </w:r>
    </w:p>
    <w:p>
      <w:pPr>
        <w:adjustRightInd w:val="0"/>
        <w:snapToGrid w:val="0"/>
        <w:spacing w:line="360" w:lineRule="auto"/>
        <w:ind w:firstLine="488" w:firstLineChars="200"/>
        <w:jc w:val="left"/>
        <w:rPr>
          <w:rFonts w:hint="default" w:ascii="Calibri" w:hAnsi="Calibri" w:eastAsia="宋体" w:cs="宋体"/>
          <w:sz w:val="24"/>
          <w:szCs w:val="22"/>
          <w:lang w:val="en-US" w:eastAsia="zh-CN" w:bidi="ar"/>
        </w:rPr>
      </w:pPr>
      <w:r>
        <w:rPr>
          <w:rFonts w:hint="default" w:ascii="Calibri" w:hAnsi="Calibri" w:eastAsia="宋体" w:cs="宋体"/>
          <w:sz w:val="24"/>
          <w:szCs w:val="22"/>
          <w:lang w:val="en-US" w:eastAsia="zh-CN" w:bidi="ar"/>
        </w:rPr>
        <w:t>界标正面的上方为饮用水水源保护区图形标。中下方书写饮用水水源保护区名称，如：饮用水水源一级保护区、饮用水水源二级保护区等。下方为"监督管理电话：XXXXXXXX"等。监督管理方面的信息，监督管理电话一般为当地环境保护行政主管部门联系电话。饮用水水源保护区界标正面内容的示意图如图5-3。界标背面的上方用清晰、易懂的图形或文字说明根据《饮用水水源保护区标志技术要求》（HJ/T433—2008）划定的饮用水水源保护区范围，以标明保护区准确地理坐标和范围参数等为宜。中下方书写饮用水水源保护区具体的管理要求，可引用《中华人民共和国水污染防治法》以及其它有关法律法规中关于饮用水水源保护区的条款和内容。最下方靠右处书写"XX 政府 XX 年设立"字样。饮用水水源保护区界标背面内容的示意图如图5-4。</w:t>
      </w:r>
    </w:p>
    <w:p>
      <w:pPr>
        <w:adjustRightInd/>
        <w:spacing w:line="240" w:lineRule="auto"/>
        <w:ind w:firstLine="0" w:firstLineChars="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drawing>
          <wp:inline distT="0" distB="0" distL="0" distR="0">
            <wp:extent cx="5229225" cy="3663950"/>
            <wp:effectExtent l="0" t="0" r="9525" b="127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29225" cy="3663950"/>
                    </a:xfrm>
                    <a:prstGeom prst="rect">
                      <a:avLst/>
                    </a:prstGeom>
                    <a:noFill/>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图5-3  饮用水水源保护区界标正面示意图</w:t>
      </w:r>
      <w:r>
        <w:rPr>
          <w:rFonts w:hint="eastAsia" w:ascii="Times New Roman" w:hAnsi="Times New Roman" w:eastAsia="宋体" w:cs="Times New Roman"/>
          <w:b/>
          <w:sz w:val="21"/>
          <w:szCs w:val="21"/>
          <w:lang w:val="en-US" w:eastAsia="zh-CN"/>
        </w:rPr>
        <w:t xml:space="preserve">    </w:t>
      </w:r>
      <w:r>
        <w:rPr>
          <w:rFonts w:hint="default" w:ascii="Times New Roman" w:hAnsi="Times New Roman" w:eastAsia="宋体" w:cs="Times New Roman"/>
          <w:b/>
          <w:sz w:val="21"/>
          <w:szCs w:val="21"/>
          <w:lang w:val="en-US" w:eastAsia="zh-CN"/>
        </w:rPr>
        <w:t>图5-4 饮用水水源保护区界标背面示意图</w:t>
      </w:r>
    </w:p>
    <w:p>
      <w:pPr>
        <w:adjustRightInd w:val="0"/>
        <w:snapToGrid w:val="0"/>
        <w:spacing w:line="360" w:lineRule="auto"/>
        <w:ind w:firstLine="488" w:firstLineChars="200"/>
        <w:jc w:val="left"/>
        <w:rPr>
          <w:rFonts w:hint="default" w:ascii="Calibri" w:hAnsi="Calibri" w:eastAsia="宋体" w:cs="宋体"/>
          <w:sz w:val="24"/>
          <w:szCs w:val="22"/>
          <w:lang w:val="en-US" w:eastAsia="zh-CN" w:bidi="ar"/>
        </w:rPr>
      </w:pPr>
      <w:r>
        <w:rPr>
          <w:rFonts w:hint="eastAsia" w:ascii="Calibri" w:hAnsi="Calibri" w:eastAsia="宋体" w:cs="宋体"/>
          <w:sz w:val="24"/>
          <w:szCs w:val="22"/>
          <w:lang w:val="en-US" w:eastAsia="zh-CN" w:bidi="ar"/>
        </w:rPr>
        <w:t>（2）</w:t>
      </w:r>
      <w:r>
        <w:rPr>
          <w:rFonts w:hint="default" w:ascii="Calibri" w:hAnsi="Calibri" w:eastAsia="宋体" w:cs="宋体"/>
          <w:sz w:val="24"/>
          <w:szCs w:val="22"/>
          <w:lang w:val="en-US" w:eastAsia="zh-CN" w:bidi="ar"/>
        </w:rPr>
        <w:t xml:space="preserve">交通警示牌内容 </w:t>
      </w:r>
    </w:p>
    <w:p>
      <w:pPr>
        <w:adjustRightInd w:val="0"/>
        <w:snapToGrid w:val="0"/>
        <w:spacing w:line="360" w:lineRule="auto"/>
        <w:ind w:firstLine="488" w:firstLineChars="200"/>
        <w:jc w:val="left"/>
        <w:rPr>
          <w:rFonts w:hint="default" w:ascii="Calibri" w:hAnsi="Calibri" w:eastAsia="宋体" w:cs="宋体"/>
          <w:sz w:val="24"/>
          <w:szCs w:val="22"/>
          <w:lang w:val="en-US" w:eastAsia="zh-CN" w:bidi="ar"/>
        </w:rPr>
      </w:pPr>
      <w:r>
        <w:rPr>
          <w:rFonts w:hint="default" w:ascii="Calibri" w:hAnsi="Calibri" w:eastAsia="宋体" w:cs="宋体"/>
          <w:sz w:val="24"/>
          <w:szCs w:val="22"/>
          <w:lang w:val="en-US" w:eastAsia="zh-CN" w:bidi="ar"/>
        </w:rPr>
        <w:t>饮用水水源保护区道路警示牌:一般公路如图5-5，高速公路如图5-6。</w:t>
      </w:r>
    </w:p>
    <w:p>
      <w:pPr>
        <w:adjustRightInd/>
        <w:spacing w:line="240" w:lineRule="auto"/>
        <w:ind w:firstLine="0" w:firstLineChars="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drawing>
          <wp:inline distT="0" distB="0" distL="0" distR="0">
            <wp:extent cx="3571875" cy="149542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571875" cy="1495425"/>
                    </a:xfrm>
                    <a:prstGeom prst="rect">
                      <a:avLst/>
                    </a:prstGeom>
                    <a:noFill/>
                    <a:ln>
                      <a:noFill/>
                    </a:ln>
                  </pic:spPr>
                </pic:pic>
              </a:graphicData>
            </a:graphic>
          </wp:inline>
        </w:drawing>
      </w:r>
    </w:p>
    <w:p>
      <w:pPr>
        <w:adjustRightInd/>
        <w:spacing w:line="240" w:lineRule="auto"/>
        <w:ind w:firstLine="0" w:firstLineChars="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图5-5    饮用水水源保护区道路警示牌示意图（一般道路）</w:t>
      </w:r>
    </w:p>
    <w:p>
      <w:pPr>
        <w:adjustRightInd/>
        <w:spacing w:line="240" w:lineRule="auto"/>
        <w:ind w:firstLine="0" w:firstLineChars="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drawing>
          <wp:inline distT="0" distB="0" distL="0" distR="0">
            <wp:extent cx="3590925" cy="146685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590925" cy="1466850"/>
                    </a:xfrm>
                    <a:prstGeom prst="rect">
                      <a:avLst/>
                    </a:prstGeom>
                    <a:noFill/>
                    <a:ln>
                      <a:noFill/>
                    </a:ln>
                  </pic:spPr>
                </pic:pic>
              </a:graphicData>
            </a:graphic>
          </wp:inline>
        </w:drawing>
      </w:r>
    </w:p>
    <w:p>
      <w:pPr>
        <w:adjustRightInd/>
        <w:spacing w:line="240" w:lineRule="auto"/>
        <w:ind w:firstLine="0" w:firstLineChars="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图5-6  饮用水水源保护区道路警示牌示意图（高速公路）</w:t>
      </w:r>
    </w:p>
    <w:p>
      <w:pPr>
        <w:adjustRightInd w:val="0"/>
        <w:snapToGrid w:val="0"/>
        <w:spacing w:line="360" w:lineRule="auto"/>
        <w:ind w:firstLine="488" w:firstLineChars="200"/>
        <w:jc w:val="left"/>
        <w:rPr>
          <w:rFonts w:hint="default" w:ascii="Calibri" w:hAnsi="Calibri" w:eastAsia="宋体" w:cs="宋体"/>
          <w:sz w:val="24"/>
          <w:szCs w:val="22"/>
          <w:lang w:val="en-US" w:eastAsia="zh-CN" w:bidi="ar"/>
        </w:rPr>
      </w:pPr>
      <w:r>
        <w:rPr>
          <w:rFonts w:hint="default" w:ascii="Calibri" w:hAnsi="Calibri" w:eastAsia="宋体" w:cs="宋体"/>
          <w:sz w:val="24"/>
          <w:szCs w:val="22"/>
          <w:lang w:val="en-US" w:eastAsia="zh-CN" w:bidi="ar"/>
        </w:rPr>
        <w:t>在驶离饮用水水源保护区的路侧，可设立驶离告示牌，一般公路如图5-7，高速公路如图5-8。</w:t>
      </w:r>
    </w:p>
    <w:p>
      <w:pPr>
        <w:adjustRightInd/>
        <w:spacing w:line="240" w:lineRule="auto"/>
        <w:ind w:firstLine="0" w:firstLineChars="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drawing>
          <wp:inline distT="0" distB="0" distL="0" distR="0">
            <wp:extent cx="3524250" cy="143827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524250" cy="1438275"/>
                    </a:xfrm>
                    <a:prstGeom prst="rect">
                      <a:avLst/>
                    </a:prstGeom>
                    <a:noFill/>
                    <a:ln>
                      <a:noFill/>
                    </a:ln>
                  </pic:spPr>
                </pic:pic>
              </a:graphicData>
            </a:graphic>
          </wp:inline>
        </w:drawing>
      </w:r>
    </w:p>
    <w:p>
      <w:pPr>
        <w:adjustRightInd/>
        <w:spacing w:line="240" w:lineRule="auto"/>
        <w:ind w:firstLine="0" w:firstLineChars="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图5-7  驶离饮用水水源保护区道路告示牌示意图（一般道路）</w:t>
      </w:r>
    </w:p>
    <w:p>
      <w:pPr>
        <w:adjustRightInd/>
        <w:spacing w:line="240" w:lineRule="auto"/>
        <w:ind w:firstLine="0" w:firstLineChars="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drawing>
          <wp:inline distT="0" distB="0" distL="0" distR="0">
            <wp:extent cx="3571875" cy="147637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571875" cy="1476375"/>
                    </a:xfrm>
                    <a:prstGeom prst="rect">
                      <a:avLst/>
                    </a:prstGeom>
                    <a:noFill/>
                    <a:ln>
                      <a:noFill/>
                    </a:ln>
                  </pic:spPr>
                </pic:pic>
              </a:graphicData>
            </a:graphic>
          </wp:inline>
        </w:drawing>
      </w:r>
    </w:p>
    <w:p>
      <w:pPr>
        <w:adjustRightInd/>
        <w:spacing w:line="240" w:lineRule="auto"/>
        <w:ind w:firstLine="0" w:firstLineChars="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图5-8  驶离饮用水水源保护区道路告示牌示意图（高速公路）</w:t>
      </w:r>
    </w:p>
    <w:p>
      <w:pPr>
        <w:adjustRightInd w:val="0"/>
        <w:snapToGrid w:val="0"/>
        <w:spacing w:line="360" w:lineRule="auto"/>
        <w:ind w:firstLine="488" w:firstLineChars="200"/>
        <w:jc w:val="left"/>
        <w:rPr>
          <w:rFonts w:hint="default" w:ascii="Calibri" w:hAnsi="Calibri" w:eastAsia="宋体" w:cs="宋体"/>
          <w:sz w:val="24"/>
          <w:szCs w:val="22"/>
          <w:lang w:val="en-US" w:eastAsia="zh-CN" w:bidi="ar"/>
        </w:rPr>
      </w:pPr>
      <w:r>
        <w:rPr>
          <w:rFonts w:hint="default" w:ascii="Calibri" w:hAnsi="Calibri" w:eastAsia="宋体" w:cs="宋体"/>
          <w:sz w:val="24"/>
          <w:szCs w:val="22"/>
          <w:lang w:val="en-US" w:eastAsia="zh-CN" w:bidi="ar"/>
        </w:rPr>
        <w:t xml:space="preserve">（3）宣传牌内容 </w:t>
      </w:r>
    </w:p>
    <w:p>
      <w:pPr>
        <w:adjustRightInd w:val="0"/>
        <w:snapToGrid w:val="0"/>
        <w:spacing w:line="360" w:lineRule="auto"/>
        <w:ind w:firstLine="488" w:firstLineChars="200"/>
        <w:jc w:val="left"/>
        <w:rPr>
          <w:rFonts w:hint="default" w:ascii="Calibri" w:hAnsi="Calibri" w:eastAsia="宋体" w:cs="宋体"/>
          <w:sz w:val="24"/>
          <w:szCs w:val="22"/>
          <w:lang w:val="en-US" w:eastAsia="zh-CN" w:bidi="ar"/>
        </w:rPr>
      </w:pPr>
      <w:r>
        <w:rPr>
          <w:rFonts w:hint="default" w:ascii="Calibri" w:hAnsi="Calibri" w:eastAsia="宋体" w:cs="宋体"/>
          <w:sz w:val="24"/>
          <w:szCs w:val="22"/>
          <w:lang w:val="en-US" w:eastAsia="zh-CN" w:bidi="ar"/>
        </w:rPr>
        <w:t>各地方政府可根据实际需求设计宣传牌上的图形和文字，如介绍当地饮用水水源保护区的地形地貌、划分情况、保护现状、管理要求等。</w:t>
      </w:r>
    </w:p>
    <w:p>
      <w:pPr>
        <w:adjustRightInd w:val="0"/>
        <w:snapToGrid w:val="0"/>
        <w:spacing w:line="360" w:lineRule="auto"/>
        <w:ind w:firstLine="488" w:firstLineChars="200"/>
        <w:jc w:val="left"/>
        <w:rPr>
          <w:rFonts w:hint="default" w:ascii="Calibri" w:hAnsi="Calibri" w:eastAsia="宋体" w:cs="宋体"/>
          <w:sz w:val="24"/>
          <w:szCs w:val="22"/>
          <w:lang w:val="en-US" w:eastAsia="zh-CN" w:bidi="ar"/>
        </w:rPr>
      </w:pPr>
      <w:r>
        <w:rPr>
          <w:rFonts w:hint="default" w:ascii="Calibri" w:hAnsi="Calibri" w:eastAsia="宋体" w:cs="宋体"/>
          <w:sz w:val="24"/>
          <w:szCs w:val="22"/>
          <w:lang w:val="en-US" w:eastAsia="zh-CN" w:bidi="ar"/>
        </w:rPr>
        <w:t>饮用水水源保护区宣传牌宜在明显位置采用饮用水水源保护区图形标。</w:t>
      </w:r>
    </w:p>
    <w:p>
      <w:pPr>
        <w:pStyle w:val="4"/>
        <w:spacing w:before="156" w:after="156" w:line="400" w:lineRule="exact"/>
        <w:ind w:firstLine="0" w:firstLineChars="0"/>
        <w:jc w:val="both"/>
        <w:rPr>
          <w:rFonts w:hint="default" w:ascii="Times New Roman" w:hAnsi="Times New Roman" w:cs="Times New Roman"/>
          <w:bCs w:val="0"/>
          <w:sz w:val="30"/>
          <w:lang w:val="en-US" w:eastAsia="zh-CN"/>
        </w:rPr>
      </w:pPr>
      <w:bookmarkStart w:id="292" w:name="_Toc22688"/>
      <w:bookmarkStart w:id="293" w:name="_Toc438805144"/>
      <w:bookmarkStart w:id="294" w:name="_Toc453061758"/>
      <w:bookmarkStart w:id="295" w:name="_Toc453061604"/>
      <w:bookmarkStart w:id="296" w:name="_Toc25348"/>
      <w:r>
        <w:rPr>
          <w:rFonts w:hint="default" w:ascii="Times New Roman" w:hAnsi="Times New Roman" w:cs="Times New Roman"/>
          <w:bCs w:val="0"/>
          <w:sz w:val="30"/>
          <w:lang w:val="en-US" w:eastAsia="zh-CN"/>
        </w:rPr>
        <w:t>5.1.3饮用水水源保护区图形标志的设立位置</w:t>
      </w:r>
      <w:bookmarkEnd w:id="292"/>
      <w:bookmarkEnd w:id="293"/>
      <w:bookmarkEnd w:id="294"/>
      <w:bookmarkEnd w:id="295"/>
      <w:bookmarkEnd w:id="296"/>
    </w:p>
    <w:p>
      <w:pPr>
        <w:adjustRightInd w:val="0"/>
        <w:snapToGrid w:val="0"/>
        <w:spacing w:line="360" w:lineRule="auto"/>
        <w:ind w:firstLine="488" w:firstLineChars="200"/>
        <w:jc w:val="left"/>
        <w:rPr>
          <w:rFonts w:hint="default" w:ascii="Calibri" w:hAnsi="Calibri" w:eastAsia="宋体" w:cs="宋体"/>
          <w:sz w:val="24"/>
          <w:szCs w:val="22"/>
          <w:lang w:val="en-US" w:eastAsia="zh-CN" w:bidi="ar"/>
        </w:rPr>
      </w:pPr>
      <w:r>
        <w:rPr>
          <w:rFonts w:hint="default" w:ascii="Calibri" w:hAnsi="Calibri" w:eastAsia="宋体" w:cs="宋体"/>
          <w:sz w:val="24"/>
          <w:szCs w:val="22"/>
          <w:lang w:val="en-US" w:eastAsia="zh-CN" w:bidi="ar"/>
        </w:rPr>
        <w:t>（1）界标设立位置</w:t>
      </w:r>
    </w:p>
    <w:p>
      <w:pPr>
        <w:adjustRightInd w:val="0"/>
        <w:snapToGrid w:val="0"/>
        <w:spacing w:line="360" w:lineRule="auto"/>
        <w:ind w:firstLine="488" w:firstLineChars="200"/>
        <w:jc w:val="left"/>
        <w:rPr>
          <w:rFonts w:hint="default" w:ascii="Calibri" w:hAnsi="Calibri" w:eastAsia="宋体" w:cs="宋体"/>
          <w:sz w:val="24"/>
          <w:szCs w:val="22"/>
          <w:lang w:val="en-US" w:eastAsia="zh-CN" w:bidi="ar"/>
        </w:rPr>
      </w:pPr>
      <w:r>
        <w:rPr>
          <w:rFonts w:hint="default" w:ascii="Calibri" w:hAnsi="Calibri" w:eastAsia="宋体" w:cs="宋体"/>
          <w:sz w:val="24"/>
          <w:szCs w:val="22"/>
          <w:lang w:val="en-US" w:eastAsia="zh-CN" w:bidi="ar"/>
        </w:rPr>
        <w:t>饮用水水源保护区界标的设立位置应以根据《饮用水水源保护区标志技术要求》（HJ/T433—2008）最终确定的各级保护区界线进行设置，应充分考虑保护区地形、地标、地物的特点。</w:t>
      </w:r>
    </w:p>
    <w:p>
      <w:pPr>
        <w:adjustRightInd w:val="0"/>
        <w:snapToGrid w:val="0"/>
        <w:spacing w:line="360" w:lineRule="auto"/>
        <w:ind w:firstLine="488" w:firstLineChars="200"/>
        <w:jc w:val="left"/>
        <w:rPr>
          <w:rFonts w:hint="default" w:ascii="Calibri" w:hAnsi="Calibri" w:eastAsia="宋体" w:cs="宋体"/>
          <w:sz w:val="24"/>
          <w:szCs w:val="22"/>
          <w:lang w:val="en-US" w:eastAsia="zh-CN" w:bidi="ar"/>
        </w:rPr>
      </w:pPr>
      <w:r>
        <w:rPr>
          <w:rFonts w:hint="default" w:ascii="Calibri" w:hAnsi="Calibri" w:eastAsia="宋体" w:cs="宋体"/>
          <w:sz w:val="24"/>
          <w:szCs w:val="22"/>
          <w:lang w:val="en-US" w:eastAsia="zh-CN" w:bidi="ar"/>
        </w:rPr>
        <w:t>饮用水水源保护区界标一般设立于保护区陆域界线的顶点处。</w:t>
      </w:r>
    </w:p>
    <w:p>
      <w:pPr>
        <w:adjustRightInd w:val="0"/>
        <w:snapToGrid w:val="0"/>
        <w:spacing w:line="360" w:lineRule="auto"/>
        <w:ind w:firstLine="488" w:firstLineChars="200"/>
        <w:jc w:val="left"/>
        <w:rPr>
          <w:rFonts w:hint="default" w:ascii="Calibri" w:hAnsi="Calibri" w:eastAsia="宋体" w:cs="宋体"/>
          <w:sz w:val="24"/>
          <w:szCs w:val="22"/>
          <w:lang w:val="en-US" w:eastAsia="zh-CN" w:bidi="ar"/>
        </w:rPr>
      </w:pPr>
      <w:r>
        <w:rPr>
          <w:rFonts w:hint="default" w:ascii="Calibri" w:hAnsi="Calibri" w:eastAsia="宋体" w:cs="宋体"/>
          <w:sz w:val="24"/>
          <w:szCs w:val="22"/>
          <w:lang w:val="en-US" w:eastAsia="zh-CN" w:bidi="ar"/>
        </w:rPr>
        <w:t>饮用水水源保护区陆域范围为矩形或接近矩形时（如某些河流型饮用水水源保护区），宜在陆域外侧两顶点处设置界标；</w:t>
      </w:r>
    </w:p>
    <w:p>
      <w:pPr>
        <w:adjustRightInd w:val="0"/>
        <w:snapToGrid w:val="0"/>
        <w:spacing w:line="360" w:lineRule="auto"/>
        <w:ind w:firstLine="488" w:firstLineChars="200"/>
        <w:jc w:val="left"/>
        <w:rPr>
          <w:rFonts w:hint="default" w:ascii="Calibri" w:hAnsi="Calibri" w:eastAsia="宋体" w:cs="宋体"/>
          <w:sz w:val="24"/>
          <w:szCs w:val="22"/>
          <w:lang w:val="en-US" w:eastAsia="zh-CN" w:bidi="ar"/>
        </w:rPr>
      </w:pPr>
      <w:r>
        <w:rPr>
          <w:rFonts w:hint="default" w:ascii="Calibri" w:hAnsi="Calibri" w:eastAsia="宋体" w:cs="宋体"/>
          <w:sz w:val="24"/>
          <w:szCs w:val="22"/>
          <w:lang w:val="en-US" w:eastAsia="zh-CN" w:bidi="ar"/>
        </w:rPr>
        <w:t>饮用水水源保护区陆域范围为弧形或接近弧形时（如某些湖库型饮用水水源保护区），宜在陆域两个弧端点及弧顶处设置界标；</w:t>
      </w:r>
    </w:p>
    <w:p>
      <w:pPr>
        <w:adjustRightInd w:val="0"/>
        <w:snapToGrid w:val="0"/>
        <w:spacing w:line="360" w:lineRule="auto"/>
        <w:ind w:firstLine="488" w:firstLineChars="200"/>
        <w:jc w:val="left"/>
        <w:rPr>
          <w:rFonts w:hint="default" w:ascii="Calibri" w:hAnsi="Calibri" w:eastAsia="宋体" w:cs="宋体"/>
          <w:sz w:val="24"/>
          <w:szCs w:val="22"/>
          <w:lang w:val="en-US" w:eastAsia="zh-CN" w:bidi="ar"/>
        </w:rPr>
      </w:pPr>
      <w:r>
        <w:rPr>
          <w:rFonts w:hint="default" w:ascii="Calibri" w:hAnsi="Calibri" w:eastAsia="宋体" w:cs="宋体"/>
          <w:sz w:val="24"/>
          <w:szCs w:val="22"/>
          <w:lang w:val="en-US" w:eastAsia="zh-CN" w:bidi="ar"/>
        </w:rPr>
        <w:t>饮用水水源保护区陆域范围为圆形或接近圆形时，宜在陆域四个方向的端点处设置界标；</w:t>
      </w:r>
    </w:p>
    <w:p>
      <w:pPr>
        <w:adjustRightInd w:val="0"/>
        <w:snapToGrid w:val="0"/>
        <w:spacing w:line="360" w:lineRule="auto"/>
        <w:ind w:firstLine="488" w:firstLineChars="200"/>
        <w:jc w:val="left"/>
        <w:rPr>
          <w:rFonts w:hint="default" w:ascii="Calibri" w:hAnsi="Calibri" w:eastAsia="宋体" w:cs="宋体"/>
          <w:sz w:val="24"/>
          <w:szCs w:val="22"/>
          <w:lang w:val="en-US" w:eastAsia="zh-CN" w:bidi="ar"/>
        </w:rPr>
      </w:pPr>
      <w:r>
        <w:rPr>
          <w:rFonts w:hint="default" w:ascii="Calibri" w:hAnsi="Calibri" w:eastAsia="宋体" w:cs="宋体"/>
          <w:sz w:val="24"/>
          <w:szCs w:val="22"/>
          <w:lang w:val="en-US" w:eastAsia="zh-CN" w:bidi="ar"/>
        </w:rPr>
        <w:t>在划定的陆域范围内，可根据环境管理需要在人群易见、活动处设立界标。</w:t>
      </w:r>
    </w:p>
    <w:p>
      <w:pPr>
        <w:adjustRightInd w:val="0"/>
        <w:snapToGrid w:val="0"/>
        <w:spacing w:line="360" w:lineRule="auto"/>
        <w:ind w:firstLine="488" w:firstLineChars="200"/>
        <w:jc w:val="left"/>
        <w:rPr>
          <w:rFonts w:hint="default" w:ascii="Calibri" w:hAnsi="Calibri" w:eastAsia="宋体" w:cs="宋体"/>
          <w:sz w:val="24"/>
          <w:szCs w:val="22"/>
          <w:lang w:val="en-US" w:eastAsia="zh-CN" w:bidi="ar"/>
        </w:rPr>
      </w:pPr>
      <w:r>
        <w:rPr>
          <w:rFonts w:hint="default" w:ascii="Calibri" w:hAnsi="Calibri" w:eastAsia="宋体" w:cs="宋体"/>
          <w:sz w:val="24"/>
          <w:szCs w:val="22"/>
          <w:lang w:val="en-US" w:eastAsia="zh-CN" w:bidi="ar"/>
        </w:rPr>
        <w:t>饮用水水源保护区界标的设立应综合考虑饮用水水源一级保护区、二级保护区和准保护区的界标设立数量和分布而进行设置。</w:t>
      </w:r>
    </w:p>
    <w:p>
      <w:pPr>
        <w:adjustRightInd w:val="0"/>
        <w:snapToGrid w:val="0"/>
        <w:spacing w:line="360" w:lineRule="auto"/>
        <w:ind w:firstLine="488" w:firstLineChars="200"/>
        <w:jc w:val="left"/>
        <w:rPr>
          <w:rFonts w:hint="default" w:ascii="Calibri" w:hAnsi="Calibri" w:eastAsia="宋体" w:cs="宋体"/>
          <w:sz w:val="24"/>
          <w:szCs w:val="22"/>
          <w:lang w:val="en-US" w:eastAsia="zh-CN" w:bidi="ar"/>
        </w:rPr>
      </w:pPr>
      <w:r>
        <w:rPr>
          <w:rFonts w:hint="default" w:ascii="Calibri" w:hAnsi="Calibri" w:eastAsia="宋体" w:cs="宋体"/>
          <w:sz w:val="24"/>
          <w:szCs w:val="22"/>
          <w:lang w:val="en-US" w:eastAsia="zh-CN" w:bidi="ar"/>
        </w:rPr>
        <w:t>（2）饮用水水源保护区交通警示牌的设立位置</w:t>
      </w:r>
    </w:p>
    <w:p>
      <w:pPr>
        <w:adjustRightInd w:val="0"/>
        <w:snapToGrid w:val="0"/>
        <w:spacing w:line="360" w:lineRule="auto"/>
        <w:ind w:firstLine="488" w:firstLineChars="200"/>
        <w:jc w:val="left"/>
        <w:rPr>
          <w:rFonts w:hint="default" w:ascii="Calibri" w:hAnsi="Calibri" w:eastAsia="宋体" w:cs="宋体"/>
          <w:sz w:val="24"/>
          <w:szCs w:val="22"/>
          <w:lang w:val="en-US" w:eastAsia="zh-CN" w:bidi="ar"/>
        </w:rPr>
      </w:pPr>
      <w:r>
        <w:rPr>
          <w:rFonts w:hint="default" w:ascii="Calibri" w:hAnsi="Calibri" w:eastAsia="宋体" w:cs="宋体"/>
          <w:sz w:val="24"/>
          <w:szCs w:val="22"/>
          <w:lang w:val="en-US" w:eastAsia="zh-CN" w:bidi="ar"/>
        </w:rPr>
        <w:t>饮用水水源保护区交通警示牌设在保护区的道路的进入点及驶出点。</w:t>
      </w:r>
    </w:p>
    <w:p>
      <w:pPr>
        <w:adjustRightInd w:val="0"/>
        <w:snapToGrid w:val="0"/>
        <w:spacing w:line="360" w:lineRule="auto"/>
        <w:ind w:firstLine="488" w:firstLineChars="200"/>
        <w:jc w:val="left"/>
        <w:rPr>
          <w:rFonts w:hint="default" w:ascii="Calibri" w:hAnsi="Calibri" w:eastAsia="宋体" w:cs="宋体"/>
          <w:sz w:val="24"/>
          <w:szCs w:val="22"/>
          <w:lang w:val="en-US" w:eastAsia="zh-CN" w:bidi="ar"/>
        </w:rPr>
      </w:pPr>
      <w:r>
        <w:rPr>
          <w:rFonts w:hint="default" w:ascii="Calibri" w:hAnsi="Calibri" w:eastAsia="宋体" w:cs="宋体"/>
          <w:sz w:val="24"/>
          <w:szCs w:val="22"/>
          <w:lang w:val="en-US" w:eastAsia="zh-CN" w:bidi="ar"/>
        </w:rPr>
        <w:t>饮用水水源保护区道路警示牌设置于一级保护区、二级保护区和准保护区范围内的主干道旁。道路警示牌的具体设立位置应符合GB5768的相关要求。</w:t>
      </w:r>
    </w:p>
    <w:p>
      <w:pPr>
        <w:adjustRightInd w:val="0"/>
        <w:snapToGrid w:val="0"/>
        <w:spacing w:line="360" w:lineRule="auto"/>
        <w:ind w:firstLine="488" w:firstLineChars="200"/>
        <w:jc w:val="left"/>
        <w:rPr>
          <w:rFonts w:hint="default" w:ascii="Calibri" w:hAnsi="Calibri" w:eastAsia="宋体" w:cs="宋体"/>
          <w:sz w:val="24"/>
          <w:szCs w:val="22"/>
          <w:lang w:val="en-US" w:eastAsia="zh-CN" w:bidi="ar"/>
        </w:rPr>
      </w:pPr>
      <w:r>
        <w:rPr>
          <w:rFonts w:hint="default" w:ascii="Calibri" w:hAnsi="Calibri" w:eastAsia="宋体" w:cs="宋体"/>
          <w:sz w:val="24"/>
          <w:szCs w:val="22"/>
          <w:lang w:val="en-US" w:eastAsia="zh-CN" w:bidi="ar"/>
        </w:rPr>
        <w:t>饮用水水源保护区航道警示牌的具体设立位置应符合GB5863的相关要求。</w:t>
      </w:r>
    </w:p>
    <w:p>
      <w:pPr>
        <w:adjustRightInd w:val="0"/>
        <w:snapToGrid w:val="0"/>
        <w:spacing w:line="360" w:lineRule="auto"/>
        <w:ind w:firstLine="488" w:firstLineChars="200"/>
        <w:jc w:val="left"/>
        <w:rPr>
          <w:rFonts w:hint="default" w:ascii="Calibri" w:hAnsi="Calibri" w:eastAsia="宋体" w:cs="宋体"/>
          <w:sz w:val="24"/>
          <w:szCs w:val="22"/>
          <w:lang w:val="en-US" w:eastAsia="zh-CN" w:bidi="ar"/>
        </w:rPr>
      </w:pPr>
      <w:r>
        <w:rPr>
          <w:rFonts w:hint="default" w:ascii="Calibri" w:hAnsi="Calibri" w:eastAsia="宋体" w:cs="宋体"/>
          <w:sz w:val="24"/>
          <w:szCs w:val="22"/>
          <w:lang w:val="en-US" w:eastAsia="zh-CN" w:bidi="ar"/>
        </w:rPr>
        <w:t>（3）饮用水水源保护区宣传牌的设立位置</w:t>
      </w:r>
    </w:p>
    <w:p>
      <w:pPr>
        <w:adjustRightInd w:val="0"/>
        <w:snapToGrid w:val="0"/>
        <w:spacing w:line="360" w:lineRule="auto"/>
        <w:ind w:firstLine="488" w:firstLineChars="200"/>
        <w:jc w:val="left"/>
        <w:rPr>
          <w:rFonts w:hint="default" w:ascii="Calibri" w:hAnsi="Calibri" w:eastAsia="宋体" w:cs="宋体"/>
          <w:sz w:val="24"/>
          <w:szCs w:val="22"/>
          <w:lang w:val="en-US" w:eastAsia="zh-CN" w:bidi="ar"/>
        </w:rPr>
      </w:pPr>
      <w:r>
        <w:rPr>
          <w:rFonts w:hint="default" w:ascii="Calibri" w:hAnsi="Calibri" w:eastAsia="宋体" w:cs="宋体"/>
          <w:sz w:val="24"/>
          <w:szCs w:val="22"/>
          <w:lang w:val="en-US" w:eastAsia="zh-CN" w:bidi="ar"/>
        </w:rPr>
        <w:t>饮用水水源保护区宣传牌的设立位置可根据实际需要在适当的位置设立饮用水源保护区宣传牌，但应符合GB／T15566和GB5768 的相关要求。</w:t>
      </w:r>
    </w:p>
    <w:p>
      <w:pPr>
        <w:adjustRightInd w:val="0"/>
        <w:snapToGrid w:val="0"/>
        <w:spacing w:line="360" w:lineRule="auto"/>
        <w:ind w:firstLine="488" w:firstLineChars="200"/>
        <w:jc w:val="left"/>
        <w:rPr>
          <w:rFonts w:hint="default" w:ascii="Calibri" w:hAnsi="Calibri" w:eastAsia="宋体" w:cs="宋体"/>
          <w:sz w:val="24"/>
          <w:szCs w:val="22"/>
          <w:lang w:val="en-US" w:eastAsia="zh-CN" w:bidi="ar"/>
        </w:rPr>
      </w:pPr>
      <w:r>
        <w:rPr>
          <w:rFonts w:hint="default" w:ascii="Calibri" w:hAnsi="Calibri" w:eastAsia="宋体" w:cs="宋体"/>
          <w:sz w:val="24"/>
          <w:szCs w:val="22"/>
          <w:lang w:val="en-US" w:eastAsia="zh-CN" w:bidi="ar"/>
        </w:rPr>
        <w:t>（4）饮用水水源保护区标志设置情况</w:t>
      </w:r>
    </w:p>
    <w:p>
      <w:pPr>
        <w:adjustRightInd w:val="0"/>
        <w:snapToGrid w:val="0"/>
        <w:spacing w:line="360" w:lineRule="auto"/>
        <w:ind w:firstLine="488" w:firstLineChars="200"/>
        <w:jc w:val="left"/>
        <w:rPr>
          <w:rFonts w:hint="default" w:ascii="Calibri" w:hAnsi="Calibri" w:eastAsia="宋体" w:cs="宋体"/>
          <w:sz w:val="24"/>
          <w:szCs w:val="22"/>
          <w:lang w:val="en-US" w:eastAsia="zh-CN" w:bidi="ar"/>
        </w:rPr>
      </w:pPr>
      <w:r>
        <w:rPr>
          <w:rFonts w:hint="default" w:ascii="Calibri" w:hAnsi="Calibri" w:eastAsia="宋体" w:cs="宋体"/>
          <w:sz w:val="24"/>
          <w:szCs w:val="22"/>
          <w:lang w:val="en-US" w:eastAsia="zh-CN" w:bidi="ar"/>
        </w:rPr>
        <w:t>根据饮用水源保护区标志设置的相关规定，结合三塘镇谢坪村地下水饮用水水源保护区划分边界的具体</w:t>
      </w:r>
      <w:bookmarkStart w:id="365" w:name="_GoBack"/>
      <w:bookmarkEnd w:id="365"/>
      <w:r>
        <w:rPr>
          <w:rFonts w:hint="default" w:ascii="Calibri" w:hAnsi="Calibri" w:eastAsia="宋体" w:cs="宋体"/>
          <w:sz w:val="24"/>
          <w:szCs w:val="22"/>
          <w:lang w:val="en-US" w:eastAsia="zh-CN" w:bidi="ar"/>
        </w:rPr>
        <w:t>情况，湘阴县三塘镇</w:t>
      </w:r>
      <w:r>
        <w:rPr>
          <w:rFonts w:hint="eastAsia" w:ascii="Calibri" w:hAnsi="Calibri" w:eastAsia="宋体" w:cs="宋体"/>
          <w:sz w:val="24"/>
          <w:szCs w:val="22"/>
          <w:lang w:val="en-US" w:eastAsia="zh-CN" w:bidi="ar"/>
        </w:rPr>
        <w:t>拦河坝水厂</w:t>
      </w:r>
      <w:r>
        <w:rPr>
          <w:rFonts w:hint="default" w:ascii="Calibri" w:hAnsi="Calibri" w:eastAsia="宋体" w:cs="宋体"/>
          <w:sz w:val="24"/>
          <w:szCs w:val="22"/>
          <w:lang w:val="en-US" w:eastAsia="zh-CN" w:bidi="ar"/>
        </w:rPr>
        <w:t>地下水饮用水水源保护区标志设置的具体情况如表5-1所示。分布情况见附图6：湘阴县三塘镇</w:t>
      </w:r>
      <w:r>
        <w:rPr>
          <w:rFonts w:hint="eastAsia" w:ascii="Calibri" w:hAnsi="Calibri" w:eastAsia="宋体" w:cs="宋体"/>
          <w:sz w:val="24"/>
          <w:szCs w:val="22"/>
          <w:lang w:val="en-US" w:eastAsia="zh-CN" w:bidi="ar"/>
        </w:rPr>
        <w:t>拦河坝地下水</w:t>
      </w:r>
      <w:r>
        <w:rPr>
          <w:rFonts w:hint="default" w:ascii="Calibri" w:hAnsi="Calibri" w:eastAsia="宋体" w:cs="宋体"/>
          <w:sz w:val="24"/>
          <w:szCs w:val="22"/>
          <w:lang w:val="en-US" w:eastAsia="zh-CN" w:bidi="ar"/>
        </w:rPr>
        <w:t>饮用水水源保护区标志设置图。</w:t>
      </w:r>
    </w:p>
    <w:p>
      <w:pPr>
        <w:keepNext w:val="0"/>
        <w:keepLines/>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Calibri" w:hAnsi="Calibri" w:eastAsia="宋体" w:cs="宋体"/>
          <w:sz w:val="24"/>
          <w:szCs w:val="22"/>
          <w:lang w:eastAsia="zh-CN" w:bidi="ar"/>
        </w:rPr>
      </w:pPr>
      <w:r>
        <w:rPr>
          <w:rFonts w:hint="default" w:ascii="Times New Roman" w:hAnsi="Times New Roman" w:cs="Times New Roman"/>
          <w:b/>
          <w:sz w:val="21"/>
          <w:szCs w:val="21"/>
        </w:rPr>
        <w:t>表5-1  湘阴县三塘镇</w:t>
      </w:r>
      <w:r>
        <w:rPr>
          <w:rFonts w:hint="eastAsia" w:ascii="Times New Roman" w:hAnsi="Times New Roman" w:cs="Times New Roman"/>
          <w:b/>
          <w:sz w:val="21"/>
          <w:szCs w:val="21"/>
          <w:lang w:val="en-US" w:eastAsia="zh-CN"/>
        </w:rPr>
        <w:t>拦河坝水厂</w:t>
      </w:r>
      <w:r>
        <w:rPr>
          <w:rFonts w:hint="default" w:ascii="Times New Roman" w:hAnsi="Times New Roman" w:cs="Times New Roman"/>
          <w:b/>
          <w:sz w:val="21"/>
          <w:szCs w:val="21"/>
        </w:rPr>
        <w:t>地下水饮用水源保护区标志设置明细表</w:t>
      </w:r>
    </w:p>
    <w:tbl>
      <w:tblPr>
        <w:tblStyle w:val="20"/>
        <w:tblW w:w="817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45"/>
        <w:gridCol w:w="1293"/>
        <w:gridCol w:w="2261"/>
        <w:gridCol w:w="846"/>
        <w:gridCol w:w="1082"/>
        <w:gridCol w:w="194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Cs w:val="21"/>
                <w:highlight w:val="none"/>
              </w:rPr>
            </w:pPr>
            <w:bookmarkStart w:id="297" w:name="OLE_LINK50"/>
            <w:r>
              <w:rPr>
                <w:rFonts w:hint="eastAsia"/>
                <w:szCs w:val="21"/>
                <w:highlight w:val="none"/>
              </w:rPr>
              <w:t>序号</w:t>
            </w:r>
          </w:p>
        </w:tc>
        <w:tc>
          <w:tcPr>
            <w:tcW w:w="12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Cs w:val="21"/>
                <w:highlight w:val="none"/>
              </w:rPr>
            </w:pPr>
            <w:r>
              <w:rPr>
                <w:rFonts w:hint="eastAsia"/>
                <w:szCs w:val="21"/>
                <w:highlight w:val="none"/>
              </w:rPr>
              <w:t>标志名称</w:t>
            </w:r>
          </w:p>
        </w:tc>
        <w:tc>
          <w:tcPr>
            <w:tcW w:w="22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Cs w:val="21"/>
                <w:highlight w:val="none"/>
              </w:rPr>
            </w:pPr>
            <w:r>
              <w:rPr>
                <w:rFonts w:hint="eastAsia"/>
                <w:szCs w:val="21"/>
                <w:highlight w:val="none"/>
              </w:rPr>
              <w:t>设置位置</w:t>
            </w:r>
          </w:p>
        </w:tc>
        <w:tc>
          <w:tcPr>
            <w:tcW w:w="8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Cs w:val="21"/>
                <w:highlight w:val="none"/>
              </w:rPr>
            </w:pPr>
            <w:r>
              <w:rPr>
                <w:rFonts w:hint="eastAsia"/>
                <w:szCs w:val="21"/>
                <w:highlight w:val="none"/>
              </w:rPr>
              <w:t>数量</w:t>
            </w:r>
          </w:p>
        </w:tc>
        <w:tc>
          <w:tcPr>
            <w:tcW w:w="10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szCs w:val="21"/>
                <w:highlight w:val="none"/>
                <w:lang w:val="en-US" w:eastAsia="zh-CN"/>
              </w:rPr>
            </w:pPr>
            <w:r>
              <w:rPr>
                <w:rFonts w:hint="eastAsia"/>
                <w:szCs w:val="21"/>
                <w:highlight w:val="none"/>
                <w:lang w:val="en-US" w:eastAsia="zh-CN"/>
              </w:rPr>
              <w:t>标号</w:t>
            </w:r>
          </w:p>
        </w:tc>
        <w:tc>
          <w:tcPr>
            <w:tcW w:w="19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Cs w:val="21"/>
                <w:highlight w:val="none"/>
              </w:rPr>
            </w:pPr>
            <w:r>
              <w:rPr>
                <w:rFonts w:hint="eastAsia"/>
                <w:szCs w:val="21"/>
                <w:highlight w:val="none"/>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Cs w:val="21"/>
                <w:highlight w:val="none"/>
              </w:rPr>
            </w:pPr>
            <w:r>
              <w:rPr>
                <w:rFonts w:hint="eastAsia"/>
                <w:szCs w:val="21"/>
                <w:highlight w:val="none"/>
              </w:rPr>
              <w:t>1</w:t>
            </w:r>
          </w:p>
        </w:tc>
        <w:tc>
          <w:tcPr>
            <w:tcW w:w="12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Cs w:val="21"/>
                <w:highlight w:val="none"/>
              </w:rPr>
            </w:pPr>
            <w:r>
              <w:rPr>
                <w:rFonts w:hint="eastAsia"/>
                <w:szCs w:val="21"/>
                <w:highlight w:val="none"/>
              </w:rPr>
              <w:t>界标</w:t>
            </w:r>
          </w:p>
        </w:tc>
        <w:tc>
          <w:tcPr>
            <w:tcW w:w="22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szCs w:val="21"/>
                <w:highlight w:val="none"/>
                <w:lang w:val="en-US" w:eastAsia="zh-CN"/>
              </w:rPr>
            </w:pPr>
            <w:r>
              <w:rPr>
                <w:rFonts w:hint="eastAsia"/>
                <w:szCs w:val="21"/>
                <w:highlight w:val="none"/>
                <w:lang w:val="en-US" w:eastAsia="zh-CN"/>
              </w:rPr>
              <w:t>一级保护区边界</w:t>
            </w:r>
          </w:p>
        </w:tc>
        <w:tc>
          <w:tcPr>
            <w:tcW w:w="8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szCs w:val="21"/>
                <w:highlight w:val="none"/>
                <w:lang w:val="en-US" w:eastAsia="zh-CN"/>
              </w:rPr>
            </w:pPr>
            <w:r>
              <w:rPr>
                <w:rFonts w:hint="eastAsia"/>
                <w:szCs w:val="21"/>
                <w:highlight w:val="none"/>
                <w:lang w:val="en-US" w:eastAsia="zh-CN"/>
              </w:rPr>
              <w:t>4</w:t>
            </w:r>
          </w:p>
        </w:tc>
        <w:tc>
          <w:tcPr>
            <w:tcW w:w="10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Cs w:val="21"/>
                <w:highlight w:val="none"/>
                <w:lang w:val="en-US" w:eastAsia="zh-CN"/>
              </w:rPr>
            </w:pPr>
            <w:r>
              <w:rPr>
                <w:rFonts w:hint="eastAsia"/>
                <w:szCs w:val="21"/>
                <w:highlight w:val="none"/>
                <w:lang w:val="en-US" w:eastAsia="zh-CN"/>
              </w:rPr>
              <w:t>J1</w:t>
            </w:r>
            <w:r>
              <w:rPr>
                <w:rFonts w:hint="eastAsia" w:ascii="宋体" w:hAnsi="宋体" w:eastAsia="宋体" w:cs="宋体"/>
                <w:szCs w:val="21"/>
                <w:highlight w:val="none"/>
                <w:lang w:val="en-US" w:eastAsia="zh-CN"/>
              </w:rPr>
              <w:t>～</w:t>
            </w:r>
            <w:r>
              <w:rPr>
                <w:rFonts w:hint="eastAsia"/>
                <w:szCs w:val="21"/>
                <w:highlight w:val="none"/>
                <w:lang w:val="en-US" w:eastAsia="zh-CN"/>
              </w:rPr>
              <w:t>J6</w:t>
            </w:r>
          </w:p>
        </w:tc>
        <w:tc>
          <w:tcPr>
            <w:tcW w:w="19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Cs w:val="21"/>
                <w:highlight w:val="none"/>
              </w:rPr>
            </w:pPr>
            <w:r>
              <w:rPr>
                <w:rFonts w:hint="eastAsia"/>
                <w:szCs w:val="21"/>
                <w:highlight w:val="none"/>
              </w:rPr>
              <w:t>根据实际情况调整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Cs w:val="21"/>
                <w:highlight w:val="none"/>
              </w:rPr>
            </w:pPr>
            <w:r>
              <w:rPr>
                <w:rFonts w:hint="eastAsia"/>
                <w:szCs w:val="21"/>
                <w:highlight w:val="none"/>
              </w:rPr>
              <w:t>2</w:t>
            </w:r>
          </w:p>
        </w:tc>
        <w:tc>
          <w:tcPr>
            <w:tcW w:w="12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Cs w:val="21"/>
                <w:highlight w:val="none"/>
              </w:rPr>
            </w:pPr>
            <w:r>
              <w:rPr>
                <w:rFonts w:hint="eastAsia"/>
                <w:szCs w:val="21"/>
                <w:highlight w:val="none"/>
              </w:rPr>
              <w:t>交通警示牌</w:t>
            </w:r>
          </w:p>
        </w:tc>
        <w:tc>
          <w:tcPr>
            <w:tcW w:w="22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szCs w:val="21"/>
                <w:highlight w:val="none"/>
                <w:lang w:val="en-US" w:eastAsia="zh-CN"/>
              </w:rPr>
            </w:pPr>
            <w:r>
              <w:rPr>
                <w:rFonts w:hint="eastAsia"/>
                <w:szCs w:val="21"/>
                <w:highlight w:val="none"/>
                <w:lang w:val="en-US" w:eastAsia="zh-CN"/>
              </w:rPr>
              <w:t>乡道进出保护区的位置</w:t>
            </w:r>
          </w:p>
        </w:tc>
        <w:tc>
          <w:tcPr>
            <w:tcW w:w="8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szCs w:val="21"/>
                <w:highlight w:val="none"/>
                <w:lang w:val="en-US" w:eastAsia="zh-CN"/>
              </w:rPr>
            </w:pPr>
            <w:r>
              <w:rPr>
                <w:rFonts w:hint="eastAsia"/>
                <w:szCs w:val="21"/>
                <w:highlight w:val="none"/>
                <w:lang w:val="en-US" w:eastAsia="zh-CN"/>
              </w:rPr>
              <w:t>2</w:t>
            </w:r>
          </w:p>
        </w:tc>
        <w:tc>
          <w:tcPr>
            <w:tcW w:w="10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Cs w:val="21"/>
                <w:highlight w:val="none"/>
                <w:lang w:val="en-US" w:eastAsia="zh-CN"/>
              </w:rPr>
            </w:pPr>
            <w:r>
              <w:rPr>
                <w:rFonts w:hint="eastAsia"/>
                <w:szCs w:val="21"/>
                <w:highlight w:val="none"/>
                <w:lang w:val="en-US" w:eastAsia="zh-CN"/>
              </w:rPr>
              <w:t>T1</w:t>
            </w:r>
            <w:r>
              <w:rPr>
                <w:rFonts w:hint="eastAsia" w:ascii="宋体" w:hAnsi="宋体" w:eastAsia="宋体" w:cs="宋体"/>
                <w:szCs w:val="21"/>
                <w:highlight w:val="none"/>
                <w:lang w:val="en-US" w:eastAsia="zh-CN"/>
              </w:rPr>
              <w:t>～</w:t>
            </w:r>
            <w:r>
              <w:rPr>
                <w:rFonts w:hint="eastAsia"/>
                <w:szCs w:val="21"/>
                <w:highlight w:val="none"/>
                <w:lang w:val="en-US" w:eastAsia="zh-CN"/>
              </w:rPr>
              <w:t>T4</w:t>
            </w:r>
          </w:p>
        </w:tc>
        <w:tc>
          <w:tcPr>
            <w:tcW w:w="19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Cs w:val="21"/>
                <w:highlight w:val="none"/>
              </w:rPr>
            </w:pPr>
            <w:r>
              <w:rPr>
                <w:rFonts w:hint="eastAsia"/>
                <w:szCs w:val="21"/>
                <w:highlight w:val="none"/>
              </w:rPr>
              <w:t>根据实际情况调整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70" w:hRule="atLeast"/>
          <w:jc w:val="center"/>
        </w:trPr>
        <w:tc>
          <w:tcPr>
            <w:tcW w:w="7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szCs w:val="21"/>
                <w:highlight w:val="none"/>
                <w:lang w:val="en-US" w:eastAsia="zh-CN"/>
              </w:rPr>
            </w:pPr>
            <w:r>
              <w:rPr>
                <w:rFonts w:hint="eastAsia"/>
                <w:szCs w:val="21"/>
                <w:highlight w:val="none"/>
                <w:lang w:val="en-US" w:eastAsia="zh-CN"/>
              </w:rPr>
              <w:t>3</w:t>
            </w:r>
          </w:p>
        </w:tc>
        <w:tc>
          <w:tcPr>
            <w:tcW w:w="12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Cs w:val="21"/>
                <w:highlight w:val="none"/>
              </w:rPr>
            </w:pPr>
            <w:r>
              <w:rPr>
                <w:rFonts w:hint="eastAsia"/>
                <w:szCs w:val="21"/>
                <w:highlight w:val="none"/>
              </w:rPr>
              <w:t>宣传牌</w:t>
            </w:r>
          </w:p>
        </w:tc>
        <w:tc>
          <w:tcPr>
            <w:tcW w:w="22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Theme="minorEastAsia"/>
                <w:szCs w:val="21"/>
                <w:highlight w:val="none"/>
                <w:lang w:val="en-US" w:eastAsia="zh-CN"/>
              </w:rPr>
            </w:pPr>
            <w:r>
              <w:rPr>
                <w:rFonts w:hint="eastAsia"/>
                <w:szCs w:val="21"/>
                <w:highlight w:val="none"/>
                <w:lang w:val="en-US" w:eastAsia="zh-CN"/>
              </w:rPr>
              <w:t>水厂</w:t>
            </w:r>
          </w:p>
        </w:tc>
        <w:tc>
          <w:tcPr>
            <w:tcW w:w="8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szCs w:val="21"/>
                <w:highlight w:val="none"/>
                <w:lang w:eastAsia="zh-CN"/>
              </w:rPr>
            </w:pPr>
            <w:r>
              <w:rPr>
                <w:rFonts w:hint="eastAsia"/>
                <w:szCs w:val="21"/>
                <w:highlight w:val="none"/>
                <w:lang w:val="en-US" w:eastAsia="zh-CN"/>
              </w:rPr>
              <w:t>2</w:t>
            </w:r>
          </w:p>
        </w:tc>
        <w:tc>
          <w:tcPr>
            <w:tcW w:w="10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szCs w:val="21"/>
                <w:highlight w:val="none"/>
                <w:lang w:val="en-US" w:eastAsia="zh-CN"/>
              </w:rPr>
            </w:pPr>
            <w:r>
              <w:rPr>
                <w:rFonts w:hint="eastAsia"/>
                <w:szCs w:val="21"/>
                <w:highlight w:val="none"/>
                <w:lang w:val="en-US" w:eastAsia="zh-CN"/>
              </w:rPr>
              <w:t>X1</w:t>
            </w:r>
          </w:p>
        </w:tc>
        <w:tc>
          <w:tcPr>
            <w:tcW w:w="19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Cs w:val="21"/>
                <w:highlight w:val="none"/>
              </w:rPr>
            </w:pPr>
            <w:r>
              <w:rPr>
                <w:rFonts w:hint="eastAsia"/>
                <w:szCs w:val="21"/>
                <w:highlight w:val="none"/>
              </w:rPr>
              <w:t>根据实际情况调整</w:t>
            </w:r>
          </w:p>
        </w:tc>
      </w:tr>
      <w:bookmarkEnd w:id="297"/>
    </w:tbl>
    <w:p>
      <w:pPr>
        <w:pStyle w:val="4"/>
        <w:spacing w:before="156" w:after="156" w:line="400" w:lineRule="exact"/>
        <w:ind w:firstLine="0" w:firstLineChars="0"/>
        <w:jc w:val="both"/>
        <w:rPr>
          <w:rFonts w:hint="default" w:ascii="Times New Roman" w:hAnsi="Times New Roman" w:cs="Times New Roman"/>
          <w:bCs w:val="0"/>
          <w:sz w:val="30"/>
          <w:lang w:val="en-US" w:eastAsia="zh-CN"/>
        </w:rPr>
      </w:pPr>
      <w:bookmarkStart w:id="298" w:name="_Toc453061759"/>
      <w:bookmarkStart w:id="299" w:name="_Toc453061605"/>
      <w:bookmarkStart w:id="300" w:name="_Toc25237"/>
      <w:bookmarkStart w:id="301" w:name="_Toc438805145"/>
      <w:bookmarkStart w:id="302" w:name="_Toc6585"/>
      <w:r>
        <w:rPr>
          <w:rFonts w:hint="default" w:ascii="Times New Roman" w:hAnsi="Times New Roman" w:cs="Times New Roman"/>
          <w:bCs w:val="0"/>
          <w:sz w:val="30"/>
          <w:lang w:val="en-US" w:eastAsia="zh-CN"/>
        </w:rPr>
        <w:t>5.1.4饮用水水源保护区图形标志的构造</w:t>
      </w:r>
      <w:bookmarkEnd w:id="298"/>
      <w:bookmarkEnd w:id="299"/>
      <w:bookmarkEnd w:id="300"/>
      <w:bookmarkEnd w:id="301"/>
      <w:bookmarkEnd w:id="302"/>
    </w:p>
    <w:p>
      <w:pPr>
        <w:adjustRightInd w:val="0"/>
        <w:snapToGrid w:val="0"/>
        <w:spacing w:line="360" w:lineRule="auto"/>
        <w:ind w:firstLine="488" w:firstLineChars="200"/>
        <w:jc w:val="left"/>
        <w:rPr>
          <w:rFonts w:hint="default" w:ascii="Calibri" w:hAnsi="Calibri" w:eastAsia="宋体" w:cs="宋体"/>
          <w:sz w:val="24"/>
          <w:szCs w:val="22"/>
          <w:lang w:val="en-US" w:eastAsia="zh-CN" w:bidi="ar"/>
        </w:rPr>
      </w:pPr>
      <w:r>
        <w:rPr>
          <w:rFonts w:hint="default" w:ascii="Calibri" w:hAnsi="Calibri" w:eastAsia="宋体" w:cs="宋体"/>
          <w:sz w:val="24"/>
          <w:szCs w:val="22"/>
          <w:lang w:val="en-US" w:eastAsia="zh-CN" w:bidi="ar"/>
        </w:rPr>
        <w:t>（1）颜色</w:t>
      </w:r>
    </w:p>
    <w:p>
      <w:pPr>
        <w:adjustRightInd w:val="0"/>
        <w:snapToGrid w:val="0"/>
        <w:spacing w:line="360" w:lineRule="auto"/>
        <w:ind w:firstLine="488" w:firstLineChars="200"/>
        <w:jc w:val="left"/>
        <w:rPr>
          <w:rFonts w:hint="default" w:ascii="Calibri" w:hAnsi="Calibri" w:eastAsia="宋体" w:cs="宋体"/>
          <w:sz w:val="24"/>
          <w:szCs w:val="22"/>
          <w:lang w:val="en-US" w:eastAsia="zh-CN" w:bidi="ar"/>
        </w:rPr>
      </w:pPr>
      <w:r>
        <w:rPr>
          <w:rFonts w:hint="default" w:ascii="Calibri" w:hAnsi="Calibri" w:eastAsia="宋体" w:cs="宋体"/>
          <w:sz w:val="24"/>
          <w:szCs w:val="22"/>
          <w:lang w:val="en-US" w:eastAsia="zh-CN" w:bidi="ar"/>
        </w:rPr>
        <w:t>饮用水水源保护区图形标的基本色为蓝色，"两滴水"为绿色，"饮用水杯"为白色,文字为蓝色。</w:t>
      </w:r>
    </w:p>
    <w:p>
      <w:pPr>
        <w:adjustRightInd w:val="0"/>
        <w:snapToGrid w:val="0"/>
        <w:spacing w:line="360" w:lineRule="auto"/>
        <w:ind w:firstLine="488" w:firstLineChars="200"/>
        <w:jc w:val="left"/>
        <w:rPr>
          <w:rFonts w:hint="default" w:ascii="Calibri" w:hAnsi="Calibri" w:eastAsia="宋体" w:cs="宋体"/>
          <w:sz w:val="24"/>
          <w:szCs w:val="22"/>
          <w:lang w:val="en-US" w:eastAsia="zh-CN" w:bidi="ar"/>
        </w:rPr>
      </w:pPr>
      <w:r>
        <w:rPr>
          <w:rFonts w:hint="default" w:ascii="Calibri" w:hAnsi="Calibri" w:eastAsia="宋体" w:cs="宋体"/>
          <w:sz w:val="24"/>
          <w:szCs w:val="22"/>
          <w:lang w:val="en-US" w:eastAsia="zh-CN" w:bidi="ar"/>
        </w:rPr>
        <w:t>饮用水水源保护区道路警示牌的颜色一般道路为蓝底、白边，图案背景和文字为白色。</w:t>
      </w:r>
    </w:p>
    <w:p>
      <w:pPr>
        <w:adjustRightInd w:val="0"/>
        <w:snapToGrid w:val="0"/>
        <w:spacing w:line="360" w:lineRule="auto"/>
        <w:ind w:firstLine="488" w:firstLineChars="200"/>
        <w:jc w:val="left"/>
        <w:rPr>
          <w:rFonts w:hint="default" w:ascii="Calibri" w:hAnsi="Calibri" w:eastAsia="宋体" w:cs="宋体"/>
          <w:sz w:val="24"/>
          <w:szCs w:val="22"/>
          <w:lang w:val="en-US" w:eastAsia="zh-CN" w:bidi="ar"/>
        </w:rPr>
      </w:pPr>
      <w:r>
        <w:rPr>
          <w:rFonts w:hint="default" w:ascii="Calibri" w:hAnsi="Calibri" w:eastAsia="宋体" w:cs="宋体"/>
          <w:sz w:val="24"/>
          <w:szCs w:val="22"/>
          <w:lang w:val="en-US" w:eastAsia="zh-CN" w:bidi="ar"/>
        </w:rPr>
        <w:t>饮用水水源保护区宣传牌颜色由各地方政府根据实际情况确定。</w:t>
      </w:r>
    </w:p>
    <w:p>
      <w:pPr>
        <w:adjustRightInd w:val="0"/>
        <w:snapToGrid w:val="0"/>
        <w:spacing w:line="360" w:lineRule="auto"/>
        <w:ind w:firstLine="488" w:firstLineChars="200"/>
        <w:jc w:val="left"/>
        <w:rPr>
          <w:rFonts w:hint="default" w:ascii="Calibri" w:hAnsi="Calibri" w:eastAsia="宋体" w:cs="宋体"/>
          <w:sz w:val="24"/>
          <w:szCs w:val="22"/>
          <w:lang w:val="en-US" w:eastAsia="zh-CN" w:bidi="ar"/>
        </w:rPr>
      </w:pPr>
      <w:r>
        <w:rPr>
          <w:rFonts w:hint="default" w:ascii="Calibri" w:hAnsi="Calibri" w:eastAsia="宋体" w:cs="宋体"/>
          <w:sz w:val="24"/>
          <w:szCs w:val="22"/>
          <w:lang w:val="en-US" w:eastAsia="zh-CN" w:bidi="ar"/>
        </w:rPr>
        <w:t>（2）尺寸</w:t>
      </w:r>
    </w:p>
    <w:p>
      <w:pPr>
        <w:adjustRightInd w:val="0"/>
        <w:snapToGrid w:val="0"/>
        <w:spacing w:line="360" w:lineRule="auto"/>
        <w:ind w:firstLine="488" w:firstLineChars="200"/>
        <w:jc w:val="left"/>
        <w:rPr>
          <w:rFonts w:hint="default" w:ascii="Calibri" w:hAnsi="Calibri" w:eastAsia="宋体" w:cs="宋体"/>
          <w:sz w:val="24"/>
          <w:szCs w:val="22"/>
          <w:lang w:val="en-US" w:eastAsia="zh-CN" w:bidi="ar"/>
        </w:rPr>
      </w:pPr>
      <w:r>
        <w:rPr>
          <w:rFonts w:hint="default" w:ascii="Calibri" w:hAnsi="Calibri" w:eastAsia="宋体" w:cs="宋体"/>
          <w:sz w:val="24"/>
          <w:szCs w:val="22"/>
          <w:lang w:val="en-US" w:eastAsia="zh-CN" w:bidi="ar"/>
        </w:rPr>
        <w:t>饮用水水源保护区标志的尺寸见《饮用水水源保护区标志技术要求》（HJ/T433—2008）附录B。</w:t>
      </w:r>
    </w:p>
    <w:p>
      <w:pPr>
        <w:adjustRightInd w:val="0"/>
        <w:snapToGrid w:val="0"/>
        <w:spacing w:line="360" w:lineRule="auto"/>
        <w:ind w:firstLine="488" w:firstLineChars="200"/>
        <w:jc w:val="left"/>
        <w:rPr>
          <w:rFonts w:hint="default" w:ascii="Calibri" w:hAnsi="Calibri" w:eastAsia="宋体" w:cs="宋体"/>
          <w:sz w:val="24"/>
          <w:szCs w:val="22"/>
          <w:lang w:val="en-US" w:eastAsia="zh-CN" w:bidi="ar"/>
        </w:rPr>
      </w:pPr>
      <w:r>
        <w:rPr>
          <w:rFonts w:hint="default" w:ascii="Calibri" w:hAnsi="Calibri" w:eastAsia="宋体" w:cs="宋体"/>
          <w:sz w:val="24"/>
          <w:szCs w:val="22"/>
          <w:lang w:val="en-US" w:eastAsia="zh-CN" w:bidi="ar"/>
        </w:rPr>
        <w:t>饮用水水源保护区标志的尺寸可根据实际情况按比例缩放。</w:t>
      </w:r>
    </w:p>
    <w:p>
      <w:pPr>
        <w:adjustRightInd w:val="0"/>
        <w:snapToGrid w:val="0"/>
        <w:spacing w:line="360" w:lineRule="auto"/>
        <w:ind w:firstLine="488" w:firstLineChars="200"/>
        <w:jc w:val="left"/>
        <w:rPr>
          <w:rFonts w:hint="default" w:ascii="Calibri" w:hAnsi="Calibri" w:eastAsia="宋体" w:cs="宋体"/>
          <w:sz w:val="24"/>
          <w:szCs w:val="22"/>
          <w:lang w:val="en-US" w:eastAsia="zh-CN" w:bidi="ar"/>
        </w:rPr>
      </w:pPr>
      <w:r>
        <w:rPr>
          <w:rFonts w:hint="default" w:ascii="Calibri" w:hAnsi="Calibri" w:eastAsia="宋体" w:cs="宋体"/>
          <w:sz w:val="24"/>
          <w:szCs w:val="22"/>
          <w:lang w:val="en-US" w:eastAsia="zh-CN" w:bidi="ar"/>
        </w:rPr>
        <w:t>（3）支持方式</w:t>
      </w:r>
    </w:p>
    <w:p>
      <w:pPr>
        <w:adjustRightInd w:val="0"/>
        <w:snapToGrid w:val="0"/>
        <w:spacing w:line="360" w:lineRule="auto"/>
        <w:ind w:firstLine="488" w:firstLineChars="200"/>
        <w:jc w:val="left"/>
        <w:rPr>
          <w:rFonts w:hint="default" w:ascii="Calibri" w:hAnsi="Calibri" w:eastAsia="宋体" w:cs="宋体"/>
          <w:sz w:val="24"/>
          <w:szCs w:val="22"/>
          <w:lang w:val="en-US" w:eastAsia="zh-CN" w:bidi="ar"/>
        </w:rPr>
      </w:pPr>
      <w:r>
        <w:rPr>
          <w:rFonts w:hint="default" w:ascii="Calibri" w:hAnsi="Calibri" w:eastAsia="宋体" w:cs="宋体"/>
          <w:sz w:val="24"/>
          <w:szCs w:val="22"/>
          <w:lang w:val="en-US" w:eastAsia="zh-CN" w:bidi="ar"/>
        </w:rPr>
        <w:t>饮用水水源保护区界标宜采用双柱式的支持方式，尺寸可参考 GB5768。</w:t>
      </w:r>
    </w:p>
    <w:p>
      <w:pPr>
        <w:adjustRightInd w:val="0"/>
        <w:snapToGrid w:val="0"/>
        <w:spacing w:line="360" w:lineRule="auto"/>
        <w:ind w:firstLine="488" w:firstLineChars="200"/>
        <w:jc w:val="left"/>
        <w:rPr>
          <w:rFonts w:hint="default" w:ascii="Calibri" w:hAnsi="Calibri" w:eastAsia="宋体" w:cs="宋体"/>
          <w:sz w:val="24"/>
          <w:szCs w:val="22"/>
          <w:lang w:val="en-US" w:eastAsia="zh-CN" w:bidi="ar"/>
        </w:rPr>
      </w:pPr>
      <w:r>
        <w:rPr>
          <w:rFonts w:hint="default" w:ascii="Calibri" w:hAnsi="Calibri" w:eastAsia="宋体" w:cs="宋体"/>
          <w:sz w:val="24"/>
          <w:szCs w:val="22"/>
          <w:lang w:val="en-US" w:eastAsia="zh-CN" w:bidi="ar"/>
        </w:rPr>
        <w:t>饮用水水源保护区交通警示牌的支持方式形式可多样，但必须符合GB5768和GB5863 的规定。</w:t>
      </w:r>
    </w:p>
    <w:p>
      <w:pPr>
        <w:adjustRightInd w:val="0"/>
        <w:snapToGrid w:val="0"/>
        <w:spacing w:line="360" w:lineRule="auto"/>
        <w:ind w:firstLine="488" w:firstLineChars="200"/>
        <w:jc w:val="left"/>
        <w:rPr>
          <w:rFonts w:hint="default" w:ascii="Calibri" w:hAnsi="Calibri" w:eastAsia="宋体" w:cs="宋体"/>
          <w:sz w:val="24"/>
          <w:szCs w:val="22"/>
          <w:lang w:val="en-US" w:eastAsia="zh-CN" w:bidi="ar"/>
        </w:rPr>
      </w:pPr>
      <w:r>
        <w:rPr>
          <w:rFonts w:hint="default" w:ascii="Calibri" w:hAnsi="Calibri" w:eastAsia="宋体" w:cs="宋体"/>
          <w:sz w:val="24"/>
          <w:szCs w:val="22"/>
          <w:lang w:val="en-US" w:eastAsia="zh-CN" w:bidi="ar"/>
        </w:rPr>
        <w:t>饮用水水源保护区宣传牌的支持方式由地方主管部门根据实际情况确定。</w:t>
      </w:r>
    </w:p>
    <w:p>
      <w:pPr>
        <w:adjustRightInd w:val="0"/>
        <w:snapToGrid w:val="0"/>
        <w:spacing w:line="360" w:lineRule="auto"/>
        <w:ind w:firstLine="488" w:firstLineChars="200"/>
        <w:jc w:val="left"/>
        <w:rPr>
          <w:rFonts w:hint="default" w:ascii="Calibri" w:hAnsi="Calibri" w:eastAsia="宋体" w:cs="宋体"/>
          <w:sz w:val="24"/>
          <w:szCs w:val="22"/>
          <w:lang w:val="en-US" w:eastAsia="zh-CN" w:bidi="ar"/>
        </w:rPr>
      </w:pPr>
      <w:r>
        <w:rPr>
          <w:rFonts w:hint="default" w:ascii="Calibri" w:hAnsi="Calibri" w:eastAsia="宋体" w:cs="宋体"/>
          <w:sz w:val="24"/>
          <w:szCs w:val="22"/>
          <w:lang w:val="en-US" w:eastAsia="zh-CN" w:bidi="ar"/>
        </w:rPr>
        <w:t>标志柱的结构设计可参考GB576中交通标志柱的结构设计进行。</w:t>
      </w:r>
    </w:p>
    <w:p>
      <w:pPr>
        <w:adjustRightInd w:val="0"/>
        <w:snapToGrid w:val="0"/>
        <w:spacing w:line="360" w:lineRule="auto"/>
        <w:ind w:firstLine="488" w:firstLineChars="200"/>
        <w:jc w:val="left"/>
        <w:rPr>
          <w:rFonts w:hint="default" w:ascii="Calibri" w:hAnsi="Calibri" w:eastAsia="宋体" w:cs="宋体"/>
          <w:sz w:val="24"/>
          <w:szCs w:val="22"/>
          <w:lang w:val="en-US" w:eastAsia="zh-CN" w:bidi="ar"/>
        </w:rPr>
      </w:pPr>
      <w:r>
        <w:rPr>
          <w:rFonts w:hint="default" w:ascii="Calibri" w:hAnsi="Calibri" w:eastAsia="宋体" w:cs="宋体"/>
          <w:sz w:val="24"/>
          <w:szCs w:val="22"/>
          <w:lang w:val="en-US" w:eastAsia="zh-CN" w:bidi="ar"/>
        </w:rPr>
        <w:t>（4）材质</w:t>
      </w:r>
    </w:p>
    <w:p>
      <w:pPr>
        <w:adjustRightInd w:val="0"/>
        <w:snapToGrid w:val="0"/>
        <w:spacing w:line="360" w:lineRule="auto"/>
        <w:ind w:firstLine="488" w:firstLineChars="200"/>
        <w:jc w:val="left"/>
        <w:rPr>
          <w:rFonts w:hint="default" w:ascii="Calibri" w:hAnsi="Calibri" w:eastAsia="宋体" w:cs="宋体"/>
          <w:sz w:val="24"/>
          <w:szCs w:val="22"/>
          <w:lang w:val="en-US" w:eastAsia="zh-CN" w:bidi="ar"/>
        </w:rPr>
      </w:pPr>
      <w:r>
        <w:rPr>
          <w:rFonts w:hint="default" w:ascii="Calibri" w:hAnsi="Calibri" w:eastAsia="宋体" w:cs="宋体"/>
          <w:sz w:val="24"/>
          <w:szCs w:val="22"/>
          <w:lang w:val="en-US" w:eastAsia="zh-CN" w:bidi="ar"/>
        </w:rPr>
        <w:t>饮用水水源保护区标志应遵循耐久、经济的原则，宜采用铝合金板、合成树脂类板材等材质。饮用水水源保护区界标如有必要，也可采用大理石等材质。</w:t>
      </w:r>
    </w:p>
    <w:p>
      <w:pPr>
        <w:adjustRightInd w:val="0"/>
        <w:snapToGrid w:val="0"/>
        <w:spacing w:line="360" w:lineRule="auto"/>
        <w:ind w:firstLine="488" w:firstLineChars="200"/>
        <w:jc w:val="left"/>
        <w:rPr>
          <w:rFonts w:hint="default" w:ascii="Calibri" w:hAnsi="Calibri" w:eastAsia="宋体" w:cs="宋体"/>
          <w:sz w:val="24"/>
          <w:szCs w:val="22"/>
          <w:lang w:val="en-US" w:eastAsia="zh-CN" w:bidi="ar"/>
        </w:rPr>
      </w:pPr>
      <w:r>
        <w:rPr>
          <w:rFonts w:hint="default" w:ascii="Calibri" w:hAnsi="Calibri" w:eastAsia="宋体" w:cs="宋体"/>
          <w:sz w:val="24"/>
          <w:szCs w:val="22"/>
          <w:lang w:val="en-US" w:eastAsia="zh-CN" w:bidi="ar"/>
        </w:rPr>
        <w:t>标志表面宜采用反光材料。道路警示牌的反光性能按照 GB5768 执行。</w:t>
      </w:r>
    </w:p>
    <w:p>
      <w:pPr>
        <w:pStyle w:val="4"/>
        <w:spacing w:before="156" w:after="156" w:line="400" w:lineRule="exact"/>
        <w:ind w:firstLine="0" w:firstLineChars="0"/>
        <w:jc w:val="both"/>
        <w:rPr>
          <w:rFonts w:hint="default" w:ascii="Times New Roman" w:hAnsi="Times New Roman" w:cs="Times New Roman"/>
          <w:bCs w:val="0"/>
          <w:sz w:val="30"/>
          <w:lang w:val="en-US" w:eastAsia="zh-CN"/>
        </w:rPr>
      </w:pPr>
      <w:bookmarkStart w:id="303" w:name="_Toc20841"/>
      <w:bookmarkStart w:id="304" w:name="_Toc453061606"/>
      <w:bookmarkStart w:id="305" w:name="_Toc16799"/>
      <w:bookmarkStart w:id="306" w:name="_Toc453061760"/>
      <w:bookmarkStart w:id="307" w:name="_Toc438805146"/>
      <w:r>
        <w:rPr>
          <w:rFonts w:hint="default" w:ascii="Times New Roman" w:hAnsi="Times New Roman" w:cs="Times New Roman"/>
          <w:bCs w:val="0"/>
          <w:sz w:val="30"/>
          <w:lang w:val="en-US" w:eastAsia="zh-CN"/>
        </w:rPr>
        <w:t>5.1.5饮用水水源保护区图形标志的制作</w:t>
      </w:r>
      <w:bookmarkEnd w:id="303"/>
      <w:bookmarkEnd w:id="304"/>
      <w:bookmarkEnd w:id="305"/>
      <w:bookmarkEnd w:id="306"/>
      <w:bookmarkEnd w:id="307"/>
    </w:p>
    <w:p>
      <w:pPr>
        <w:adjustRightInd w:val="0"/>
        <w:snapToGrid w:val="0"/>
        <w:spacing w:line="360" w:lineRule="auto"/>
        <w:ind w:firstLine="488" w:firstLineChars="200"/>
        <w:jc w:val="left"/>
        <w:rPr>
          <w:rFonts w:hint="default" w:ascii="Calibri" w:hAnsi="Calibri" w:eastAsia="宋体" w:cs="宋体"/>
          <w:sz w:val="24"/>
          <w:szCs w:val="22"/>
          <w:lang w:val="en-US" w:eastAsia="zh-CN" w:bidi="ar"/>
        </w:rPr>
      </w:pPr>
      <w:r>
        <w:rPr>
          <w:rFonts w:hint="default" w:ascii="Calibri" w:hAnsi="Calibri" w:eastAsia="宋体" w:cs="宋体"/>
          <w:sz w:val="24"/>
          <w:szCs w:val="22"/>
          <w:lang w:val="en-US" w:eastAsia="zh-CN" w:bidi="ar"/>
        </w:rPr>
        <w:t>饮用水水源保护区标志由各级地方人民政府设立，国家环境保护行政主管部门统一监制。</w:t>
      </w:r>
    </w:p>
    <w:p>
      <w:pPr>
        <w:adjustRightInd w:val="0"/>
        <w:snapToGrid w:val="0"/>
        <w:spacing w:line="360" w:lineRule="auto"/>
        <w:ind w:firstLine="488" w:firstLineChars="200"/>
        <w:jc w:val="left"/>
        <w:rPr>
          <w:rFonts w:hint="default" w:ascii="Calibri" w:hAnsi="Calibri" w:eastAsia="宋体" w:cs="宋体"/>
          <w:sz w:val="24"/>
          <w:szCs w:val="22"/>
          <w:lang w:val="en-US" w:eastAsia="zh-CN" w:bidi="ar"/>
        </w:rPr>
      </w:pPr>
      <w:r>
        <w:rPr>
          <w:rFonts w:hint="default" w:ascii="Calibri" w:hAnsi="Calibri" w:eastAsia="宋体" w:cs="宋体"/>
          <w:sz w:val="24"/>
          <w:szCs w:val="22"/>
          <w:lang w:val="en-US" w:eastAsia="zh-CN" w:bidi="ar"/>
        </w:rPr>
        <w:t>标志的加工要求、外观质量及其测试方法可参照JT/T279的有关规定执行。</w:t>
      </w:r>
    </w:p>
    <w:p>
      <w:pPr>
        <w:pStyle w:val="4"/>
        <w:spacing w:before="156" w:after="156" w:line="400" w:lineRule="exact"/>
        <w:ind w:firstLine="0" w:firstLineChars="0"/>
        <w:jc w:val="both"/>
        <w:rPr>
          <w:rFonts w:hint="default" w:ascii="Times New Roman" w:hAnsi="Times New Roman" w:cs="Times New Roman"/>
          <w:bCs w:val="0"/>
          <w:sz w:val="30"/>
          <w:lang w:val="en-US" w:eastAsia="zh-CN"/>
        </w:rPr>
      </w:pPr>
      <w:bookmarkStart w:id="308" w:name="_Toc18509"/>
      <w:bookmarkStart w:id="309" w:name="_Toc458323129"/>
      <w:bookmarkStart w:id="310" w:name="_Toc453061607"/>
      <w:bookmarkStart w:id="311" w:name="_Toc453061761"/>
      <w:bookmarkStart w:id="312" w:name="_Toc12934"/>
      <w:r>
        <w:rPr>
          <w:rFonts w:hint="default" w:ascii="Times New Roman" w:hAnsi="Times New Roman" w:cs="Times New Roman"/>
          <w:bCs w:val="0"/>
          <w:sz w:val="30"/>
          <w:lang w:val="en-US" w:eastAsia="zh-CN"/>
        </w:rPr>
        <w:t>5.1.6 隔离网设置</w:t>
      </w:r>
      <w:bookmarkEnd w:id="308"/>
      <w:bookmarkEnd w:id="309"/>
      <w:bookmarkEnd w:id="310"/>
      <w:bookmarkEnd w:id="311"/>
      <w:bookmarkEnd w:id="312"/>
    </w:p>
    <w:p>
      <w:pPr>
        <w:adjustRightInd w:val="0"/>
        <w:snapToGrid w:val="0"/>
        <w:spacing w:line="360" w:lineRule="auto"/>
        <w:ind w:firstLine="488" w:firstLineChars="200"/>
        <w:jc w:val="left"/>
        <w:rPr>
          <w:rFonts w:hint="default" w:ascii="Calibri" w:hAnsi="Calibri" w:eastAsia="宋体" w:cs="宋体"/>
          <w:sz w:val="24"/>
          <w:szCs w:val="22"/>
          <w:lang w:val="en-US" w:eastAsia="zh-CN" w:bidi="ar"/>
        </w:rPr>
      </w:pPr>
      <w:r>
        <w:rPr>
          <w:rFonts w:hint="default" w:ascii="Calibri" w:hAnsi="Calibri" w:eastAsia="宋体" w:cs="宋体"/>
          <w:sz w:val="24"/>
          <w:szCs w:val="22"/>
          <w:lang w:val="en-US" w:eastAsia="zh-CN" w:bidi="ar"/>
        </w:rPr>
        <w:t>在保护区</w:t>
      </w:r>
      <w:r>
        <w:rPr>
          <w:rFonts w:hint="eastAsia" w:ascii="Calibri" w:hAnsi="Calibri" w:eastAsia="宋体" w:cs="宋体"/>
          <w:sz w:val="24"/>
          <w:szCs w:val="22"/>
          <w:lang w:val="en-US" w:eastAsia="zh-CN" w:bidi="ar"/>
        </w:rPr>
        <w:t>边界四周</w:t>
      </w:r>
      <w:r>
        <w:rPr>
          <w:rFonts w:hint="default" w:ascii="Calibri" w:hAnsi="Calibri" w:eastAsia="宋体" w:cs="宋体"/>
          <w:sz w:val="24"/>
          <w:szCs w:val="22"/>
          <w:lang w:val="en-US" w:eastAsia="zh-CN" w:bidi="ar"/>
        </w:rPr>
        <w:t>设置隔离网，</w:t>
      </w:r>
      <w:r>
        <w:rPr>
          <w:rFonts w:hint="eastAsia" w:ascii="Calibri" w:hAnsi="Calibri" w:eastAsia="宋体" w:cs="宋体"/>
          <w:sz w:val="24"/>
          <w:szCs w:val="22"/>
          <w:lang w:val="en-US" w:eastAsia="zh-CN" w:bidi="ar"/>
        </w:rPr>
        <w:t>总</w:t>
      </w:r>
      <w:r>
        <w:rPr>
          <w:rFonts w:hint="default" w:ascii="Calibri" w:hAnsi="Calibri" w:eastAsia="宋体" w:cs="宋体"/>
          <w:sz w:val="24"/>
          <w:szCs w:val="22"/>
          <w:lang w:val="en-US" w:eastAsia="zh-CN" w:bidi="ar"/>
        </w:rPr>
        <w:t>长度为</w:t>
      </w:r>
      <w:r>
        <w:rPr>
          <w:rFonts w:hint="eastAsia" w:ascii="Calibri" w:hAnsi="Calibri" w:eastAsia="宋体" w:cs="宋体"/>
          <w:sz w:val="24"/>
          <w:szCs w:val="22"/>
          <w:lang w:val="en-US" w:eastAsia="zh-CN" w:bidi="ar"/>
        </w:rPr>
        <w:t>349</w:t>
      </w:r>
      <w:r>
        <w:rPr>
          <w:rFonts w:hint="default" w:ascii="Calibri" w:hAnsi="Calibri" w:eastAsia="宋体" w:cs="宋体"/>
          <w:sz w:val="24"/>
          <w:szCs w:val="22"/>
          <w:lang w:val="en-US" w:eastAsia="zh-CN" w:bidi="ar"/>
        </w:rPr>
        <w:t>米</w:t>
      </w:r>
      <w:r>
        <w:rPr>
          <w:rFonts w:hint="eastAsia" w:ascii="Calibri" w:hAnsi="Calibri" w:eastAsia="宋体" w:cs="宋体"/>
          <w:sz w:val="24"/>
          <w:szCs w:val="22"/>
          <w:lang w:val="en-US" w:eastAsia="zh-CN" w:bidi="ar"/>
        </w:rPr>
        <w:t>。</w:t>
      </w:r>
    </w:p>
    <w:p>
      <w:pPr>
        <w:pStyle w:val="3"/>
        <w:spacing w:before="120" w:after="120"/>
        <w:rPr>
          <w:rFonts w:hint="default" w:ascii="Times New Roman" w:hAnsi="Times New Roman" w:cs="Times New Roman"/>
        </w:rPr>
      </w:pPr>
      <w:bookmarkStart w:id="313" w:name="_Toc438805147"/>
      <w:bookmarkStart w:id="314" w:name="_Toc453061762"/>
      <w:bookmarkStart w:id="315" w:name="_Toc453061608"/>
      <w:bookmarkStart w:id="316" w:name="_Toc14668"/>
      <w:bookmarkStart w:id="317" w:name="_Toc25558"/>
      <w:r>
        <w:rPr>
          <w:rFonts w:hint="default" w:ascii="Times New Roman" w:hAnsi="Times New Roman" w:cs="Times New Roman"/>
        </w:rPr>
        <w:t>5.2饮用水水源保护区</w:t>
      </w:r>
      <w:bookmarkEnd w:id="313"/>
      <w:r>
        <w:rPr>
          <w:rFonts w:hint="default" w:ascii="Times New Roman" w:hAnsi="Times New Roman" w:cs="Times New Roman"/>
        </w:rPr>
        <w:t>日常监测</w:t>
      </w:r>
      <w:bookmarkEnd w:id="314"/>
      <w:bookmarkEnd w:id="315"/>
      <w:bookmarkEnd w:id="316"/>
      <w:bookmarkEnd w:id="317"/>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bookmarkStart w:id="318" w:name="_Toc453061763"/>
      <w:bookmarkStart w:id="319" w:name="_Toc453061609"/>
      <w:r>
        <w:rPr>
          <w:rFonts w:hint="eastAsia" w:ascii="Calibri" w:hAnsi="Calibri" w:eastAsia="宋体" w:cs="宋体"/>
          <w:sz w:val="24"/>
          <w:szCs w:val="22"/>
          <w:lang w:val="en-US" w:eastAsia="zh-CN" w:bidi="ar"/>
        </w:rPr>
        <w:t>饮用水水源保护区后续日常检测要求依据环办函【2012】1266 号《全国集中式生活饮用水水源地水质监测实施方案》和《2019年全省生态环境监测方案》进行日常监测。</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1、监测点位</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具备采样条件的，在抽水井采样。如不具备采样条件，在自来水厂的汇水区 （加氯前）采样。</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2、监测采样频次及要求</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地下水饮用水水源地每季度采样监测1次，如遇异常情况，则须加密监测，每2年开展1次水质全分析监测。可委托具备全分析能力并取得计量认证的其他环境监测单位，或委托所属省级环境监测站完成全分析工作。在地方环保主管部门许可条件下，可适当发挥相关检测机构的作用。</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3、监测指标</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日常监测：《地下水质量标准》（GB/T 14848-2017）中表 1 中的 39 项，并统计取水量。全分析指标为《地下水质量标准》（GB/T 14848-2017）中的93 项。</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4、水质监测结果及时上报</w:t>
      </w:r>
    </w:p>
    <w:p>
      <w:pPr>
        <w:adjustRightInd w:val="0"/>
        <w:snapToGrid w:val="0"/>
        <w:spacing w:line="360" w:lineRule="auto"/>
        <w:ind w:firstLine="488" w:firstLineChars="200"/>
        <w:jc w:val="left"/>
        <w:rPr>
          <w:rFonts w:hint="default" w:ascii="Calibri" w:hAnsi="Calibri" w:eastAsia="宋体" w:cs="宋体"/>
          <w:sz w:val="24"/>
          <w:szCs w:val="22"/>
          <w:lang w:val="en-US" w:eastAsia="zh-CN" w:bidi="ar"/>
        </w:rPr>
      </w:pPr>
      <w:r>
        <w:rPr>
          <w:rFonts w:hint="eastAsia" w:ascii="Calibri" w:hAnsi="Calibri" w:eastAsia="宋体" w:cs="宋体"/>
          <w:sz w:val="24"/>
          <w:szCs w:val="22"/>
          <w:lang w:val="en-US" w:eastAsia="zh-CN" w:bidi="ar"/>
        </w:rPr>
        <w:t>湘阴县环境监测站于7 月15 日及次年 1 月15 日前向省（区、市）环境监测中心（站）报送上一季度地下水饮用水水源地水质监测数据。</w:t>
      </w:r>
    </w:p>
    <w:p>
      <w:pPr>
        <w:pStyle w:val="3"/>
        <w:spacing w:before="120" w:after="120"/>
        <w:rPr>
          <w:rFonts w:hint="default" w:ascii="Times New Roman" w:hAnsi="Times New Roman" w:cs="Times New Roman"/>
          <w:color w:val="auto"/>
        </w:rPr>
      </w:pPr>
      <w:bookmarkStart w:id="320" w:name="_Toc5796"/>
      <w:bookmarkStart w:id="321" w:name="_Toc31139"/>
      <w:r>
        <w:rPr>
          <w:rFonts w:hint="default" w:ascii="Times New Roman" w:hAnsi="Times New Roman" w:cs="Times New Roman"/>
          <w:color w:val="auto"/>
        </w:rPr>
        <w:t>5.3饮用水水源保护区环境监督管理要求</w:t>
      </w:r>
      <w:bookmarkEnd w:id="318"/>
      <w:bookmarkEnd w:id="319"/>
      <w:bookmarkEnd w:id="320"/>
      <w:bookmarkEnd w:id="321"/>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根据《湖南省饮用水水源保护条例》，在饮用水水源保护区禁止以下行为：</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一、保护区内全部禁止</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（一）新建、扩建水上加油站、油库、制药、造纸、化工等严重污染水体的 建设项目，或者改建增加排污量的建设项目；</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（二）使用毒鱼、炸鱼等方法进行捕捞；</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（三）排放倾倒工业废渣、城镇垃圾、医疗垃圾和其他废弃物，或者贮存、堆放固体废弃物和其他污染物；</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（四）使用剧毒和高残留农药，滥用化肥；</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（五）投肥养鱼；</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（六）其他可能污染饮用水水体的行为。</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二、在饮用水水源二级保护区内，还禁止下列行为：</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（一）设置排污口；</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（二）新建、改建、扩建排放污染物的建设项目；</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（三）设置畜禽养殖场、养殖小区；</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（四）设置装卸垃圾、油类及其他有毒有害物品的码头；</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（五）水上运输剧毒化学品及国家禁止运输的其他危险化学品；</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（六）使用农药。</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三、在饮用水水源一级保护区内，除了二级保护区的禁止行为外，还禁止下 列行为：</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bookmarkStart w:id="322" w:name="_Toc28494"/>
      <w:r>
        <w:rPr>
          <w:rFonts w:hint="eastAsia" w:ascii="Calibri" w:hAnsi="Calibri" w:eastAsia="宋体" w:cs="宋体"/>
          <w:sz w:val="24"/>
          <w:szCs w:val="22"/>
          <w:lang w:val="en-US" w:eastAsia="zh-CN" w:bidi="ar"/>
        </w:rPr>
        <w:t>（一）新建、改建、扩建与供水设施和保护水源无关的建设项目；在饮用水水源一级保护区划定前已建成的与供水设施和保护水源无关的建设项目，由县级以上人民政府责令拆除或者关闭。</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（二）水上餐饮；</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（三）网箱养殖、旅游、游泳、垂钓。</w:t>
      </w:r>
    </w:p>
    <w:p>
      <w:pPr>
        <w:pStyle w:val="3"/>
        <w:spacing w:before="156" w:after="156"/>
        <w:rPr>
          <w:rFonts w:hint="eastAsia" w:ascii="Times New Roman" w:hAnsi="Times New Roman" w:cs="Times New Roman"/>
        </w:rPr>
      </w:pPr>
      <w:bookmarkStart w:id="323" w:name="_Toc1010"/>
      <w:r>
        <w:rPr>
          <w:rFonts w:hint="eastAsia" w:ascii="Times New Roman" w:hAnsi="Times New Roman" w:cs="Times New Roman"/>
        </w:rPr>
        <w:t>5.4 饮用水水源保护区风险防范与应急预案</w:t>
      </w:r>
      <w:bookmarkEnd w:id="322"/>
      <w:bookmarkEnd w:id="323"/>
    </w:p>
    <w:p>
      <w:pPr>
        <w:pStyle w:val="4"/>
        <w:spacing w:before="156" w:after="156" w:line="400" w:lineRule="exact"/>
        <w:ind w:firstLine="0" w:firstLineChars="0"/>
        <w:jc w:val="both"/>
        <w:rPr>
          <w:rFonts w:hint="default" w:ascii="Times New Roman" w:hAnsi="Times New Roman" w:cs="Times New Roman"/>
          <w:bCs w:val="0"/>
          <w:sz w:val="30"/>
          <w:lang w:val="en-US" w:eastAsia="zh-CN"/>
        </w:rPr>
      </w:pPr>
      <w:bookmarkStart w:id="324" w:name="_Toc500"/>
      <w:bookmarkStart w:id="325" w:name="_Toc26383"/>
      <w:r>
        <w:rPr>
          <w:rFonts w:hint="eastAsia" w:ascii="Times New Roman" w:hAnsi="Times New Roman" w:cs="Times New Roman"/>
          <w:bCs w:val="0"/>
          <w:sz w:val="30"/>
          <w:lang w:val="en-US" w:eastAsia="zh-CN"/>
        </w:rPr>
        <w:t xml:space="preserve">5.4.1 </w:t>
      </w:r>
      <w:r>
        <w:rPr>
          <w:rFonts w:hint="default" w:ascii="Times New Roman" w:hAnsi="Times New Roman" w:cs="Times New Roman"/>
          <w:bCs w:val="0"/>
          <w:sz w:val="30"/>
          <w:lang w:val="en-US" w:eastAsia="zh-CN"/>
        </w:rPr>
        <w:t>保护区内的风险定性分析</w:t>
      </w:r>
      <w:bookmarkEnd w:id="324"/>
      <w:bookmarkEnd w:id="325"/>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《湖南省饮用水水源保护条例》在“第五章 监督管理”中，对饮用水水源保护区的环境监督管理有明确要求：</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1、湘阴县人民政府应当组织协调县环境保护局、水务局等有关部门，按照各自职责定期对饮用水水源水质进行监测，整合监测资源，加强水质在线监测监控和预警能力建设，完善监测信息系统和共享机制。饮用水供水单位应当加强对饮用水水源取水口的水质监测工作，发现异常情况的，应当采取有效措施，并按照有关规定向环境保护主管部门报告。</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2、饮用水水源保护区的水质应当不低于国家规定的标准。一级保护区的水质应达到国家《地下水质量标准》Ⅲ类水质标准，并符合国家《生活饮用水卫生标准》的各项要求。饮用水水源水质信息统一由县湘阴县环境保护局每半年在门户网站或者当地主要媒体上公开。</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3、湘阴县环境保护局应当会同县水务局定期组织开展对饮用水水源水质、水量和水源保护情况的综合评估，并将评估结果报告本级人民政府。</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4、在突发水污染事件等特殊时段，湘阴县环境保护局、水务局和卫生计生等主管部门以及有关单位应当扩大监测范围，增加监测频次和项目，及时掌握饮用水水质水量状况，发现异常情况的，应当及时向本级人民政府报告，并采取有效措施防止污染饮用水水源。</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5、湘阴县环境保护局、水务局等部门应当建立巡查制度，对饮用水水源保 护区进行巡查。发现问题应当及时采取措施并向有关主管部门报告。</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6、湘阴县环境保护局应当会同有关部门加强对饮用水水源保护区及有关区域内污染物排放情况的监督检查，定期开展安全隐患排查，发现饮用水水源受到污染或者可能受到污染的，应当根据相应情况及时制止和查处。</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（一）风险源评价指标</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参照《集中式饮用水水源环境保护指南（试行）》中附件三，分析潜在事件， 筛选风险源。水源地保护区域风险源评价指标如下：</w:t>
      </w:r>
    </w:p>
    <w:p>
      <w:pPr>
        <w:keepNext/>
        <w:keepLines/>
        <w:pageBreakBefore w:val="0"/>
        <w:widowControl w:val="0"/>
        <w:kinsoku/>
        <w:wordWrap/>
        <w:overflowPunct/>
        <w:topLinePunct w:val="0"/>
        <w:autoSpaceDE/>
        <w:autoSpaceDN/>
        <w:bidi w:val="0"/>
        <w:adjustRightInd/>
        <w:snapToGrid/>
        <w:spacing w:beforeLines="0" w:afterLines="0" w:line="360" w:lineRule="auto"/>
        <w:ind w:firstLine="488" w:firstLineChars="200"/>
        <w:textAlignment w:val="auto"/>
        <w:outlineLvl w:val="9"/>
        <w:rPr>
          <w:rFonts w:hint="eastAsia" w:ascii="Times New Roman" w:hAnsi="Times New Roman" w:eastAsia="宋体"/>
          <w:sz w:val="24"/>
          <w:szCs w:val="22"/>
        </w:rPr>
      </w:pPr>
      <w:r>
        <w:rPr>
          <w:rFonts w:hint="eastAsia" w:ascii="Times New Roman" w:hAnsi="Times New Roman" w:eastAsia="宋体"/>
          <w:sz w:val="24"/>
          <w:szCs w:val="22"/>
        </w:rPr>
        <w:t>1、固定源</w:t>
      </w:r>
    </w:p>
    <w:p>
      <w:pPr>
        <w:spacing w:line="400" w:lineRule="exact"/>
        <w:jc w:val="center"/>
        <w:rPr>
          <w:rFonts w:hint="eastAsia"/>
          <w:b/>
          <w:szCs w:val="21"/>
          <w:highlight w:val="none"/>
        </w:rPr>
      </w:pPr>
      <w:r>
        <w:rPr>
          <w:rFonts w:hint="eastAsia"/>
          <w:b/>
          <w:szCs w:val="21"/>
          <w:highlight w:val="none"/>
        </w:rPr>
        <w:t>表</w:t>
      </w:r>
      <w:r>
        <w:rPr>
          <w:rFonts w:hint="eastAsia"/>
          <w:b/>
          <w:szCs w:val="21"/>
          <w:highlight w:val="none"/>
          <w:lang w:val="en-US" w:eastAsia="zh-CN"/>
        </w:rPr>
        <w:t>5</w:t>
      </w:r>
      <w:r>
        <w:rPr>
          <w:rFonts w:hint="eastAsia"/>
          <w:b/>
          <w:szCs w:val="21"/>
          <w:highlight w:val="none"/>
        </w:rPr>
        <w:t>-</w:t>
      </w:r>
      <w:r>
        <w:rPr>
          <w:rFonts w:hint="eastAsia"/>
          <w:b/>
          <w:szCs w:val="21"/>
          <w:highlight w:val="none"/>
          <w:lang w:val="en-US" w:eastAsia="zh-CN"/>
        </w:rPr>
        <w:t>2</w:t>
      </w:r>
      <w:r>
        <w:rPr>
          <w:rFonts w:hint="eastAsia"/>
          <w:b/>
          <w:szCs w:val="21"/>
          <w:highlight w:val="none"/>
        </w:rPr>
        <w:t xml:space="preserve"> 固定源评价指标及评分值（Rp）</w:t>
      </w:r>
    </w:p>
    <w:tbl>
      <w:tblPr>
        <w:tblStyle w:val="19"/>
        <w:tblW w:w="0" w:type="auto"/>
        <w:jc w:val="center"/>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Layout w:type="fixed"/>
        <w:tblCellMar>
          <w:top w:w="0" w:type="dxa"/>
          <w:left w:w="0" w:type="dxa"/>
          <w:bottom w:w="0" w:type="dxa"/>
          <w:right w:w="0" w:type="dxa"/>
        </w:tblCellMar>
      </w:tblPr>
      <w:tblGrid>
        <w:gridCol w:w="918"/>
        <w:gridCol w:w="793"/>
        <w:gridCol w:w="827"/>
        <w:gridCol w:w="879"/>
        <w:gridCol w:w="827"/>
        <w:gridCol w:w="842"/>
        <w:gridCol w:w="805"/>
        <w:gridCol w:w="713"/>
        <w:gridCol w:w="767"/>
        <w:gridCol w:w="851"/>
      </w:tblGrid>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91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风险源</w:t>
            </w:r>
          </w:p>
        </w:tc>
        <w:tc>
          <w:tcPr>
            <w:tcW w:w="2499" w:type="dxa"/>
            <w:gridSpan w:val="3"/>
            <w:tcBorders>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一级保护区</w:t>
            </w:r>
          </w:p>
        </w:tc>
        <w:tc>
          <w:tcPr>
            <w:tcW w:w="2474" w:type="dxa"/>
            <w:gridSpan w:val="3"/>
            <w:tcBorders>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二级保护区</w:t>
            </w:r>
          </w:p>
        </w:tc>
        <w:tc>
          <w:tcPr>
            <w:tcW w:w="2331" w:type="dxa"/>
            <w:gridSpan w:val="3"/>
            <w:tcBorders>
              <w:left w:val="single" w:color="000000" w:sz="4" w:space="0"/>
              <w:bottom w:val="single" w:color="000000" w:sz="4" w:space="0"/>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准保护区</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91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p>
        </w:tc>
        <w:tc>
          <w:tcPr>
            <w:tcW w:w="793"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指标值</w:t>
            </w:r>
          </w:p>
        </w:tc>
        <w:tc>
          <w:tcPr>
            <w:tcW w:w="827"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评分值</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（P1）</w:t>
            </w:r>
          </w:p>
        </w:tc>
        <w:tc>
          <w:tcPr>
            <w:tcW w:w="879"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本项目</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评分</w:t>
            </w:r>
          </w:p>
        </w:tc>
        <w:tc>
          <w:tcPr>
            <w:tcW w:w="827"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指标值</w:t>
            </w:r>
          </w:p>
        </w:tc>
        <w:tc>
          <w:tcPr>
            <w:tcW w:w="842"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评分值</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（P2）</w:t>
            </w:r>
          </w:p>
        </w:tc>
        <w:tc>
          <w:tcPr>
            <w:tcW w:w="805"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本项目</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评分</w:t>
            </w:r>
          </w:p>
        </w:tc>
        <w:tc>
          <w:tcPr>
            <w:tcW w:w="713"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指标</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值</w:t>
            </w:r>
          </w:p>
        </w:tc>
        <w:tc>
          <w:tcPr>
            <w:tcW w:w="767"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评分值</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（P3）</w:t>
            </w:r>
          </w:p>
        </w:tc>
        <w:tc>
          <w:tcPr>
            <w:tcW w:w="851" w:type="dxa"/>
            <w:tcBorders>
              <w:top w:val="single" w:color="000000" w:sz="4" w:space="0"/>
              <w:left w:val="single" w:color="000000" w:sz="4" w:space="0"/>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本项目</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评分</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918" w:type="dxa"/>
            <w:tcBorders>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石油化</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工行业</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（个）</w:t>
            </w:r>
          </w:p>
        </w:tc>
        <w:tc>
          <w:tcPr>
            <w:tcW w:w="793" w:type="dxa"/>
            <w:tcBorders>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存在</w:t>
            </w:r>
          </w:p>
        </w:tc>
        <w:tc>
          <w:tcPr>
            <w:tcW w:w="827" w:type="dxa"/>
            <w:tcBorders>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79" w:type="dxa"/>
            <w:tcBorders>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tc>
        <w:tc>
          <w:tcPr>
            <w:tcW w:w="827" w:type="dxa"/>
            <w:tcBorders>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&gt;2</w:t>
            </w:r>
          </w:p>
        </w:tc>
        <w:tc>
          <w:tcPr>
            <w:tcW w:w="842" w:type="dxa"/>
            <w:tcBorders>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7</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05" w:type="dxa"/>
            <w:tcBorders>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val="en-US" w:eastAsia="zh-CN"/>
              </w:rPr>
              <w:t>0</w:t>
            </w:r>
          </w:p>
        </w:tc>
        <w:tc>
          <w:tcPr>
            <w:tcW w:w="713" w:type="dxa"/>
            <w:tcBorders>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5~10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&gt;10</w:t>
            </w:r>
          </w:p>
        </w:tc>
        <w:tc>
          <w:tcPr>
            <w:tcW w:w="767" w:type="dxa"/>
            <w:tcBorders>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51" w:type="dxa"/>
            <w:tcBorders>
              <w:left w:val="single" w:color="000000" w:sz="4" w:space="0"/>
              <w:bottom w:val="single" w:color="000000" w:sz="4" w:space="0"/>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918"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垃圾填</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埋场</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（处）</w:t>
            </w:r>
          </w:p>
        </w:tc>
        <w:tc>
          <w:tcPr>
            <w:tcW w:w="79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存在</w:t>
            </w:r>
          </w:p>
        </w:tc>
        <w:tc>
          <w:tcPr>
            <w:tcW w:w="82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79"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tc>
        <w:tc>
          <w:tcPr>
            <w:tcW w:w="82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&gt;2</w:t>
            </w:r>
          </w:p>
        </w:tc>
        <w:tc>
          <w:tcPr>
            <w:tcW w:w="84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05"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val="en-US" w:eastAsia="zh-CN"/>
              </w:rPr>
              <w:t>0</w:t>
            </w:r>
          </w:p>
        </w:tc>
        <w:tc>
          <w:tcPr>
            <w:tcW w:w="71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&gt;3</w:t>
            </w:r>
          </w:p>
        </w:tc>
        <w:tc>
          <w:tcPr>
            <w:tcW w:w="76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51" w:type="dxa"/>
            <w:tcBorders>
              <w:top w:val="single" w:color="000000" w:sz="4" w:space="0"/>
              <w:left w:val="single" w:color="000000" w:sz="4" w:space="0"/>
              <w:bottom w:val="single" w:color="000000" w:sz="4" w:space="0"/>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918"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危险废</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弃物填</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埋场</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（处）</w:t>
            </w:r>
          </w:p>
        </w:tc>
        <w:tc>
          <w:tcPr>
            <w:tcW w:w="79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存在</w:t>
            </w:r>
          </w:p>
        </w:tc>
        <w:tc>
          <w:tcPr>
            <w:tcW w:w="82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79"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tc>
        <w:tc>
          <w:tcPr>
            <w:tcW w:w="82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&gt;1</w:t>
            </w:r>
          </w:p>
        </w:tc>
        <w:tc>
          <w:tcPr>
            <w:tcW w:w="84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05"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val="en-US" w:eastAsia="zh-CN"/>
              </w:rPr>
              <w:t>0</w:t>
            </w:r>
          </w:p>
        </w:tc>
        <w:tc>
          <w:tcPr>
            <w:tcW w:w="71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&gt;2</w:t>
            </w:r>
          </w:p>
        </w:tc>
        <w:tc>
          <w:tcPr>
            <w:tcW w:w="76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51" w:type="dxa"/>
            <w:tcBorders>
              <w:top w:val="single" w:color="000000" w:sz="4" w:space="0"/>
              <w:left w:val="single" w:color="000000" w:sz="4" w:space="0"/>
              <w:bottom w:val="single" w:color="000000" w:sz="4" w:space="0"/>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918"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尾矿库</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（座）</w:t>
            </w:r>
          </w:p>
        </w:tc>
        <w:tc>
          <w:tcPr>
            <w:tcW w:w="79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存在</w:t>
            </w:r>
          </w:p>
        </w:tc>
        <w:tc>
          <w:tcPr>
            <w:tcW w:w="82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79"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tc>
        <w:tc>
          <w:tcPr>
            <w:tcW w:w="82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&gt;4</w:t>
            </w:r>
          </w:p>
        </w:tc>
        <w:tc>
          <w:tcPr>
            <w:tcW w:w="84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7</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05"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val="en-US" w:eastAsia="zh-CN"/>
              </w:rPr>
              <w:t>0</w:t>
            </w:r>
          </w:p>
        </w:tc>
        <w:tc>
          <w:tcPr>
            <w:tcW w:w="71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&gt;6</w:t>
            </w:r>
          </w:p>
        </w:tc>
        <w:tc>
          <w:tcPr>
            <w:tcW w:w="76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51" w:type="dxa"/>
            <w:tcBorders>
              <w:top w:val="single" w:color="000000" w:sz="4" w:space="0"/>
              <w:left w:val="single" w:color="000000" w:sz="4" w:space="0"/>
              <w:bottom w:val="single" w:color="000000" w:sz="4" w:space="0"/>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918"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加油站</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（座）</w:t>
            </w:r>
          </w:p>
        </w:tc>
        <w:tc>
          <w:tcPr>
            <w:tcW w:w="79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存在</w:t>
            </w:r>
          </w:p>
        </w:tc>
        <w:tc>
          <w:tcPr>
            <w:tcW w:w="82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79"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tc>
        <w:tc>
          <w:tcPr>
            <w:tcW w:w="82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&gt;8</w:t>
            </w:r>
          </w:p>
        </w:tc>
        <w:tc>
          <w:tcPr>
            <w:tcW w:w="84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05"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val="en-US" w:eastAsia="zh-CN"/>
              </w:rPr>
              <w:t>0</w:t>
            </w:r>
          </w:p>
        </w:tc>
        <w:tc>
          <w:tcPr>
            <w:tcW w:w="71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7~10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&gt;10</w:t>
            </w:r>
          </w:p>
        </w:tc>
        <w:tc>
          <w:tcPr>
            <w:tcW w:w="76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51" w:type="dxa"/>
            <w:tcBorders>
              <w:top w:val="single" w:color="000000" w:sz="4" w:space="0"/>
              <w:left w:val="single" w:color="000000" w:sz="4" w:space="0"/>
              <w:bottom w:val="single" w:color="000000" w:sz="4" w:space="0"/>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918"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油品储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罐（座）</w:t>
            </w:r>
          </w:p>
        </w:tc>
        <w:tc>
          <w:tcPr>
            <w:tcW w:w="79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存在</w:t>
            </w:r>
          </w:p>
        </w:tc>
        <w:tc>
          <w:tcPr>
            <w:tcW w:w="82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79"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tc>
        <w:tc>
          <w:tcPr>
            <w:tcW w:w="82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&gt;5</w:t>
            </w:r>
          </w:p>
        </w:tc>
        <w:tc>
          <w:tcPr>
            <w:tcW w:w="84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05"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val="en-US" w:eastAsia="zh-CN"/>
              </w:rPr>
              <w:t>0</w:t>
            </w:r>
          </w:p>
        </w:tc>
        <w:tc>
          <w:tcPr>
            <w:tcW w:w="71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6~7</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&gt;7</w:t>
            </w:r>
          </w:p>
        </w:tc>
        <w:tc>
          <w:tcPr>
            <w:tcW w:w="76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51" w:type="dxa"/>
            <w:tcBorders>
              <w:top w:val="single" w:color="000000" w:sz="4" w:space="0"/>
              <w:left w:val="single" w:color="000000" w:sz="4" w:space="0"/>
              <w:bottom w:val="single" w:color="000000" w:sz="4" w:space="0"/>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918"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码头吞</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吐量</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（万吨/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年）</w:t>
            </w:r>
          </w:p>
        </w:tc>
        <w:tc>
          <w:tcPr>
            <w:tcW w:w="79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存在</w:t>
            </w:r>
          </w:p>
        </w:tc>
        <w:tc>
          <w:tcPr>
            <w:tcW w:w="82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79"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tc>
        <w:tc>
          <w:tcPr>
            <w:tcW w:w="82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&lt;0.1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&gt;0.1, &lt;1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5~10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10~50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&gt;50</w:t>
            </w:r>
          </w:p>
        </w:tc>
        <w:tc>
          <w:tcPr>
            <w:tcW w:w="84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05"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val="en-US" w:eastAsia="zh-CN"/>
              </w:rPr>
              <w:t>0</w:t>
            </w:r>
          </w:p>
        </w:tc>
        <w:tc>
          <w:tcPr>
            <w:tcW w:w="71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&lt;0.1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&gt;0.1,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&lt;1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5~10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10~50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&gt;50</w:t>
            </w:r>
          </w:p>
        </w:tc>
        <w:tc>
          <w:tcPr>
            <w:tcW w:w="76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7</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tc>
        <w:tc>
          <w:tcPr>
            <w:tcW w:w="851" w:type="dxa"/>
            <w:tcBorders>
              <w:top w:val="single" w:color="000000" w:sz="4" w:space="0"/>
              <w:left w:val="single" w:color="000000" w:sz="4" w:space="0"/>
              <w:bottom w:val="single" w:color="000000" w:sz="4" w:space="0"/>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918" w:type="dxa"/>
            <w:tcBorders>
              <w:top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污水处</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理设施</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（万吨/ 年）</w:t>
            </w:r>
          </w:p>
        </w:tc>
        <w:tc>
          <w:tcPr>
            <w:tcW w:w="793"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存在</w:t>
            </w:r>
          </w:p>
        </w:tc>
        <w:tc>
          <w:tcPr>
            <w:tcW w:w="827"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79"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tc>
        <w:tc>
          <w:tcPr>
            <w:tcW w:w="827"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&lt;1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9~10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&gt;10</w:t>
            </w:r>
          </w:p>
        </w:tc>
        <w:tc>
          <w:tcPr>
            <w:tcW w:w="842"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05"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val="en-US" w:eastAsia="zh-CN"/>
              </w:rPr>
              <w:t>0</w:t>
            </w:r>
          </w:p>
        </w:tc>
        <w:tc>
          <w:tcPr>
            <w:tcW w:w="713"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&lt;1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6~10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10~20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20~30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&gt;30</w:t>
            </w:r>
          </w:p>
        </w:tc>
        <w:tc>
          <w:tcPr>
            <w:tcW w:w="767"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7</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9</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51" w:type="dxa"/>
            <w:tcBorders>
              <w:top w:val="single" w:color="000000" w:sz="4" w:space="0"/>
              <w:left w:val="single" w:color="000000" w:sz="4" w:space="0"/>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r>
    </w:tbl>
    <w:p>
      <w:pPr>
        <w:keepNext/>
        <w:keepLines/>
        <w:pageBreakBefore w:val="0"/>
        <w:widowControl w:val="0"/>
        <w:kinsoku/>
        <w:wordWrap/>
        <w:overflowPunct/>
        <w:topLinePunct w:val="0"/>
        <w:autoSpaceDE/>
        <w:autoSpaceDN/>
        <w:bidi w:val="0"/>
        <w:adjustRightInd/>
        <w:snapToGrid/>
        <w:spacing w:beforeLines="0" w:afterLines="0" w:line="360" w:lineRule="auto"/>
        <w:ind w:firstLine="488" w:firstLineChars="200"/>
        <w:textAlignment w:val="auto"/>
        <w:outlineLvl w:val="9"/>
        <w:rPr>
          <w:rFonts w:hint="eastAsia" w:ascii="Times New Roman" w:hAnsi="Times New Roman" w:eastAsia="宋体"/>
          <w:sz w:val="24"/>
          <w:szCs w:val="22"/>
        </w:rPr>
      </w:pPr>
      <w:r>
        <w:rPr>
          <w:rFonts w:hint="eastAsia" w:ascii="Times New Roman" w:hAnsi="Times New Roman" w:eastAsia="宋体"/>
          <w:sz w:val="24"/>
          <w:szCs w:val="22"/>
        </w:rPr>
        <w:t>2、流动源</w:t>
      </w:r>
    </w:p>
    <w:p>
      <w:pPr>
        <w:spacing w:line="400" w:lineRule="exact"/>
        <w:jc w:val="center"/>
        <w:rPr>
          <w:rFonts w:hint="eastAsia"/>
          <w:b/>
          <w:szCs w:val="21"/>
          <w:highlight w:val="none"/>
        </w:rPr>
      </w:pPr>
      <w:r>
        <w:rPr>
          <w:rFonts w:hint="eastAsia"/>
          <w:b/>
          <w:szCs w:val="21"/>
          <w:highlight w:val="none"/>
        </w:rPr>
        <w:t>表</w:t>
      </w:r>
      <w:r>
        <w:rPr>
          <w:rFonts w:hint="eastAsia"/>
          <w:b/>
          <w:szCs w:val="21"/>
          <w:highlight w:val="none"/>
          <w:lang w:val="en-US" w:eastAsia="zh-CN"/>
        </w:rPr>
        <w:t>5</w:t>
      </w:r>
      <w:r>
        <w:rPr>
          <w:rFonts w:hint="eastAsia"/>
          <w:b/>
          <w:szCs w:val="21"/>
          <w:highlight w:val="none"/>
        </w:rPr>
        <w:t>-</w:t>
      </w:r>
      <w:r>
        <w:rPr>
          <w:rFonts w:hint="eastAsia"/>
          <w:b/>
          <w:szCs w:val="21"/>
          <w:highlight w:val="none"/>
          <w:lang w:val="en-US" w:eastAsia="zh-CN"/>
        </w:rPr>
        <w:t>3</w:t>
      </w:r>
      <w:r>
        <w:rPr>
          <w:rFonts w:hint="eastAsia"/>
          <w:b/>
          <w:szCs w:val="21"/>
          <w:highlight w:val="none"/>
        </w:rPr>
        <w:t xml:space="preserve"> 流动源评价指标及评分值（Rf）</w:t>
      </w:r>
    </w:p>
    <w:tbl>
      <w:tblPr>
        <w:tblStyle w:val="19"/>
        <w:tblW w:w="9178" w:type="dxa"/>
        <w:tblInd w:w="-318" w:type="dxa"/>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Layout w:type="fixed"/>
        <w:tblCellMar>
          <w:top w:w="0" w:type="dxa"/>
          <w:left w:w="0" w:type="dxa"/>
          <w:bottom w:w="0" w:type="dxa"/>
          <w:right w:w="0" w:type="dxa"/>
        </w:tblCellMar>
      </w:tblPr>
      <w:tblGrid>
        <w:gridCol w:w="434"/>
        <w:gridCol w:w="689"/>
        <w:gridCol w:w="838"/>
        <w:gridCol w:w="721"/>
        <w:gridCol w:w="2263"/>
        <w:gridCol w:w="889"/>
        <w:gridCol w:w="659"/>
        <w:gridCol w:w="1302"/>
        <w:gridCol w:w="593"/>
        <w:gridCol w:w="790"/>
      </w:tblGrid>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trPr>
        <w:tc>
          <w:tcPr>
            <w:tcW w:w="434" w:type="dxa"/>
            <w:vMerge w:val="restart"/>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风险源</w:t>
            </w:r>
          </w:p>
        </w:tc>
        <w:tc>
          <w:tcPr>
            <w:tcW w:w="2248" w:type="dxa"/>
            <w:gridSpan w:val="3"/>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一级保护区</w:t>
            </w:r>
          </w:p>
        </w:tc>
        <w:tc>
          <w:tcPr>
            <w:tcW w:w="3811" w:type="dxa"/>
            <w:gridSpan w:val="3"/>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二级保护区</w:t>
            </w:r>
          </w:p>
        </w:tc>
        <w:tc>
          <w:tcPr>
            <w:tcW w:w="2685" w:type="dxa"/>
            <w:gridSpan w:val="3"/>
            <w:tcBorders>
              <w:left w:val="single" w:color="000000" w:sz="4" w:space="0"/>
              <w:bottom w:val="single" w:color="000000" w:sz="4" w:space="0"/>
              <w:right w:val="single" w:color="000000" w:sz="12"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准保护区</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trPr>
        <w:tc>
          <w:tcPr>
            <w:tcW w:w="434" w:type="dxa"/>
            <w:vMerge w:val="continue"/>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p>
        </w:tc>
        <w:tc>
          <w:tcPr>
            <w:tcW w:w="689"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指标值</w:t>
            </w:r>
          </w:p>
        </w:tc>
        <w:tc>
          <w:tcPr>
            <w:tcW w:w="838"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评分值</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（F1）</w:t>
            </w:r>
          </w:p>
        </w:tc>
        <w:tc>
          <w:tcPr>
            <w:tcW w:w="721"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本项</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目评分</w:t>
            </w:r>
          </w:p>
        </w:tc>
        <w:tc>
          <w:tcPr>
            <w:tcW w:w="2263"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指标值</w:t>
            </w:r>
          </w:p>
        </w:tc>
        <w:tc>
          <w:tcPr>
            <w:tcW w:w="889"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评分值</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（F2）</w:t>
            </w:r>
          </w:p>
        </w:tc>
        <w:tc>
          <w:tcPr>
            <w:tcW w:w="659"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本项目评分</w:t>
            </w:r>
          </w:p>
        </w:tc>
        <w:tc>
          <w:tcPr>
            <w:tcW w:w="1302"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指标值</w:t>
            </w:r>
          </w:p>
        </w:tc>
        <w:tc>
          <w:tcPr>
            <w:tcW w:w="593"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评分值</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（F3）</w:t>
            </w:r>
          </w:p>
        </w:tc>
        <w:tc>
          <w:tcPr>
            <w:tcW w:w="790" w:type="dxa"/>
            <w:tcBorders>
              <w:top w:val="single" w:color="000000" w:sz="4" w:space="0"/>
              <w:left w:val="single" w:color="000000" w:sz="4" w:space="0"/>
              <w:right w:val="single" w:color="000000" w:sz="12"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本项目评</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分</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trPr>
        <w:tc>
          <w:tcPr>
            <w:tcW w:w="434" w:type="dxa"/>
            <w:tcBorders>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陆</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运</w:t>
            </w:r>
          </w:p>
        </w:tc>
        <w:tc>
          <w:tcPr>
            <w:tcW w:w="689"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危险</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品运</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输或</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L&gt;2r</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d</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L&lt;2r</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d</w:t>
            </w:r>
          </w:p>
        </w:tc>
        <w:tc>
          <w:tcPr>
            <w:tcW w:w="838"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9</w:t>
            </w:r>
          </w:p>
        </w:tc>
        <w:tc>
          <w:tcPr>
            <w:tcW w:w="721"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b w:val="0"/>
                <w:bCs/>
                <w:sz w:val="21"/>
                <w:szCs w:val="21"/>
                <w:lang w:val="en-US" w:eastAsia="zh-CN"/>
              </w:rPr>
            </w:pPr>
            <w:r>
              <w:rPr>
                <w:rFonts w:hint="eastAsia" w:ascii="Calibri" w:hAnsi="Calibri"/>
                <w:b w:val="0"/>
                <w:bCs/>
                <w:sz w:val="21"/>
                <w:szCs w:val="21"/>
                <w:lang w:val="en-US" w:eastAsia="zh-CN"/>
              </w:rPr>
              <w:t>0</w:t>
            </w:r>
          </w:p>
        </w:tc>
        <w:tc>
          <w:tcPr>
            <w:tcW w:w="2263"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有路仅可行走</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有路但不能通行机动车</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有机动车通行</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有运输路线且长度较短L&lt;rd</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rd&lt;L&lt;2rd或有小型桥梁</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L&gt;2rd</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有危险品运输；或有单车道跨线桥</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有危险品运输rd&lt;L&lt;2rd</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有危险品运输且L&gt;2rd</w:t>
            </w:r>
          </w:p>
        </w:tc>
        <w:tc>
          <w:tcPr>
            <w:tcW w:w="889"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7</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9</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659"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c>
          <w:tcPr>
            <w:tcW w:w="1302"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L&lt;2rd</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有危险品运输且rd&lt;L&lt;2rd 有危险品运输且L&gt;2rd</w:t>
            </w:r>
          </w:p>
        </w:tc>
        <w:tc>
          <w:tcPr>
            <w:tcW w:w="593"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tc>
        <w:tc>
          <w:tcPr>
            <w:tcW w:w="790" w:type="dxa"/>
            <w:tcBorders>
              <w:left w:val="single" w:color="000000" w:sz="4" w:space="0"/>
              <w:bottom w:val="single" w:color="000000" w:sz="4" w:space="0"/>
              <w:right w:val="single" w:color="000000" w:sz="12"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trPr>
        <w:tc>
          <w:tcPr>
            <w:tcW w:w="434" w:type="dxa"/>
            <w:tcBorders>
              <w:top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船</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舶</w:t>
            </w:r>
          </w:p>
        </w:tc>
        <w:tc>
          <w:tcPr>
            <w:tcW w:w="689"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存在</w:t>
            </w:r>
          </w:p>
        </w:tc>
        <w:tc>
          <w:tcPr>
            <w:tcW w:w="838"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721"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tc>
        <w:tc>
          <w:tcPr>
            <w:tcW w:w="2263"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航线L&lt;rd</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航线rd&lt;L&lt;2rd</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航线L&gt;2rd</w:t>
            </w:r>
          </w:p>
        </w:tc>
        <w:tc>
          <w:tcPr>
            <w:tcW w:w="889"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659"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c>
          <w:tcPr>
            <w:tcW w:w="1302"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航线L&lt;rd</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航线rd&lt;L&lt;2rd</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航线L&gt;2rd</w:t>
            </w:r>
          </w:p>
        </w:tc>
        <w:tc>
          <w:tcPr>
            <w:tcW w:w="593"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7</w:t>
            </w:r>
          </w:p>
        </w:tc>
        <w:tc>
          <w:tcPr>
            <w:tcW w:w="790" w:type="dxa"/>
            <w:tcBorders>
              <w:top w:val="single" w:color="000000" w:sz="4" w:space="0"/>
              <w:left w:val="single" w:color="000000" w:sz="4" w:space="0"/>
              <w:right w:val="single" w:color="000000" w:sz="12"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r>
    </w:tbl>
    <w:p>
      <w:pPr>
        <w:autoSpaceDE w:val="0"/>
        <w:autoSpaceDN w:val="0"/>
        <w:snapToGrid w:val="0"/>
        <w:spacing w:line="360" w:lineRule="auto"/>
        <w:ind w:left="60"/>
        <w:rPr>
          <w:rFonts w:ascii="宋体" w:hAnsi="宋体" w:eastAsia="宋体" w:cs="宋体"/>
          <w:sz w:val="21"/>
          <w:szCs w:val="21"/>
        </w:rPr>
      </w:pPr>
      <w:r>
        <w:rPr>
          <w:rFonts w:ascii="宋体" w:hAnsi="宋体" w:eastAsia="宋体" w:cs="宋体"/>
          <w:sz w:val="21"/>
          <w:szCs w:val="21"/>
        </w:rPr>
        <w:t>注：</w:t>
      </w:r>
      <w:r>
        <w:rPr>
          <w:rFonts w:eastAsia="Times New Roman"/>
          <w:spacing w:val="52"/>
          <w:sz w:val="21"/>
          <w:szCs w:val="21"/>
        </w:rPr>
        <w:t>L</w:t>
      </w:r>
      <w:r>
        <w:rPr>
          <w:rFonts w:ascii="宋体" w:hAnsi="宋体" w:eastAsia="宋体" w:cs="宋体"/>
          <w:sz w:val="21"/>
          <w:szCs w:val="21"/>
        </w:rPr>
        <w:t>为公路或铁路的路线长度；</w:t>
      </w:r>
      <w:r>
        <w:rPr>
          <w:rFonts w:eastAsia="Times New Roman"/>
          <w:sz w:val="21"/>
          <w:szCs w:val="21"/>
        </w:rPr>
        <w:t>r</w:t>
      </w:r>
      <w:r>
        <w:rPr>
          <w:rFonts w:eastAsia="Times New Roman"/>
          <w:spacing w:val="33"/>
          <w:position w:val="-2"/>
          <w:sz w:val="21"/>
          <w:szCs w:val="21"/>
        </w:rPr>
        <w:t>d</w:t>
      </w:r>
      <w:r>
        <w:rPr>
          <w:rFonts w:ascii="宋体" w:hAnsi="宋体" w:eastAsia="宋体" w:cs="宋体"/>
          <w:sz w:val="21"/>
          <w:szCs w:val="21"/>
        </w:rPr>
        <w:t>为风险源所在保护区范围的当量半径。</w:t>
      </w:r>
    </w:p>
    <w:p>
      <w:pPr>
        <w:keepNext/>
        <w:keepLines/>
        <w:pageBreakBefore w:val="0"/>
        <w:widowControl w:val="0"/>
        <w:kinsoku/>
        <w:wordWrap/>
        <w:overflowPunct/>
        <w:topLinePunct w:val="0"/>
        <w:autoSpaceDE/>
        <w:autoSpaceDN/>
        <w:bidi w:val="0"/>
        <w:adjustRightInd/>
        <w:snapToGrid/>
        <w:spacing w:beforeLines="0" w:afterLines="0" w:line="360" w:lineRule="auto"/>
        <w:ind w:firstLine="488" w:firstLineChars="200"/>
        <w:textAlignment w:val="auto"/>
        <w:outlineLvl w:val="9"/>
        <w:rPr>
          <w:rFonts w:hint="eastAsia" w:ascii="Times New Roman" w:hAnsi="Times New Roman" w:eastAsia="宋体"/>
          <w:sz w:val="24"/>
          <w:szCs w:val="22"/>
        </w:rPr>
      </w:pPr>
      <w:r>
        <w:rPr>
          <w:rFonts w:hint="eastAsia" w:ascii="Times New Roman" w:hAnsi="Times New Roman" w:eastAsia="宋体"/>
          <w:sz w:val="24"/>
          <w:szCs w:val="22"/>
        </w:rPr>
        <w:t>3、非点源</w:t>
      </w:r>
    </w:p>
    <w:p>
      <w:pPr>
        <w:spacing w:line="400" w:lineRule="exact"/>
        <w:jc w:val="center"/>
        <w:rPr>
          <w:rFonts w:hint="eastAsia"/>
          <w:b/>
          <w:szCs w:val="21"/>
          <w:highlight w:val="none"/>
        </w:rPr>
      </w:pPr>
      <w:r>
        <w:rPr>
          <w:rFonts w:hint="eastAsia"/>
          <w:b/>
          <w:szCs w:val="21"/>
          <w:highlight w:val="none"/>
        </w:rPr>
        <w:t>表</w:t>
      </w:r>
      <w:r>
        <w:rPr>
          <w:rFonts w:hint="eastAsia"/>
          <w:b/>
          <w:szCs w:val="21"/>
          <w:highlight w:val="none"/>
          <w:lang w:val="en-US" w:eastAsia="zh-CN"/>
        </w:rPr>
        <w:t>5</w:t>
      </w:r>
      <w:r>
        <w:rPr>
          <w:rFonts w:hint="eastAsia"/>
          <w:b/>
          <w:szCs w:val="21"/>
          <w:highlight w:val="none"/>
        </w:rPr>
        <w:t>-</w:t>
      </w:r>
      <w:r>
        <w:rPr>
          <w:rFonts w:hint="eastAsia"/>
          <w:b/>
          <w:szCs w:val="21"/>
          <w:highlight w:val="none"/>
          <w:lang w:val="en-US" w:eastAsia="zh-CN"/>
        </w:rPr>
        <w:t>4</w:t>
      </w:r>
      <w:r>
        <w:rPr>
          <w:rFonts w:hint="eastAsia"/>
          <w:b/>
          <w:szCs w:val="21"/>
          <w:highlight w:val="none"/>
        </w:rPr>
        <w:t xml:space="preserve"> 非点源评价指标及评分值（Ry）</w:t>
      </w:r>
    </w:p>
    <w:tbl>
      <w:tblPr>
        <w:tblStyle w:val="19"/>
        <w:tblW w:w="9195" w:type="dxa"/>
        <w:tblInd w:w="-318" w:type="dxa"/>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Layout w:type="fixed"/>
        <w:tblCellMar>
          <w:top w:w="0" w:type="dxa"/>
          <w:left w:w="0" w:type="dxa"/>
          <w:bottom w:w="0" w:type="dxa"/>
          <w:right w:w="0" w:type="dxa"/>
        </w:tblCellMar>
      </w:tblPr>
      <w:tblGrid>
        <w:gridCol w:w="549"/>
        <w:gridCol w:w="1316"/>
        <w:gridCol w:w="864"/>
        <w:gridCol w:w="769"/>
        <w:gridCol w:w="1224"/>
        <w:gridCol w:w="963"/>
        <w:gridCol w:w="724"/>
        <w:gridCol w:w="1068"/>
        <w:gridCol w:w="922"/>
        <w:gridCol w:w="796"/>
      </w:tblGrid>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trPr>
        <w:tc>
          <w:tcPr>
            <w:tcW w:w="549" w:type="dxa"/>
            <w:vMerge w:val="restart"/>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风险源</w:t>
            </w:r>
          </w:p>
        </w:tc>
        <w:tc>
          <w:tcPr>
            <w:tcW w:w="2949" w:type="dxa"/>
            <w:gridSpan w:val="3"/>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一级保护区</w:t>
            </w:r>
          </w:p>
        </w:tc>
        <w:tc>
          <w:tcPr>
            <w:tcW w:w="2911" w:type="dxa"/>
            <w:gridSpan w:val="3"/>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二级保护区</w:t>
            </w:r>
          </w:p>
        </w:tc>
        <w:tc>
          <w:tcPr>
            <w:tcW w:w="2786" w:type="dxa"/>
            <w:gridSpan w:val="3"/>
            <w:tcBorders>
              <w:left w:val="single" w:color="000000" w:sz="4" w:space="0"/>
              <w:bottom w:val="single" w:color="000000" w:sz="4" w:space="0"/>
              <w:right w:val="single" w:color="000000" w:sz="12"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准保护区</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trPr>
        <w:tc>
          <w:tcPr>
            <w:tcW w:w="549" w:type="dxa"/>
            <w:vMerge w:val="continue"/>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p>
        </w:tc>
        <w:tc>
          <w:tcPr>
            <w:tcW w:w="1316"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指标值</w:t>
            </w:r>
          </w:p>
        </w:tc>
        <w:tc>
          <w:tcPr>
            <w:tcW w:w="864"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评分值</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（Y1）</w:t>
            </w:r>
          </w:p>
        </w:tc>
        <w:tc>
          <w:tcPr>
            <w:tcW w:w="769"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本项目评分</w:t>
            </w:r>
          </w:p>
        </w:tc>
        <w:tc>
          <w:tcPr>
            <w:tcW w:w="1224"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指标值</w:t>
            </w:r>
          </w:p>
        </w:tc>
        <w:tc>
          <w:tcPr>
            <w:tcW w:w="963"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评分值</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（Y3）</w:t>
            </w:r>
          </w:p>
        </w:tc>
        <w:tc>
          <w:tcPr>
            <w:tcW w:w="724"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本项目评分</w:t>
            </w:r>
          </w:p>
        </w:tc>
        <w:tc>
          <w:tcPr>
            <w:tcW w:w="1068"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指标值</w:t>
            </w:r>
          </w:p>
        </w:tc>
        <w:tc>
          <w:tcPr>
            <w:tcW w:w="922"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评分值</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（Y3）</w:t>
            </w:r>
          </w:p>
        </w:tc>
        <w:tc>
          <w:tcPr>
            <w:tcW w:w="796" w:type="dxa"/>
            <w:tcBorders>
              <w:top w:val="single" w:color="000000" w:sz="4" w:space="0"/>
              <w:left w:val="single" w:color="000000" w:sz="4" w:space="0"/>
              <w:right w:val="single" w:color="000000" w:sz="12"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本项目评分</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trPr>
        <w:tc>
          <w:tcPr>
            <w:tcW w:w="549" w:type="dxa"/>
            <w:tcBorders>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耕地面积所占比例</w:t>
            </w:r>
          </w:p>
        </w:tc>
        <w:tc>
          <w:tcPr>
            <w:tcW w:w="1316"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存在</w:t>
            </w:r>
          </w:p>
        </w:tc>
        <w:tc>
          <w:tcPr>
            <w:tcW w:w="864"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769"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1224"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5%~10% 10%~20% 20%~30% 30%~40% 50%~60% 60%~70% 70%~80%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＞80%</w:t>
            </w:r>
          </w:p>
        </w:tc>
        <w:tc>
          <w:tcPr>
            <w:tcW w:w="963"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7</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9</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724"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tc>
        <w:tc>
          <w:tcPr>
            <w:tcW w:w="1068"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20%~30% 30%~40% 40%~50% 60%~70% 70%~80%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＞80%</w:t>
            </w:r>
          </w:p>
        </w:tc>
        <w:tc>
          <w:tcPr>
            <w:tcW w:w="922"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7</w:t>
            </w:r>
          </w:p>
        </w:tc>
        <w:tc>
          <w:tcPr>
            <w:tcW w:w="796" w:type="dxa"/>
            <w:tcBorders>
              <w:left w:val="single" w:color="000000" w:sz="4" w:space="0"/>
              <w:bottom w:val="single" w:color="000000" w:sz="4" w:space="0"/>
              <w:right w:val="single" w:color="000000" w:sz="12"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trPr>
        <w:tc>
          <w:tcPr>
            <w:tcW w:w="549" w:type="dxa"/>
            <w:tcBorders>
              <w:top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生态缓冲带</w:t>
            </w:r>
          </w:p>
        </w:tc>
        <w:tc>
          <w:tcPr>
            <w:tcW w:w="1316"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宽度＞50m</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宽度≤50m</w:t>
            </w:r>
          </w:p>
        </w:tc>
        <w:tc>
          <w:tcPr>
            <w:tcW w:w="864"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tc>
        <w:tc>
          <w:tcPr>
            <w:tcW w:w="769"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tc>
        <w:tc>
          <w:tcPr>
            <w:tcW w:w="1224"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宽度＞40m</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宽度≤40m</w:t>
            </w:r>
          </w:p>
        </w:tc>
        <w:tc>
          <w:tcPr>
            <w:tcW w:w="963"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tc>
        <w:tc>
          <w:tcPr>
            <w:tcW w:w="724"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tc>
        <w:tc>
          <w:tcPr>
            <w:tcW w:w="1068"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宽度＞30m</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宽度≤30m</w:t>
            </w:r>
          </w:p>
        </w:tc>
        <w:tc>
          <w:tcPr>
            <w:tcW w:w="922"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tc>
        <w:tc>
          <w:tcPr>
            <w:tcW w:w="796" w:type="dxa"/>
            <w:tcBorders>
              <w:top w:val="single" w:color="000000" w:sz="4" w:space="0"/>
              <w:left w:val="single" w:color="000000" w:sz="4" w:space="0"/>
              <w:right w:val="single" w:color="000000" w:sz="12"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r>
    </w:tbl>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（二）风险源计算</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通过风险源项分析并根据风险源所在保护区内的影响程度和影响范围，按照固定源、流动源和非点源分别对水源存在的风险进行评价。</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固定源：Rp =P1+P2+P3</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流动源：Rf =F1 +F2+F3</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非点源：Ry =Y1 +Y2 +Y3</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Rp、Rf、Ry分别为表4-3，表4-4和表4-5中所列的各种潜在风险源评分值。本地下水饮用水水源地保护区环境风险值为：</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Rp=P1+P2+P3=0（一级保护区内无固定源，P1=0）；</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Rf=F1+F2+F3=0（一级保护区无交通穿越，水域范围内无航道，F1=0）；</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Ry=Y1+Y2+Y3=10（一级保护区内有农田，Y1=10）。</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（三）风险源评估</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一般来说，环境风险值的可接受程度分别以Rp（或Rf、Ry）≤3作为背景值，</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当3&lt;Rp（或Rf、Ry）≤7时，应按照《集中式地表水饮用水水源地环境应急管理工作指南（试行）》采取风险防范措施；当7&lt;Rp（或Rf、Ry）≤9时，应采取风险预警措施；当Rp（或Rf、Ry）&gt;9时，应采取风险应急措施。</w:t>
      </w:r>
    </w:p>
    <w:p>
      <w:pPr>
        <w:pStyle w:val="4"/>
        <w:spacing w:before="156" w:after="156"/>
        <w:rPr>
          <w:rFonts w:hint="eastAsia" w:asciiTheme="minorEastAsia" w:hAnsiTheme="minorEastAsia" w:eastAsiaTheme="minorEastAsia" w:cstheme="minorEastAsia"/>
          <w:b/>
          <w:bCs w:val="0"/>
          <w:lang w:val="en-US" w:eastAsia="zh-CN"/>
        </w:rPr>
      </w:pPr>
      <w:bookmarkStart w:id="326" w:name="_Toc18444"/>
      <w:bookmarkStart w:id="327" w:name="_Toc20012"/>
      <w:bookmarkStart w:id="328" w:name="_Toc2901"/>
      <w:r>
        <w:rPr>
          <w:rFonts w:hint="eastAsia" w:asciiTheme="minorEastAsia" w:hAnsiTheme="minorEastAsia" w:eastAsiaTheme="minorEastAsia" w:cstheme="minorEastAsia"/>
          <w:b/>
          <w:bCs w:val="0"/>
          <w:lang w:val="en-US" w:eastAsia="zh-CN"/>
        </w:rPr>
        <w:t>5.4.2 风险应急措施和应急预案</w:t>
      </w:r>
      <w:bookmarkEnd w:id="326"/>
      <w:bookmarkEnd w:id="327"/>
      <w:bookmarkEnd w:id="328"/>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本水源地Rf为10&gt;9，应采取风险应急措施。</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1、本水源地Rf&gt;9，应采取风险应急措施。（1）在本报告4.3章节提出了一级保护区农田逐步退出、近期实施生态种植的措施和要求，农田退出后，本水源地的环境风险可以接受。</w:t>
      </w:r>
    </w:p>
    <w:p>
      <w:pPr>
        <w:adjustRightInd w:val="0"/>
        <w:snapToGrid w:val="0"/>
        <w:spacing w:line="360" w:lineRule="auto"/>
        <w:ind w:firstLine="488" w:firstLineChars="200"/>
        <w:jc w:val="left"/>
        <w:rPr>
          <w:rFonts w:hint="default" w:ascii="Times New Roman" w:hAnsi="Times New Roman" w:cs="Times New Roman"/>
        </w:rPr>
      </w:pPr>
      <w:r>
        <w:rPr>
          <w:rFonts w:hint="eastAsia" w:ascii="Calibri" w:hAnsi="Calibri" w:eastAsia="宋体" w:cs="宋体"/>
          <w:sz w:val="24"/>
          <w:szCs w:val="22"/>
          <w:lang w:val="en-US" w:eastAsia="zh-CN" w:bidi="ar"/>
        </w:rPr>
        <w:t>2、由于目前国家和地方均未出台地下水饮用水应急预案编制指南，建议江阴县人民政府根据需要自行确定全县农村集中式饮用水水源地应急预案编制和应急演练的相关要求。一旦发生取水井源水水质监测超标，迅速查找原因，建议按照《集中式地表饮用水应急预案编制指南》（生态环境部公告2018 年第 1 号）红色预警的要求 制定现场处置方案。</w:t>
      </w:r>
    </w:p>
    <w:p>
      <w:pPr>
        <w:spacing w:line="400" w:lineRule="exact"/>
        <w:ind w:firstLine="480"/>
        <w:jc w:val="left"/>
        <w:rPr>
          <w:rFonts w:hint="default" w:ascii="Times New Roman" w:hAnsi="Times New Roman" w:cs="Times New Roman"/>
        </w:rPr>
      </w:pPr>
    </w:p>
    <w:p>
      <w:pPr>
        <w:spacing w:line="400" w:lineRule="exact"/>
        <w:ind w:firstLine="480"/>
        <w:jc w:val="left"/>
        <w:rPr>
          <w:rFonts w:hint="default" w:ascii="Times New Roman" w:hAnsi="Times New Roman" w:cs="Times New Roman"/>
        </w:rPr>
      </w:pPr>
      <w:r>
        <w:rPr>
          <w:rFonts w:hint="default" w:ascii="Times New Roman" w:hAnsi="Times New Roman" w:cs="Times New Roman"/>
        </w:rPr>
        <w:br w:type="page"/>
      </w:r>
    </w:p>
    <w:p>
      <w:pPr>
        <w:pStyle w:val="2"/>
        <w:spacing w:before="120" w:after="120"/>
        <w:jc w:val="center"/>
        <w:rPr>
          <w:rFonts w:hint="default" w:ascii="Times New Roman" w:hAnsi="Times New Roman" w:cs="Times New Roman"/>
        </w:rPr>
      </w:pPr>
      <w:bookmarkStart w:id="329" w:name="_Toc5320"/>
      <w:bookmarkStart w:id="330" w:name="_Toc453061617"/>
      <w:bookmarkStart w:id="331" w:name="_Toc1588"/>
      <w:bookmarkStart w:id="332" w:name="_Toc453061771"/>
      <w:r>
        <w:rPr>
          <w:rFonts w:hint="default" w:ascii="Times New Roman" w:hAnsi="Times New Roman" w:cs="Times New Roman"/>
        </w:rPr>
        <w:t>第六章饮用水水源保护保障措施</w:t>
      </w:r>
      <w:bookmarkEnd w:id="329"/>
      <w:bookmarkEnd w:id="330"/>
      <w:bookmarkEnd w:id="331"/>
      <w:bookmarkEnd w:id="332"/>
    </w:p>
    <w:p>
      <w:pPr>
        <w:pStyle w:val="3"/>
        <w:spacing w:before="120" w:after="120"/>
        <w:rPr>
          <w:rFonts w:hint="default" w:ascii="Times New Roman" w:hAnsi="Times New Roman" w:cs="Times New Roman"/>
        </w:rPr>
      </w:pPr>
      <w:bookmarkStart w:id="333" w:name="_Toc29544"/>
      <w:bookmarkStart w:id="334" w:name="_Toc29348"/>
      <w:bookmarkStart w:id="335" w:name="_Toc453061618"/>
      <w:bookmarkStart w:id="336" w:name="_Toc453061772"/>
      <w:r>
        <w:rPr>
          <w:rFonts w:hint="default" w:ascii="Times New Roman" w:hAnsi="Times New Roman" w:cs="Times New Roman"/>
        </w:rPr>
        <w:t>6.1 资金保障</w:t>
      </w:r>
      <w:bookmarkEnd w:id="333"/>
      <w:bookmarkEnd w:id="334"/>
      <w:bookmarkEnd w:id="335"/>
      <w:bookmarkEnd w:id="336"/>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根据前面章节的分析，本饮用水水源保护区需要实施的环境保护项目包括：饮用水源保护标志标牌设立，保护区污染整治、水质常规监测、日常监管等工程，根据《集中式饮用水水源保护指南》（环办【2012】50 号）附件5“饮用水水源环境保护项目设计”，估算本保护区环境保护项目投资约为39.59万元。</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sz w:val="24"/>
          <w:szCs w:val="22"/>
          <w:lang w:val="en-US" w:eastAsia="zh-CN"/>
        </w:rPr>
      </w:pPr>
      <w:r>
        <w:rPr>
          <w:rFonts w:hint="eastAsia" w:ascii="Calibri" w:hAnsi="Calibri"/>
          <w:b/>
          <w:sz w:val="21"/>
          <w:szCs w:val="21"/>
          <w:lang w:eastAsia="zh-CN"/>
        </w:rPr>
        <w:t>表</w:t>
      </w:r>
      <w:r>
        <w:rPr>
          <w:rFonts w:hint="eastAsia" w:ascii="Times New Roman" w:eastAsia="宋体"/>
          <w:b/>
          <w:sz w:val="21"/>
          <w:szCs w:val="21"/>
          <w:lang w:val="en-US" w:eastAsia="zh-CN"/>
        </w:rPr>
        <w:t>6-1</w:t>
      </w:r>
      <w:r>
        <w:rPr>
          <w:rFonts w:hint="eastAsia" w:ascii="Calibri" w:hAnsi="Calibri"/>
          <w:b/>
          <w:sz w:val="21"/>
          <w:szCs w:val="21"/>
          <w:lang w:eastAsia="zh-CN"/>
        </w:rPr>
        <w:t xml:space="preserve"> 保护区环境保护项目及投资</w:t>
      </w:r>
    </w:p>
    <w:tbl>
      <w:tblPr>
        <w:tblStyle w:val="19"/>
        <w:tblW w:w="8222" w:type="dxa"/>
        <w:tblInd w:w="40" w:type="dxa"/>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Layout w:type="fixed"/>
        <w:tblCellMar>
          <w:top w:w="0" w:type="dxa"/>
          <w:left w:w="0" w:type="dxa"/>
          <w:bottom w:w="0" w:type="dxa"/>
          <w:right w:w="0" w:type="dxa"/>
        </w:tblCellMar>
      </w:tblPr>
      <w:tblGrid>
        <w:gridCol w:w="672"/>
        <w:gridCol w:w="2702"/>
        <w:gridCol w:w="1667"/>
        <w:gridCol w:w="883"/>
        <w:gridCol w:w="1025"/>
        <w:gridCol w:w="1273"/>
      </w:tblGrid>
      <w:tr>
        <w:tblPrEx>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CellMar>
            <w:top w:w="0" w:type="dxa"/>
            <w:left w:w="0" w:type="dxa"/>
            <w:bottom w:w="0" w:type="dxa"/>
            <w:right w:w="0" w:type="dxa"/>
          </w:tblCellMar>
        </w:tblPrEx>
        <w:trPr>
          <w:cantSplit/>
          <w:trHeight w:val="0" w:hRule="atLeast"/>
        </w:trPr>
        <w:tc>
          <w:tcPr>
            <w:tcW w:w="67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bCs w:val="0"/>
                <w:sz w:val="21"/>
                <w:szCs w:val="21"/>
                <w:lang w:val="en-US" w:eastAsia="zh-CN"/>
              </w:rPr>
            </w:pPr>
            <w:r>
              <w:rPr>
                <w:rFonts w:hint="default" w:ascii="Calibri" w:hAnsi="Calibri" w:eastAsia="宋体" w:cs="Times New Roman"/>
                <w:b/>
                <w:bCs w:val="0"/>
                <w:sz w:val="21"/>
                <w:szCs w:val="21"/>
                <w:lang w:val="en-US" w:eastAsia="zh-CN"/>
              </w:rPr>
              <w:t>编号</w:t>
            </w:r>
          </w:p>
        </w:tc>
        <w:tc>
          <w:tcPr>
            <w:tcW w:w="2702" w:type="dxa"/>
            <w:tcBorders>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bCs w:val="0"/>
                <w:sz w:val="21"/>
                <w:szCs w:val="21"/>
                <w:lang w:val="en-US" w:eastAsia="zh-CN"/>
              </w:rPr>
            </w:pPr>
            <w:r>
              <w:rPr>
                <w:rFonts w:hint="default" w:ascii="Calibri" w:hAnsi="Calibri" w:eastAsia="宋体" w:cs="Times New Roman"/>
                <w:b/>
                <w:bCs w:val="0"/>
                <w:sz w:val="21"/>
                <w:szCs w:val="21"/>
                <w:lang w:val="en-US" w:eastAsia="zh-CN"/>
              </w:rPr>
              <w:t>工程和费用名称</w:t>
            </w:r>
          </w:p>
        </w:tc>
        <w:tc>
          <w:tcPr>
            <w:tcW w:w="1667" w:type="dxa"/>
            <w:tcBorders>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bCs w:val="0"/>
                <w:sz w:val="21"/>
                <w:szCs w:val="21"/>
                <w:lang w:val="en-US" w:eastAsia="zh-CN"/>
              </w:rPr>
            </w:pPr>
            <w:r>
              <w:rPr>
                <w:rFonts w:hint="default" w:ascii="Calibri" w:hAnsi="Calibri" w:eastAsia="宋体" w:cs="Times New Roman"/>
                <w:b/>
                <w:bCs w:val="0"/>
                <w:sz w:val="21"/>
                <w:szCs w:val="21"/>
                <w:lang w:val="en-US" w:eastAsia="zh-CN"/>
              </w:rPr>
              <w:t>工程量</w:t>
            </w:r>
          </w:p>
        </w:tc>
        <w:tc>
          <w:tcPr>
            <w:tcW w:w="883" w:type="dxa"/>
            <w:tcBorders>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bCs w:val="0"/>
                <w:sz w:val="21"/>
                <w:szCs w:val="21"/>
                <w:lang w:val="en-US" w:eastAsia="zh-CN"/>
              </w:rPr>
            </w:pPr>
            <w:r>
              <w:rPr>
                <w:rFonts w:hint="default" w:ascii="Calibri" w:hAnsi="Calibri" w:eastAsia="宋体" w:cs="Times New Roman"/>
                <w:b/>
                <w:bCs w:val="0"/>
                <w:sz w:val="21"/>
                <w:szCs w:val="21"/>
                <w:lang w:val="en-US" w:eastAsia="zh-CN"/>
              </w:rPr>
              <w:t>单价</w:t>
            </w:r>
          </w:p>
        </w:tc>
        <w:tc>
          <w:tcPr>
            <w:tcW w:w="1025" w:type="dxa"/>
            <w:tcBorders>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bCs w:val="0"/>
                <w:sz w:val="21"/>
                <w:szCs w:val="21"/>
                <w:lang w:val="en-US" w:eastAsia="zh-CN"/>
              </w:rPr>
            </w:pPr>
            <w:r>
              <w:rPr>
                <w:rFonts w:hint="default" w:ascii="Calibri" w:hAnsi="Calibri" w:eastAsia="宋体" w:cs="Times New Roman"/>
                <w:b/>
                <w:bCs w:val="0"/>
                <w:sz w:val="21"/>
                <w:szCs w:val="21"/>
                <w:lang w:val="en-US" w:eastAsia="zh-CN"/>
              </w:rPr>
              <w:t>投资估算（万元）</w:t>
            </w:r>
          </w:p>
        </w:tc>
        <w:tc>
          <w:tcPr>
            <w:tcW w:w="1273" w:type="dxa"/>
            <w:tcBorders>
              <w:left w:val="single" w:color="000000" w:sz="6"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bCs w:val="0"/>
                <w:sz w:val="21"/>
                <w:szCs w:val="21"/>
                <w:lang w:val="en-US" w:eastAsia="zh-CN"/>
              </w:rPr>
            </w:pPr>
            <w:r>
              <w:rPr>
                <w:rFonts w:hint="default" w:ascii="Calibri" w:hAnsi="Calibri" w:eastAsia="宋体" w:cs="Times New Roman"/>
                <w:b/>
                <w:bCs w:val="0"/>
                <w:sz w:val="21"/>
                <w:szCs w:val="21"/>
                <w:lang w:val="en-US" w:eastAsia="zh-CN"/>
              </w:rPr>
              <w:t>备注</w:t>
            </w:r>
          </w:p>
        </w:tc>
      </w:tr>
      <w:tr>
        <w:tblPrEx>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CellMar>
            <w:top w:w="0" w:type="dxa"/>
            <w:left w:w="0" w:type="dxa"/>
            <w:bottom w:w="0" w:type="dxa"/>
            <w:right w:w="0" w:type="dxa"/>
          </w:tblCellMar>
        </w:tblPrEx>
        <w:trPr>
          <w:cantSplit/>
          <w:trHeight w:val="0" w:hRule="atLeast"/>
        </w:trPr>
        <w:tc>
          <w:tcPr>
            <w:tcW w:w="672" w:type="dxa"/>
            <w:tcBorders>
              <w:top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bCs w:val="0"/>
                <w:sz w:val="21"/>
                <w:szCs w:val="21"/>
                <w:lang w:val="en-US" w:eastAsia="zh-CN"/>
              </w:rPr>
            </w:pPr>
            <w:r>
              <w:rPr>
                <w:rFonts w:hint="default" w:ascii="Calibri" w:hAnsi="Calibri" w:eastAsia="宋体" w:cs="Times New Roman"/>
                <w:b/>
                <w:bCs w:val="0"/>
                <w:sz w:val="21"/>
                <w:szCs w:val="21"/>
                <w:lang w:val="en-US" w:eastAsia="zh-CN"/>
              </w:rPr>
              <w:t>一</w:t>
            </w:r>
          </w:p>
        </w:tc>
        <w:tc>
          <w:tcPr>
            <w:tcW w:w="2702"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bCs w:val="0"/>
                <w:sz w:val="21"/>
                <w:szCs w:val="21"/>
                <w:lang w:val="en-US" w:eastAsia="zh-CN"/>
              </w:rPr>
            </w:pPr>
            <w:r>
              <w:rPr>
                <w:rFonts w:hint="default" w:ascii="Calibri" w:hAnsi="Calibri" w:eastAsia="宋体" w:cs="Times New Roman"/>
                <w:b/>
                <w:bCs w:val="0"/>
                <w:sz w:val="21"/>
                <w:szCs w:val="21"/>
                <w:lang w:val="en-US" w:eastAsia="zh-CN"/>
              </w:rPr>
              <w:t>设立标牌标识</w:t>
            </w:r>
          </w:p>
        </w:tc>
        <w:tc>
          <w:tcPr>
            <w:tcW w:w="1667"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bCs w:val="0"/>
                <w:sz w:val="21"/>
                <w:szCs w:val="21"/>
                <w:lang w:val="en-US" w:eastAsia="zh-CN"/>
              </w:rPr>
            </w:pPr>
          </w:p>
        </w:tc>
        <w:tc>
          <w:tcPr>
            <w:tcW w:w="883"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bCs w:val="0"/>
                <w:sz w:val="21"/>
                <w:szCs w:val="21"/>
                <w:lang w:val="en-US" w:eastAsia="zh-CN"/>
              </w:rPr>
            </w:pPr>
          </w:p>
        </w:tc>
        <w:tc>
          <w:tcPr>
            <w:tcW w:w="1025"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bCs w:val="0"/>
                <w:sz w:val="21"/>
                <w:szCs w:val="21"/>
                <w:lang w:val="en-US" w:eastAsia="zh-CN"/>
              </w:rPr>
            </w:pPr>
            <w:r>
              <w:rPr>
                <w:rFonts w:hint="eastAsia" w:ascii="Calibri" w:hAnsi="Calibri" w:eastAsia="宋体" w:cs="Times New Roman"/>
                <w:b/>
                <w:bCs w:val="0"/>
                <w:sz w:val="21"/>
                <w:szCs w:val="21"/>
                <w:lang w:val="en-US" w:eastAsia="zh-CN"/>
              </w:rPr>
              <w:t>3.2</w:t>
            </w:r>
          </w:p>
        </w:tc>
        <w:tc>
          <w:tcPr>
            <w:tcW w:w="1273" w:type="dxa"/>
            <w:tcBorders>
              <w:top w:val="single" w:color="000000" w:sz="6" w:space="0"/>
              <w:left w:val="single" w:color="000000" w:sz="6"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p>
        </w:tc>
      </w:tr>
      <w:tr>
        <w:tblPrEx>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CellMar>
            <w:top w:w="0" w:type="dxa"/>
            <w:left w:w="0" w:type="dxa"/>
            <w:bottom w:w="0" w:type="dxa"/>
            <w:right w:w="0" w:type="dxa"/>
          </w:tblCellMar>
        </w:tblPrEx>
        <w:trPr>
          <w:cantSplit/>
          <w:trHeight w:val="0" w:hRule="atLeast"/>
        </w:trPr>
        <w:tc>
          <w:tcPr>
            <w:tcW w:w="672" w:type="dxa"/>
            <w:tcBorders>
              <w:top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1</w:t>
            </w:r>
          </w:p>
        </w:tc>
        <w:tc>
          <w:tcPr>
            <w:tcW w:w="2702"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界标</w:t>
            </w:r>
          </w:p>
        </w:tc>
        <w:tc>
          <w:tcPr>
            <w:tcW w:w="1667"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4</w:t>
            </w:r>
            <w:r>
              <w:rPr>
                <w:rFonts w:hint="default" w:ascii="Calibri" w:hAnsi="Calibri" w:eastAsia="宋体" w:cs="Times New Roman"/>
                <w:b w:val="0"/>
                <w:bCs/>
                <w:sz w:val="21"/>
                <w:szCs w:val="21"/>
                <w:lang w:val="en-US" w:eastAsia="zh-CN"/>
              </w:rPr>
              <w:t>个</w:t>
            </w:r>
          </w:p>
        </w:tc>
        <w:tc>
          <w:tcPr>
            <w:tcW w:w="883"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0.4万</w:t>
            </w:r>
          </w:p>
        </w:tc>
        <w:tc>
          <w:tcPr>
            <w:tcW w:w="1025"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1.6</w:t>
            </w:r>
          </w:p>
        </w:tc>
        <w:tc>
          <w:tcPr>
            <w:tcW w:w="1273" w:type="dxa"/>
            <w:tcBorders>
              <w:top w:val="single" w:color="000000" w:sz="6" w:space="0"/>
              <w:left w:val="single" w:color="000000" w:sz="6"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p>
        </w:tc>
      </w:tr>
      <w:tr>
        <w:tblPrEx>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CellMar>
            <w:top w:w="0" w:type="dxa"/>
            <w:left w:w="0" w:type="dxa"/>
            <w:bottom w:w="0" w:type="dxa"/>
            <w:right w:w="0" w:type="dxa"/>
          </w:tblCellMar>
        </w:tblPrEx>
        <w:trPr>
          <w:cantSplit/>
          <w:trHeight w:val="0" w:hRule="atLeast"/>
        </w:trPr>
        <w:tc>
          <w:tcPr>
            <w:tcW w:w="672" w:type="dxa"/>
            <w:tcBorders>
              <w:top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2</w:t>
            </w:r>
          </w:p>
        </w:tc>
        <w:tc>
          <w:tcPr>
            <w:tcW w:w="2702"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交通警示牌（危险品禁运标志牌与交通警示牌合建）</w:t>
            </w:r>
          </w:p>
        </w:tc>
        <w:tc>
          <w:tcPr>
            <w:tcW w:w="1667"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2块</w:t>
            </w:r>
          </w:p>
        </w:tc>
        <w:tc>
          <w:tcPr>
            <w:tcW w:w="883"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0.4万</w:t>
            </w:r>
          </w:p>
        </w:tc>
        <w:tc>
          <w:tcPr>
            <w:tcW w:w="1025"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0.8</w:t>
            </w:r>
          </w:p>
        </w:tc>
        <w:tc>
          <w:tcPr>
            <w:tcW w:w="1273" w:type="dxa"/>
            <w:tcBorders>
              <w:top w:val="single" w:color="000000" w:sz="6" w:space="0"/>
              <w:left w:val="single" w:color="000000" w:sz="6"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p>
        </w:tc>
      </w:tr>
      <w:tr>
        <w:tblPrEx>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CellMar>
            <w:top w:w="0" w:type="dxa"/>
            <w:left w:w="0" w:type="dxa"/>
            <w:bottom w:w="0" w:type="dxa"/>
            <w:right w:w="0" w:type="dxa"/>
          </w:tblCellMar>
        </w:tblPrEx>
        <w:trPr>
          <w:cantSplit/>
          <w:trHeight w:val="0" w:hRule="atLeast"/>
        </w:trPr>
        <w:tc>
          <w:tcPr>
            <w:tcW w:w="672" w:type="dxa"/>
            <w:tcBorders>
              <w:top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3</w:t>
            </w:r>
          </w:p>
        </w:tc>
        <w:tc>
          <w:tcPr>
            <w:tcW w:w="2702"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宣传牌</w:t>
            </w:r>
          </w:p>
        </w:tc>
        <w:tc>
          <w:tcPr>
            <w:tcW w:w="1667"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2</w:t>
            </w:r>
            <w:r>
              <w:rPr>
                <w:rFonts w:hint="default" w:ascii="Calibri" w:hAnsi="Calibri" w:eastAsia="宋体" w:cs="Times New Roman"/>
                <w:b w:val="0"/>
                <w:bCs/>
                <w:sz w:val="21"/>
                <w:szCs w:val="21"/>
                <w:lang w:val="en-US" w:eastAsia="zh-CN"/>
              </w:rPr>
              <w:t>块</w:t>
            </w:r>
          </w:p>
        </w:tc>
        <w:tc>
          <w:tcPr>
            <w:tcW w:w="883"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0.4万</w:t>
            </w:r>
          </w:p>
        </w:tc>
        <w:tc>
          <w:tcPr>
            <w:tcW w:w="1025"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0.</w:t>
            </w:r>
            <w:r>
              <w:rPr>
                <w:rFonts w:hint="eastAsia" w:ascii="Calibri" w:hAnsi="Calibri" w:eastAsia="宋体" w:cs="Times New Roman"/>
                <w:b w:val="0"/>
                <w:bCs/>
                <w:sz w:val="21"/>
                <w:szCs w:val="21"/>
                <w:lang w:val="en-US" w:eastAsia="zh-CN"/>
              </w:rPr>
              <w:t>8</w:t>
            </w:r>
          </w:p>
        </w:tc>
        <w:tc>
          <w:tcPr>
            <w:tcW w:w="1273" w:type="dxa"/>
            <w:tcBorders>
              <w:top w:val="single" w:color="000000" w:sz="6" w:space="0"/>
              <w:left w:val="single" w:color="000000" w:sz="6"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p>
        </w:tc>
      </w:tr>
      <w:tr>
        <w:tblPrEx>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CellMar>
            <w:top w:w="0" w:type="dxa"/>
            <w:left w:w="0" w:type="dxa"/>
            <w:bottom w:w="0" w:type="dxa"/>
            <w:right w:w="0" w:type="dxa"/>
          </w:tblCellMar>
        </w:tblPrEx>
        <w:trPr>
          <w:cantSplit/>
          <w:trHeight w:val="0" w:hRule="atLeast"/>
        </w:trPr>
        <w:tc>
          <w:tcPr>
            <w:tcW w:w="672" w:type="dxa"/>
            <w:tcBorders>
              <w:top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bCs w:val="0"/>
                <w:sz w:val="21"/>
                <w:szCs w:val="21"/>
                <w:lang w:val="en-US" w:eastAsia="zh-CN"/>
              </w:rPr>
            </w:pPr>
            <w:r>
              <w:rPr>
                <w:rFonts w:hint="default" w:ascii="Calibri" w:hAnsi="Calibri" w:eastAsia="宋体" w:cs="Times New Roman"/>
                <w:b/>
                <w:bCs w:val="0"/>
                <w:sz w:val="21"/>
                <w:szCs w:val="21"/>
                <w:lang w:val="en-US" w:eastAsia="zh-CN"/>
              </w:rPr>
              <w:t>二</w:t>
            </w:r>
          </w:p>
        </w:tc>
        <w:tc>
          <w:tcPr>
            <w:tcW w:w="2702"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bCs w:val="0"/>
                <w:sz w:val="21"/>
                <w:szCs w:val="21"/>
                <w:lang w:val="en-US" w:eastAsia="zh-CN"/>
              </w:rPr>
            </w:pPr>
            <w:r>
              <w:rPr>
                <w:rFonts w:hint="default" w:ascii="Calibri" w:hAnsi="Calibri" w:eastAsia="宋体" w:cs="Times New Roman"/>
                <w:b/>
                <w:bCs w:val="0"/>
                <w:sz w:val="21"/>
                <w:szCs w:val="21"/>
                <w:lang w:val="en-US" w:eastAsia="zh-CN"/>
              </w:rPr>
              <w:t>一级保护区污染整治措施</w:t>
            </w:r>
          </w:p>
        </w:tc>
        <w:tc>
          <w:tcPr>
            <w:tcW w:w="1667"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bCs w:val="0"/>
                <w:sz w:val="21"/>
                <w:szCs w:val="21"/>
                <w:lang w:val="en-US" w:eastAsia="zh-CN"/>
              </w:rPr>
            </w:pPr>
          </w:p>
        </w:tc>
        <w:tc>
          <w:tcPr>
            <w:tcW w:w="883"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bCs w:val="0"/>
                <w:sz w:val="21"/>
                <w:szCs w:val="21"/>
                <w:lang w:val="en-US" w:eastAsia="zh-CN"/>
              </w:rPr>
            </w:pPr>
          </w:p>
        </w:tc>
        <w:tc>
          <w:tcPr>
            <w:tcW w:w="1025"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bCs w:val="0"/>
                <w:sz w:val="21"/>
                <w:szCs w:val="21"/>
                <w:lang w:val="en-US" w:eastAsia="zh-CN"/>
              </w:rPr>
            </w:pPr>
            <w:r>
              <w:rPr>
                <w:rFonts w:hint="eastAsia" w:ascii="Calibri" w:hAnsi="Calibri" w:eastAsia="宋体" w:cs="Times New Roman"/>
                <w:b/>
                <w:bCs w:val="0"/>
                <w:sz w:val="21"/>
                <w:szCs w:val="21"/>
                <w:lang w:val="en-US" w:eastAsia="zh-CN"/>
              </w:rPr>
              <w:t>11.29</w:t>
            </w:r>
          </w:p>
        </w:tc>
        <w:tc>
          <w:tcPr>
            <w:tcW w:w="1273" w:type="dxa"/>
            <w:tcBorders>
              <w:top w:val="single" w:color="000000" w:sz="6" w:space="0"/>
              <w:left w:val="single" w:color="000000" w:sz="6"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p>
        </w:tc>
      </w:tr>
      <w:tr>
        <w:tblPrEx>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CellMar>
            <w:top w:w="0" w:type="dxa"/>
            <w:left w:w="0" w:type="dxa"/>
            <w:bottom w:w="0" w:type="dxa"/>
            <w:right w:w="0" w:type="dxa"/>
          </w:tblCellMar>
        </w:tblPrEx>
        <w:trPr>
          <w:cantSplit/>
          <w:trHeight w:val="0" w:hRule="atLeast"/>
        </w:trPr>
        <w:tc>
          <w:tcPr>
            <w:tcW w:w="672" w:type="dxa"/>
            <w:tcBorders>
              <w:top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1</w:t>
            </w:r>
          </w:p>
        </w:tc>
        <w:tc>
          <w:tcPr>
            <w:tcW w:w="2702"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四格净化池</w:t>
            </w:r>
          </w:p>
        </w:tc>
        <w:tc>
          <w:tcPr>
            <w:tcW w:w="1667"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1套</w:t>
            </w:r>
          </w:p>
        </w:tc>
        <w:tc>
          <w:tcPr>
            <w:tcW w:w="883"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0.8</w:t>
            </w:r>
          </w:p>
        </w:tc>
        <w:tc>
          <w:tcPr>
            <w:tcW w:w="1025"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0.8</w:t>
            </w:r>
          </w:p>
        </w:tc>
        <w:tc>
          <w:tcPr>
            <w:tcW w:w="1273" w:type="dxa"/>
            <w:tcBorders>
              <w:top w:val="single" w:color="000000" w:sz="6" w:space="0"/>
              <w:left w:val="single" w:color="000000" w:sz="6"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p>
        </w:tc>
      </w:tr>
      <w:tr>
        <w:tblPrEx>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CellMar>
            <w:top w:w="0" w:type="dxa"/>
            <w:left w:w="0" w:type="dxa"/>
            <w:bottom w:w="0" w:type="dxa"/>
            <w:right w:w="0" w:type="dxa"/>
          </w:tblCellMar>
        </w:tblPrEx>
        <w:trPr>
          <w:cantSplit/>
          <w:trHeight w:val="0" w:hRule="atLeast"/>
        </w:trPr>
        <w:tc>
          <w:tcPr>
            <w:tcW w:w="672" w:type="dxa"/>
            <w:tcBorders>
              <w:top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2</w:t>
            </w:r>
          </w:p>
        </w:tc>
        <w:tc>
          <w:tcPr>
            <w:tcW w:w="2702"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垃圾桶</w:t>
            </w:r>
          </w:p>
        </w:tc>
        <w:tc>
          <w:tcPr>
            <w:tcW w:w="1667"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2个</w:t>
            </w:r>
          </w:p>
        </w:tc>
        <w:tc>
          <w:tcPr>
            <w:tcW w:w="883"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0.01</w:t>
            </w:r>
          </w:p>
        </w:tc>
        <w:tc>
          <w:tcPr>
            <w:tcW w:w="1025"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0.02</w:t>
            </w:r>
          </w:p>
        </w:tc>
        <w:tc>
          <w:tcPr>
            <w:tcW w:w="1273" w:type="dxa"/>
            <w:tcBorders>
              <w:top w:val="single" w:color="000000" w:sz="6" w:space="0"/>
              <w:left w:val="single" w:color="000000" w:sz="6"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p>
        </w:tc>
      </w:tr>
      <w:tr>
        <w:tblPrEx>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CellMar>
            <w:top w:w="0" w:type="dxa"/>
            <w:left w:w="0" w:type="dxa"/>
            <w:bottom w:w="0" w:type="dxa"/>
            <w:right w:w="0" w:type="dxa"/>
          </w:tblCellMar>
        </w:tblPrEx>
        <w:trPr>
          <w:cantSplit/>
          <w:trHeight w:val="0" w:hRule="atLeast"/>
        </w:trPr>
        <w:tc>
          <w:tcPr>
            <w:tcW w:w="672" w:type="dxa"/>
            <w:tcBorders>
              <w:top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3</w:t>
            </w:r>
          </w:p>
        </w:tc>
        <w:tc>
          <w:tcPr>
            <w:tcW w:w="2702"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隔离网</w:t>
            </w:r>
          </w:p>
        </w:tc>
        <w:tc>
          <w:tcPr>
            <w:tcW w:w="1667"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349米</w:t>
            </w:r>
          </w:p>
        </w:tc>
        <w:tc>
          <w:tcPr>
            <w:tcW w:w="883"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p>
        </w:tc>
        <w:tc>
          <w:tcPr>
            <w:tcW w:w="1025"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10.47</w:t>
            </w:r>
          </w:p>
        </w:tc>
        <w:tc>
          <w:tcPr>
            <w:tcW w:w="1273" w:type="dxa"/>
            <w:tcBorders>
              <w:top w:val="single" w:color="000000" w:sz="6" w:space="0"/>
              <w:left w:val="single" w:color="000000" w:sz="6"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p>
        </w:tc>
      </w:tr>
      <w:tr>
        <w:tblPrEx>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CellMar>
            <w:top w:w="0" w:type="dxa"/>
            <w:left w:w="0" w:type="dxa"/>
            <w:bottom w:w="0" w:type="dxa"/>
            <w:right w:w="0" w:type="dxa"/>
          </w:tblCellMar>
        </w:tblPrEx>
        <w:trPr>
          <w:cantSplit/>
          <w:trHeight w:val="0" w:hRule="atLeast"/>
        </w:trPr>
        <w:tc>
          <w:tcPr>
            <w:tcW w:w="672" w:type="dxa"/>
            <w:tcBorders>
              <w:top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bCs w:val="0"/>
                <w:sz w:val="21"/>
                <w:szCs w:val="21"/>
                <w:lang w:val="en-US" w:eastAsia="zh-CN"/>
              </w:rPr>
            </w:pPr>
            <w:r>
              <w:rPr>
                <w:rFonts w:hint="default" w:ascii="Calibri" w:hAnsi="Calibri" w:eastAsia="宋体" w:cs="Times New Roman"/>
                <w:b/>
                <w:bCs w:val="0"/>
                <w:sz w:val="21"/>
                <w:szCs w:val="21"/>
                <w:lang w:val="en-US" w:eastAsia="zh-CN"/>
              </w:rPr>
              <w:t>三</w:t>
            </w:r>
          </w:p>
        </w:tc>
        <w:tc>
          <w:tcPr>
            <w:tcW w:w="2702"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bCs w:val="0"/>
                <w:sz w:val="21"/>
                <w:szCs w:val="21"/>
                <w:lang w:val="en-US" w:eastAsia="zh-CN"/>
              </w:rPr>
            </w:pPr>
            <w:r>
              <w:rPr>
                <w:rFonts w:hint="default" w:ascii="Calibri" w:hAnsi="Calibri" w:eastAsia="宋体" w:cs="Times New Roman"/>
                <w:b/>
                <w:bCs w:val="0"/>
                <w:sz w:val="21"/>
                <w:szCs w:val="21"/>
                <w:lang w:val="en-US" w:eastAsia="zh-CN"/>
              </w:rPr>
              <w:t>环境监测、监管</w:t>
            </w:r>
          </w:p>
        </w:tc>
        <w:tc>
          <w:tcPr>
            <w:tcW w:w="1667"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bCs w:val="0"/>
                <w:sz w:val="21"/>
                <w:szCs w:val="21"/>
                <w:lang w:val="en-US" w:eastAsia="zh-CN"/>
              </w:rPr>
            </w:pPr>
          </w:p>
        </w:tc>
        <w:tc>
          <w:tcPr>
            <w:tcW w:w="883"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bCs w:val="0"/>
                <w:sz w:val="21"/>
                <w:szCs w:val="21"/>
                <w:lang w:val="en-US" w:eastAsia="zh-CN"/>
              </w:rPr>
            </w:pPr>
          </w:p>
        </w:tc>
        <w:tc>
          <w:tcPr>
            <w:tcW w:w="1025"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eastAsia="宋体" w:cs="Times New Roman"/>
                <w:b/>
                <w:bCs w:val="0"/>
                <w:sz w:val="21"/>
                <w:szCs w:val="21"/>
                <w:lang w:val="en-US" w:eastAsia="zh-CN"/>
              </w:rPr>
            </w:pPr>
            <w:r>
              <w:rPr>
                <w:rFonts w:hint="eastAsia" w:ascii="Calibri" w:hAnsi="Calibri" w:eastAsia="宋体" w:cs="Times New Roman"/>
                <w:b/>
                <w:bCs w:val="0"/>
                <w:sz w:val="21"/>
                <w:szCs w:val="21"/>
                <w:lang w:val="en-US" w:eastAsia="zh-CN"/>
              </w:rPr>
              <w:t>25.1</w:t>
            </w:r>
          </w:p>
        </w:tc>
        <w:tc>
          <w:tcPr>
            <w:tcW w:w="1273" w:type="dxa"/>
            <w:tcBorders>
              <w:top w:val="single" w:color="000000" w:sz="6" w:space="0"/>
              <w:left w:val="single" w:color="000000" w:sz="6"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p>
        </w:tc>
      </w:tr>
      <w:tr>
        <w:tblPrEx>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CellMar>
            <w:top w:w="0" w:type="dxa"/>
            <w:left w:w="0" w:type="dxa"/>
            <w:bottom w:w="0" w:type="dxa"/>
            <w:right w:w="0" w:type="dxa"/>
          </w:tblCellMar>
        </w:tblPrEx>
        <w:trPr>
          <w:cantSplit/>
          <w:trHeight w:val="0" w:hRule="atLeast"/>
        </w:trPr>
        <w:tc>
          <w:tcPr>
            <w:tcW w:w="672" w:type="dxa"/>
            <w:tcBorders>
              <w:top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1</w:t>
            </w:r>
          </w:p>
        </w:tc>
        <w:tc>
          <w:tcPr>
            <w:tcW w:w="2702"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水质监测（含2年一次全分析）</w:t>
            </w:r>
          </w:p>
        </w:tc>
        <w:tc>
          <w:tcPr>
            <w:tcW w:w="1667"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p>
        </w:tc>
        <w:tc>
          <w:tcPr>
            <w:tcW w:w="883"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p>
        </w:tc>
        <w:tc>
          <w:tcPr>
            <w:tcW w:w="1025"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4</w:t>
            </w:r>
          </w:p>
        </w:tc>
        <w:tc>
          <w:tcPr>
            <w:tcW w:w="1273" w:type="dxa"/>
            <w:tcBorders>
              <w:top w:val="single" w:color="000000" w:sz="6" w:space="0"/>
              <w:left w:val="single" w:color="000000" w:sz="6"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每年费用</w:t>
            </w:r>
          </w:p>
        </w:tc>
      </w:tr>
      <w:tr>
        <w:tblPrEx>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CellMar>
            <w:top w:w="0" w:type="dxa"/>
            <w:left w:w="0" w:type="dxa"/>
            <w:bottom w:w="0" w:type="dxa"/>
            <w:right w:w="0" w:type="dxa"/>
          </w:tblCellMar>
        </w:tblPrEx>
        <w:trPr>
          <w:cantSplit/>
          <w:trHeight w:val="0" w:hRule="atLeast"/>
        </w:trPr>
        <w:tc>
          <w:tcPr>
            <w:tcW w:w="672" w:type="dxa"/>
            <w:tcBorders>
              <w:top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2</w:t>
            </w:r>
          </w:p>
        </w:tc>
        <w:tc>
          <w:tcPr>
            <w:tcW w:w="2702"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饮用水水源保护区划分</w:t>
            </w:r>
          </w:p>
        </w:tc>
        <w:tc>
          <w:tcPr>
            <w:tcW w:w="1667"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p>
        </w:tc>
        <w:tc>
          <w:tcPr>
            <w:tcW w:w="883"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p>
        </w:tc>
        <w:tc>
          <w:tcPr>
            <w:tcW w:w="1025"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8</w:t>
            </w:r>
          </w:p>
        </w:tc>
        <w:tc>
          <w:tcPr>
            <w:tcW w:w="1273" w:type="dxa"/>
            <w:tcBorders>
              <w:top w:val="single" w:color="000000" w:sz="6" w:space="0"/>
              <w:left w:val="single" w:color="000000" w:sz="6"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p>
        </w:tc>
      </w:tr>
      <w:tr>
        <w:tblPrEx>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CellMar>
            <w:top w:w="0" w:type="dxa"/>
            <w:left w:w="0" w:type="dxa"/>
            <w:bottom w:w="0" w:type="dxa"/>
            <w:right w:w="0" w:type="dxa"/>
          </w:tblCellMar>
        </w:tblPrEx>
        <w:trPr>
          <w:cantSplit/>
          <w:trHeight w:val="0" w:hRule="atLeast"/>
        </w:trPr>
        <w:tc>
          <w:tcPr>
            <w:tcW w:w="672" w:type="dxa"/>
            <w:tcBorders>
              <w:top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3</w:t>
            </w:r>
          </w:p>
        </w:tc>
        <w:tc>
          <w:tcPr>
            <w:tcW w:w="2702"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环境监管</w:t>
            </w:r>
          </w:p>
        </w:tc>
        <w:tc>
          <w:tcPr>
            <w:tcW w:w="1667"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建档、巡查等</w:t>
            </w:r>
          </w:p>
        </w:tc>
        <w:tc>
          <w:tcPr>
            <w:tcW w:w="883"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p>
        </w:tc>
        <w:tc>
          <w:tcPr>
            <w:tcW w:w="1025"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5</w:t>
            </w:r>
          </w:p>
        </w:tc>
        <w:tc>
          <w:tcPr>
            <w:tcW w:w="1273" w:type="dxa"/>
            <w:tcBorders>
              <w:top w:val="single" w:color="000000" w:sz="6" w:space="0"/>
              <w:left w:val="single" w:color="000000" w:sz="6"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p>
        </w:tc>
      </w:tr>
      <w:tr>
        <w:tblPrEx>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CellMar>
            <w:top w:w="0" w:type="dxa"/>
            <w:left w:w="0" w:type="dxa"/>
            <w:bottom w:w="0" w:type="dxa"/>
            <w:right w:w="0" w:type="dxa"/>
          </w:tblCellMar>
        </w:tblPrEx>
        <w:trPr>
          <w:cantSplit/>
          <w:trHeight w:val="0" w:hRule="atLeast"/>
        </w:trPr>
        <w:tc>
          <w:tcPr>
            <w:tcW w:w="672" w:type="dxa"/>
            <w:tcBorders>
              <w:top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4</w:t>
            </w:r>
          </w:p>
        </w:tc>
        <w:tc>
          <w:tcPr>
            <w:tcW w:w="2702"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应急预案</w:t>
            </w:r>
          </w:p>
        </w:tc>
        <w:tc>
          <w:tcPr>
            <w:tcW w:w="1667"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p>
        </w:tc>
        <w:tc>
          <w:tcPr>
            <w:tcW w:w="883"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6</w:t>
            </w:r>
          </w:p>
        </w:tc>
        <w:tc>
          <w:tcPr>
            <w:tcW w:w="1025"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6</w:t>
            </w:r>
          </w:p>
        </w:tc>
        <w:tc>
          <w:tcPr>
            <w:tcW w:w="1273" w:type="dxa"/>
            <w:tcBorders>
              <w:top w:val="single" w:color="000000" w:sz="6" w:space="0"/>
              <w:left w:val="single" w:color="000000" w:sz="6"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p>
        </w:tc>
      </w:tr>
      <w:tr>
        <w:tblPrEx>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CellMar>
            <w:top w:w="0" w:type="dxa"/>
            <w:left w:w="0" w:type="dxa"/>
            <w:bottom w:w="0" w:type="dxa"/>
            <w:right w:w="0" w:type="dxa"/>
          </w:tblCellMar>
        </w:tblPrEx>
        <w:trPr>
          <w:cantSplit/>
          <w:trHeight w:val="0" w:hRule="atLeast"/>
        </w:trPr>
        <w:tc>
          <w:tcPr>
            <w:tcW w:w="672" w:type="dxa"/>
            <w:tcBorders>
              <w:top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5</w:t>
            </w:r>
          </w:p>
        </w:tc>
        <w:tc>
          <w:tcPr>
            <w:tcW w:w="2702"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宣传手册</w:t>
            </w:r>
          </w:p>
        </w:tc>
        <w:tc>
          <w:tcPr>
            <w:tcW w:w="1667"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7000份</w:t>
            </w:r>
          </w:p>
        </w:tc>
        <w:tc>
          <w:tcPr>
            <w:tcW w:w="883"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0.0003</w:t>
            </w:r>
          </w:p>
        </w:tc>
        <w:tc>
          <w:tcPr>
            <w:tcW w:w="1025"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2.1</w:t>
            </w:r>
          </w:p>
        </w:tc>
        <w:tc>
          <w:tcPr>
            <w:tcW w:w="1273" w:type="dxa"/>
            <w:tcBorders>
              <w:top w:val="single" w:color="000000" w:sz="6" w:space="0"/>
              <w:left w:val="single" w:color="000000" w:sz="6"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p>
        </w:tc>
      </w:tr>
      <w:tr>
        <w:tblPrEx>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CellMar>
            <w:top w:w="0" w:type="dxa"/>
            <w:left w:w="0" w:type="dxa"/>
            <w:bottom w:w="0" w:type="dxa"/>
            <w:right w:w="0" w:type="dxa"/>
          </w:tblCellMar>
        </w:tblPrEx>
        <w:trPr>
          <w:cantSplit/>
          <w:trHeight w:val="0" w:hRule="atLeast"/>
        </w:trPr>
        <w:tc>
          <w:tcPr>
            <w:tcW w:w="3374" w:type="dxa"/>
            <w:gridSpan w:val="2"/>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bCs w:val="0"/>
                <w:sz w:val="21"/>
                <w:szCs w:val="21"/>
                <w:lang w:val="en-US" w:eastAsia="zh-CN"/>
              </w:rPr>
            </w:pPr>
            <w:r>
              <w:rPr>
                <w:rFonts w:hint="default" w:ascii="Calibri" w:hAnsi="Calibri" w:eastAsia="宋体" w:cs="Times New Roman"/>
                <w:b/>
                <w:bCs w:val="0"/>
                <w:sz w:val="21"/>
                <w:szCs w:val="21"/>
                <w:lang w:val="en-US" w:eastAsia="zh-CN"/>
              </w:rPr>
              <w:t>合计</w:t>
            </w:r>
          </w:p>
        </w:tc>
        <w:tc>
          <w:tcPr>
            <w:tcW w:w="1667" w:type="dxa"/>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bCs w:val="0"/>
                <w:sz w:val="21"/>
                <w:szCs w:val="21"/>
                <w:lang w:val="en-US" w:eastAsia="zh-CN"/>
              </w:rPr>
            </w:pPr>
          </w:p>
        </w:tc>
        <w:tc>
          <w:tcPr>
            <w:tcW w:w="883" w:type="dxa"/>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bCs w:val="0"/>
                <w:sz w:val="21"/>
                <w:szCs w:val="21"/>
                <w:lang w:val="en-US" w:eastAsia="zh-CN"/>
              </w:rPr>
            </w:pPr>
          </w:p>
        </w:tc>
        <w:tc>
          <w:tcPr>
            <w:tcW w:w="1025" w:type="dxa"/>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bCs w:val="0"/>
                <w:sz w:val="21"/>
                <w:szCs w:val="21"/>
                <w:lang w:val="en-US" w:eastAsia="zh-CN"/>
              </w:rPr>
            </w:pPr>
            <w:r>
              <w:rPr>
                <w:rFonts w:hint="eastAsia" w:ascii="Calibri" w:hAnsi="Calibri" w:eastAsia="宋体" w:cs="Times New Roman"/>
                <w:b/>
                <w:bCs w:val="0"/>
                <w:sz w:val="21"/>
                <w:szCs w:val="21"/>
                <w:lang w:val="en-US" w:eastAsia="zh-CN"/>
              </w:rPr>
              <w:t>39.59</w:t>
            </w:r>
          </w:p>
        </w:tc>
        <w:tc>
          <w:tcPr>
            <w:tcW w:w="1273" w:type="dxa"/>
            <w:tcBorders>
              <w:top w:val="single" w:color="000000" w:sz="6" w:space="0"/>
              <w:left w:val="single" w:color="000000" w:sz="6" w:space="0"/>
              <w:bottom w:val="single" w:color="000000" w:sz="6"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b w:val="0"/>
                <w:bCs/>
                <w:sz w:val="21"/>
                <w:szCs w:val="21"/>
                <w:lang w:val="en-US" w:eastAsia="zh-CN"/>
              </w:rPr>
            </w:pPr>
          </w:p>
        </w:tc>
      </w:tr>
    </w:tbl>
    <w:p>
      <w:pPr>
        <w:pStyle w:val="3"/>
        <w:spacing w:before="120" w:after="120"/>
        <w:rPr>
          <w:rFonts w:hint="eastAsia" w:ascii="Times New Roman" w:hAnsi="Times New Roman" w:cs="Times New Roman"/>
        </w:rPr>
      </w:pPr>
      <w:bookmarkStart w:id="337" w:name="_Toc16557"/>
      <w:bookmarkStart w:id="338" w:name="_Toc30822"/>
      <w:bookmarkStart w:id="339" w:name="_Toc3389"/>
      <w:r>
        <w:rPr>
          <w:rFonts w:hint="eastAsia" w:ascii="Times New Roman" w:hAnsi="Times New Roman" w:cs="Times New Roman"/>
        </w:rPr>
        <w:t>6.2 法律法规与政策制度保障</w:t>
      </w:r>
      <w:bookmarkEnd w:id="337"/>
      <w:bookmarkEnd w:id="338"/>
      <w:bookmarkEnd w:id="339"/>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湘阴县人民政府已于2013年8月制定出台了《湘阴县饮用水水源保护区管理暂行办法》，并以规范性文件形式（湘阴政办发【2013】39号）下发到各乡、镇人民政府及县直有关单位。</w:t>
      </w:r>
    </w:p>
    <w:p>
      <w:pPr>
        <w:adjustRightInd w:val="0"/>
        <w:snapToGrid w:val="0"/>
        <w:spacing w:line="360" w:lineRule="auto"/>
        <w:ind w:firstLine="488" w:firstLineChars="200"/>
        <w:jc w:val="left"/>
        <w:rPr>
          <w:rFonts w:hint="default" w:ascii="Calibri" w:hAnsi="Calibri" w:eastAsia="宋体" w:cs="宋体"/>
          <w:sz w:val="24"/>
          <w:szCs w:val="22"/>
          <w:lang w:val="en-US" w:eastAsia="zh-CN" w:bidi="ar"/>
        </w:rPr>
      </w:pPr>
      <w:r>
        <w:rPr>
          <w:rFonts w:hint="eastAsia" w:ascii="Calibri" w:hAnsi="Calibri" w:eastAsia="宋体" w:cs="宋体"/>
          <w:sz w:val="24"/>
          <w:szCs w:val="22"/>
          <w:lang w:val="en-US" w:eastAsia="zh-CN" w:bidi="ar"/>
        </w:rPr>
        <w:t>《湘阴县饮用水水源保护区管理暂行办法》共分总则、饮用水源保护区范围和水质标准、饮用水水源保护区污染防治、监督管理、奖励和处罚、附则六章共38条。</w:t>
      </w:r>
    </w:p>
    <w:p>
      <w:pPr>
        <w:pStyle w:val="3"/>
        <w:spacing w:before="120" w:after="120"/>
        <w:rPr>
          <w:rFonts w:hint="eastAsia" w:ascii="Times New Roman" w:hAnsi="Times New Roman" w:cs="Times New Roman"/>
        </w:rPr>
      </w:pPr>
      <w:bookmarkStart w:id="340" w:name="_Toc21004"/>
      <w:bookmarkStart w:id="341" w:name="_Toc11231"/>
      <w:r>
        <w:rPr>
          <w:rFonts w:hint="eastAsia" w:ascii="Times New Roman" w:hAnsi="Times New Roman" w:cs="Times New Roman"/>
        </w:rPr>
        <w:t>6.3 组织分工与管理保障</w:t>
      </w:r>
      <w:bookmarkEnd w:id="340"/>
      <w:bookmarkEnd w:id="341"/>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各有关行政管理部门，应当按照各自的职责，做好本地下水饮用水水源保护区环境保护工作。</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县水土水资源局负责会同有关部门编制水资源保护规划和饮用水水源建设达标规划，并上报省水利厅审批。</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县环保局负责饮用水水源保护区生态环境保护与污染防治工作；负责污染源监督管理，依法实施水污染物排放许可证制度，在饮用水水源保护区及其周围地区实行污染物总量控制；负责饮用水水源保护区的水质监控；负责对环境违法案件的调查处理。</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县规划、发改、工信、招商等部门根据全县国民经济和社会发展规划，负责做好饮用水水源保护区内及城区的土地利用规划、产业规划的调整，严禁污染水源项目落地。</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县住建局及乡镇政府负责生活污水处理设施、生活垃圾处理设施建设和管理，防止生活污水、垃圾等污染饮用水水源。</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 xml:space="preserve">县自然资源局负责饮用水水源保护区土地管理，纠正、查处违法用地。 </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县农业局负责饮用水水源保护区农业生产面源污染治理工作，鼓励农业生态耕作，测土配方，加强农药、化肥的监管，严格控制化肥和农药过量使用，禁止使用剧毒和高残留农药；督促饮用水水源保护区一级保护区范围内的菜地逐步退出。</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（7）县卫生局负责饮用水水源卫生质量的监督管理；制定饮水公共卫生事件应急预案，并对饮用水水源的卫生状况进行定期监测；加强对居民饮水卫生知识的教育和宣传。</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bookmarkStart w:id="342" w:name="_Toc28308"/>
      <w:r>
        <w:rPr>
          <w:rFonts w:hint="eastAsia" w:ascii="Calibri" w:hAnsi="Calibri" w:eastAsia="宋体" w:cs="宋体"/>
          <w:sz w:val="24"/>
          <w:szCs w:val="22"/>
          <w:lang w:val="en-US" w:eastAsia="zh-CN" w:bidi="ar"/>
        </w:rPr>
        <w:t>（8）县财政局负责落实饮用水水源地保护管理工作经费。</w:t>
      </w:r>
      <w:bookmarkEnd w:id="342"/>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bookmarkStart w:id="343" w:name="_Toc479"/>
      <w:r>
        <w:rPr>
          <w:rFonts w:hint="eastAsia" w:ascii="Calibri" w:hAnsi="Calibri" w:eastAsia="宋体" w:cs="宋体"/>
          <w:sz w:val="24"/>
          <w:szCs w:val="22"/>
          <w:lang w:val="en-US" w:eastAsia="zh-CN" w:bidi="ar"/>
        </w:rPr>
        <w:t>（9）县直其他职能部门根据各自职责，配合做好饮用水水源地保护管理相关工作。</w:t>
      </w:r>
      <w:bookmarkEnd w:id="343"/>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bookmarkStart w:id="344" w:name="_Toc9548"/>
      <w:r>
        <w:rPr>
          <w:rFonts w:hint="eastAsia" w:ascii="Calibri" w:hAnsi="Calibri" w:eastAsia="宋体" w:cs="宋体"/>
          <w:sz w:val="24"/>
          <w:szCs w:val="22"/>
          <w:lang w:val="en-US" w:eastAsia="zh-CN" w:bidi="ar"/>
        </w:rPr>
        <w:t>（10）饮用水水源保护区所在地乡镇、社区、村委会应教育和督促居民保护饮用水水源，保障生活污水、垃圾收集处理系统正常运转，支持配合有关部门查 处各类污染、破坏饮用水水源的违法行为。</w:t>
      </w:r>
      <w:bookmarkEnd w:id="344"/>
    </w:p>
    <w:p>
      <w:pPr>
        <w:pStyle w:val="3"/>
        <w:spacing w:before="120" w:after="120"/>
        <w:rPr>
          <w:rFonts w:hint="eastAsia" w:ascii="Times New Roman" w:hAnsi="Times New Roman" w:cs="Times New Roman"/>
        </w:rPr>
      </w:pPr>
      <w:bookmarkStart w:id="345" w:name="_Toc4458"/>
      <w:bookmarkStart w:id="346" w:name="_Toc29287"/>
      <w:r>
        <w:rPr>
          <w:rFonts w:hint="eastAsia" w:ascii="Times New Roman" w:hAnsi="Times New Roman" w:cs="Times New Roman"/>
        </w:rPr>
        <w:t>6.4 宣传与教育</w:t>
      </w:r>
      <w:bookmarkEnd w:id="345"/>
      <w:bookmarkEnd w:id="346"/>
    </w:p>
    <w:p>
      <w:pPr>
        <w:pStyle w:val="4"/>
        <w:spacing w:before="156" w:after="156"/>
        <w:rPr>
          <w:rFonts w:hint="eastAsia" w:asciiTheme="minorEastAsia" w:hAnsiTheme="minorEastAsia" w:eastAsiaTheme="minorEastAsia" w:cstheme="minorEastAsia"/>
          <w:b/>
          <w:bCs w:val="0"/>
          <w:lang w:val="en-US" w:eastAsia="zh-CN"/>
        </w:rPr>
      </w:pPr>
      <w:bookmarkStart w:id="347" w:name="_Toc16516"/>
      <w:bookmarkStart w:id="348" w:name="_Toc5105"/>
      <w:bookmarkStart w:id="349" w:name="_Toc13907"/>
      <w:r>
        <w:rPr>
          <w:rFonts w:hint="eastAsia" w:asciiTheme="minorEastAsia" w:hAnsiTheme="minorEastAsia" w:eastAsiaTheme="minorEastAsia" w:cstheme="minorEastAsia"/>
          <w:b/>
          <w:bCs w:val="0"/>
          <w:lang w:val="en-US" w:eastAsia="zh-CN"/>
        </w:rPr>
        <w:t>6.4.1建立公众参与机制</w:t>
      </w:r>
      <w:bookmarkEnd w:id="347"/>
      <w:bookmarkEnd w:id="348"/>
      <w:bookmarkEnd w:id="349"/>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饮用水水源保护区建设不单纯是政府的事，而是社会各界和全体村民的共同事业。要明确社会公众在饮用水水源保护中的作用。实施公众参与机制应采取以下两方面措施：制定公众参与的保障措施，确保政府在生态乡镇创建项目决策过程中的公众参与，形成公众参与的制度；制定鼓励公众参与的政策，要采取经济措施，要对在饮用水水源保护与可持续利用中参与执法、监督、生产、资源开发与保护、科学研究、宣传教育、人员培训、决策咨询等方面做出显著贡献的单位 和个人给予精神和物质奖励。</w:t>
      </w:r>
    </w:p>
    <w:p>
      <w:pPr>
        <w:pStyle w:val="4"/>
        <w:spacing w:before="156" w:after="156"/>
        <w:rPr>
          <w:rFonts w:hint="eastAsia" w:asciiTheme="minorEastAsia" w:hAnsiTheme="minorEastAsia" w:eastAsiaTheme="minorEastAsia" w:cstheme="minorEastAsia"/>
          <w:b/>
          <w:bCs w:val="0"/>
          <w:lang w:val="en-US" w:eastAsia="zh-CN"/>
        </w:rPr>
      </w:pPr>
      <w:bookmarkStart w:id="350" w:name="_Toc1700"/>
      <w:bookmarkStart w:id="351" w:name="_Toc8721"/>
      <w:bookmarkStart w:id="352" w:name="_Toc31409"/>
      <w:r>
        <w:rPr>
          <w:rFonts w:hint="eastAsia" w:asciiTheme="minorEastAsia" w:hAnsiTheme="minorEastAsia" w:eastAsiaTheme="minorEastAsia" w:cstheme="minorEastAsia"/>
          <w:b/>
          <w:bCs w:val="0"/>
          <w:lang w:val="en-US" w:eastAsia="zh-CN"/>
        </w:rPr>
        <w:t>6.4.2强化媒体宣教机制</w:t>
      </w:r>
      <w:bookmarkEnd w:id="350"/>
      <w:bookmarkEnd w:id="351"/>
      <w:bookmarkEnd w:id="352"/>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充分利用报刊、电视、广播等宣传阵地，宣传饮用水水源保护区建设与保护工作，同时，深入拓展微信、手机报等新兴媒介。增强水源保护区宣传策划的前瞻性和针对性，注重策划和组织重大环境新闻报道活动，紧紧围绕饮用水水源保护区建设和保护中心工作，以及创新性工作经验和社会普遍关注的热点问题，进行科学分析，做好专题策划，组织、发动媒体深入采访、追踪报道，切实增强报道的影响力。同时，着眼于维护群众的权益，组织报道群众关心的问题。广泛开展宣教活动。积极开展丰富多彩的环保宣传活动，以“6.5”世界环境日、“3.22”世界水日等重大节日为契机，开展形式多样的饮用水水源保护宣传教育活动，组织宣教活动进机关、进企业、进社区、进学校。加强部门协作，积极联合相关部门、新闻媒体等参与到活动的组织和宣传上来，扩大宣传教育影响。</w:t>
      </w:r>
    </w:p>
    <w:p>
      <w:pPr>
        <w:adjustRightInd w:val="0"/>
        <w:snapToGrid w:val="0"/>
        <w:spacing w:line="360" w:lineRule="auto"/>
        <w:ind w:firstLine="488"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积极拓宽宣传渠道。以环境监察、环境监测为载体，在饮用水水源保护行政执法过程中宣传相关法律法规和环保知识，增强企业和个人饮用水水源保护意识。以保护区周边设置固定环保宣传牌，悬挂环保宣传标语，发放环保宣传资料等，提升公众环保意识。</w:t>
      </w:r>
      <w:bookmarkStart w:id="353" w:name="_Toc14236"/>
      <w:bookmarkStart w:id="354" w:name="_Toc458323137"/>
      <w:bookmarkStart w:id="355" w:name="_Toc453061622"/>
      <w:bookmarkStart w:id="356" w:name="_Toc453061776"/>
    </w:p>
    <w:p>
      <w:pPr>
        <w:pStyle w:val="2"/>
        <w:spacing w:before="120" w:after="120"/>
        <w:jc w:val="left"/>
        <w:rPr>
          <w:rFonts w:hint="default" w:ascii="Times New Roman" w:hAnsi="Times New Roman" w:cs="Times New Roman"/>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0" w:num="1"/>
          <w:rtlGutter w:val="0"/>
          <w:docGrid w:type="linesAndChars" w:linePitch="332" w:charSpace="915"/>
        </w:sectPr>
      </w:pPr>
      <w:bookmarkStart w:id="357" w:name="_Toc22912"/>
      <w:bookmarkStart w:id="358" w:name="_Toc10948"/>
    </w:p>
    <w:p>
      <w:pPr>
        <w:pStyle w:val="2"/>
        <w:spacing w:before="120" w:after="120"/>
        <w:jc w:val="left"/>
        <w:rPr>
          <w:rFonts w:hint="default" w:ascii="Times New Roman" w:hAnsi="Times New Roman" w:cs="Times New Roman"/>
        </w:rPr>
      </w:pPr>
      <w:r>
        <w:rPr>
          <w:rFonts w:hint="default" w:ascii="Times New Roman" w:hAnsi="Times New Roman" w:cs="Times New Roman"/>
        </w:rPr>
        <w:t>附件</w:t>
      </w:r>
      <w:bookmarkEnd w:id="353"/>
      <w:bookmarkEnd w:id="357"/>
      <w:bookmarkEnd w:id="358"/>
    </w:p>
    <w:p>
      <w:pPr>
        <w:adjustRightInd w:val="0"/>
        <w:snapToGrid w:val="0"/>
        <w:spacing w:line="360" w:lineRule="auto"/>
        <w:ind w:firstLine="488" w:firstLineChars="200"/>
        <w:rPr>
          <w:rFonts w:ascii="Times New Roman" w:hAnsi="Times New Roman" w:eastAsia="宋体" w:cs="Times New Roman"/>
          <w:sz w:val="24"/>
          <w:szCs w:val="22"/>
        </w:rPr>
      </w:pPr>
      <w:r>
        <w:rPr>
          <w:rFonts w:ascii="Times New Roman" w:hAnsi="Times New Roman" w:eastAsia="宋体" w:cs="Times New Roman"/>
          <w:sz w:val="24"/>
          <w:szCs w:val="22"/>
        </w:rPr>
        <w:t>附件1  水质监测报告</w:t>
      </w:r>
    </w:p>
    <w:p>
      <w:pPr>
        <w:adjustRightInd w:val="0"/>
        <w:snapToGrid w:val="0"/>
        <w:spacing w:line="360" w:lineRule="auto"/>
        <w:ind w:firstLine="488" w:firstLineChars="200"/>
        <w:rPr>
          <w:rFonts w:ascii="Times New Roman" w:hAnsi="Times New Roman" w:eastAsia="宋体" w:cs="Times New Roman"/>
          <w:sz w:val="24"/>
          <w:szCs w:val="22"/>
        </w:rPr>
      </w:pPr>
      <w:r>
        <w:rPr>
          <w:rFonts w:ascii="Times New Roman" w:hAnsi="Times New Roman" w:eastAsia="宋体" w:cs="Times New Roman"/>
          <w:sz w:val="24"/>
          <w:szCs w:val="22"/>
        </w:rPr>
        <w:t>附件2  专家论证意见</w:t>
      </w:r>
    </w:p>
    <w:p>
      <w:pPr>
        <w:adjustRightInd w:val="0"/>
        <w:snapToGrid w:val="0"/>
        <w:spacing w:line="360" w:lineRule="auto"/>
        <w:ind w:firstLine="488" w:firstLineChars="200"/>
        <w:rPr>
          <w:rFonts w:ascii="Times New Roman" w:hAnsi="Times New Roman" w:eastAsia="宋体" w:cs="Times New Roman"/>
          <w:sz w:val="24"/>
          <w:szCs w:val="22"/>
        </w:rPr>
      </w:pPr>
      <w:r>
        <w:rPr>
          <w:rFonts w:ascii="Times New Roman" w:hAnsi="Times New Roman" w:eastAsia="宋体" w:cs="Times New Roman"/>
          <w:sz w:val="24"/>
          <w:szCs w:val="22"/>
        </w:rPr>
        <w:t>附件3  政府各部门意见</w:t>
      </w:r>
    </w:p>
    <w:p>
      <w:pPr>
        <w:adjustRightInd w:val="0"/>
        <w:snapToGrid w:val="0"/>
        <w:spacing w:line="360" w:lineRule="auto"/>
        <w:ind w:firstLine="488" w:firstLineChars="200"/>
        <w:rPr>
          <w:rFonts w:ascii="Times New Roman" w:hAnsi="Times New Roman" w:eastAsia="宋体" w:cs="Times New Roman"/>
          <w:sz w:val="24"/>
          <w:szCs w:val="22"/>
        </w:rPr>
      </w:pPr>
      <w:r>
        <w:rPr>
          <w:rFonts w:ascii="Times New Roman" w:hAnsi="Times New Roman" w:eastAsia="宋体" w:cs="Times New Roman"/>
          <w:sz w:val="24"/>
          <w:szCs w:val="22"/>
        </w:rPr>
        <w:t>附件4  论证意见、部门意见落实</w:t>
      </w:r>
    </w:p>
    <w:p>
      <w:pPr>
        <w:adjustRightInd w:val="0"/>
        <w:snapToGrid w:val="0"/>
        <w:spacing w:line="360" w:lineRule="auto"/>
        <w:ind w:firstLine="488" w:firstLineChars="200"/>
        <w:rPr>
          <w:rFonts w:ascii="Times New Roman" w:hAnsi="Times New Roman" w:cs="Times New Roman"/>
        </w:rPr>
      </w:pPr>
      <w:r>
        <w:rPr>
          <w:rFonts w:ascii="Times New Roman" w:hAnsi="Times New Roman" w:eastAsia="宋体" w:cs="Times New Roman"/>
          <w:sz w:val="24"/>
          <w:szCs w:val="22"/>
        </w:rPr>
        <w:t xml:space="preserve">附件5  </w:t>
      </w:r>
      <w:r>
        <w:rPr>
          <w:rFonts w:hint="eastAsia" w:ascii="Times New Roman" w:hAnsi="Times New Roman" w:eastAsia="宋体" w:cs="Times New Roman"/>
          <w:sz w:val="24"/>
          <w:szCs w:val="22"/>
          <w:lang w:eastAsia="zh-CN"/>
        </w:rPr>
        <w:t>三塘镇拦河坝水厂</w:t>
      </w:r>
      <w:r>
        <w:rPr>
          <w:rFonts w:ascii="Times New Roman" w:hAnsi="Times New Roman" w:eastAsia="宋体" w:cs="Times New Roman"/>
          <w:sz w:val="24"/>
          <w:szCs w:val="22"/>
        </w:rPr>
        <w:t>水井的水文、地质、成井的完工报告</w:t>
      </w:r>
    </w:p>
    <w:p>
      <w:pPr>
        <w:pStyle w:val="2"/>
        <w:spacing w:before="120" w:after="120"/>
        <w:jc w:val="left"/>
        <w:rPr>
          <w:rFonts w:hint="default" w:ascii="Times New Roman" w:hAnsi="Times New Roman" w:cs="Times New Roman"/>
        </w:rPr>
      </w:pPr>
      <w:bookmarkStart w:id="359" w:name="_Toc21172"/>
      <w:bookmarkStart w:id="360" w:name="_Toc31521"/>
      <w:bookmarkStart w:id="361" w:name="_Toc23106"/>
      <w:r>
        <w:rPr>
          <w:rFonts w:hint="default" w:ascii="Times New Roman" w:hAnsi="Times New Roman" w:cs="Times New Roman"/>
        </w:rPr>
        <w:t>附表</w:t>
      </w:r>
      <w:bookmarkEnd w:id="359"/>
      <w:bookmarkEnd w:id="360"/>
      <w:bookmarkEnd w:id="361"/>
    </w:p>
    <w:p>
      <w:pPr>
        <w:adjustRightInd w:val="0"/>
        <w:snapToGrid w:val="0"/>
        <w:spacing w:line="360" w:lineRule="auto"/>
        <w:ind w:firstLine="488" w:firstLineChars="200"/>
        <w:rPr>
          <w:rFonts w:ascii="Times New Roman" w:hAnsi="Times New Roman" w:eastAsia="宋体" w:cs="Times New Roman"/>
          <w:sz w:val="24"/>
          <w:szCs w:val="22"/>
        </w:rPr>
      </w:pPr>
      <w:r>
        <w:rPr>
          <w:rFonts w:ascii="Times New Roman" w:hAnsi="Times New Roman" w:eastAsia="宋体" w:cs="Times New Roman"/>
          <w:sz w:val="24"/>
          <w:szCs w:val="22"/>
        </w:rPr>
        <w:t>附表1 饮用水源地地表水系状况调查表</w:t>
      </w:r>
    </w:p>
    <w:p>
      <w:pPr>
        <w:adjustRightInd w:val="0"/>
        <w:snapToGrid w:val="0"/>
        <w:spacing w:line="360" w:lineRule="auto"/>
        <w:ind w:firstLine="488" w:firstLineChars="200"/>
        <w:rPr>
          <w:rFonts w:ascii="Times New Roman" w:hAnsi="Times New Roman" w:eastAsia="宋体" w:cs="Times New Roman"/>
          <w:sz w:val="24"/>
          <w:szCs w:val="22"/>
        </w:rPr>
      </w:pPr>
      <w:r>
        <w:rPr>
          <w:rFonts w:ascii="Times New Roman" w:hAnsi="Times New Roman" w:eastAsia="宋体" w:cs="Times New Roman"/>
          <w:sz w:val="24"/>
          <w:szCs w:val="22"/>
        </w:rPr>
        <w:t>附表</w:t>
      </w:r>
      <w:r>
        <w:rPr>
          <w:rFonts w:hint="eastAsia" w:ascii="Times New Roman" w:hAnsi="Times New Roman" w:eastAsia="宋体" w:cs="Times New Roman"/>
          <w:sz w:val="24"/>
          <w:szCs w:val="22"/>
          <w:lang w:val="en-US" w:eastAsia="zh-CN"/>
        </w:rPr>
        <w:t>2</w:t>
      </w:r>
      <w:r>
        <w:rPr>
          <w:rFonts w:ascii="Times New Roman" w:hAnsi="Times New Roman" w:eastAsia="宋体" w:cs="Times New Roman"/>
          <w:sz w:val="24"/>
          <w:szCs w:val="22"/>
        </w:rPr>
        <w:t xml:space="preserve"> 饮用水水源地基础状况表</w:t>
      </w:r>
    </w:p>
    <w:p>
      <w:pPr>
        <w:adjustRightInd w:val="0"/>
        <w:snapToGrid w:val="0"/>
        <w:spacing w:line="360" w:lineRule="auto"/>
        <w:ind w:firstLine="488" w:firstLineChars="200"/>
        <w:rPr>
          <w:rFonts w:ascii="Times New Roman" w:hAnsi="Times New Roman" w:eastAsia="宋体" w:cs="Times New Roman"/>
          <w:sz w:val="24"/>
          <w:szCs w:val="22"/>
        </w:rPr>
      </w:pPr>
      <w:r>
        <w:rPr>
          <w:rFonts w:ascii="Times New Roman" w:hAnsi="Times New Roman" w:eastAsia="宋体" w:cs="Times New Roman"/>
          <w:sz w:val="24"/>
          <w:szCs w:val="22"/>
        </w:rPr>
        <w:t>附表</w:t>
      </w:r>
      <w:r>
        <w:rPr>
          <w:rFonts w:hint="eastAsia" w:ascii="Times New Roman" w:hAnsi="Times New Roman" w:eastAsia="宋体" w:cs="Times New Roman"/>
          <w:sz w:val="24"/>
          <w:szCs w:val="22"/>
          <w:lang w:val="en-US" w:eastAsia="zh-CN"/>
        </w:rPr>
        <w:t>3</w:t>
      </w:r>
      <w:r>
        <w:rPr>
          <w:rFonts w:ascii="Times New Roman" w:hAnsi="Times New Roman" w:eastAsia="宋体" w:cs="Times New Roman"/>
          <w:sz w:val="24"/>
          <w:szCs w:val="22"/>
        </w:rPr>
        <w:t xml:space="preserve"> 饮用水水源保护区环境状况调查表</w:t>
      </w:r>
    </w:p>
    <w:p>
      <w:pPr>
        <w:adjustRightInd w:val="0"/>
        <w:snapToGrid w:val="0"/>
        <w:spacing w:line="360" w:lineRule="auto"/>
        <w:ind w:firstLine="488" w:firstLineChars="200"/>
        <w:rPr>
          <w:rFonts w:ascii="Times New Roman" w:hAnsi="Times New Roman" w:eastAsia="宋体" w:cs="Times New Roman"/>
          <w:sz w:val="24"/>
          <w:szCs w:val="22"/>
        </w:rPr>
      </w:pPr>
      <w:r>
        <w:rPr>
          <w:rFonts w:ascii="Times New Roman" w:hAnsi="Times New Roman" w:eastAsia="宋体" w:cs="Times New Roman"/>
          <w:sz w:val="24"/>
          <w:szCs w:val="22"/>
        </w:rPr>
        <w:t>附表</w:t>
      </w:r>
      <w:r>
        <w:rPr>
          <w:rFonts w:hint="eastAsia" w:ascii="Times New Roman" w:hAnsi="Times New Roman" w:eastAsia="宋体" w:cs="Times New Roman"/>
          <w:sz w:val="24"/>
          <w:szCs w:val="22"/>
          <w:lang w:val="en-US" w:eastAsia="zh-CN"/>
        </w:rPr>
        <w:t>4</w:t>
      </w:r>
      <w:r>
        <w:rPr>
          <w:rFonts w:ascii="Times New Roman" w:hAnsi="Times New Roman" w:eastAsia="宋体" w:cs="Times New Roman"/>
          <w:sz w:val="24"/>
          <w:szCs w:val="22"/>
        </w:rPr>
        <w:t xml:space="preserve"> 饮用水源取水口及监测断面位置信息</w:t>
      </w:r>
    </w:p>
    <w:p>
      <w:pPr>
        <w:adjustRightInd w:val="0"/>
        <w:snapToGrid w:val="0"/>
        <w:spacing w:line="360" w:lineRule="auto"/>
        <w:ind w:firstLine="488" w:firstLineChars="200"/>
        <w:rPr>
          <w:rFonts w:ascii="Times New Roman" w:hAnsi="Times New Roman" w:eastAsia="宋体" w:cs="Times New Roman"/>
          <w:sz w:val="24"/>
          <w:szCs w:val="22"/>
        </w:rPr>
      </w:pPr>
      <w:r>
        <w:rPr>
          <w:rFonts w:ascii="Times New Roman" w:hAnsi="Times New Roman" w:eastAsia="宋体" w:cs="Times New Roman"/>
          <w:sz w:val="24"/>
          <w:szCs w:val="22"/>
        </w:rPr>
        <w:t>附表</w:t>
      </w:r>
      <w:r>
        <w:rPr>
          <w:rFonts w:hint="eastAsia" w:ascii="Times New Roman" w:hAnsi="Times New Roman" w:eastAsia="宋体" w:cs="Times New Roman"/>
          <w:sz w:val="24"/>
          <w:szCs w:val="22"/>
          <w:lang w:val="en-US" w:eastAsia="zh-CN"/>
        </w:rPr>
        <w:t>5</w:t>
      </w:r>
      <w:r>
        <w:rPr>
          <w:rFonts w:ascii="Times New Roman" w:hAnsi="Times New Roman" w:eastAsia="宋体" w:cs="Times New Roman"/>
          <w:sz w:val="24"/>
          <w:szCs w:val="22"/>
        </w:rPr>
        <w:t xml:space="preserve"> 饮用水水源保护区登记表</w:t>
      </w:r>
    </w:p>
    <w:p>
      <w:pPr>
        <w:pStyle w:val="2"/>
        <w:spacing w:before="120" w:after="120"/>
        <w:jc w:val="left"/>
        <w:rPr>
          <w:rFonts w:hint="default" w:ascii="Times New Roman" w:hAnsi="Times New Roman" w:cs="Times New Roman"/>
        </w:rPr>
      </w:pPr>
      <w:bookmarkStart w:id="362" w:name="_Toc3320"/>
      <w:bookmarkStart w:id="363" w:name="_Toc1687"/>
      <w:bookmarkStart w:id="364" w:name="_Toc6705"/>
      <w:r>
        <w:rPr>
          <w:rFonts w:hint="default" w:ascii="Times New Roman" w:hAnsi="Times New Roman" w:cs="Times New Roman"/>
        </w:rPr>
        <w:t>附图</w:t>
      </w:r>
      <w:bookmarkEnd w:id="362"/>
      <w:bookmarkEnd w:id="363"/>
      <w:bookmarkEnd w:id="364"/>
    </w:p>
    <w:p>
      <w:pPr>
        <w:adjustRightInd w:val="0"/>
        <w:snapToGrid w:val="0"/>
        <w:spacing w:line="360" w:lineRule="auto"/>
        <w:ind w:firstLine="488" w:firstLineChars="200"/>
        <w:rPr>
          <w:rFonts w:ascii="Times New Roman" w:hAnsi="Times New Roman" w:eastAsia="宋体" w:cs="Times New Roman"/>
          <w:sz w:val="24"/>
          <w:szCs w:val="22"/>
        </w:rPr>
      </w:pPr>
      <w:r>
        <w:rPr>
          <w:rFonts w:ascii="Times New Roman" w:hAnsi="Times New Roman" w:eastAsia="宋体" w:cs="Times New Roman"/>
          <w:sz w:val="24"/>
          <w:szCs w:val="22"/>
        </w:rPr>
        <w:t>附图1  区域水系与饮用水水源地分布图</w:t>
      </w:r>
    </w:p>
    <w:p>
      <w:pPr>
        <w:adjustRightInd w:val="0"/>
        <w:snapToGrid w:val="0"/>
        <w:spacing w:line="360" w:lineRule="auto"/>
        <w:ind w:firstLine="488" w:firstLineChars="200"/>
        <w:rPr>
          <w:rFonts w:ascii="Times New Roman" w:hAnsi="Times New Roman" w:eastAsia="宋体" w:cs="Times New Roman"/>
          <w:sz w:val="24"/>
          <w:szCs w:val="22"/>
        </w:rPr>
      </w:pPr>
      <w:r>
        <w:rPr>
          <w:rFonts w:ascii="Times New Roman" w:hAnsi="Times New Roman" w:eastAsia="宋体" w:cs="Times New Roman"/>
          <w:sz w:val="24"/>
          <w:szCs w:val="22"/>
        </w:rPr>
        <w:t>附图2  湘阴县</w:t>
      </w:r>
      <w:r>
        <w:rPr>
          <w:rFonts w:hint="eastAsia" w:ascii="Times New Roman" w:hAnsi="Times New Roman" w:eastAsia="宋体" w:cs="Times New Roman"/>
          <w:sz w:val="24"/>
          <w:szCs w:val="22"/>
          <w:lang w:eastAsia="zh-CN"/>
        </w:rPr>
        <w:t>三塘镇拦河坝水厂地下水</w:t>
      </w:r>
      <w:r>
        <w:rPr>
          <w:rFonts w:ascii="Times New Roman" w:hAnsi="Times New Roman" w:eastAsia="宋体" w:cs="Times New Roman"/>
          <w:sz w:val="24"/>
          <w:szCs w:val="22"/>
        </w:rPr>
        <w:t>饮用水源保护区划分结果图</w:t>
      </w:r>
    </w:p>
    <w:p>
      <w:pPr>
        <w:adjustRightInd w:val="0"/>
        <w:snapToGrid w:val="0"/>
        <w:spacing w:line="360" w:lineRule="auto"/>
        <w:ind w:firstLine="488" w:firstLineChars="200"/>
        <w:rPr>
          <w:rFonts w:ascii="Times New Roman" w:hAnsi="Times New Roman" w:eastAsia="宋体" w:cs="Times New Roman"/>
          <w:sz w:val="24"/>
          <w:szCs w:val="22"/>
        </w:rPr>
      </w:pPr>
      <w:r>
        <w:rPr>
          <w:rFonts w:ascii="Times New Roman" w:hAnsi="Times New Roman" w:eastAsia="宋体" w:cs="Times New Roman"/>
          <w:sz w:val="24"/>
          <w:szCs w:val="22"/>
        </w:rPr>
        <w:t>附图3  饮用水水源保护区污染源分布图</w:t>
      </w:r>
    </w:p>
    <w:p>
      <w:pPr>
        <w:adjustRightInd w:val="0"/>
        <w:snapToGrid w:val="0"/>
        <w:spacing w:line="360" w:lineRule="auto"/>
        <w:ind w:firstLine="488" w:firstLineChars="200"/>
        <w:rPr>
          <w:rFonts w:ascii="Times New Roman" w:hAnsi="Times New Roman" w:eastAsia="宋体" w:cs="Times New Roman"/>
          <w:sz w:val="24"/>
          <w:szCs w:val="22"/>
        </w:rPr>
      </w:pPr>
      <w:r>
        <w:rPr>
          <w:rFonts w:ascii="Times New Roman" w:hAnsi="Times New Roman" w:eastAsia="宋体" w:cs="Times New Roman"/>
          <w:sz w:val="24"/>
          <w:szCs w:val="22"/>
        </w:rPr>
        <w:t>附图4  饮用水水源保护区土地利用图</w:t>
      </w:r>
    </w:p>
    <w:p>
      <w:pPr>
        <w:adjustRightInd w:val="0"/>
        <w:snapToGrid w:val="0"/>
        <w:spacing w:line="360" w:lineRule="auto"/>
        <w:ind w:firstLine="488" w:firstLineChars="200"/>
        <w:rPr>
          <w:rFonts w:ascii="Times New Roman" w:hAnsi="Times New Roman" w:eastAsia="宋体" w:cs="Times New Roman"/>
          <w:sz w:val="24"/>
          <w:szCs w:val="22"/>
        </w:rPr>
      </w:pPr>
      <w:r>
        <w:rPr>
          <w:rFonts w:ascii="Times New Roman" w:hAnsi="Times New Roman" w:eastAsia="宋体" w:cs="Times New Roman"/>
          <w:sz w:val="24"/>
          <w:szCs w:val="22"/>
        </w:rPr>
        <w:t>附图5  饮用水水源水质监测断面分布图</w:t>
      </w:r>
    </w:p>
    <w:p>
      <w:pPr>
        <w:adjustRightInd w:val="0"/>
        <w:snapToGrid w:val="0"/>
        <w:spacing w:line="360" w:lineRule="auto"/>
        <w:rPr>
          <w:rFonts w:ascii="Times New Roman" w:hAnsi="Times New Roman" w:eastAsia="宋体" w:cs="Times New Roman"/>
          <w:sz w:val="24"/>
          <w:szCs w:val="22"/>
        </w:rPr>
      </w:pPr>
      <w:r>
        <w:rPr>
          <w:rFonts w:ascii="Times New Roman" w:hAnsi="Times New Roman" w:eastAsia="宋体" w:cs="Times New Roman"/>
          <w:sz w:val="24"/>
          <w:szCs w:val="22"/>
        </w:rPr>
        <w:t xml:space="preserve">附图6 </w:t>
      </w:r>
      <w:r>
        <w:rPr>
          <w:rFonts w:hint="eastAsia" w:ascii="Times New Roman" w:hAnsi="Times New Roman" w:eastAsia="宋体" w:cs="Times New Roman"/>
          <w:sz w:val="24"/>
          <w:szCs w:val="22"/>
          <w:lang w:val="en-US" w:eastAsia="zh-CN"/>
        </w:rPr>
        <w:t xml:space="preserve"> </w:t>
      </w:r>
      <w:r>
        <w:rPr>
          <w:rFonts w:ascii="Times New Roman" w:hAnsi="Times New Roman" w:eastAsia="宋体" w:cs="Times New Roman"/>
          <w:sz w:val="24"/>
          <w:szCs w:val="22"/>
        </w:rPr>
        <w:t>湘阴县</w:t>
      </w:r>
      <w:r>
        <w:rPr>
          <w:rFonts w:hint="eastAsia" w:ascii="Times New Roman" w:hAnsi="Times New Roman" w:eastAsia="宋体" w:cs="Times New Roman"/>
          <w:sz w:val="24"/>
          <w:szCs w:val="22"/>
          <w:lang w:eastAsia="zh-CN"/>
        </w:rPr>
        <w:t>三塘镇拦河坝水厂地下水</w:t>
      </w:r>
      <w:r>
        <w:rPr>
          <w:rFonts w:ascii="Times New Roman" w:hAnsi="Times New Roman" w:eastAsia="宋体" w:cs="Times New Roman"/>
          <w:sz w:val="24"/>
          <w:szCs w:val="22"/>
        </w:rPr>
        <w:t>饮用水源保护区标志设立分布示意图</w:t>
      </w:r>
    </w:p>
    <w:bookmarkEnd w:id="354"/>
    <w:bookmarkEnd w:id="355"/>
    <w:bookmarkEnd w:id="356"/>
    <w:p>
      <w:pPr>
        <w:spacing w:line="400" w:lineRule="exact"/>
        <w:ind w:firstLine="480"/>
        <w:jc w:val="left"/>
        <w:rPr>
          <w:rFonts w:hint="default" w:ascii="Times New Roman" w:hAnsi="Times New Roman" w:cs="Times New Roman"/>
        </w:rPr>
      </w:pPr>
    </w:p>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0" w:num="1"/>
      <w:rtlGutter w:val="0"/>
      <w:docGrid w:type="linesAndChars" w:linePitch="332" w:charSpace="91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480"/>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rPr>
        <w:sz w:val="21"/>
        <w:szCs w:val="21"/>
      </w:rPr>
    </w:pPr>
    <w:r>
      <w:rPr>
        <w:sz w:val="21"/>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R1yZaEwIAABMEAAAOAAAAAAAAAAEA&#10;IAAAAB8BAABkcnMvZTJvRG9jLnhtbFBLBQYAAAAABgAGAFkBAACkBQAAAAA=&#10;">
              <v:fill on="f" focussize="0,0"/>
              <v:stroke on="f" weight="0.5pt"/>
              <v:imagedata o:title=""/>
              <o:lock v:ext="edit" aspectratio="f"/>
              <v:textbox inset="0mm,0mm,0mm,0mm" style="mso-fit-shape-to-text:t;">
                <w:txbxContent>
                  <w:p>
                    <w:pPr>
                      <w:pStyle w:val="1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ind w:firstLine="361"/>
      <w:jc w:val="both"/>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CE38CD"/>
    <w:multiLevelType w:val="singleLevel"/>
    <w:tmpl w:val="42CE38CD"/>
    <w:lvl w:ilvl="0" w:tentative="0">
      <w:start w:val="10"/>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22"/>
  <w:drawingGridVerticalSpacing w:val="16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2DB"/>
    <w:rsid w:val="0000616B"/>
    <w:rsid w:val="00037948"/>
    <w:rsid w:val="00045451"/>
    <w:rsid w:val="00074D61"/>
    <w:rsid w:val="000874FF"/>
    <w:rsid w:val="000B1CC6"/>
    <w:rsid w:val="000D6854"/>
    <w:rsid w:val="000E1C22"/>
    <w:rsid w:val="000F0B8C"/>
    <w:rsid w:val="001157E9"/>
    <w:rsid w:val="0014645C"/>
    <w:rsid w:val="00157110"/>
    <w:rsid w:val="00164B43"/>
    <w:rsid w:val="00183E8E"/>
    <w:rsid w:val="001848F1"/>
    <w:rsid w:val="0019681E"/>
    <w:rsid w:val="001D6B6B"/>
    <w:rsid w:val="002001D9"/>
    <w:rsid w:val="002437AA"/>
    <w:rsid w:val="00264994"/>
    <w:rsid w:val="0026754E"/>
    <w:rsid w:val="002762DB"/>
    <w:rsid w:val="002806E2"/>
    <w:rsid w:val="00284C9C"/>
    <w:rsid w:val="002C1D71"/>
    <w:rsid w:val="002C5305"/>
    <w:rsid w:val="00311F21"/>
    <w:rsid w:val="003513D6"/>
    <w:rsid w:val="00356976"/>
    <w:rsid w:val="00362E21"/>
    <w:rsid w:val="00371901"/>
    <w:rsid w:val="00385744"/>
    <w:rsid w:val="00393AF8"/>
    <w:rsid w:val="003A375C"/>
    <w:rsid w:val="003B4847"/>
    <w:rsid w:val="003B7323"/>
    <w:rsid w:val="003F5A5F"/>
    <w:rsid w:val="0044021C"/>
    <w:rsid w:val="00450295"/>
    <w:rsid w:val="004645DA"/>
    <w:rsid w:val="0047088D"/>
    <w:rsid w:val="004B5608"/>
    <w:rsid w:val="004C0736"/>
    <w:rsid w:val="004D7E86"/>
    <w:rsid w:val="00503E55"/>
    <w:rsid w:val="005067ED"/>
    <w:rsid w:val="0052325E"/>
    <w:rsid w:val="00543352"/>
    <w:rsid w:val="00562F8A"/>
    <w:rsid w:val="0058750E"/>
    <w:rsid w:val="00604BCA"/>
    <w:rsid w:val="00620E23"/>
    <w:rsid w:val="00660E28"/>
    <w:rsid w:val="006960F5"/>
    <w:rsid w:val="006A06C3"/>
    <w:rsid w:val="006B62B2"/>
    <w:rsid w:val="006C00B6"/>
    <w:rsid w:val="006F0A87"/>
    <w:rsid w:val="00716358"/>
    <w:rsid w:val="0077121E"/>
    <w:rsid w:val="007759B5"/>
    <w:rsid w:val="00786271"/>
    <w:rsid w:val="007C1849"/>
    <w:rsid w:val="007D312B"/>
    <w:rsid w:val="007E0051"/>
    <w:rsid w:val="007E7366"/>
    <w:rsid w:val="007F2FAE"/>
    <w:rsid w:val="007F7030"/>
    <w:rsid w:val="008056B4"/>
    <w:rsid w:val="00813E54"/>
    <w:rsid w:val="008204FE"/>
    <w:rsid w:val="008213C1"/>
    <w:rsid w:val="00833EA7"/>
    <w:rsid w:val="00840A4C"/>
    <w:rsid w:val="008454D6"/>
    <w:rsid w:val="00854F04"/>
    <w:rsid w:val="008645D4"/>
    <w:rsid w:val="00865D25"/>
    <w:rsid w:val="008A3CDE"/>
    <w:rsid w:val="008A682A"/>
    <w:rsid w:val="008B174C"/>
    <w:rsid w:val="008D6260"/>
    <w:rsid w:val="008E440A"/>
    <w:rsid w:val="00900B32"/>
    <w:rsid w:val="009150FB"/>
    <w:rsid w:val="00916AA4"/>
    <w:rsid w:val="00945354"/>
    <w:rsid w:val="00965CED"/>
    <w:rsid w:val="00992D4F"/>
    <w:rsid w:val="009D0464"/>
    <w:rsid w:val="009D39E2"/>
    <w:rsid w:val="009F78E3"/>
    <w:rsid w:val="00A323C6"/>
    <w:rsid w:val="00A452E9"/>
    <w:rsid w:val="00A64C7B"/>
    <w:rsid w:val="00A7024C"/>
    <w:rsid w:val="00AB47A5"/>
    <w:rsid w:val="00AC4613"/>
    <w:rsid w:val="00AD40B7"/>
    <w:rsid w:val="00AE09A0"/>
    <w:rsid w:val="00AE7F9D"/>
    <w:rsid w:val="00B41161"/>
    <w:rsid w:val="00B511A4"/>
    <w:rsid w:val="00B52E36"/>
    <w:rsid w:val="00B544AC"/>
    <w:rsid w:val="00B928DA"/>
    <w:rsid w:val="00BB1AC8"/>
    <w:rsid w:val="00BD15C6"/>
    <w:rsid w:val="00BD477C"/>
    <w:rsid w:val="00BD59ED"/>
    <w:rsid w:val="00BD6062"/>
    <w:rsid w:val="00BD694A"/>
    <w:rsid w:val="00C03353"/>
    <w:rsid w:val="00C809D4"/>
    <w:rsid w:val="00C85135"/>
    <w:rsid w:val="00C8594F"/>
    <w:rsid w:val="00C87013"/>
    <w:rsid w:val="00CC51D1"/>
    <w:rsid w:val="00CC6E05"/>
    <w:rsid w:val="00D17D9E"/>
    <w:rsid w:val="00D25A77"/>
    <w:rsid w:val="00D272A4"/>
    <w:rsid w:val="00D31C56"/>
    <w:rsid w:val="00D326FE"/>
    <w:rsid w:val="00D46E45"/>
    <w:rsid w:val="00D56D9D"/>
    <w:rsid w:val="00D72D8A"/>
    <w:rsid w:val="00D91DAD"/>
    <w:rsid w:val="00D9457F"/>
    <w:rsid w:val="00D96B63"/>
    <w:rsid w:val="00DB6290"/>
    <w:rsid w:val="00DC1B8F"/>
    <w:rsid w:val="00DC3B47"/>
    <w:rsid w:val="00E15458"/>
    <w:rsid w:val="00E33602"/>
    <w:rsid w:val="00E948A4"/>
    <w:rsid w:val="00EB35EC"/>
    <w:rsid w:val="00EC39BB"/>
    <w:rsid w:val="00EF2041"/>
    <w:rsid w:val="00F112C0"/>
    <w:rsid w:val="00F23082"/>
    <w:rsid w:val="00F403A3"/>
    <w:rsid w:val="00F47A1A"/>
    <w:rsid w:val="00F92E95"/>
    <w:rsid w:val="00FA41EA"/>
    <w:rsid w:val="020A0CE8"/>
    <w:rsid w:val="02827042"/>
    <w:rsid w:val="032E0DD4"/>
    <w:rsid w:val="053D13A3"/>
    <w:rsid w:val="06044B6F"/>
    <w:rsid w:val="06AD3D9E"/>
    <w:rsid w:val="075F17F1"/>
    <w:rsid w:val="08C65BF1"/>
    <w:rsid w:val="099254B8"/>
    <w:rsid w:val="0AAF62E0"/>
    <w:rsid w:val="0CD96C3D"/>
    <w:rsid w:val="0E561F4F"/>
    <w:rsid w:val="0EC13B84"/>
    <w:rsid w:val="0F7628CB"/>
    <w:rsid w:val="11E93C93"/>
    <w:rsid w:val="134533AB"/>
    <w:rsid w:val="14B25452"/>
    <w:rsid w:val="16D27C68"/>
    <w:rsid w:val="18453833"/>
    <w:rsid w:val="18B749C2"/>
    <w:rsid w:val="192951EC"/>
    <w:rsid w:val="1A7132EF"/>
    <w:rsid w:val="1AE96202"/>
    <w:rsid w:val="1C2E0263"/>
    <w:rsid w:val="1EA01137"/>
    <w:rsid w:val="1F3E3FCC"/>
    <w:rsid w:val="2070171B"/>
    <w:rsid w:val="21276B82"/>
    <w:rsid w:val="21856D1E"/>
    <w:rsid w:val="21D168F2"/>
    <w:rsid w:val="231E0F4C"/>
    <w:rsid w:val="256E0846"/>
    <w:rsid w:val="2A803F5F"/>
    <w:rsid w:val="2D6D11BE"/>
    <w:rsid w:val="2DF90B97"/>
    <w:rsid w:val="2FDD4C5B"/>
    <w:rsid w:val="30493356"/>
    <w:rsid w:val="32776E79"/>
    <w:rsid w:val="345B4785"/>
    <w:rsid w:val="358435E3"/>
    <w:rsid w:val="380A134B"/>
    <w:rsid w:val="387C370D"/>
    <w:rsid w:val="3C443E6F"/>
    <w:rsid w:val="3C6345D3"/>
    <w:rsid w:val="3CC10304"/>
    <w:rsid w:val="3E4E15FF"/>
    <w:rsid w:val="3EDA3B68"/>
    <w:rsid w:val="43BC0952"/>
    <w:rsid w:val="44CF6734"/>
    <w:rsid w:val="44EC407C"/>
    <w:rsid w:val="458433BA"/>
    <w:rsid w:val="46B83F61"/>
    <w:rsid w:val="46D903EB"/>
    <w:rsid w:val="4B244E53"/>
    <w:rsid w:val="4D676697"/>
    <w:rsid w:val="4EDD78FF"/>
    <w:rsid w:val="4F6F3909"/>
    <w:rsid w:val="4FA11478"/>
    <w:rsid w:val="50242B73"/>
    <w:rsid w:val="51D71011"/>
    <w:rsid w:val="53F01666"/>
    <w:rsid w:val="53F56FB4"/>
    <w:rsid w:val="5737408F"/>
    <w:rsid w:val="57E130A5"/>
    <w:rsid w:val="5E950C0C"/>
    <w:rsid w:val="60492552"/>
    <w:rsid w:val="639F553C"/>
    <w:rsid w:val="63C84E69"/>
    <w:rsid w:val="6406606B"/>
    <w:rsid w:val="64637E75"/>
    <w:rsid w:val="64AC79B6"/>
    <w:rsid w:val="64CC6EA8"/>
    <w:rsid w:val="68F3207F"/>
    <w:rsid w:val="68FB326F"/>
    <w:rsid w:val="69CC5DAD"/>
    <w:rsid w:val="69DA1AB4"/>
    <w:rsid w:val="6AB41554"/>
    <w:rsid w:val="6D0E74ED"/>
    <w:rsid w:val="6D2C71C5"/>
    <w:rsid w:val="6EE6458D"/>
    <w:rsid w:val="6F6C6080"/>
    <w:rsid w:val="6FB87865"/>
    <w:rsid w:val="718B552F"/>
    <w:rsid w:val="74130C39"/>
    <w:rsid w:val="755143BA"/>
    <w:rsid w:val="75FB46FF"/>
    <w:rsid w:val="774C75C3"/>
    <w:rsid w:val="77A51516"/>
    <w:rsid w:val="78BF6AB0"/>
    <w:rsid w:val="7A784F3D"/>
    <w:rsid w:val="7B1C7DA7"/>
    <w:rsid w:val="7BC01B78"/>
    <w:rsid w:val="7EA868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500" w:lineRule="exact"/>
      <w:ind w:firstLine="200" w:firstLineChars="200"/>
      <w:jc w:val="both"/>
    </w:pPr>
    <w:rPr>
      <w:rFonts w:asciiTheme="minorHAnsi" w:hAnsiTheme="minorHAnsi" w:eastAsiaTheme="minorEastAsia" w:cstheme="minorBidi"/>
      <w:kern w:val="2"/>
      <w:sz w:val="24"/>
      <w:szCs w:val="22"/>
      <w:lang w:val="en-US" w:eastAsia="zh-CN" w:bidi="ar-SA"/>
    </w:rPr>
  </w:style>
  <w:style w:type="paragraph" w:styleId="2">
    <w:name w:val="heading 1"/>
    <w:basedOn w:val="1"/>
    <w:next w:val="1"/>
    <w:link w:val="23"/>
    <w:qFormat/>
    <w:uiPriority w:val="9"/>
    <w:pPr>
      <w:keepNext/>
      <w:keepLines/>
      <w:spacing w:before="50" w:beforeLines="50" w:after="50" w:afterLines="50" w:line="240" w:lineRule="auto"/>
      <w:ind w:firstLine="0" w:firstLineChars="0"/>
      <w:jc w:val="left"/>
      <w:outlineLvl w:val="0"/>
    </w:pPr>
    <w:rPr>
      <w:rFonts w:eastAsia="黑体"/>
      <w:bCs/>
      <w:kern w:val="44"/>
      <w:sz w:val="36"/>
      <w:szCs w:val="44"/>
    </w:rPr>
  </w:style>
  <w:style w:type="paragraph" w:styleId="3">
    <w:name w:val="heading 2"/>
    <w:basedOn w:val="1"/>
    <w:next w:val="1"/>
    <w:link w:val="24"/>
    <w:unhideWhenUsed/>
    <w:qFormat/>
    <w:uiPriority w:val="9"/>
    <w:pPr>
      <w:keepNext/>
      <w:keepLines/>
      <w:spacing w:before="50" w:beforeLines="50" w:after="50" w:afterLines="50" w:line="240" w:lineRule="auto"/>
      <w:ind w:firstLine="0" w:firstLineChars="0"/>
      <w:jc w:val="left"/>
      <w:outlineLvl w:val="1"/>
    </w:pPr>
    <w:rPr>
      <w:rFonts w:eastAsia="黑体" w:asciiTheme="majorHAnsi" w:hAnsiTheme="majorHAnsi" w:cstheme="majorBidi"/>
      <w:bCs/>
      <w:sz w:val="32"/>
      <w:szCs w:val="32"/>
    </w:rPr>
  </w:style>
  <w:style w:type="paragraph" w:styleId="4">
    <w:name w:val="heading 3"/>
    <w:basedOn w:val="1"/>
    <w:next w:val="1"/>
    <w:link w:val="28"/>
    <w:unhideWhenUsed/>
    <w:qFormat/>
    <w:uiPriority w:val="9"/>
    <w:pPr>
      <w:keepNext/>
      <w:keepLines/>
      <w:spacing w:beforeLines="50" w:afterLines="50" w:line="240" w:lineRule="auto"/>
      <w:ind w:firstLine="0" w:firstLineChars="0"/>
      <w:jc w:val="left"/>
      <w:outlineLvl w:val="2"/>
    </w:pPr>
    <w:rPr>
      <w:rFonts w:eastAsia="黑体"/>
      <w:bCs/>
      <w:sz w:val="28"/>
      <w:szCs w:val="32"/>
    </w:rPr>
  </w:style>
  <w:style w:type="paragraph" w:styleId="5">
    <w:name w:val="heading 4"/>
    <w:basedOn w:val="1"/>
    <w:next w:val="1"/>
    <w:link w:val="25"/>
    <w:unhideWhenUsed/>
    <w:qFormat/>
    <w:uiPriority w:val="9"/>
    <w:pPr>
      <w:keepNext/>
      <w:keepLines/>
      <w:spacing w:before="50" w:beforeLines="50" w:after="50" w:afterLines="50" w:line="240" w:lineRule="auto"/>
      <w:ind w:firstLine="0" w:firstLineChars="0"/>
      <w:outlineLvl w:val="3"/>
    </w:pPr>
    <w:rPr>
      <w:rFonts w:eastAsia="黑体" w:asciiTheme="majorHAnsi" w:hAnsiTheme="majorHAnsi" w:cstheme="majorBidi"/>
      <w:bCs/>
      <w:szCs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1440"/>
      <w:jc w:val="left"/>
    </w:pPr>
    <w:rPr>
      <w:rFonts w:cstheme="minorHAnsi"/>
      <w:sz w:val="18"/>
      <w:szCs w:val="18"/>
    </w:rPr>
  </w:style>
  <w:style w:type="paragraph" w:styleId="7">
    <w:name w:val="annotation text"/>
    <w:basedOn w:val="1"/>
    <w:semiHidden/>
    <w:unhideWhenUsed/>
    <w:qFormat/>
    <w:uiPriority w:val="99"/>
    <w:pPr>
      <w:jc w:val="left"/>
    </w:pPr>
  </w:style>
  <w:style w:type="paragraph" w:styleId="8">
    <w:name w:val="toc 5"/>
    <w:basedOn w:val="1"/>
    <w:next w:val="1"/>
    <w:unhideWhenUsed/>
    <w:qFormat/>
    <w:uiPriority w:val="39"/>
    <w:pPr>
      <w:ind w:left="960"/>
      <w:jc w:val="left"/>
    </w:pPr>
    <w:rPr>
      <w:rFonts w:cstheme="minorHAnsi"/>
      <w:sz w:val="18"/>
      <w:szCs w:val="18"/>
    </w:rPr>
  </w:style>
  <w:style w:type="paragraph" w:styleId="9">
    <w:name w:val="toc 3"/>
    <w:basedOn w:val="1"/>
    <w:next w:val="1"/>
    <w:unhideWhenUsed/>
    <w:qFormat/>
    <w:uiPriority w:val="39"/>
    <w:pPr>
      <w:ind w:left="480"/>
      <w:jc w:val="left"/>
    </w:pPr>
    <w:rPr>
      <w:rFonts w:cstheme="minorHAnsi"/>
      <w:i/>
      <w:iCs/>
      <w:sz w:val="20"/>
      <w:szCs w:val="20"/>
    </w:rPr>
  </w:style>
  <w:style w:type="paragraph" w:styleId="10">
    <w:name w:val="toc 8"/>
    <w:basedOn w:val="1"/>
    <w:next w:val="1"/>
    <w:unhideWhenUsed/>
    <w:qFormat/>
    <w:uiPriority w:val="39"/>
    <w:pPr>
      <w:ind w:left="1680"/>
      <w:jc w:val="left"/>
    </w:pPr>
    <w:rPr>
      <w:rFonts w:cstheme="minorHAnsi"/>
      <w:sz w:val="18"/>
      <w:szCs w:val="18"/>
    </w:rPr>
  </w:style>
  <w:style w:type="paragraph" w:styleId="11">
    <w:name w:val="Balloon Text"/>
    <w:basedOn w:val="1"/>
    <w:link w:val="29"/>
    <w:unhideWhenUsed/>
    <w:qFormat/>
    <w:uiPriority w:val="99"/>
    <w:rPr>
      <w:sz w:val="18"/>
      <w:szCs w:val="18"/>
    </w:rPr>
  </w:style>
  <w:style w:type="paragraph" w:styleId="12">
    <w:name w:val="footer"/>
    <w:basedOn w:val="1"/>
    <w:link w:val="26"/>
    <w:unhideWhenUsed/>
    <w:qFormat/>
    <w:uiPriority w:val="99"/>
    <w:pPr>
      <w:tabs>
        <w:tab w:val="center" w:pos="4153"/>
        <w:tab w:val="right" w:pos="8306"/>
      </w:tabs>
      <w:jc w:val="left"/>
    </w:pPr>
    <w:rPr>
      <w:sz w:val="18"/>
      <w:szCs w:val="18"/>
    </w:rPr>
  </w:style>
  <w:style w:type="paragraph" w:styleId="13">
    <w:name w:val="header"/>
    <w:basedOn w:val="1"/>
    <w:link w:val="27"/>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unhideWhenUsed/>
    <w:qFormat/>
    <w:uiPriority w:val="39"/>
    <w:pPr>
      <w:spacing w:before="120" w:after="120"/>
      <w:jc w:val="left"/>
    </w:pPr>
    <w:rPr>
      <w:rFonts w:cstheme="minorHAnsi"/>
      <w:b/>
      <w:bCs/>
      <w:caps/>
      <w:sz w:val="20"/>
      <w:szCs w:val="20"/>
    </w:rPr>
  </w:style>
  <w:style w:type="paragraph" w:styleId="15">
    <w:name w:val="toc 4"/>
    <w:basedOn w:val="1"/>
    <w:next w:val="1"/>
    <w:unhideWhenUsed/>
    <w:qFormat/>
    <w:uiPriority w:val="39"/>
    <w:pPr>
      <w:ind w:left="720"/>
      <w:jc w:val="left"/>
    </w:pPr>
    <w:rPr>
      <w:rFonts w:cstheme="minorHAnsi"/>
      <w:sz w:val="18"/>
      <w:szCs w:val="18"/>
    </w:rPr>
  </w:style>
  <w:style w:type="paragraph" w:styleId="16">
    <w:name w:val="toc 6"/>
    <w:basedOn w:val="1"/>
    <w:next w:val="1"/>
    <w:unhideWhenUsed/>
    <w:qFormat/>
    <w:uiPriority w:val="39"/>
    <w:pPr>
      <w:ind w:left="1200"/>
      <w:jc w:val="left"/>
    </w:pPr>
    <w:rPr>
      <w:rFonts w:cstheme="minorHAnsi"/>
      <w:sz w:val="18"/>
      <w:szCs w:val="18"/>
    </w:rPr>
  </w:style>
  <w:style w:type="paragraph" w:styleId="17">
    <w:name w:val="toc 2"/>
    <w:basedOn w:val="1"/>
    <w:next w:val="1"/>
    <w:unhideWhenUsed/>
    <w:qFormat/>
    <w:uiPriority w:val="39"/>
    <w:pPr>
      <w:ind w:left="240"/>
      <w:jc w:val="left"/>
    </w:pPr>
    <w:rPr>
      <w:rFonts w:cstheme="minorHAnsi"/>
      <w:smallCaps/>
      <w:sz w:val="20"/>
      <w:szCs w:val="20"/>
    </w:rPr>
  </w:style>
  <w:style w:type="paragraph" w:styleId="18">
    <w:name w:val="toc 9"/>
    <w:basedOn w:val="1"/>
    <w:next w:val="1"/>
    <w:unhideWhenUsed/>
    <w:qFormat/>
    <w:uiPriority w:val="39"/>
    <w:pPr>
      <w:ind w:left="1920"/>
      <w:jc w:val="left"/>
    </w:pPr>
    <w:rPr>
      <w:rFonts w:cstheme="minorHAnsi"/>
      <w:sz w:val="18"/>
      <w:szCs w:val="18"/>
    </w:rPr>
  </w:style>
  <w:style w:type="table" w:styleId="20">
    <w:name w:val="Table Grid"/>
    <w:basedOn w:val="1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basedOn w:val="21"/>
    <w:unhideWhenUsed/>
    <w:qFormat/>
    <w:uiPriority w:val="99"/>
    <w:rPr>
      <w:color w:val="0000FF" w:themeColor="hyperlink"/>
      <w:u w:val="single"/>
      <w14:textFill>
        <w14:solidFill>
          <w14:schemeClr w14:val="hlink"/>
        </w14:solidFill>
      </w14:textFill>
    </w:rPr>
  </w:style>
  <w:style w:type="character" w:customStyle="1" w:styleId="23">
    <w:name w:val="标题 1 字符"/>
    <w:basedOn w:val="21"/>
    <w:link w:val="2"/>
    <w:qFormat/>
    <w:uiPriority w:val="9"/>
    <w:rPr>
      <w:rFonts w:eastAsia="黑体"/>
      <w:bCs/>
      <w:kern w:val="44"/>
      <w:sz w:val="36"/>
      <w:szCs w:val="44"/>
    </w:rPr>
  </w:style>
  <w:style w:type="character" w:customStyle="1" w:styleId="24">
    <w:name w:val="标题 2 字符"/>
    <w:basedOn w:val="21"/>
    <w:link w:val="3"/>
    <w:qFormat/>
    <w:uiPriority w:val="9"/>
    <w:rPr>
      <w:rFonts w:eastAsia="黑体" w:asciiTheme="majorHAnsi" w:hAnsiTheme="majorHAnsi" w:cstheme="majorBidi"/>
      <w:bCs/>
      <w:sz w:val="32"/>
      <w:szCs w:val="32"/>
    </w:rPr>
  </w:style>
  <w:style w:type="character" w:customStyle="1" w:styleId="25">
    <w:name w:val="标题 4 字符"/>
    <w:basedOn w:val="21"/>
    <w:link w:val="5"/>
    <w:qFormat/>
    <w:uiPriority w:val="9"/>
    <w:rPr>
      <w:rFonts w:eastAsia="黑体" w:asciiTheme="majorHAnsi" w:hAnsiTheme="majorHAnsi" w:cstheme="majorBidi"/>
      <w:bCs/>
      <w:sz w:val="24"/>
      <w:szCs w:val="28"/>
    </w:rPr>
  </w:style>
  <w:style w:type="character" w:customStyle="1" w:styleId="26">
    <w:name w:val="页脚 字符"/>
    <w:basedOn w:val="21"/>
    <w:link w:val="12"/>
    <w:qFormat/>
    <w:uiPriority w:val="99"/>
    <w:rPr>
      <w:sz w:val="18"/>
      <w:szCs w:val="18"/>
    </w:rPr>
  </w:style>
  <w:style w:type="character" w:customStyle="1" w:styleId="27">
    <w:name w:val="页眉 字符"/>
    <w:basedOn w:val="21"/>
    <w:link w:val="13"/>
    <w:qFormat/>
    <w:uiPriority w:val="99"/>
    <w:rPr>
      <w:sz w:val="18"/>
      <w:szCs w:val="18"/>
    </w:rPr>
  </w:style>
  <w:style w:type="character" w:customStyle="1" w:styleId="28">
    <w:name w:val="标题 3 字符"/>
    <w:basedOn w:val="21"/>
    <w:link w:val="4"/>
    <w:qFormat/>
    <w:uiPriority w:val="9"/>
    <w:rPr>
      <w:rFonts w:eastAsia="黑体"/>
      <w:bCs/>
      <w:sz w:val="28"/>
      <w:szCs w:val="32"/>
    </w:rPr>
  </w:style>
  <w:style w:type="character" w:customStyle="1" w:styleId="29">
    <w:name w:val="批注框文本 字符"/>
    <w:basedOn w:val="21"/>
    <w:link w:val="11"/>
    <w:qFormat/>
    <w:uiPriority w:val="99"/>
    <w:rPr>
      <w:sz w:val="18"/>
      <w:szCs w:val="18"/>
    </w:rPr>
  </w:style>
  <w:style w:type="paragraph" w:customStyle="1" w:styleId="30">
    <w:name w:val="无间隔1"/>
    <w:qFormat/>
    <w:uiPriority w:val="1"/>
    <w:pPr>
      <w:widowControl w:val="0"/>
      <w:jc w:val="both"/>
    </w:pPr>
    <w:rPr>
      <w:rFonts w:asciiTheme="minorHAnsi" w:hAnsiTheme="minorHAnsi" w:eastAsiaTheme="minorEastAsia" w:cstheme="minorBidi"/>
      <w:kern w:val="2"/>
      <w:sz w:val="28"/>
      <w:szCs w:val="22"/>
      <w:lang w:val="en-US" w:eastAsia="zh-CN" w:bidi="ar-SA"/>
    </w:rPr>
  </w:style>
  <w:style w:type="character" w:styleId="31">
    <w:name w:val="Placeholder Text"/>
    <w:basedOn w:val="21"/>
    <w:unhideWhenUsed/>
    <w:qFormat/>
    <w:uiPriority w:val="99"/>
    <w:rPr>
      <w:color w:val="808080"/>
    </w:rPr>
  </w:style>
  <w:style w:type="paragraph" w:customStyle="1" w:styleId="32">
    <w:name w:val="TOC 标题1"/>
    <w:basedOn w:val="2"/>
    <w:next w:val="1"/>
    <w:semiHidden/>
    <w:unhideWhenUsed/>
    <w:qFormat/>
    <w:uiPriority w:val="39"/>
    <w:pPr>
      <w:widowControl/>
      <w:adjustRightInd/>
      <w:snapToGrid/>
      <w:spacing w:before="480" w:beforeLines="0" w:afterLines="0" w:line="276" w:lineRule="auto"/>
      <w:outlineLvl w:val="9"/>
    </w:pPr>
    <w:rPr>
      <w:rFonts w:asciiTheme="majorHAnsi" w:hAnsiTheme="majorHAnsi" w:eastAsiaTheme="majorEastAsia" w:cstheme="majorBidi"/>
      <w:b/>
      <w:color w:val="376092" w:themeColor="accent1" w:themeShade="BF"/>
      <w:kern w:val="0"/>
      <w:sz w:val="28"/>
      <w:szCs w:val="28"/>
    </w:rPr>
  </w:style>
  <w:style w:type="paragraph" w:styleId="33">
    <w:name w:val="List Paragraph"/>
    <w:basedOn w:val="1"/>
    <w:qFormat/>
    <w:uiPriority w:val="34"/>
    <w:pPr>
      <w:ind w:firstLine="420"/>
    </w:pPr>
  </w:style>
  <w:style w:type="table" w:customStyle="1" w:styleId="34">
    <w:name w:val="网格型1"/>
    <w:basedOn w:val="19"/>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5">
    <w:name w:val="font21"/>
    <w:basedOn w:val="21"/>
    <w:qFormat/>
    <w:uiPriority w:val="0"/>
    <w:rPr>
      <w:rFonts w:hint="eastAsia" w:ascii="宋体" w:hAnsi="宋体" w:eastAsia="宋体" w:cs="宋体"/>
      <w:color w:val="000000"/>
      <w:sz w:val="22"/>
      <w:szCs w:val="22"/>
      <w:u w:val="none"/>
    </w:rPr>
  </w:style>
  <w:style w:type="character" w:customStyle="1" w:styleId="36">
    <w:name w:val="font01"/>
    <w:basedOn w:val="21"/>
    <w:qFormat/>
    <w:uiPriority w:val="0"/>
    <w:rPr>
      <w:rFonts w:hint="eastAsia" w:ascii="宋体" w:hAnsi="宋体" w:eastAsia="宋体" w:cs="宋体"/>
      <w:color w:val="000000"/>
      <w:sz w:val="22"/>
      <w:szCs w:val="22"/>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A324D5-C1CE-4BE4-80DB-3787C07D581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4176</Words>
  <Characters>23807</Characters>
  <Lines>198</Lines>
  <Paragraphs>55</Paragraphs>
  <TotalTime>7</TotalTime>
  <ScaleCrop>false</ScaleCrop>
  <LinksUpToDate>false</LinksUpToDate>
  <CharactersWithSpaces>27928</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2016-07-04T10:55:00Z</dcterms:created>
  <dc:creator>smile</dc:creator>
  <cp:lastModifiedBy>Administrator</cp:lastModifiedBy>
  <cp:lastPrinted>2016-08-06T01:51:00Z</cp:lastPrinted>
  <dcterms:modified xsi:type="dcterms:W3CDTF">2020-03-08T05:22:04Z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