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57883707"/>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bookmarkEnd w:id="0"/>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sz w:val="72"/>
          <w:szCs w:val="72"/>
        </w:rPr>
      </w:pPr>
      <w:bookmarkStart w:id="1" w:name="_Toc25363"/>
      <w:r>
        <w:rPr>
          <w:rFonts w:hint="eastAsia" w:ascii="方正小标宋_GBK" w:eastAsia="方正小标宋_GBK"/>
          <w:bCs/>
          <w:sz w:val="72"/>
          <w:szCs w:val="72"/>
        </w:rPr>
        <w:t>建设项目环境影响</w:t>
      </w:r>
      <w:bookmarkEnd w:id="1"/>
      <w:bookmarkStart w:id="2" w:name="_Toc21750"/>
      <w:r>
        <w:rPr>
          <w:rFonts w:hint="eastAsia" w:ascii="方正小标宋_GBK" w:eastAsia="方正小标宋_GBK"/>
          <w:bCs/>
          <w:sz w:val="72"/>
          <w:szCs w:val="72"/>
        </w:rPr>
        <w:t>报告表</w:t>
      </w:r>
      <w:bookmarkEnd w:id="2"/>
    </w:p>
    <w:p>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楷体_GB2312" w:eastAsia="楷体_GB2312"/>
          <w:bCs/>
          <w:sz w:val="48"/>
          <w:szCs w:val="48"/>
        </w:rPr>
      </w:pPr>
      <w:r>
        <w:rPr>
          <w:rFonts w:hint="eastAsia" w:ascii="楷体_GB2312" w:eastAsia="楷体_GB2312"/>
          <w:bCs/>
          <w:sz w:val="48"/>
          <w:szCs w:val="48"/>
        </w:rPr>
        <w:t>（生态影响类）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bookmarkStart w:id="3" w:name="_Hlk57883728"/>
    </w:p>
    <w:bookmarkEnd w:id="3"/>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lang w:eastAsia="zh-CN"/>
        </w:rPr>
        <w:t>湘阴县燎原水库除险加固工程</w:t>
      </w:r>
      <w:r>
        <w:rPr>
          <w:rFonts w:hint="eastAsia" w:ascii="仿宋_GB2312" w:eastAsia="仿宋_GB2312"/>
          <w:sz w:val="36"/>
          <w:szCs w:val="36"/>
          <w:u w:val="single"/>
        </w:rPr>
        <w:t xml:space="preserve">建设项目 </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default"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 xml:space="preserve">     湘阴县燎原水库管理所</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sz w:val="36"/>
          <w:szCs w:val="36"/>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2022年9月</w:t>
      </w:r>
      <w:r>
        <w:rPr>
          <w:rFonts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ascii="仿宋_GB2312" w:eastAsia="仿宋_GB2312"/>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楷体_GB2312" w:eastAsia="楷体_GB2312"/>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sz w:val="36"/>
          <w:szCs w:val="36"/>
        </w:rPr>
        <w:t>中华人民共和国生态环境部制</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610860" cy="7716520"/>
            <wp:effectExtent l="0" t="0" r="8890" b="17780"/>
            <wp:docPr id="10" name="图片 10" descr="647d3f8f53cd05100fca71eb7eb4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7d3f8f53cd05100fca71eb7eb4efc"/>
                    <pic:cNvPicPr>
                      <a:picLocks noChangeAspect="1"/>
                    </pic:cNvPicPr>
                  </pic:nvPicPr>
                  <pic:blipFill>
                    <a:blip r:embed="rId10"/>
                    <a:stretch>
                      <a:fillRect/>
                    </a:stretch>
                  </pic:blipFill>
                  <pic:spPr>
                    <a:xfrm>
                      <a:off x="0" y="0"/>
                      <a:ext cx="5610860" cy="7716520"/>
                    </a:xfrm>
                    <a:prstGeom prst="rect">
                      <a:avLst/>
                    </a:prstGeom>
                  </pic:spPr>
                </pic:pic>
              </a:graphicData>
            </a:graphic>
          </wp:inline>
        </w:drawing>
      </w:r>
      <w:r>
        <w:rPr>
          <w:rFonts w:hint="eastAsia" w:eastAsia="宋体"/>
          <w:lang w:eastAsia="zh-CN"/>
        </w:rPr>
        <w:drawing>
          <wp:inline distT="0" distB="0" distL="114300" distR="114300">
            <wp:extent cx="6931025" cy="9533890"/>
            <wp:effectExtent l="0" t="0" r="3175" b="10160"/>
            <wp:docPr id="8" name="图片 2" descr="7368b585d416fb6d3894a4a3175c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7368b585d416fb6d3894a4a3175c8a9"/>
                    <pic:cNvPicPr>
                      <a:picLocks noChangeAspect="1"/>
                    </pic:cNvPicPr>
                  </pic:nvPicPr>
                  <pic:blipFill>
                    <a:blip r:embed="rId11"/>
                    <a:stretch>
                      <a:fillRect/>
                    </a:stretch>
                  </pic:blipFill>
                  <pic:spPr>
                    <a:xfrm>
                      <a:off x="0" y="0"/>
                      <a:ext cx="6931025" cy="9533890"/>
                    </a:xfrm>
                    <a:prstGeom prst="rect">
                      <a:avLst/>
                    </a:prstGeom>
                    <a:noFill/>
                    <a:ln>
                      <a:noFill/>
                    </a:ln>
                  </pic:spPr>
                </pic:pic>
              </a:graphicData>
            </a:graphic>
          </wp:inline>
        </w:drawing>
      </w:r>
      <w:r>
        <w:rPr>
          <w:rFonts w:hint="eastAsia" w:eastAsia="宋体"/>
          <w:lang w:eastAsia="zh-CN"/>
        </w:rPr>
        <w:drawing>
          <wp:inline distT="0" distB="0" distL="114300" distR="114300">
            <wp:extent cx="7194550" cy="9902825"/>
            <wp:effectExtent l="0" t="0" r="6350" b="3175"/>
            <wp:docPr id="9" name="图片 3" descr="7a937ffe1d8347d6b63aab3e428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7a937ffe1d8347d6b63aab3e4287143"/>
                    <pic:cNvPicPr>
                      <a:picLocks noChangeAspect="1"/>
                    </pic:cNvPicPr>
                  </pic:nvPicPr>
                  <pic:blipFill>
                    <a:blip r:embed="rId12"/>
                    <a:stretch>
                      <a:fillRect/>
                    </a:stretch>
                  </pic:blipFill>
                  <pic:spPr>
                    <a:xfrm>
                      <a:off x="0" y="0"/>
                      <a:ext cx="7194550" cy="9902825"/>
                    </a:xfrm>
                    <a:prstGeom prst="rect">
                      <a:avLst/>
                    </a:prstGeom>
                    <a:noFill/>
                    <a:ln>
                      <a:noFill/>
                    </a:ln>
                  </pic:spPr>
                </pic:pic>
              </a:graphicData>
            </a:graphic>
          </wp:inline>
        </w:drawing>
      </w:r>
      <w:r>
        <w:rPr>
          <w:rFonts w:hint="eastAsia" w:eastAsia="宋体"/>
          <w:lang w:eastAsia="zh-CN"/>
        </w:rPr>
        <w:drawing>
          <wp:inline distT="0" distB="0" distL="114300" distR="114300">
            <wp:extent cx="9302115" cy="6764020"/>
            <wp:effectExtent l="0" t="0" r="17780" b="13335"/>
            <wp:docPr id="1" name="图片 4" descr="7cecdc5771b13b954b54988d39e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7cecdc5771b13b954b54988d39e5597"/>
                    <pic:cNvPicPr>
                      <a:picLocks noChangeAspect="1"/>
                    </pic:cNvPicPr>
                  </pic:nvPicPr>
                  <pic:blipFill>
                    <a:blip r:embed="rId13"/>
                    <a:stretch>
                      <a:fillRect/>
                    </a:stretch>
                  </pic:blipFill>
                  <pic:spPr>
                    <a:xfrm rot="-5400000">
                      <a:off x="0" y="0"/>
                      <a:ext cx="9302115" cy="6764020"/>
                    </a:xfrm>
                    <a:prstGeom prst="rect">
                      <a:avLst/>
                    </a:prstGeom>
                    <a:noFill/>
                    <a:ln>
                      <a:noFill/>
                    </a:ln>
                  </pic:spPr>
                </pic:pic>
              </a:graphicData>
            </a:graphic>
          </wp:inline>
        </w:drawing>
      </w:r>
      <w:r>
        <w:rPr>
          <w:rFonts w:hint="eastAsia" w:eastAsia="宋体"/>
          <w:lang w:eastAsia="zh-CN"/>
        </w:rPr>
        <w:drawing>
          <wp:inline distT="0" distB="0" distL="114300" distR="114300">
            <wp:extent cx="7049135" cy="9694545"/>
            <wp:effectExtent l="0" t="0" r="18415" b="1905"/>
            <wp:docPr id="2" name="图片 5" descr="df68ef3d7330db29d9b10b7b8206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df68ef3d7330db29d9b10b7b82064b3"/>
                    <pic:cNvPicPr>
                      <a:picLocks noChangeAspect="1"/>
                    </pic:cNvPicPr>
                  </pic:nvPicPr>
                  <pic:blipFill>
                    <a:blip r:embed="rId14"/>
                    <a:stretch>
                      <a:fillRect/>
                    </a:stretch>
                  </pic:blipFill>
                  <pic:spPr>
                    <a:xfrm>
                      <a:off x="0" y="0"/>
                      <a:ext cx="7049135" cy="9694545"/>
                    </a:xfrm>
                    <a:prstGeom prst="rect">
                      <a:avLst/>
                    </a:prstGeom>
                    <a:noFill/>
                    <a:ln>
                      <a:noFill/>
                    </a:ln>
                  </pic:spPr>
                </pic:pic>
              </a:graphicData>
            </a:graphic>
          </wp:inline>
        </w:drawing>
      </w:r>
      <w:r>
        <w:rPr>
          <w:rFonts w:hint="eastAsia" w:eastAsia="宋体"/>
          <w:lang w:eastAsia="zh-CN"/>
        </w:rPr>
        <w:drawing>
          <wp:inline distT="0" distB="0" distL="114300" distR="114300">
            <wp:extent cx="9291955" cy="6550025"/>
            <wp:effectExtent l="0" t="0" r="3175" b="4445"/>
            <wp:docPr id="3" name="图片 6" descr="0fcc09aab13490c53250cefafd3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0fcc09aab13490c53250cefafd37412"/>
                    <pic:cNvPicPr>
                      <a:picLocks noChangeAspect="1"/>
                    </pic:cNvPicPr>
                  </pic:nvPicPr>
                  <pic:blipFill>
                    <a:blip r:embed="rId15"/>
                    <a:stretch>
                      <a:fillRect/>
                    </a:stretch>
                  </pic:blipFill>
                  <pic:spPr>
                    <a:xfrm rot="-5400000">
                      <a:off x="0" y="0"/>
                      <a:ext cx="9291955" cy="6550025"/>
                    </a:xfrm>
                    <a:prstGeom prst="rect">
                      <a:avLst/>
                    </a:prstGeom>
                    <a:noFill/>
                    <a:ln>
                      <a:noFill/>
                    </a:ln>
                  </pic:spPr>
                </pic:pic>
              </a:graphicData>
            </a:graphic>
          </wp:inline>
        </w:drawing>
      </w:r>
    </w:p>
    <w:p>
      <w:pPr>
        <w:pStyle w:val="6"/>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6"/>
        <w:numPr>
          <w:ilvl w:val="2"/>
          <w:numId w:val="0"/>
        </w:numPr>
        <w:ind w:leftChars="0"/>
        <w:jc w:val="center"/>
        <w:rPr>
          <w:rFonts w:hint="eastAsia"/>
          <w:sz w:val="30"/>
          <w:szCs w:val="30"/>
          <w:lang w:eastAsia="zh-CN"/>
        </w:rPr>
      </w:pPr>
      <w:r>
        <w:rPr>
          <w:rFonts w:hint="eastAsia"/>
          <w:sz w:val="30"/>
          <w:szCs w:val="30"/>
          <w:lang w:val="en-US" w:eastAsia="zh-CN"/>
        </w:rPr>
        <w:t>专家意见</w:t>
      </w:r>
      <w:r>
        <w:rPr>
          <w:rFonts w:hint="eastAsia"/>
          <w:sz w:val="30"/>
          <w:szCs w:val="30"/>
          <w:lang w:eastAsia="zh-CN"/>
        </w:rPr>
        <w:t>修改清单</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327"/>
        <w:gridCol w:w="331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0"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序号</w:t>
            </w:r>
          </w:p>
        </w:tc>
        <w:tc>
          <w:tcPr>
            <w:tcW w:w="3327"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意见</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修改说明</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90"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w:t>
            </w:r>
          </w:p>
        </w:tc>
        <w:tc>
          <w:tcPr>
            <w:tcW w:w="3327"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完善现有项目的基本情况；核实项目的工程量、服务范围及服务的灌溉面积</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已</w:t>
            </w:r>
            <w:r>
              <w:rPr>
                <w:rFonts w:hint="default" w:ascii="Times New Roman" w:hAnsi="Times New Roman" w:eastAsia="宋体" w:cs="Times New Roman"/>
                <w:kern w:val="2"/>
                <w:sz w:val="24"/>
                <w:szCs w:val="24"/>
                <w:lang w:val="en-US" w:eastAsia="zh-CN" w:bidi="ar-SA"/>
              </w:rPr>
              <w:t>完善现有项目的基本情况；</w:t>
            </w:r>
            <w:r>
              <w:rPr>
                <w:rFonts w:hint="eastAsia" w:cs="Times New Roman"/>
                <w:kern w:val="2"/>
                <w:sz w:val="24"/>
                <w:szCs w:val="24"/>
                <w:lang w:val="en-US" w:eastAsia="zh-CN" w:bidi="ar-SA"/>
              </w:rPr>
              <w:t>并</w:t>
            </w:r>
            <w:r>
              <w:rPr>
                <w:rFonts w:hint="default" w:ascii="Times New Roman" w:hAnsi="Times New Roman" w:eastAsia="宋体" w:cs="Times New Roman"/>
                <w:kern w:val="2"/>
                <w:sz w:val="24"/>
                <w:szCs w:val="24"/>
                <w:lang w:val="en-US" w:eastAsia="zh-CN" w:bidi="ar-SA"/>
              </w:rPr>
              <w:t>核实项目的工程量、服务范围及服务的灌溉面积</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P8、P16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90"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2</w:t>
            </w:r>
          </w:p>
        </w:tc>
        <w:tc>
          <w:tcPr>
            <w:tcW w:w="3327"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完善白蚁防治药物的用量和理化毒性及使用限制要求；完善取土场环境现状、敏感目标、取土过程的环境影响及生态恢复措施；补充完善取土运输路线及其影响和防治措施</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完善白蚁防治药物的用量和理化毒性及使用限制要求</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完善取土场环境现状、敏感目标</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取土过程的环境影响及生态恢复措施</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P65-P67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补充完善取土运输路线及其影响和防治措施</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3</w:t>
            </w:r>
          </w:p>
        </w:tc>
        <w:tc>
          <w:tcPr>
            <w:tcW w:w="3327"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补充完善项目区主体功能区规划和生态功能区划情况、项目用地及周边与项目生态环境影响相关的生态环境现状调查；完善地表水环境保护目标和水质现状</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补充完善项目区主体功能区规划和生态功能区划情况</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项目用地及周边与项目生态环境影响相关的生态环境现状调查</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P49-P50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完善地表水环境保护目标</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cs="Times New Roman"/>
                <w:kern w:val="2"/>
                <w:sz w:val="24"/>
                <w:szCs w:val="24"/>
                <w:lang w:val="en-US" w:eastAsia="zh-CN" w:bidi="ar-SA"/>
              </w:rPr>
            </w:pPr>
            <w:r>
              <w:rPr>
                <w:rFonts w:hint="eastAsia" w:cs="Times New Roman"/>
                <w:kern w:val="2"/>
                <w:sz w:val="24"/>
                <w:szCs w:val="24"/>
                <w:lang w:val="en-US" w:eastAsia="zh-CN" w:bidi="ar-SA"/>
              </w:rPr>
              <w:t>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完善地表水水质现状</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P46-P47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90"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4</w:t>
            </w:r>
          </w:p>
        </w:tc>
        <w:tc>
          <w:tcPr>
            <w:tcW w:w="3327"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施工弃渣应清除至库外；结合《</w:t>
            </w:r>
            <w:r>
              <w:rPr>
                <w:rFonts w:hint="default" w:eastAsia="宋体" w:cs="Times New Roman"/>
                <w:kern w:val="2"/>
                <w:sz w:val="24"/>
                <w:szCs w:val="24"/>
                <w:lang w:val="en-US" w:eastAsia="zh-CN" w:bidi="ar-SA"/>
              </w:rPr>
              <w:fldChar w:fldCharType="begin"/>
            </w:r>
            <w:r>
              <w:rPr>
                <w:rFonts w:hint="default" w:eastAsia="宋体" w:cs="Times New Roman"/>
                <w:kern w:val="2"/>
                <w:sz w:val="24"/>
                <w:szCs w:val="24"/>
                <w:lang w:val="en-US" w:eastAsia="zh-CN" w:bidi="ar-SA"/>
              </w:rPr>
              <w:instrText xml:space="preserve"> HYPERLINK "http://www.yueyang.gov.cn/hbj/6790/6792/content_1629217.html" \t "_blank" </w:instrText>
            </w:r>
            <w:r>
              <w:rPr>
                <w:rFonts w:hint="default" w:eastAsia="宋体" w:cs="Times New Roman"/>
                <w:kern w:val="2"/>
                <w:sz w:val="24"/>
                <w:szCs w:val="24"/>
                <w:lang w:val="en-US" w:eastAsia="zh-CN" w:bidi="ar-SA"/>
              </w:rPr>
              <w:fldChar w:fldCharType="separate"/>
            </w:r>
            <w:r>
              <w:rPr>
                <w:rFonts w:hint="default" w:eastAsia="宋体" w:cs="Times New Roman"/>
                <w:kern w:val="2"/>
                <w:sz w:val="24"/>
                <w:szCs w:val="24"/>
                <w:lang w:val="en-US" w:eastAsia="zh-CN" w:bidi="ar-SA"/>
              </w:rPr>
              <w:t>岳阳市扬尘污染防治条例</w:t>
            </w:r>
            <w:r>
              <w:rPr>
                <w:rFonts w:hint="default" w:eastAsia="宋体" w:cs="Times New Roman"/>
                <w:kern w:val="2"/>
                <w:sz w:val="24"/>
                <w:szCs w:val="24"/>
                <w:lang w:val="en-US" w:eastAsia="zh-CN" w:bidi="ar-SA"/>
              </w:rPr>
              <w:fldChar w:fldCharType="end"/>
            </w:r>
            <w:r>
              <w:rPr>
                <w:rFonts w:hint="default" w:eastAsia="宋体" w:cs="Times New Roman"/>
                <w:kern w:val="2"/>
                <w:sz w:val="24"/>
                <w:szCs w:val="24"/>
                <w:lang w:val="en-US" w:eastAsia="zh-CN" w:bidi="ar-SA"/>
              </w:rPr>
              <w:t>》等要求强化施工期的扬尘污染控制措施；补充强化施工暴雨期间水土流失的防治措施</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施工弃渣应清除至库外</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结合《</w:t>
            </w:r>
            <w:r>
              <w:rPr>
                <w:rFonts w:hint="default" w:eastAsia="宋体" w:cs="Times New Roman"/>
                <w:kern w:val="2"/>
                <w:sz w:val="24"/>
                <w:szCs w:val="24"/>
                <w:lang w:val="en-US" w:eastAsia="zh-CN" w:bidi="ar-SA"/>
              </w:rPr>
              <w:fldChar w:fldCharType="begin"/>
            </w:r>
            <w:r>
              <w:rPr>
                <w:rFonts w:hint="default" w:eastAsia="宋体" w:cs="Times New Roman"/>
                <w:kern w:val="2"/>
                <w:sz w:val="24"/>
                <w:szCs w:val="24"/>
                <w:lang w:val="en-US" w:eastAsia="zh-CN" w:bidi="ar-SA"/>
              </w:rPr>
              <w:instrText xml:space="preserve"> HYPERLINK "http://www.yueyang.gov.cn/hbj/6790/6792/content_1629217.html" \t "_blank" </w:instrText>
            </w:r>
            <w:r>
              <w:rPr>
                <w:rFonts w:hint="default" w:eastAsia="宋体" w:cs="Times New Roman"/>
                <w:kern w:val="2"/>
                <w:sz w:val="24"/>
                <w:szCs w:val="24"/>
                <w:lang w:val="en-US" w:eastAsia="zh-CN" w:bidi="ar-SA"/>
              </w:rPr>
              <w:fldChar w:fldCharType="separate"/>
            </w:r>
            <w:r>
              <w:rPr>
                <w:rFonts w:hint="default" w:eastAsia="宋体" w:cs="Times New Roman"/>
                <w:kern w:val="2"/>
                <w:sz w:val="24"/>
                <w:szCs w:val="24"/>
                <w:lang w:val="en-US" w:eastAsia="zh-CN" w:bidi="ar-SA"/>
              </w:rPr>
              <w:t>岳阳市扬尘污染防治条例</w:t>
            </w:r>
            <w:r>
              <w:rPr>
                <w:rFonts w:hint="default" w:eastAsia="宋体" w:cs="Times New Roman"/>
                <w:kern w:val="2"/>
                <w:sz w:val="24"/>
                <w:szCs w:val="24"/>
                <w:lang w:val="en-US" w:eastAsia="zh-CN" w:bidi="ar-SA"/>
              </w:rPr>
              <w:fldChar w:fldCharType="end"/>
            </w:r>
            <w:r>
              <w:rPr>
                <w:rFonts w:hint="default" w:eastAsia="宋体" w:cs="Times New Roman"/>
                <w:kern w:val="2"/>
                <w:sz w:val="24"/>
                <w:szCs w:val="24"/>
                <w:lang w:val="en-US" w:eastAsia="zh-CN" w:bidi="ar-SA"/>
              </w:rPr>
              <w:t>》等要求强化施工期的扬尘污染控制措施</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补充强化施工暴雨期间水土流失的防治措施</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0"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5</w:t>
            </w:r>
          </w:p>
        </w:tc>
        <w:tc>
          <w:tcPr>
            <w:tcW w:w="3327"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完</w:t>
            </w:r>
            <w:r>
              <w:rPr>
                <w:rFonts w:hint="default" w:eastAsia="宋体" w:cs="Times New Roman"/>
                <w:kern w:val="2"/>
                <w:sz w:val="24"/>
                <w:szCs w:val="24"/>
                <w:lang w:val="en-US" w:eastAsia="zh-CN" w:bidi="ar-SA"/>
              </w:rPr>
              <w:t>善项目与相关规划的符合性分析，补充完善生态环境保护措施设计图等图件</w:t>
            </w: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完</w:t>
            </w:r>
            <w:r>
              <w:rPr>
                <w:rFonts w:hint="default" w:eastAsia="宋体" w:cs="Times New Roman"/>
                <w:kern w:val="2"/>
                <w:sz w:val="24"/>
                <w:szCs w:val="24"/>
                <w:lang w:val="en-US" w:eastAsia="zh-CN" w:bidi="ar-SA"/>
              </w:rPr>
              <w:t>善项目与相关规划的符合性分析</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P6-P7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0"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pPr>
          </w:p>
        </w:tc>
        <w:tc>
          <w:tcPr>
            <w:tcW w:w="3327"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pPr>
          </w:p>
        </w:tc>
        <w:tc>
          <w:tcPr>
            <w:tcW w:w="3313"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补充完善生态环境保护措施设计图等图件</w:t>
            </w:r>
          </w:p>
        </w:tc>
        <w:tc>
          <w:tcPr>
            <w:tcW w:w="1641" w:type="dxa"/>
            <w:noWrap w:val="0"/>
            <w:vAlign w:val="center"/>
          </w:tcPr>
          <w:p>
            <w:pPr>
              <w:pStyle w:val="7"/>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default" w:eastAsia="宋体" w:cs="Times New Roman"/>
                <w:kern w:val="2"/>
                <w:sz w:val="24"/>
                <w:szCs w:val="24"/>
                <w:lang w:val="en-US" w:eastAsia="zh-CN" w:bidi="ar-SA"/>
              </w:rPr>
            </w:pPr>
            <w:r>
              <w:rPr>
                <w:rFonts w:hint="eastAsia" w:cs="Times New Roman"/>
                <w:kern w:val="2"/>
                <w:sz w:val="24"/>
                <w:szCs w:val="24"/>
                <w:lang w:val="en-US" w:eastAsia="zh-CN" w:bidi="ar-SA"/>
              </w:rPr>
              <w:t>附图六、附图七</w:t>
            </w:r>
          </w:p>
        </w:tc>
      </w:tr>
    </w:tbl>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b/>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b/>
          <w:color w:val="auto"/>
          <w:sz w:val="36"/>
          <w:szCs w:val="36"/>
          <w:highlight w:val="none"/>
        </w:rPr>
      </w:pPr>
      <w:r>
        <w:rPr>
          <w:rFonts w:hint="eastAsia" w:ascii="宋体" w:hAnsi="宋体"/>
          <w:b/>
          <w:color w:val="auto"/>
          <w:sz w:val="36"/>
          <w:szCs w:val="36"/>
          <w:highlight w:val="none"/>
        </w:rPr>
        <w:t>目   录</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b/>
          <w:color w:val="auto"/>
          <w:sz w:val="36"/>
          <w:szCs w:val="36"/>
          <w:highlight w:val="none"/>
        </w:rPr>
      </w:pP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32"/>
          <w:szCs w:val="22"/>
        </w:rPr>
        <w:fldChar w:fldCharType="begin"/>
      </w:r>
      <w:r>
        <w:rPr>
          <w:sz w:val="32"/>
          <w:szCs w:val="22"/>
        </w:rPr>
        <w:instrText xml:space="preserve">TOC \o "1-1" \h \u </w:instrText>
      </w:r>
      <w:r>
        <w:rPr>
          <w:sz w:val="32"/>
          <w:szCs w:val="22"/>
        </w:rPr>
        <w:fldChar w:fldCharType="separate"/>
      </w:r>
      <w:r>
        <w:rPr>
          <w:sz w:val="28"/>
          <w:szCs w:val="22"/>
        </w:rPr>
        <w:fldChar w:fldCharType="begin"/>
      </w:r>
      <w:r>
        <w:rPr>
          <w:sz w:val="28"/>
          <w:szCs w:val="22"/>
        </w:rPr>
        <w:instrText xml:space="preserve"> HYPERLINK \l _Toc13177 </w:instrText>
      </w:r>
      <w:r>
        <w:rPr>
          <w:sz w:val="28"/>
          <w:szCs w:val="22"/>
        </w:rPr>
        <w:fldChar w:fldCharType="separate"/>
      </w:r>
      <w:r>
        <w:rPr>
          <w:rFonts w:hint="eastAsia" w:ascii="黑体" w:hAnsi="黑体" w:eastAsia="黑体"/>
          <w:snapToGrid w:val="0"/>
          <w:sz w:val="28"/>
          <w:szCs w:val="32"/>
        </w:rPr>
        <w:t>一、建设项目基本情况</w:t>
      </w:r>
      <w:r>
        <w:rPr>
          <w:sz w:val="28"/>
          <w:szCs w:val="28"/>
        </w:rPr>
        <w:tab/>
      </w:r>
      <w:r>
        <w:rPr>
          <w:sz w:val="28"/>
          <w:szCs w:val="28"/>
        </w:rPr>
        <w:fldChar w:fldCharType="begin"/>
      </w:r>
      <w:r>
        <w:rPr>
          <w:sz w:val="28"/>
          <w:szCs w:val="28"/>
        </w:rPr>
        <w:instrText xml:space="preserve"> PAGEREF _Toc13177 </w:instrText>
      </w:r>
      <w:r>
        <w:rPr>
          <w:sz w:val="28"/>
          <w:szCs w:val="28"/>
        </w:rPr>
        <w:fldChar w:fldCharType="separate"/>
      </w:r>
      <w:r>
        <w:rPr>
          <w:sz w:val="28"/>
          <w:szCs w:val="28"/>
        </w:rPr>
        <w:t>1</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_Toc11802 </w:instrText>
      </w:r>
      <w:r>
        <w:rPr>
          <w:sz w:val="28"/>
          <w:szCs w:val="22"/>
        </w:rPr>
        <w:fldChar w:fldCharType="separate"/>
      </w:r>
      <w:r>
        <w:rPr>
          <w:rFonts w:hint="eastAsia" w:ascii="黑体" w:hAnsi="黑体" w:eastAsia="黑体"/>
          <w:snapToGrid w:val="0"/>
          <w:sz w:val="28"/>
          <w:szCs w:val="32"/>
        </w:rPr>
        <w:t>二、建设内容</w:t>
      </w:r>
      <w:r>
        <w:rPr>
          <w:sz w:val="28"/>
          <w:szCs w:val="28"/>
        </w:rPr>
        <w:tab/>
      </w:r>
      <w:r>
        <w:rPr>
          <w:sz w:val="28"/>
          <w:szCs w:val="28"/>
        </w:rPr>
        <w:fldChar w:fldCharType="begin"/>
      </w:r>
      <w:r>
        <w:rPr>
          <w:sz w:val="28"/>
          <w:szCs w:val="28"/>
        </w:rPr>
        <w:instrText xml:space="preserve"> PAGEREF _Toc11802 </w:instrText>
      </w:r>
      <w:r>
        <w:rPr>
          <w:sz w:val="28"/>
          <w:szCs w:val="28"/>
        </w:rPr>
        <w:fldChar w:fldCharType="separate"/>
      </w:r>
      <w:r>
        <w:rPr>
          <w:sz w:val="28"/>
          <w:szCs w:val="28"/>
        </w:rPr>
        <w:t>6</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_Toc9130 </w:instrText>
      </w:r>
      <w:r>
        <w:rPr>
          <w:sz w:val="28"/>
          <w:szCs w:val="22"/>
        </w:rPr>
        <w:fldChar w:fldCharType="separate"/>
      </w:r>
      <w:r>
        <w:rPr>
          <w:rFonts w:hint="eastAsia" w:ascii="黑体" w:hAnsi="黑体" w:eastAsia="黑体"/>
          <w:snapToGrid w:val="0"/>
          <w:sz w:val="28"/>
          <w:szCs w:val="32"/>
        </w:rPr>
        <w:t>三、生态环境现状、保护目标及评价标准</w:t>
      </w:r>
      <w:r>
        <w:rPr>
          <w:sz w:val="28"/>
          <w:szCs w:val="28"/>
        </w:rPr>
        <w:tab/>
      </w:r>
      <w:r>
        <w:rPr>
          <w:sz w:val="28"/>
          <w:szCs w:val="28"/>
        </w:rPr>
        <w:fldChar w:fldCharType="begin"/>
      </w:r>
      <w:r>
        <w:rPr>
          <w:sz w:val="28"/>
          <w:szCs w:val="28"/>
        </w:rPr>
        <w:instrText xml:space="preserve"> PAGEREF _Toc9130 </w:instrText>
      </w:r>
      <w:r>
        <w:rPr>
          <w:sz w:val="28"/>
          <w:szCs w:val="28"/>
        </w:rPr>
        <w:fldChar w:fldCharType="separate"/>
      </w:r>
      <w:r>
        <w:rPr>
          <w:sz w:val="28"/>
          <w:szCs w:val="28"/>
        </w:rPr>
        <w:t>42</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_Toc23245 </w:instrText>
      </w:r>
      <w:r>
        <w:rPr>
          <w:sz w:val="28"/>
          <w:szCs w:val="22"/>
        </w:rPr>
        <w:fldChar w:fldCharType="separate"/>
      </w:r>
      <w:r>
        <w:rPr>
          <w:rFonts w:hint="eastAsia" w:ascii="黑体" w:hAnsi="黑体" w:eastAsia="黑体"/>
          <w:snapToGrid w:val="0"/>
          <w:sz w:val="28"/>
          <w:szCs w:val="32"/>
        </w:rPr>
        <w:t>四、生态环境影响分析</w:t>
      </w:r>
      <w:r>
        <w:rPr>
          <w:sz w:val="28"/>
          <w:szCs w:val="28"/>
        </w:rPr>
        <w:tab/>
      </w:r>
      <w:r>
        <w:rPr>
          <w:sz w:val="28"/>
          <w:szCs w:val="28"/>
        </w:rPr>
        <w:fldChar w:fldCharType="begin"/>
      </w:r>
      <w:r>
        <w:rPr>
          <w:sz w:val="28"/>
          <w:szCs w:val="28"/>
        </w:rPr>
        <w:instrText xml:space="preserve"> PAGEREF _Toc23245 </w:instrText>
      </w:r>
      <w:r>
        <w:rPr>
          <w:sz w:val="28"/>
          <w:szCs w:val="28"/>
        </w:rPr>
        <w:fldChar w:fldCharType="separate"/>
      </w:r>
      <w:r>
        <w:rPr>
          <w:sz w:val="28"/>
          <w:szCs w:val="28"/>
        </w:rPr>
        <w:t>54</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_Toc21852 </w:instrText>
      </w:r>
      <w:r>
        <w:rPr>
          <w:sz w:val="28"/>
          <w:szCs w:val="22"/>
        </w:rPr>
        <w:fldChar w:fldCharType="separate"/>
      </w:r>
      <w:r>
        <w:rPr>
          <w:rFonts w:hint="eastAsia" w:ascii="黑体" w:hAnsi="黑体" w:eastAsia="黑体"/>
          <w:snapToGrid w:val="0"/>
          <w:sz w:val="28"/>
          <w:szCs w:val="32"/>
        </w:rPr>
        <w:t>五、主要生态环境保护措施</w:t>
      </w:r>
      <w:r>
        <w:rPr>
          <w:sz w:val="28"/>
          <w:szCs w:val="28"/>
        </w:rPr>
        <w:tab/>
      </w:r>
      <w:r>
        <w:rPr>
          <w:sz w:val="28"/>
          <w:szCs w:val="28"/>
        </w:rPr>
        <w:fldChar w:fldCharType="begin"/>
      </w:r>
      <w:r>
        <w:rPr>
          <w:sz w:val="28"/>
          <w:szCs w:val="28"/>
        </w:rPr>
        <w:instrText xml:space="preserve"> PAGEREF _Toc21852 </w:instrText>
      </w:r>
      <w:r>
        <w:rPr>
          <w:sz w:val="28"/>
          <w:szCs w:val="28"/>
        </w:rPr>
        <w:fldChar w:fldCharType="separate"/>
      </w:r>
      <w:r>
        <w:rPr>
          <w:sz w:val="28"/>
          <w:szCs w:val="28"/>
        </w:rPr>
        <w:t>67</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_Toc3961 </w:instrText>
      </w:r>
      <w:r>
        <w:rPr>
          <w:sz w:val="28"/>
          <w:szCs w:val="22"/>
        </w:rPr>
        <w:fldChar w:fldCharType="separate"/>
      </w:r>
      <w:r>
        <w:rPr>
          <w:rFonts w:hint="eastAsia" w:ascii="黑体" w:hAnsi="黑体" w:eastAsia="黑体"/>
          <w:snapToGrid w:val="0"/>
          <w:sz w:val="28"/>
          <w:szCs w:val="32"/>
        </w:rPr>
        <w:t>六、生态环境保护措施监督检查清单</w:t>
      </w:r>
      <w:r>
        <w:rPr>
          <w:sz w:val="28"/>
          <w:szCs w:val="28"/>
        </w:rPr>
        <w:tab/>
      </w:r>
      <w:r>
        <w:rPr>
          <w:sz w:val="28"/>
          <w:szCs w:val="28"/>
        </w:rPr>
        <w:fldChar w:fldCharType="begin"/>
      </w:r>
      <w:r>
        <w:rPr>
          <w:sz w:val="28"/>
          <w:szCs w:val="28"/>
        </w:rPr>
        <w:instrText xml:space="preserve"> PAGEREF _Toc3961 </w:instrText>
      </w:r>
      <w:r>
        <w:rPr>
          <w:sz w:val="28"/>
          <w:szCs w:val="28"/>
        </w:rPr>
        <w:fldChar w:fldCharType="separate"/>
      </w:r>
      <w:r>
        <w:rPr>
          <w:sz w:val="28"/>
          <w:szCs w:val="28"/>
        </w:rPr>
        <w:t>75</w:t>
      </w:r>
      <w:r>
        <w:rPr>
          <w:sz w:val="28"/>
          <w:szCs w:val="28"/>
        </w:rPr>
        <w:fldChar w:fldCharType="end"/>
      </w:r>
      <w:r>
        <w:rPr>
          <w:sz w:val="28"/>
          <w:szCs w:val="22"/>
        </w:rPr>
        <w:fldChar w:fldCharType="end"/>
      </w:r>
    </w:p>
    <w:p>
      <w:pPr>
        <w:pStyle w:val="14"/>
        <w:keepNext w:val="0"/>
        <w:keepLines w:val="0"/>
        <w:pageBreakBefore w:val="0"/>
        <w:widowControl w:val="0"/>
        <w:tabs>
          <w:tab w:val="right" w:leader="dot" w:pos="8844"/>
          <w:tab w:val="clear" w:pos="8720"/>
        </w:tabs>
        <w:kinsoku/>
        <w:wordWrap/>
        <w:overflowPunct/>
        <w:topLinePunct w:val="0"/>
        <w:bidi w:val="0"/>
        <w:snapToGrid/>
        <w:ind w:firstLine="0" w:firstLineChars="0"/>
        <w:textAlignment w:val="auto"/>
        <w:rPr>
          <w:sz w:val="28"/>
          <w:szCs w:val="28"/>
        </w:rPr>
      </w:pPr>
      <w:r>
        <w:rPr>
          <w:sz w:val="28"/>
          <w:szCs w:val="22"/>
        </w:rPr>
        <w:fldChar w:fldCharType="begin"/>
      </w:r>
      <w:r>
        <w:rPr>
          <w:sz w:val="28"/>
          <w:szCs w:val="22"/>
        </w:rPr>
        <w:instrText xml:space="preserve"> HYPERLINK \l _Toc21899 </w:instrText>
      </w:r>
      <w:r>
        <w:rPr>
          <w:sz w:val="28"/>
          <w:szCs w:val="22"/>
        </w:rPr>
        <w:fldChar w:fldCharType="separate"/>
      </w:r>
      <w:r>
        <w:rPr>
          <w:rFonts w:hint="eastAsia" w:ascii="黑体" w:hAnsi="黑体" w:eastAsia="黑体"/>
          <w:snapToGrid w:val="0"/>
          <w:sz w:val="28"/>
          <w:szCs w:val="32"/>
        </w:rPr>
        <w:t>七、结论</w:t>
      </w:r>
      <w:r>
        <w:rPr>
          <w:sz w:val="28"/>
          <w:szCs w:val="28"/>
        </w:rPr>
        <w:tab/>
      </w:r>
      <w:r>
        <w:rPr>
          <w:sz w:val="28"/>
          <w:szCs w:val="28"/>
        </w:rPr>
        <w:fldChar w:fldCharType="begin"/>
      </w:r>
      <w:r>
        <w:rPr>
          <w:sz w:val="28"/>
          <w:szCs w:val="28"/>
        </w:rPr>
        <w:instrText xml:space="preserve"> PAGEREF _Toc21899 </w:instrText>
      </w:r>
      <w:r>
        <w:rPr>
          <w:sz w:val="28"/>
          <w:szCs w:val="28"/>
        </w:rPr>
        <w:fldChar w:fldCharType="separate"/>
      </w:r>
      <w:r>
        <w:rPr>
          <w:sz w:val="28"/>
          <w:szCs w:val="28"/>
        </w:rPr>
        <w:t>78</w:t>
      </w:r>
      <w:r>
        <w:rPr>
          <w:sz w:val="28"/>
          <w:szCs w:val="28"/>
        </w:rPr>
        <w:fldChar w:fldCharType="end"/>
      </w:r>
      <w:r>
        <w:rPr>
          <w:sz w:val="28"/>
          <w:szCs w:val="22"/>
        </w:rPr>
        <w:fldChar w:fldCharType="end"/>
      </w:r>
    </w:p>
    <w:p>
      <w:pPr>
        <w:keepNext w:val="0"/>
        <w:keepLines w:val="0"/>
        <w:pageBreakBefore w:val="0"/>
        <w:widowControl w:val="0"/>
        <w:kinsoku/>
        <w:wordWrap/>
        <w:overflowPunct/>
        <w:topLinePunct w:val="0"/>
        <w:bidi w:val="0"/>
        <w:snapToGrid/>
        <w:ind w:firstLine="0" w:firstLineChars="0"/>
        <w:textAlignment w:val="auto"/>
        <w:rPr>
          <w:szCs w:val="21"/>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sz w:val="28"/>
          <w:szCs w:val="22"/>
        </w:rPr>
        <w:fldChar w:fldCharType="end"/>
      </w:r>
    </w:p>
    <w:p>
      <w:pPr>
        <w:bidi w:val="0"/>
        <w:rPr>
          <w:rFonts w:hint="eastAsia"/>
          <w:b/>
          <w:bCs/>
          <w:lang w:val="en-US" w:eastAsia="zh-CN"/>
        </w:rPr>
      </w:pPr>
      <w:r>
        <w:rPr>
          <w:rFonts w:hint="eastAsia"/>
          <w:b/>
          <w:bCs/>
          <w:lang w:val="en-US" w:eastAsia="zh-CN"/>
        </w:rPr>
        <w:t>附件</w:t>
      </w:r>
    </w:p>
    <w:p>
      <w:pPr>
        <w:bidi w:val="0"/>
        <w:rPr>
          <w:rFonts w:hint="eastAsia"/>
          <w:highlight w:val="none"/>
          <w:lang w:val="en-US" w:eastAsia="zh-CN"/>
        </w:rPr>
      </w:pPr>
      <w:r>
        <w:rPr>
          <w:rFonts w:hint="eastAsia"/>
          <w:highlight w:val="none"/>
          <w:lang w:val="en-US" w:eastAsia="zh-CN"/>
        </w:rPr>
        <w:t>附件1：委托函</w:t>
      </w:r>
    </w:p>
    <w:p>
      <w:pPr>
        <w:bidi w:val="0"/>
        <w:rPr>
          <w:rFonts w:hint="eastAsia"/>
          <w:highlight w:val="none"/>
          <w:lang w:val="en-US" w:eastAsia="zh-CN"/>
        </w:rPr>
      </w:pPr>
      <w:r>
        <w:rPr>
          <w:rFonts w:hint="eastAsia"/>
          <w:highlight w:val="none"/>
          <w:lang w:val="en-US" w:eastAsia="zh-CN"/>
        </w:rPr>
        <w:t>附件2： 湖南省水利厅关于《湘阴县燎原水库除险加固工程初步设计的批复》</w:t>
      </w:r>
    </w:p>
    <w:p>
      <w:pPr>
        <w:bidi w:val="0"/>
        <w:rPr>
          <w:rFonts w:hint="default"/>
          <w:highlight w:val="none"/>
          <w:lang w:val="en-US" w:eastAsia="zh-CN"/>
        </w:rPr>
      </w:pPr>
      <w:r>
        <w:rPr>
          <w:rFonts w:hint="eastAsia"/>
          <w:highlight w:val="none"/>
          <w:lang w:val="en-US" w:eastAsia="zh-CN"/>
        </w:rPr>
        <w:t>附件3：同意接受杂土的协议书</w:t>
      </w:r>
    </w:p>
    <w:p>
      <w:pPr>
        <w:bidi w:val="0"/>
        <w:rPr>
          <w:rFonts w:hint="default" w:ascii="Times New Roman" w:hAnsi="Times New Roman" w:eastAsia="宋体" w:cs="Times New Roman"/>
          <w:highlight w:val="none"/>
          <w:lang w:val="en-US" w:eastAsia="zh-CN"/>
        </w:rPr>
      </w:pPr>
      <w:r>
        <w:rPr>
          <w:rFonts w:hint="eastAsia"/>
          <w:highlight w:val="none"/>
          <w:lang w:val="en-US" w:eastAsia="zh-CN"/>
        </w:rPr>
        <w:t>附</w:t>
      </w:r>
      <w:r>
        <w:rPr>
          <w:rFonts w:hint="eastAsia" w:ascii="Times New Roman" w:hAnsi="Times New Roman" w:eastAsia="宋体" w:cs="Times New Roman"/>
          <w:highlight w:val="none"/>
          <w:lang w:val="en-US" w:eastAsia="zh-CN"/>
        </w:rPr>
        <w:t>件4：环境质量现状监测报告</w:t>
      </w:r>
    </w:p>
    <w:p>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附件5：专家评审意见</w:t>
      </w:r>
    </w:p>
    <w:p>
      <w:pPr>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附件6：</w:t>
      </w:r>
      <w:r>
        <w:rPr>
          <w:rFonts w:hint="eastAsia"/>
          <w:lang w:val="en-US" w:eastAsia="zh-CN"/>
        </w:rPr>
        <w:t>专家评审签到表</w:t>
      </w:r>
    </w:p>
    <w:p>
      <w:pPr>
        <w:bidi w:val="0"/>
        <w:rPr>
          <w:rFonts w:hint="eastAsia"/>
          <w:b/>
          <w:bCs/>
          <w:highlight w:val="none"/>
          <w:lang w:val="en-US" w:eastAsia="zh-CN"/>
        </w:rPr>
      </w:pPr>
      <w:r>
        <w:rPr>
          <w:rFonts w:hint="eastAsia"/>
          <w:b/>
          <w:bCs/>
          <w:highlight w:val="none"/>
          <w:lang w:val="en-US" w:eastAsia="zh-CN"/>
        </w:rPr>
        <w:t>附图</w:t>
      </w:r>
    </w:p>
    <w:p>
      <w:pPr>
        <w:bidi w:val="0"/>
        <w:rPr>
          <w:rFonts w:hint="eastAsia"/>
          <w:highlight w:val="none"/>
          <w:lang w:val="en-US" w:eastAsia="zh-CN"/>
        </w:rPr>
      </w:pPr>
      <w:r>
        <w:rPr>
          <w:rFonts w:hint="eastAsia"/>
          <w:highlight w:val="none"/>
          <w:lang w:val="en-US" w:eastAsia="zh-CN"/>
        </w:rPr>
        <w:t>附图一  项目地理位置图</w:t>
      </w:r>
    </w:p>
    <w:p>
      <w:pPr>
        <w:bidi w:val="0"/>
        <w:rPr>
          <w:rFonts w:hint="eastAsia"/>
          <w:highlight w:val="none"/>
          <w:lang w:val="en-US" w:eastAsia="zh-CN"/>
        </w:rPr>
      </w:pPr>
      <w:r>
        <w:rPr>
          <w:rFonts w:hint="eastAsia"/>
          <w:highlight w:val="none"/>
          <w:lang w:val="en-US" w:eastAsia="zh-CN"/>
        </w:rPr>
        <w:t>附图二  主要环保目标图</w:t>
      </w:r>
    </w:p>
    <w:p>
      <w:pPr>
        <w:bidi w:val="0"/>
        <w:rPr>
          <w:rFonts w:hint="default" w:ascii="Times New Roman" w:hAnsi="Times New Roman"/>
          <w:highlight w:val="none"/>
          <w:lang w:val="en-US" w:eastAsia="zh-CN"/>
        </w:rPr>
      </w:pPr>
      <w:r>
        <w:rPr>
          <w:rFonts w:hint="eastAsia" w:ascii="Times New Roman" w:hAnsi="Times New Roman"/>
          <w:highlight w:val="none"/>
          <w:lang w:val="en-US" w:eastAsia="zh-CN"/>
        </w:rPr>
        <w:t>附图三  监测布点图</w:t>
      </w:r>
    </w:p>
    <w:p>
      <w:pPr>
        <w:bidi w:val="0"/>
        <w:rPr>
          <w:rFonts w:hint="eastAsia" w:eastAsia="宋体"/>
          <w:highlight w:val="none"/>
          <w:lang w:val="en-US" w:eastAsia="zh-CN"/>
        </w:rPr>
      </w:pPr>
      <w:r>
        <w:rPr>
          <w:rFonts w:hint="eastAsia" w:eastAsia="宋体"/>
          <w:highlight w:val="none"/>
          <w:lang w:val="en-US" w:eastAsia="zh-CN"/>
        </w:rPr>
        <w:t>附图四  燎原水库平面布置图</w:t>
      </w:r>
    </w:p>
    <w:p>
      <w:pPr>
        <w:bidi w:val="0"/>
        <w:rPr>
          <w:rFonts w:hint="eastAsia" w:eastAsia="宋体"/>
          <w:highlight w:val="none"/>
          <w:lang w:val="en-US" w:eastAsia="zh-CN"/>
        </w:rPr>
      </w:pPr>
      <w:r>
        <w:rPr>
          <w:rFonts w:hint="eastAsia" w:eastAsia="宋体"/>
          <w:highlight w:val="none"/>
          <w:lang w:val="en-US" w:eastAsia="zh-CN"/>
        </w:rPr>
        <w:t>附图五  燎原水库施工平面布置</w:t>
      </w:r>
      <w:bookmarkStart w:id="66" w:name="_GoBack"/>
      <w:bookmarkEnd w:id="66"/>
      <w:r>
        <w:rPr>
          <w:rFonts w:hint="eastAsia" w:eastAsia="宋体"/>
          <w:highlight w:val="none"/>
          <w:lang w:val="en-US" w:eastAsia="zh-CN"/>
        </w:rPr>
        <w:t>图</w:t>
      </w:r>
    </w:p>
    <w:p>
      <w:pPr>
        <w:bidi w:val="0"/>
        <w:rPr>
          <w:rFonts w:hint="eastAsia" w:eastAsia="宋体"/>
          <w:highlight w:val="none"/>
          <w:u w:val="single"/>
          <w:lang w:val="en-US" w:eastAsia="zh-CN"/>
        </w:rPr>
      </w:pPr>
      <w:r>
        <w:rPr>
          <w:rFonts w:hint="eastAsia" w:eastAsia="宋体"/>
          <w:highlight w:val="none"/>
          <w:u w:val="single"/>
          <w:lang w:val="en-US" w:eastAsia="zh-CN"/>
        </w:rPr>
        <w:t>附图六  施工期生态保护措施布置图</w:t>
      </w:r>
    </w:p>
    <w:p>
      <w:pPr>
        <w:bidi w:val="0"/>
        <w:rPr>
          <w:rFonts w:hint="eastAsia" w:eastAsia="宋体"/>
          <w:highlight w:val="none"/>
          <w:u w:val="single"/>
          <w:lang w:val="en-US" w:eastAsia="zh-CN"/>
        </w:rPr>
      </w:pPr>
      <w:r>
        <w:rPr>
          <w:rFonts w:hint="eastAsia" w:eastAsia="宋体"/>
          <w:highlight w:val="none"/>
          <w:u w:val="single"/>
          <w:lang w:val="en-US" w:eastAsia="zh-CN"/>
        </w:rPr>
        <w:t>附图七  生态恢复措施布置图</w:t>
      </w:r>
    </w:p>
    <w:p>
      <w:pPr>
        <w:bidi w:val="0"/>
        <w:rPr>
          <w:rFonts w:hint="eastAsia" w:eastAsia="宋体"/>
          <w:highlight w:val="none"/>
          <w:lang w:val="en-US" w:eastAsia="zh-CN"/>
        </w:rPr>
      </w:pPr>
      <w:r>
        <w:rPr>
          <w:rFonts w:hint="eastAsia" w:eastAsia="宋体"/>
          <w:highlight w:val="none"/>
          <w:lang w:val="en-US" w:eastAsia="zh-CN"/>
        </w:rPr>
        <w:t>附图八  燎原水库流域水系图</w:t>
      </w:r>
    </w:p>
    <w:p>
      <w:pPr>
        <w:bidi w:val="0"/>
        <w:rPr>
          <w:rFonts w:hint="eastAsia" w:eastAsia="宋体"/>
          <w:highlight w:val="none"/>
          <w:lang w:val="en-US" w:eastAsia="zh-CN"/>
        </w:rPr>
      </w:pPr>
      <w:r>
        <w:rPr>
          <w:rFonts w:hint="eastAsia" w:eastAsia="宋体"/>
          <w:highlight w:val="none"/>
          <w:lang w:val="en-US" w:eastAsia="zh-CN"/>
        </w:rPr>
        <w:t>附图九  岳阳市生态红线图</w:t>
      </w:r>
    </w:p>
    <w:p>
      <w:pPr>
        <w:rPr>
          <w:rFonts w:hint="default"/>
          <w:lang w:val="en-US" w:eastAsia="zh-CN"/>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lang w:val="en-US" w:eastAsia="zh-CN"/>
        </w:rPr>
        <w:t>附图十  现场勘察图</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firstLine="0" w:firstLineChars="0"/>
        <w:jc w:val="both"/>
        <w:textAlignment w:val="auto"/>
        <w:outlineLvl w:val="0"/>
        <w:rPr>
          <w:rFonts w:ascii="黑体" w:hAnsi="黑体" w:eastAsia="黑体"/>
          <w:snapToGrid w:val="0"/>
          <w:sz w:val="30"/>
          <w:szCs w:val="30"/>
        </w:rPr>
      </w:pPr>
      <w:bookmarkStart w:id="4" w:name="_Toc13177"/>
      <w:r>
        <w:rPr>
          <w:rFonts w:hint="eastAsia" w:ascii="黑体" w:hAnsi="黑体" w:eastAsia="黑体"/>
          <w:snapToGrid w:val="0"/>
          <w:sz w:val="30"/>
          <w:szCs w:val="30"/>
        </w:rPr>
        <w:t>一、建设项目基本情况</w:t>
      </w:r>
      <w:bookmarkEnd w:id="4"/>
    </w:p>
    <w:tbl>
      <w:tblPr>
        <w:tblStyle w:val="18"/>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50"/>
        <w:gridCol w:w="3219"/>
        <w:gridCol w:w="2066"/>
        <w:gridCol w:w="27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建设项目名称</w:t>
            </w:r>
          </w:p>
        </w:tc>
        <w:tc>
          <w:tcPr>
            <w:tcW w:w="7989" w:type="dxa"/>
            <w:gridSpan w:val="3"/>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eastAsia" w:cs="Times New Roman"/>
                <w:szCs w:val="21"/>
                <w:lang w:eastAsia="zh-CN"/>
              </w:rPr>
              <w:t>湘阴县燎原水库除险加固工程</w:t>
            </w:r>
            <w:r>
              <w:rPr>
                <w:rFonts w:hint="default" w:ascii="Times New Roman" w:hAnsi="Times New Roman" w:cs="Times New Roman"/>
                <w:szCs w:val="21"/>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项目代码</w:t>
            </w:r>
          </w:p>
        </w:tc>
        <w:tc>
          <w:tcPr>
            <w:tcW w:w="7989" w:type="dxa"/>
            <w:gridSpan w:val="3"/>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eastAsia" w:cs="Times New Roman"/>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建设单位联系人</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邓成熙</w:t>
            </w:r>
          </w:p>
        </w:tc>
        <w:tc>
          <w:tcPr>
            <w:tcW w:w="2066"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联系方式</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15197000666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建设地点</w:t>
            </w:r>
          </w:p>
        </w:tc>
        <w:tc>
          <w:tcPr>
            <w:tcW w:w="7989" w:type="dxa"/>
            <w:gridSpan w:val="3"/>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u w:val="none"/>
                <w:lang w:val="en-US" w:eastAsia="zh-CN"/>
              </w:rPr>
              <w:t>湖南</w:t>
            </w:r>
            <w:r>
              <w:rPr>
                <w:rFonts w:hint="default" w:ascii="Times New Roman" w:hAnsi="Times New Roman" w:cs="Times New Roman"/>
                <w:szCs w:val="21"/>
              </w:rPr>
              <w:t>省</w:t>
            </w:r>
            <w:r>
              <w:rPr>
                <w:rFonts w:hint="eastAsia" w:cs="Times New Roman"/>
                <w:szCs w:val="21"/>
                <w:lang w:val="en-US" w:eastAsia="zh-CN"/>
              </w:rPr>
              <w:t>岳阳</w:t>
            </w:r>
            <w:r>
              <w:rPr>
                <w:rFonts w:hint="default" w:ascii="Times New Roman" w:hAnsi="Times New Roman" w:cs="Times New Roman"/>
                <w:szCs w:val="21"/>
                <w:lang w:val="en-US" w:eastAsia="zh-CN"/>
              </w:rPr>
              <w:t>市</w:t>
            </w:r>
            <w:r>
              <w:rPr>
                <w:rFonts w:hint="eastAsia" w:cs="Times New Roman"/>
                <w:szCs w:val="21"/>
                <w:lang w:val="en-US" w:eastAsia="zh-CN"/>
              </w:rPr>
              <w:t>湘阴县金龙镇金龙村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地理坐标</w:t>
            </w:r>
          </w:p>
        </w:tc>
        <w:tc>
          <w:tcPr>
            <w:tcW w:w="7989" w:type="dxa"/>
            <w:gridSpan w:val="3"/>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none"/>
                <w:lang w:val="en-US" w:eastAsia="zh-CN"/>
              </w:rPr>
              <w:t>11</w:t>
            </w:r>
            <w:r>
              <w:rPr>
                <w:rFonts w:hint="eastAsia" w:cs="Times New Roman"/>
                <w:szCs w:val="21"/>
                <w:u w:val="none"/>
                <w:lang w:val="en-US" w:eastAsia="zh-CN"/>
              </w:rPr>
              <w:t>2</w:t>
            </w:r>
            <w:r>
              <w:rPr>
                <w:rFonts w:hint="default" w:ascii="Times New Roman" w:hAnsi="Times New Roman" w:cs="Times New Roman"/>
                <w:szCs w:val="21"/>
                <w:u w:val="none"/>
              </w:rPr>
              <w:t>度</w:t>
            </w:r>
            <w:r>
              <w:rPr>
                <w:rFonts w:hint="eastAsia" w:cs="Times New Roman"/>
                <w:szCs w:val="21"/>
                <w:u w:val="none"/>
                <w:lang w:val="en-US" w:eastAsia="zh-CN"/>
              </w:rPr>
              <w:t>56</w:t>
            </w:r>
            <w:r>
              <w:rPr>
                <w:rFonts w:hint="default" w:ascii="Times New Roman" w:hAnsi="Times New Roman" w:cs="Times New Roman"/>
                <w:szCs w:val="21"/>
                <w:u w:val="none"/>
              </w:rPr>
              <w:t>分</w:t>
            </w:r>
            <w:r>
              <w:rPr>
                <w:rFonts w:hint="eastAsia" w:cs="Times New Roman"/>
                <w:szCs w:val="21"/>
                <w:u w:val="none"/>
                <w:lang w:val="en-US" w:eastAsia="zh-CN"/>
              </w:rPr>
              <w:t>32.978</w:t>
            </w:r>
            <w:r>
              <w:rPr>
                <w:rFonts w:hint="default" w:ascii="Times New Roman" w:hAnsi="Times New Roman" w:cs="Times New Roman"/>
                <w:szCs w:val="21"/>
                <w:u w:val="none"/>
              </w:rPr>
              <w:t>秒，</w:t>
            </w:r>
            <w:r>
              <w:rPr>
                <w:rFonts w:hint="default" w:ascii="Times New Roman" w:hAnsi="Times New Roman" w:cs="Times New Roman"/>
                <w:szCs w:val="21"/>
                <w:u w:val="none"/>
                <w:lang w:val="en-US" w:eastAsia="zh-CN"/>
              </w:rPr>
              <w:t>28</w:t>
            </w:r>
            <w:r>
              <w:rPr>
                <w:rFonts w:hint="default" w:ascii="Times New Roman" w:hAnsi="Times New Roman" w:cs="Times New Roman"/>
                <w:szCs w:val="21"/>
                <w:u w:val="none"/>
              </w:rPr>
              <w:t>度</w:t>
            </w:r>
            <w:r>
              <w:rPr>
                <w:rFonts w:hint="eastAsia" w:cs="Times New Roman"/>
                <w:szCs w:val="21"/>
                <w:u w:val="none"/>
                <w:lang w:val="en-US" w:eastAsia="zh-CN"/>
              </w:rPr>
              <w:t>31</w:t>
            </w:r>
            <w:r>
              <w:rPr>
                <w:rFonts w:hint="default" w:ascii="Times New Roman" w:hAnsi="Times New Roman" w:cs="Times New Roman"/>
                <w:szCs w:val="21"/>
                <w:u w:val="none"/>
              </w:rPr>
              <w:t>分</w:t>
            </w:r>
            <w:r>
              <w:rPr>
                <w:rFonts w:hint="eastAsia" w:cs="Times New Roman"/>
                <w:szCs w:val="21"/>
                <w:u w:val="none"/>
                <w:lang w:val="en-US" w:eastAsia="zh-CN"/>
              </w:rPr>
              <w:t>56.016</w:t>
            </w:r>
            <w:r>
              <w:rPr>
                <w:rFonts w:hint="default" w:ascii="Times New Roman" w:hAnsi="Times New Roman" w:cs="Times New Roman"/>
                <w:szCs w:val="21"/>
                <w:u w:val="none"/>
              </w:rPr>
              <w:t>秒</w:t>
            </w: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行业类别</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zCs w:val="21"/>
                <w:lang w:eastAsia="zh-CN"/>
              </w:rPr>
            </w:pPr>
            <w:r>
              <w:rPr>
                <w:rFonts w:hint="default" w:ascii="Times New Roman" w:hAnsi="Times New Roman" w:cs="Times New Roman"/>
                <w:szCs w:val="21"/>
              </w:rPr>
              <w:t>五十一、水利—127.防洪除涝工程—其他（小型沟渠的护坡除外；城镇排涝</w:t>
            </w:r>
            <w:r>
              <w:rPr>
                <w:rFonts w:hint="eastAsia" w:cs="Times New Roman"/>
                <w:szCs w:val="21"/>
                <w:lang w:eastAsia="zh-CN"/>
              </w:rPr>
              <w:t>）</w:t>
            </w:r>
          </w:p>
        </w:tc>
        <w:tc>
          <w:tcPr>
            <w:tcW w:w="20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用地（用海）面积（</w:t>
            </w:r>
            <w:r>
              <w:rPr>
                <w:rFonts w:hint="eastAsia" w:cs="Times New Roman"/>
                <w:szCs w:val="21"/>
                <w:lang w:eastAsia="zh-CN"/>
              </w:rPr>
              <w:t>m</w:t>
            </w:r>
            <w:r>
              <w:rPr>
                <w:rFonts w:hint="eastAsia" w:cs="Times New Roman"/>
                <w:szCs w:val="21"/>
                <w:vertAlign w:val="superscript"/>
                <w:lang w:eastAsia="zh-CN"/>
              </w:rPr>
              <w:t>2</w:t>
            </w:r>
            <w:r>
              <w:rPr>
                <w:rFonts w:hint="default" w:ascii="Times New Roman" w:hAnsi="Times New Roman" w:cs="Times New Roman"/>
                <w:szCs w:val="21"/>
              </w:rPr>
              <w:t>）/长度（km）</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cs="Times New Roman"/>
                <w:szCs w:val="21"/>
                <w:highlight w:val="none"/>
                <w:lang w:val="en-US" w:eastAsia="zh-CN"/>
              </w:rPr>
              <w:t>36600</w:t>
            </w:r>
            <w:r>
              <w:rPr>
                <w:rFonts w:hint="eastAsia" w:cs="Times New Roman"/>
                <w:szCs w:val="21"/>
                <w:highlight w:val="none"/>
                <w:lang w:eastAsia="zh-CN"/>
              </w:rPr>
              <w:t>m</w:t>
            </w:r>
            <w:r>
              <w:rPr>
                <w:rFonts w:hint="eastAsia" w:cs="Times New Roman"/>
                <w:szCs w:val="21"/>
                <w:highlight w:val="none"/>
                <w:vertAlign w:val="superscript"/>
                <w:lang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建设性质</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t>□新建（迁建）</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eastAsia" w:cs="Times New Roman"/>
                <w:szCs w:val="21"/>
                <w:lang w:eastAsia="zh-CN"/>
              </w:rPr>
              <w:t>□</w:t>
            </w:r>
            <w:r>
              <w:rPr>
                <w:rFonts w:hint="default" w:ascii="Times New Roman" w:hAnsi="Times New Roman" w:cs="Times New Roman"/>
                <w:szCs w:val="21"/>
              </w:rPr>
              <w:t>改建</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t>□扩建</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技术改造</w:t>
            </w:r>
          </w:p>
        </w:tc>
        <w:tc>
          <w:tcPr>
            <w:tcW w:w="20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建设项目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申报情形</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首次申报项目</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t>□不予批准后再次申报项目</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t>□超五年重新审核项目</w:t>
            </w:r>
          </w:p>
          <w:p>
            <w:pPr>
              <w:keepNext w:val="0"/>
              <w:keepLines w:val="0"/>
              <w:pageBreakBefore w:val="0"/>
              <w:kinsoku/>
              <w:wordWrap/>
              <w:overflowPunct/>
              <w:topLinePunct w:val="0"/>
              <w:bidi w:val="0"/>
              <w:adjustRightInd w:val="0"/>
              <w:snapToGrid w:val="0"/>
              <w:spacing w:line="240" w:lineRule="auto"/>
              <w:ind w:firstLine="0" w:firstLineChars="0"/>
              <w:textAlignment w:val="auto"/>
              <w:rPr>
                <w:rFonts w:hint="default" w:ascii="Times New Roman" w:hAnsi="Times New Roman" w:cs="Times New Roman"/>
                <w:szCs w:val="21"/>
              </w:rPr>
            </w:pP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备案）部门（选填）</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w:t>
            </w:r>
          </w:p>
        </w:tc>
        <w:tc>
          <w:tcPr>
            <w:tcW w:w="206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项目审批（核准/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备案）文号（选填）</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总投资（万元）</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6686.20</w:t>
            </w:r>
          </w:p>
        </w:tc>
        <w:tc>
          <w:tcPr>
            <w:tcW w:w="2066"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环保投资（万元）</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74.63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050"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环保投资占比（%）</w:t>
            </w:r>
          </w:p>
        </w:tc>
        <w:tc>
          <w:tcPr>
            <w:tcW w:w="3219"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1.12</w:t>
            </w:r>
            <w:r>
              <w:rPr>
                <w:rFonts w:hint="default" w:ascii="Times New Roman" w:hAnsi="Times New Roman" w:cs="Times New Roman"/>
                <w:szCs w:val="21"/>
                <w:highlight w:val="none"/>
                <w:lang w:val="en-US" w:eastAsia="zh-CN"/>
              </w:rPr>
              <w:t>%</w:t>
            </w:r>
          </w:p>
        </w:tc>
        <w:tc>
          <w:tcPr>
            <w:tcW w:w="2066"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施工工期</w:t>
            </w:r>
          </w:p>
        </w:tc>
        <w:tc>
          <w:tcPr>
            <w:tcW w:w="2704"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19</w:t>
            </w:r>
            <w:r>
              <w:rPr>
                <w:rFonts w:hint="default" w:ascii="Times New Roman" w:hAnsi="Times New Roman" w:cs="Times New Roman"/>
                <w:szCs w:val="21"/>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50"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是否开工建设</w:t>
            </w:r>
          </w:p>
        </w:tc>
        <w:tc>
          <w:tcPr>
            <w:tcW w:w="7989" w:type="dxa"/>
            <w:gridSpan w:val="3"/>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否</w:t>
            </w:r>
          </w:p>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szCs w:val="21"/>
              </w:rPr>
            </w:pP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1" w:hRule="atLeast"/>
        </w:trPr>
        <w:tc>
          <w:tcPr>
            <w:tcW w:w="1050"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7989" w:type="dxa"/>
            <w:gridSpan w:val="3"/>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50"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Cs w:val="21"/>
              </w:rPr>
            </w:pPr>
            <w:r>
              <w:rPr>
                <w:rFonts w:hint="default" w:ascii="Times New Roman" w:hAnsi="Times New Roman" w:cs="Times New Roman"/>
                <w:szCs w:val="21"/>
              </w:rPr>
              <w:t>规划情况</w:t>
            </w:r>
          </w:p>
        </w:tc>
        <w:tc>
          <w:tcPr>
            <w:tcW w:w="7989" w:type="dxa"/>
            <w:gridSpan w:val="3"/>
            <w:noWrap w:val="0"/>
            <w:tcMar>
              <w:top w:w="16" w:type="dxa"/>
              <w:left w:w="16" w:type="dxa"/>
              <w:right w:w="16" w:type="dxa"/>
            </w:tcMar>
            <w:vAlign w:val="center"/>
          </w:tcPr>
          <w:p>
            <w:pPr>
              <w:bidi w:val="0"/>
              <w:rPr>
                <w:rFonts w:hint="default"/>
                <w:u w:val="single"/>
                <w:lang w:val="en-US" w:eastAsia="zh-CN"/>
              </w:rPr>
            </w:pPr>
            <w:r>
              <w:rPr>
                <w:rFonts w:hint="default"/>
                <w:u w:val="single"/>
                <w:lang w:val="en-US" w:eastAsia="zh-CN"/>
              </w:rPr>
              <w:t>《岳阳市</w:t>
            </w:r>
            <w:r>
              <w:rPr>
                <w:rFonts w:hint="default"/>
                <w:u w:val="single"/>
              </w:rPr>
              <w:t>“十四五”水安全保障</w:t>
            </w:r>
            <w:r>
              <w:rPr>
                <w:rFonts w:hint="default"/>
                <w:u w:val="single"/>
                <w:lang w:val="en-US" w:eastAsia="zh-CN"/>
              </w:rPr>
              <w:t>规划》</w:t>
            </w:r>
          </w:p>
          <w:p>
            <w:pPr>
              <w:bidi w:val="0"/>
              <w:rPr>
                <w:rFonts w:hint="default"/>
                <w:u w:val="single"/>
              </w:rPr>
            </w:pPr>
            <w:r>
              <w:rPr>
                <w:rFonts w:hint="default"/>
                <w:u w:val="single"/>
              </w:rPr>
              <w:t>《湖南省主体功能区规划》</w:t>
            </w:r>
          </w:p>
          <w:p>
            <w:pPr>
              <w:bidi w:val="0"/>
              <w:rPr>
                <w:rFonts w:hint="default"/>
              </w:rPr>
            </w:pPr>
            <w:r>
              <w:rPr>
                <w:rFonts w:hint="default"/>
                <w:u w:val="single"/>
              </w:rPr>
              <w:t>《湖南省“十四五”生态环境保护规划》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50"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Cs w:val="21"/>
              </w:rPr>
            </w:pPr>
            <w:r>
              <w:rPr>
                <w:rFonts w:hint="default" w:ascii="Times New Roman" w:hAnsi="Times New Roman" w:cs="Times New Roman"/>
                <w:szCs w:val="21"/>
              </w:rPr>
              <w:t>规划环境影响评价情况</w:t>
            </w:r>
          </w:p>
        </w:tc>
        <w:tc>
          <w:tcPr>
            <w:tcW w:w="7989" w:type="dxa"/>
            <w:gridSpan w:val="3"/>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050"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规划及</w:t>
            </w:r>
            <w:r>
              <w:rPr>
                <w:rFonts w:hint="default" w:ascii="Times New Roman" w:hAnsi="Times New Roman" w:cs="Times New Roman"/>
                <w:szCs w:val="21"/>
              </w:rPr>
              <w:t>规划环境影响评价</w:t>
            </w:r>
            <w:r>
              <w:rPr>
                <w:rFonts w:hint="default" w:ascii="Times New Roman" w:hAnsi="Times New Roman" w:cs="Times New Roman"/>
                <w:kern w:val="0"/>
                <w:szCs w:val="21"/>
              </w:rPr>
              <w:t>符合性分析</w:t>
            </w:r>
          </w:p>
        </w:tc>
        <w:tc>
          <w:tcPr>
            <w:tcW w:w="7989" w:type="dxa"/>
            <w:gridSpan w:val="3"/>
            <w:noWrap w:val="0"/>
            <w:tcMar>
              <w:top w:w="16" w:type="dxa"/>
              <w:left w:w="16" w:type="dxa"/>
              <w:right w:w="16" w:type="dxa"/>
            </w:tcMar>
            <w:vAlign w:val="center"/>
          </w:tcPr>
          <w:p>
            <w:pPr>
              <w:bidi w:val="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050" w:type="dxa"/>
            <w:noWrap w:val="0"/>
            <w:tcMar>
              <w:top w:w="16" w:type="dxa"/>
              <w:left w:w="16" w:type="dxa"/>
              <w:right w:w="16" w:type="dxa"/>
            </w:tcMar>
            <w:vAlign w:val="center"/>
          </w:tcPr>
          <w:p>
            <w:pPr>
              <w:autoSpaceDE w:val="0"/>
              <w:autoSpaceDN w:val="0"/>
              <w:adjustRightInd w:val="0"/>
              <w:snapToGrid w:val="0"/>
              <w:spacing w:line="240" w:lineRule="auto"/>
              <w:ind w:left="0" w:leftChars="0" w:firstLine="0" w:firstLineChars="0"/>
              <w:jc w:val="both"/>
              <w:rPr>
                <w:rFonts w:hint="default" w:ascii="Times New Roman" w:hAnsi="Times New Roman" w:cs="Times New Roman"/>
                <w:kern w:val="0"/>
                <w:szCs w:val="21"/>
              </w:rPr>
            </w:pPr>
            <w:bookmarkStart w:id="5" w:name="_Hlk56690880"/>
            <w:r>
              <w:rPr>
                <w:rFonts w:hint="default" w:ascii="Times New Roman" w:hAnsi="Times New Roman" w:cs="Times New Roman"/>
                <w:kern w:val="0"/>
                <w:szCs w:val="21"/>
              </w:rPr>
              <w:t>其他符合性分析</w:t>
            </w:r>
            <w:bookmarkEnd w:id="5"/>
          </w:p>
        </w:tc>
        <w:tc>
          <w:tcPr>
            <w:tcW w:w="7989"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1.1产业政策的符合性</w:t>
            </w:r>
          </w:p>
          <w:p>
            <w:pPr>
              <w:keepNext w:val="0"/>
              <w:keepLines w:val="0"/>
              <w:widowControl/>
              <w:suppressLineNumbers w:val="0"/>
              <w:jc w:val="left"/>
              <w:rPr>
                <w:rFonts w:hint="default"/>
                <w:lang w:val="en-US" w:eastAsia="zh-CN"/>
              </w:rPr>
            </w:pPr>
            <w:r>
              <w:rPr>
                <w:rFonts w:hint="default"/>
              </w:rPr>
              <w:t>本项目为水库除险加固项目，</w:t>
            </w:r>
            <w:r>
              <w:rPr>
                <w:rFonts w:hint="eastAsia"/>
                <w:lang w:val="en-US" w:eastAsia="zh-CN"/>
              </w:rPr>
              <w:t>燎原水库</w:t>
            </w:r>
            <w:r>
              <w:rPr>
                <w:rFonts w:hint="default"/>
                <w:lang w:val="en-US" w:eastAsia="zh-CN"/>
              </w:rPr>
              <w:t>以灌溉</w:t>
            </w:r>
            <w:r>
              <w:rPr>
                <w:rFonts w:hint="eastAsia"/>
                <w:lang w:val="en-US" w:eastAsia="zh-CN"/>
              </w:rPr>
              <w:t>、防洪</w:t>
            </w:r>
            <w:r>
              <w:rPr>
                <w:rFonts w:hint="default"/>
                <w:lang w:val="en-US" w:eastAsia="zh-CN"/>
              </w:rPr>
              <w:t>为主，本项目在国民经济行业分类中属于“E4822 河湖治理及防洪设施工程建筑”，对照《产业结构调整指导目录（2019 年本）》（国家发展和改革 委员会令第 29 号），本项目属于第二项水利第 7 小项“病险水库、水闸除险加固工程”，为鼓励类项目，符合国家当前的产业政策。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1.2选址符合性分析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本项目是对水库大坝</w:t>
            </w:r>
            <w:r>
              <w:rPr>
                <w:rFonts w:hint="default"/>
              </w:rPr>
              <w:t>、</w:t>
            </w:r>
            <w:r>
              <w:rPr>
                <w:rFonts w:hint="default"/>
                <w:lang w:eastAsia="zh-CN"/>
              </w:rPr>
              <w:t>防汛路、</w:t>
            </w:r>
            <w:r>
              <w:rPr>
                <w:rFonts w:hint="default"/>
              </w:rPr>
              <w:t>溢洪道等工程的除险加固</w:t>
            </w:r>
            <w:r>
              <w:rPr>
                <w:rFonts w:hint="default"/>
                <w:lang w:eastAsia="zh-CN"/>
              </w:rPr>
              <w:t>，</w:t>
            </w:r>
            <w:r>
              <w:rPr>
                <w:rFonts w:hint="default"/>
                <w:lang w:val="en-US" w:eastAsia="zh-CN"/>
              </w:rPr>
              <w:t>均在水库现有红线范围内建设，不改变原水库的现状，项目建成后可以改善水库水力条件，防治洪水冲刷坝脚及两岸，提高泄洪可靠性，保证大坝的安全运行。项目占地区域主要为水力设施用地，不涉及耕地、基本农田、饮用水源保护区等敏感保护区，所在区域周围环境质量现状良好，符合环境工程规划，故本项目选址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1.3、“三线一单”符合性分析</w:t>
            </w:r>
          </w:p>
          <w:p>
            <w:pPr>
              <w:bidi w:val="0"/>
              <w:spacing w:line="360" w:lineRule="auto"/>
              <w:rPr>
                <w:rFonts w:hint="default"/>
                <w:lang w:val="en-US" w:eastAsia="zh-CN"/>
              </w:rPr>
            </w:pPr>
            <w:r>
              <w:rPr>
                <w:rFonts w:hint="default"/>
                <w:lang w:val="en-US" w:eastAsia="zh-CN"/>
              </w:rPr>
              <w:t>根据根据《岳阳市人民政府关于实施岳阳市“三线一单”生态环境分区管控的意见（岳政发〔2021〕2号）》，金龙镇属于</w:t>
            </w:r>
            <w:r>
              <w:rPr>
                <w:rFonts w:hint="eastAsia"/>
                <w:lang w:val="en-US" w:eastAsia="zh-CN"/>
              </w:rPr>
              <w:t>岳阳市湘阴县</w:t>
            </w:r>
            <w:r>
              <w:rPr>
                <w:rFonts w:hint="default"/>
                <w:lang w:val="en-US" w:eastAsia="zh-CN"/>
              </w:rPr>
              <w:t>一般管控单元。其详细的符合性分析见下表。</w:t>
            </w:r>
          </w:p>
          <w:p>
            <w:pPr>
              <w:pStyle w:val="28"/>
              <w:bidi w:val="0"/>
              <w:rPr>
                <w:rFonts w:hint="default"/>
                <w:lang w:val="en-US" w:eastAsia="zh-CN"/>
              </w:rPr>
            </w:pPr>
            <w:r>
              <w:rPr>
                <w:rFonts w:hint="default"/>
                <w:lang w:val="en-US" w:eastAsia="zh-CN"/>
              </w:rPr>
              <w:t>表 1-</w:t>
            </w:r>
            <w:r>
              <w:rPr>
                <w:rFonts w:hint="eastAsia"/>
                <w:lang w:val="en-US" w:eastAsia="zh-CN"/>
              </w:rPr>
              <w:t>1</w:t>
            </w:r>
            <w:r>
              <w:rPr>
                <w:rFonts w:hint="default"/>
                <w:lang w:val="en-US" w:eastAsia="zh-CN"/>
              </w:rPr>
              <w:t xml:space="preserve"> 项目与岳政发〔2021〕2号符合性一览表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1325"/>
              <w:gridCol w:w="1368"/>
              <w:gridCol w:w="1034"/>
              <w:gridCol w:w="2006"/>
              <w:gridCol w:w="9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5" w:hRule="atLeast"/>
                <w:tblHeader/>
                <w:jc w:val="center"/>
              </w:trPr>
              <w:tc>
                <w:tcPr>
                  <w:tcW w:w="1236" w:type="dxa"/>
                  <w:tcBorders>
                    <w:tl2br w:val="nil"/>
                    <w:tr2bl w:val="nil"/>
                  </w:tcBorders>
                  <w:noWrap w:val="0"/>
                  <w:vAlign w:val="center"/>
                </w:tcPr>
                <w:p>
                  <w:pPr>
                    <w:pStyle w:val="45"/>
                    <w:bidi w:val="0"/>
                    <w:spacing w:line="240" w:lineRule="auto"/>
                    <w:ind w:firstLine="0"/>
                    <w:rPr>
                      <w:rFonts w:hint="default"/>
                    </w:rPr>
                  </w:pPr>
                  <w:r>
                    <w:rPr>
                      <w:rFonts w:hint="default"/>
                    </w:rPr>
                    <w:t>环境管控单元编码</w:t>
                  </w:r>
                </w:p>
              </w:tc>
              <w:tc>
                <w:tcPr>
                  <w:tcW w:w="1325" w:type="dxa"/>
                  <w:tcBorders>
                    <w:tl2br w:val="nil"/>
                    <w:tr2bl w:val="nil"/>
                  </w:tcBorders>
                  <w:noWrap w:val="0"/>
                  <w:vAlign w:val="center"/>
                </w:tcPr>
                <w:p>
                  <w:pPr>
                    <w:pStyle w:val="45"/>
                    <w:bidi w:val="0"/>
                    <w:spacing w:line="240" w:lineRule="auto"/>
                    <w:ind w:firstLine="0"/>
                    <w:rPr>
                      <w:rFonts w:hint="default"/>
                    </w:rPr>
                  </w:pPr>
                  <w:r>
                    <w:rPr>
                      <w:rFonts w:hint="default"/>
                    </w:rPr>
                    <w:t>单元名称</w:t>
                  </w:r>
                </w:p>
              </w:tc>
              <w:tc>
                <w:tcPr>
                  <w:tcW w:w="1368" w:type="dxa"/>
                  <w:tcBorders>
                    <w:tl2br w:val="nil"/>
                    <w:tr2bl w:val="nil"/>
                  </w:tcBorders>
                  <w:noWrap w:val="0"/>
                  <w:vAlign w:val="center"/>
                </w:tcPr>
                <w:p>
                  <w:pPr>
                    <w:pStyle w:val="45"/>
                    <w:bidi w:val="0"/>
                    <w:spacing w:line="240" w:lineRule="auto"/>
                    <w:ind w:firstLine="0"/>
                    <w:rPr>
                      <w:rFonts w:hint="default"/>
                    </w:rPr>
                  </w:pPr>
                  <w:r>
                    <w:rPr>
                      <w:rFonts w:hint="default"/>
                    </w:rPr>
                    <w:t>涉及乡镇</w:t>
                  </w:r>
                </w:p>
                <w:p>
                  <w:pPr>
                    <w:pStyle w:val="45"/>
                    <w:bidi w:val="0"/>
                    <w:spacing w:line="240" w:lineRule="auto"/>
                    <w:ind w:firstLine="0"/>
                    <w:rPr>
                      <w:rFonts w:hint="default"/>
                    </w:rPr>
                  </w:pPr>
                  <w:r>
                    <w:rPr>
                      <w:rFonts w:hint="default"/>
                    </w:rPr>
                    <w:t>（街道）</w:t>
                  </w:r>
                </w:p>
              </w:tc>
              <w:tc>
                <w:tcPr>
                  <w:tcW w:w="1034" w:type="dxa"/>
                  <w:tcBorders>
                    <w:tl2br w:val="nil"/>
                    <w:tr2bl w:val="nil"/>
                  </w:tcBorders>
                  <w:noWrap w:val="0"/>
                  <w:vAlign w:val="center"/>
                </w:tcPr>
                <w:p>
                  <w:pPr>
                    <w:pStyle w:val="45"/>
                    <w:bidi w:val="0"/>
                    <w:spacing w:line="240" w:lineRule="auto"/>
                    <w:ind w:firstLine="0"/>
                    <w:rPr>
                      <w:rFonts w:hint="default"/>
                    </w:rPr>
                  </w:pPr>
                  <w:r>
                    <w:rPr>
                      <w:rFonts w:hint="default"/>
                    </w:rPr>
                    <w:t>单元面积</w:t>
                  </w:r>
                </w:p>
                <w:p>
                  <w:pPr>
                    <w:pStyle w:val="45"/>
                    <w:bidi w:val="0"/>
                    <w:spacing w:line="240" w:lineRule="auto"/>
                    <w:ind w:firstLine="0"/>
                    <w:rPr>
                      <w:rFonts w:hint="default"/>
                    </w:rPr>
                  </w:pPr>
                  <w:r>
                    <w:rPr>
                      <w:rFonts w:hint="default"/>
                    </w:rPr>
                    <w:t>（k</w:t>
                  </w:r>
                  <w:r>
                    <w:rPr>
                      <w:rFonts w:hint="eastAsia"/>
                      <w:lang w:eastAsia="zh-CN"/>
                    </w:rPr>
                    <w:t>m</w:t>
                  </w:r>
                  <w:r>
                    <w:rPr>
                      <w:rFonts w:hint="eastAsia"/>
                      <w:vertAlign w:val="superscript"/>
                      <w:lang w:eastAsia="zh-CN"/>
                    </w:rPr>
                    <w:t>2</w:t>
                  </w:r>
                  <w:r>
                    <w:rPr>
                      <w:rFonts w:hint="default"/>
                    </w:rPr>
                    <w:t>）</w:t>
                  </w:r>
                </w:p>
              </w:tc>
              <w:tc>
                <w:tcPr>
                  <w:tcW w:w="2964" w:type="dxa"/>
                  <w:gridSpan w:val="2"/>
                  <w:tcBorders>
                    <w:tl2br w:val="nil"/>
                    <w:tr2bl w:val="nil"/>
                  </w:tcBorders>
                  <w:noWrap w:val="0"/>
                  <w:vAlign w:val="center"/>
                </w:tcPr>
                <w:p>
                  <w:pPr>
                    <w:pStyle w:val="45"/>
                    <w:bidi w:val="0"/>
                    <w:spacing w:line="240" w:lineRule="auto"/>
                    <w:ind w:firstLine="0"/>
                    <w:rPr>
                      <w:rFonts w:hint="default"/>
                    </w:rPr>
                  </w:pPr>
                  <w:r>
                    <w:rPr>
                      <w:rFonts w:hint="default"/>
                    </w:rPr>
                    <w:t>经济产业布局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26" w:hRule="atLeast"/>
                <w:tblHeader/>
                <w:jc w:val="center"/>
              </w:trPr>
              <w:tc>
                <w:tcPr>
                  <w:tcW w:w="1236" w:type="dxa"/>
                  <w:tcBorders>
                    <w:tl2br w:val="nil"/>
                    <w:tr2bl w:val="nil"/>
                  </w:tcBorders>
                  <w:noWrap w:val="0"/>
                  <w:vAlign w:val="center"/>
                </w:tcPr>
                <w:p>
                  <w:pPr>
                    <w:pStyle w:val="45"/>
                    <w:bidi w:val="0"/>
                    <w:spacing w:line="240" w:lineRule="auto"/>
                    <w:ind w:firstLine="0"/>
                    <w:rPr>
                      <w:rFonts w:hint="default"/>
                    </w:rPr>
                  </w:pPr>
                  <w:r>
                    <w:rPr>
                      <w:rFonts w:hint="default"/>
                      <w:lang w:val="en-US" w:eastAsia="zh-CN"/>
                    </w:rPr>
                    <w:t>ZH430624</w:t>
                  </w:r>
                </w:p>
                <w:p>
                  <w:pPr>
                    <w:pStyle w:val="45"/>
                    <w:bidi w:val="0"/>
                    <w:spacing w:line="240" w:lineRule="auto"/>
                    <w:ind w:firstLine="0"/>
                    <w:rPr>
                      <w:rFonts w:hint="default"/>
                    </w:rPr>
                  </w:pPr>
                  <w:r>
                    <w:rPr>
                      <w:rFonts w:hint="default"/>
                      <w:lang w:val="en-US" w:eastAsia="zh-CN"/>
                    </w:rPr>
                    <w:t>30002</w:t>
                  </w:r>
                </w:p>
              </w:tc>
              <w:tc>
                <w:tcPr>
                  <w:tcW w:w="1325" w:type="dxa"/>
                  <w:tcBorders>
                    <w:tl2br w:val="nil"/>
                    <w:tr2bl w:val="nil"/>
                  </w:tcBorders>
                  <w:noWrap w:val="0"/>
                  <w:vAlign w:val="center"/>
                </w:tcPr>
                <w:p>
                  <w:pPr>
                    <w:pStyle w:val="45"/>
                    <w:bidi w:val="0"/>
                    <w:spacing w:line="240" w:lineRule="auto"/>
                    <w:ind w:firstLine="0"/>
                    <w:rPr>
                      <w:rFonts w:hint="default"/>
                    </w:rPr>
                  </w:pPr>
                  <w:r>
                    <w:rPr>
                      <w:rFonts w:hint="default"/>
                    </w:rPr>
                    <w:t>一般管控单元</w:t>
                  </w:r>
                  <w:r>
                    <w:rPr>
                      <w:rFonts w:hint="default"/>
                      <w:lang w:val="en-US" w:eastAsia="zh-CN"/>
                    </w:rPr>
                    <w:t>5</w:t>
                  </w:r>
                </w:p>
              </w:tc>
              <w:tc>
                <w:tcPr>
                  <w:tcW w:w="1368" w:type="dxa"/>
                  <w:tcBorders>
                    <w:tl2br w:val="nil"/>
                    <w:tr2bl w:val="nil"/>
                  </w:tcBorders>
                  <w:noWrap w:val="0"/>
                  <w:vAlign w:val="center"/>
                </w:tcPr>
                <w:p>
                  <w:pPr>
                    <w:pStyle w:val="45"/>
                    <w:bidi w:val="0"/>
                    <w:spacing w:line="240" w:lineRule="auto"/>
                    <w:ind w:firstLine="0"/>
                    <w:rPr>
                      <w:rFonts w:hint="default"/>
                    </w:rPr>
                  </w:pPr>
                  <w:r>
                    <w:rPr>
                      <w:rFonts w:hint="default"/>
                    </w:rPr>
                    <w:t>东塘镇/金龙镇/静河镇/六塘乡/三塘镇/文星镇/玉华镇/樟树镇</w:t>
                  </w:r>
                </w:p>
              </w:tc>
              <w:tc>
                <w:tcPr>
                  <w:tcW w:w="1034" w:type="dxa"/>
                  <w:tcBorders>
                    <w:tl2br w:val="nil"/>
                    <w:tr2bl w:val="nil"/>
                  </w:tcBorders>
                  <w:noWrap w:val="0"/>
                  <w:vAlign w:val="center"/>
                </w:tcPr>
                <w:p>
                  <w:pPr>
                    <w:pStyle w:val="45"/>
                    <w:bidi w:val="0"/>
                    <w:spacing w:line="240" w:lineRule="auto"/>
                    <w:ind w:firstLine="0"/>
                    <w:rPr>
                      <w:rFonts w:hint="default"/>
                    </w:rPr>
                  </w:pPr>
                  <w:r>
                    <w:rPr>
                      <w:rFonts w:hint="default"/>
                      <w:lang w:val="en-US" w:eastAsia="zh-CN"/>
                    </w:rPr>
                    <w:t>516.34</w:t>
                  </w:r>
                </w:p>
              </w:tc>
              <w:tc>
                <w:tcPr>
                  <w:tcW w:w="2964" w:type="dxa"/>
                  <w:gridSpan w:val="2"/>
                  <w:tcBorders>
                    <w:tl2br w:val="nil"/>
                    <w:tr2bl w:val="nil"/>
                  </w:tcBorders>
                  <w:noWrap w:val="0"/>
                  <w:vAlign w:val="center"/>
                </w:tcPr>
                <w:p>
                  <w:pPr>
                    <w:pStyle w:val="45"/>
                    <w:bidi w:val="0"/>
                    <w:spacing w:line="240" w:lineRule="auto"/>
                    <w:ind w:firstLine="0"/>
                    <w:rPr>
                      <w:rFonts w:hint="default"/>
                    </w:rPr>
                  </w:pPr>
                  <w:r>
                    <w:rPr>
                      <w:rFonts w:hint="default"/>
                      <w:lang w:val="en-US" w:eastAsia="zh-CN"/>
                    </w:rPr>
                    <w:t>金龙镇：湘江新区新片区重要组成部分，县域次中心</w:t>
                  </w:r>
                  <w:r>
                    <w:rPr>
                      <w:rFonts w:hint="eastAsia"/>
                      <w:lang w:val="en-US" w:eastAsia="zh-CN"/>
                    </w:rPr>
                    <w:t>；</w:t>
                  </w:r>
                  <w:r>
                    <w:rPr>
                      <w:rFonts w:hint="default"/>
                      <w:lang w:val="en-US" w:eastAsia="zh-CN"/>
                    </w:rPr>
                    <w:t>以先进制造业、教育科研为主导，辅以山地康养旅游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8" w:hRule="atLeast"/>
                <w:tblHeader/>
                <w:jc w:val="center"/>
              </w:trPr>
              <w:tc>
                <w:tcPr>
                  <w:tcW w:w="1236" w:type="dxa"/>
                  <w:tcBorders>
                    <w:tl2br w:val="nil"/>
                    <w:tr2bl w:val="nil"/>
                  </w:tcBorders>
                  <w:noWrap w:val="0"/>
                  <w:vAlign w:val="center"/>
                </w:tcPr>
                <w:p>
                  <w:pPr>
                    <w:pStyle w:val="45"/>
                    <w:bidi w:val="0"/>
                    <w:spacing w:line="240" w:lineRule="auto"/>
                    <w:ind w:firstLine="0"/>
                    <w:rPr>
                      <w:rFonts w:hint="default"/>
                    </w:rPr>
                  </w:pPr>
                  <w:r>
                    <w:rPr>
                      <w:rFonts w:hint="default"/>
                    </w:rPr>
                    <w:t>主要属性</w:t>
                  </w:r>
                </w:p>
              </w:tc>
              <w:tc>
                <w:tcPr>
                  <w:tcW w:w="6691" w:type="dxa"/>
                  <w:gridSpan w:val="5"/>
                  <w:tcBorders>
                    <w:tl2br w:val="nil"/>
                    <w:tr2bl w:val="nil"/>
                  </w:tcBorders>
                  <w:noWrap w:val="0"/>
                  <w:vAlign w:val="center"/>
                </w:tcPr>
                <w:p>
                  <w:pPr>
                    <w:pStyle w:val="45"/>
                    <w:bidi w:val="0"/>
                    <w:spacing w:line="240" w:lineRule="auto"/>
                    <w:ind w:firstLine="0"/>
                    <w:rPr>
                      <w:rFonts w:hint="default"/>
                    </w:rPr>
                  </w:pPr>
                  <w:r>
                    <w:rPr>
                      <w:rFonts w:hint="default"/>
                    </w:rPr>
                    <w:t>一般生态空间/土壤一般管控区/农用地污染风险重点管控区/农用地优先保护区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tblHeader/>
                <w:jc w:val="center"/>
              </w:trPr>
              <w:tc>
                <w:tcPr>
                  <w:tcW w:w="4963" w:type="dxa"/>
                  <w:gridSpan w:val="4"/>
                  <w:tcBorders>
                    <w:tl2br w:val="nil"/>
                    <w:tr2bl w:val="nil"/>
                  </w:tcBorders>
                  <w:noWrap w:val="0"/>
                  <w:vAlign w:val="center"/>
                </w:tcPr>
                <w:p>
                  <w:pPr>
                    <w:pStyle w:val="45"/>
                    <w:bidi w:val="0"/>
                    <w:spacing w:line="240" w:lineRule="auto"/>
                    <w:ind w:firstLine="0"/>
                    <w:rPr>
                      <w:rFonts w:hint="default"/>
                    </w:rPr>
                  </w:pPr>
                  <w:r>
                    <w:rPr>
                      <w:rFonts w:hint="default"/>
                    </w:rPr>
                    <w:t>管控要求</w:t>
                  </w:r>
                </w:p>
              </w:tc>
              <w:tc>
                <w:tcPr>
                  <w:tcW w:w="2006" w:type="dxa"/>
                  <w:tcBorders>
                    <w:tl2br w:val="nil"/>
                    <w:tr2bl w:val="nil"/>
                  </w:tcBorders>
                  <w:noWrap w:val="0"/>
                  <w:vAlign w:val="center"/>
                </w:tcPr>
                <w:p>
                  <w:pPr>
                    <w:pStyle w:val="45"/>
                    <w:bidi w:val="0"/>
                    <w:spacing w:line="240" w:lineRule="auto"/>
                    <w:ind w:firstLine="0"/>
                    <w:rPr>
                      <w:rFonts w:hint="default"/>
                    </w:rPr>
                  </w:pPr>
                  <w:r>
                    <w:rPr>
                      <w:rFonts w:hint="default"/>
                    </w:rPr>
                    <w:t>本项目情况</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9" w:hRule="atLeast"/>
                <w:tblHeader/>
                <w:jc w:val="center"/>
              </w:trPr>
              <w:tc>
                <w:tcPr>
                  <w:tcW w:w="1236" w:type="dxa"/>
                  <w:vMerge w:val="restart"/>
                  <w:tcBorders>
                    <w:tl2br w:val="nil"/>
                    <w:tr2bl w:val="nil"/>
                  </w:tcBorders>
                  <w:noWrap w:val="0"/>
                  <w:vAlign w:val="center"/>
                </w:tcPr>
                <w:p>
                  <w:pPr>
                    <w:pStyle w:val="45"/>
                    <w:bidi w:val="0"/>
                    <w:spacing w:line="240" w:lineRule="auto"/>
                    <w:ind w:firstLine="0"/>
                    <w:rPr>
                      <w:rFonts w:hint="default"/>
                    </w:rPr>
                  </w:pPr>
                  <w:r>
                    <w:rPr>
                      <w:rFonts w:hint="default"/>
                    </w:rPr>
                    <w:t>空间布局约束</w:t>
                  </w: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lang w:val="en-US" w:eastAsia="zh-CN"/>
                    </w:rPr>
                    <w:t>1.1严格执行养殖业禁养区、限养区、适养区的划分规定，严格把关养殖项目审批，不得在禁养区、限养区新批任何畜禽养殖项目</w:t>
                  </w:r>
                </w:p>
              </w:tc>
              <w:tc>
                <w:tcPr>
                  <w:tcW w:w="2006" w:type="dxa"/>
                  <w:tcBorders>
                    <w:tl2br w:val="nil"/>
                    <w:tr2bl w:val="nil"/>
                  </w:tcBorders>
                  <w:noWrap w:val="0"/>
                  <w:vAlign w:val="center"/>
                </w:tcPr>
                <w:p>
                  <w:pPr>
                    <w:pStyle w:val="45"/>
                    <w:bidi w:val="0"/>
                    <w:spacing w:line="240" w:lineRule="auto"/>
                    <w:ind w:firstLine="0"/>
                    <w:rPr>
                      <w:rFonts w:hint="default"/>
                    </w:rPr>
                  </w:pPr>
                  <w:r>
                    <w:rPr>
                      <w:rFonts w:hint="default"/>
                    </w:rPr>
                    <w:t>不涉及</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9"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lang w:val="en-US" w:eastAsia="zh-CN"/>
                    </w:rPr>
                    <w:t>1.2禁止露天焚烧垃圾和垃圾填埋，全面推行农村垃圾分类收集处理，逐步实现农村生活垃圾处理减量化、处置无害化、废物资源化</w:t>
                  </w:r>
                </w:p>
              </w:tc>
              <w:tc>
                <w:tcPr>
                  <w:tcW w:w="2006" w:type="dxa"/>
                  <w:tcBorders>
                    <w:tl2br w:val="nil"/>
                    <w:tr2bl w:val="nil"/>
                  </w:tcBorders>
                  <w:noWrap w:val="0"/>
                  <w:vAlign w:val="center"/>
                </w:tcPr>
                <w:p>
                  <w:pPr>
                    <w:pStyle w:val="45"/>
                    <w:bidi w:val="0"/>
                    <w:spacing w:line="240" w:lineRule="auto"/>
                    <w:ind w:firstLine="0"/>
                    <w:rPr>
                      <w:rFonts w:hint="default"/>
                    </w:rPr>
                  </w:pPr>
                  <w:r>
                    <w:rPr>
                      <w:rFonts w:hint="default"/>
                    </w:rPr>
                    <w:t>不涉及</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2"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lang w:val="en-US" w:eastAsia="zh-CN"/>
                    </w:rPr>
                    <w:t>1.3禁止造成饮用水源保护区污染的活动，包括投肥养鱼、珍珠养殖、游泳、破坏植被等</w:t>
                  </w:r>
                </w:p>
              </w:tc>
              <w:tc>
                <w:tcPr>
                  <w:tcW w:w="2006" w:type="dxa"/>
                  <w:tcBorders>
                    <w:tl2br w:val="nil"/>
                    <w:tr2bl w:val="nil"/>
                  </w:tcBorders>
                  <w:noWrap w:val="0"/>
                  <w:vAlign w:val="center"/>
                </w:tcPr>
                <w:p>
                  <w:pPr>
                    <w:pStyle w:val="45"/>
                    <w:bidi w:val="0"/>
                    <w:spacing w:line="240" w:lineRule="auto"/>
                    <w:ind w:firstLine="0"/>
                    <w:rPr>
                      <w:rFonts w:hint="default"/>
                    </w:rPr>
                  </w:pPr>
                  <w:r>
                    <w:rPr>
                      <w:rFonts w:hint="default"/>
                    </w:rPr>
                    <w:t>不涉及</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restart"/>
                  <w:tcBorders>
                    <w:tl2br w:val="nil"/>
                    <w:tr2bl w:val="nil"/>
                  </w:tcBorders>
                  <w:noWrap w:val="0"/>
                  <w:vAlign w:val="center"/>
                </w:tcPr>
                <w:p>
                  <w:pPr>
                    <w:pStyle w:val="45"/>
                    <w:bidi w:val="0"/>
                    <w:spacing w:line="240" w:lineRule="auto"/>
                    <w:ind w:firstLine="0"/>
                    <w:rPr>
                      <w:rFonts w:hint="default"/>
                    </w:rPr>
                  </w:pPr>
                  <w:r>
                    <w:rPr>
                      <w:rFonts w:hint="default"/>
                    </w:rPr>
                    <w:t>污染物排放管控</w:t>
                  </w: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lang w:val="en-US" w:eastAsia="zh-CN"/>
                    </w:rPr>
                    <w:t>2.1</w:t>
                  </w:r>
                  <w:r>
                    <w:rPr>
                      <w:rFonts w:hint="eastAsia"/>
                      <w:lang w:val="en-US" w:eastAsia="zh-CN"/>
                    </w:rPr>
                    <w:t>城市建成区内的施工工地（重点是市政工程、建筑工地和园林绿化工程等工地）按照绿色建筑施工要求，做到“六个100%”。加大执法力度，对工地扬尘污染和渣土运输撒漏污染等行为“零容忍”，严查严管建筑工地、建筑垃圾处置工地、建筑垃圾消纳场扬尘污染问题，对车轮带泥、车身不洁、沿途撒漏、乱倾乱倒等造成路面及扬尘污染的违规行为依法严肃查处</w:t>
                  </w:r>
                </w:p>
              </w:tc>
              <w:tc>
                <w:tcPr>
                  <w:tcW w:w="2006" w:type="dxa"/>
                  <w:tcBorders>
                    <w:tl2br w:val="nil"/>
                    <w:tr2bl w:val="nil"/>
                  </w:tcBorders>
                  <w:noWrap w:val="0"/>
                  <w:vAlign w:val="center"/>
                </w:tcPr>
                <w:p>
                  <w:pPr>
                    <w:pStyle w:val="45"/>
                    <w:bidi w:val="0"/>
                    <w:spacing w:line="240" w:lineRule="auto"/>
                    <w:ind w:firstLine="0"/>
                    <w:rPr>
                      <w:rFonts w:hint="default"/>
                      <w:lang w:val="en-US" w:eastAsia="zh-CN"/>
                    </w:rPr>
                  </w:pPr>
                  <w:r>
                    <w:rPr>
                      <w:rFonts w:hint="eastAsia"/>
                      <w:lang w:val="en-US" w:eastAsia="zh-CN"/>
                    </w:rPr>
                    <w:t>本项目施工严格按照绿色建筑施工要求，做到“六个100%”</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rPr>
                    <w:t>2.2加强化肥、农药、农膜污染防治，引导农民减少化肥、农药使用量，积极推广有机肥使用、生物农药、振频杀虫、诱蛾灯杀虫等生态农业技术，控制农业面源污染</w:t>
                  </w:r>
                </w:p>
              </w:tc>
              <w:tc>
                <w:tcPr>
                  <w:tcW w:w="2006"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lang w:val="en-US" w:eastAsia="zh-CN"/>
                    </w:rPr>
                  </w:pPr>
                  <w:r>
                    <w:rPr>
                      <w:rFonts w:hint="eastAsia"/>
                      <w:lang w:val="en-US" w:eastAsia="zh-CN"/>
                    </w:rPr>
                    <w:t>强化配套，加快完善乡村两级垃圾处理基础设施，建设村（社区）垃圾定点收集池、垃圾堆积池、垃圾危险废物专用房屋（池）等基础设施，配备好垃圾车、保洁车等垃圾运输工具，农户配齐垃圾分类桶</w:t>
                  </w:r>
                </w:p>
              </w:tc>
              <w:tc>
                <w:tcPr>
                  <w:tcW w:w="2006"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lang w:val="en-US" w:eastAsia="zh-CN"/>
                    </w:rPr>
                  </w:pPr>
                  <w:r>
                    <w:rPr>
                      <w:rFonts w:hint="eastAsia"/>
                      <w:lang w:val="en-US" w:eastAsia="zh-CN"/>
                    </w:rPr>
                    <w:t>2.4分批次建好集镇污水处理设施，逐步解决集中生活区污水污染问题；加快建设三格、四格化粪池，解决分散户生活污水问题</w:t>
                  </w:r>
                </w:p>
              </w:tc>
              <w:tc>
                <w:tcPr>
                  <w:tcW w:w="2006"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eastAsia"/>
                      <w:lang w:val="en-US" w:eastAsia="zh-CN"/>
                    </w:rPr>
                    <w:t>本项目施工废水经隔油沉淀处理后回用</w:t>
                  </w:r>
                </w:p>
              </w:tc>
              <w:tc>
                <w:tcPr>
                  <w:tcW w:w="958"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rPr>
                    <w:t>2.5严格规范兽药、饲料及饲料添加剂的生产和使用，从源头防止兽药、饲料添加剂中的有害成分通过畜禽养殖废弃物还田对土壤造成的污染</w:t>
                  </w:r>
                </w:p>
              </w:tc>
              <w:tc>
                <w:tcPr>
                  <w:tcW w:w="2006"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1"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rPr>
                    <w:t>2.6畜禽粪污污染整治应按照“干湿分离+雨污分流”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p>
              </w:tc>
              <w:tc>
                <w:tcPr>
                  <w:tcW w:w="2006"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en-US"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2"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rPr>
                  </w:pPr>
                </w:p>
              </w:tc>
              <w:tc>
                <w:tcPr>
                  <w:tcW w:w="3727" w:type="dxa"/>
                  <w:gridSpan w:val="3"/>
                  <w:tcBorders>
                    <w:tl2br w:val="nil"/>
                    <w:tr2bl w:val="nil"/>
                  </w:tcBorders>
                  <w:noWrap w:val="0"/>
                  <w:vAlign w:val="center"/>
                </w:tcPr>
                <w:p>
                  <w:pPr>
                    <w:pStyle w:val="45"/>
                    <w:bidi w:val="0"/>
                    <w:spacing w:line="240" w:lineRule="auto"/>
                    <w:ind w:firstLine="0"/>
                    <w:rPr>
                      <w:rFonts w:hint="default"/>
                    </w:rPr>
                  </w:pPr>
                  <w:r>
                    <w:rPr>
                      <w:rFonts w:hint="default"/>
                    </w:rPr>
                    <w:t>2.7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系统，作为招投标的重要依据。渣土运输车辆全部采取密闭措施，对重点建筑施工现场安装视频，实施在线监管。推行道路机械化清扫等低尘作业方式。各种煤堆、料堆应实现封闭储存或建设防风抑尘设施</w:t>
                  </w:r>
                </w:p>
              </w:tc>
              <w:tc>
                <w:tcPr>
                  <w:tcW w:w="2006" w:type="dxa"/>
                  <w:tcBorders>
                    <w:tl2br w:val="nil"/>
                    <w:tr2bl w:val="nil"/>
                  </w:tcBorders>
                  <w:noWrap w:val="0"/>
                  <w:vAlign w:val="center"/>
                </w:tcPr>
                <w:p>
                  <w:pPr>
                    <w:pStyle w:val="45"/>
                    <w:bidi w:val="0"/>
                    <w:spacing w:line="240" w:lineRule="auto"/>
                    <w:ind w:firstLine="0"/>
                    <w:rPr>
                      <w:rFonts w:hint="default"/>
                      <w:lang w:val="en-US" w:eastAsia="zh-CN"/>
                    </w:rPr>
                  </w:pPr>
                  <w:r>
                    <w:t>本项目</w:t>
                  </w:r>
                  <w:r>
                    <w:rPr>
                      <w:rFonts w:hint="eastAsia"/>
                      <w:lang w:val="en-US" w:eastAsia="zh-CN"/>
                    </w:rPr>
                    <w:t>施工期</w:t>
                  </w:r>
                  <w:r>
                    <w:rPr>
                      <w:rFonts w:hint="eastAsia"/>
                    </w:rPr>
                    <w:t>生活污水经</w:t>
                  </w:r>
                  <w:r>
                    <w:rPr>
                      <w:rFonts w:hint="eastAsia"/>
                      <w:lang w:eastAsia="zh-CN"/>
                    </w:rPr>
                    <w:t>三格</w:t>
                  </w:r>
                  <w:r>
                    <w:rPr>
                      <w:rFonts w:hint="eastAsia"/>
                    </w:rPr>
                    <w:t>化粪池处理后用于农肥，洗车废水、场地</w:t>
                  </w:r>
                  <w:r>
                    <w:rPr>
                      <w:rFonts w:hint="eastAsia"/>
                      <w:lang w:eastAsia="zh-CN"/>
                    </w:rPr>
                    <w:t>拖洗</w:t>
                  </w:r>
                  <w:r>
                    <w:rPr>
                      <w:rFonts w:hint="eastAsia"/>
                    </w:rPr>
                    <w:t>废水经隔油、沉淀后回用，不外排</w:t>
                  </w:r>
                  <w:r>
                    <w:rPr>
                      <w:rFonts w:hint="eastAsia"/>
                      <w:lang w:eastAsia="zh-CN"/>
                    </w:rPr>
                    <w:t>，</w:t>
                  </w:r>
                  <w:r>
                    <w:rPr>
                      <w:rFonts w:hint="eastAsia"/>
                      <w:lang w:val="en-US" w:eastAsia="zh-CN"/>
                    </w:rPr>
                    <w:t>施工现场按6个100%施工，并采用</w:t>
                  </w:r>
                  <w:r>
                    <w:rPr>
                      <w:rFonts w:hint="default"/>
                    </w:rPr>
                    <w:t>全封闭设置围挡墙，严禁敞开式作业，施工现场道路、作业区、生活区必须进行地面硬化</w:t>
                  </w:r>
                </w:p>
              </w:tc>
              <w:tc>
                <w:tcPr>
                  <w:tcW w:w="958" w:type="dxa"/>
                  <w:tcBorders>
                    <w:tl2br w:val="nil"/>
                    <w:tr2bl w:val="nil"/>
                  </w:tcBorders>
                  <w:noWrap w:val="0"/>
                  <w:vAlign w:val="center"/>
                </w:tcPr>
                <w:p>
                  <w:pPr>
                    <w:pStyle w:val="45"/>
                    <w:bidi w:val="0"/>
                    <w:spacing w:line="240" w:lineRule="auto"/>
                    <w:ind w:firstLine="0"/>
                    <w:rPr>
                      <w:rFonts w:hint="default"/>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4" w:hRule="atLeast"/>
                <w:tblHeader/>
                <w:jc w:val="center"/>
              </w:trPr>
              <w:tc>
                <w:tcPr>
                  <w:tcW w:w="1236" w:type="dxa"/>
                  <w:vMerge w:val="restart"/>
                  <w:tcBorders>
                    <w:tl2br w:val="nil"/>
                    <w:tr2bl w:val="nil"/>
                  </w:tcBorders>
                  <w:noWrap w:val="0"/>
                  <w:vAlign w:val="center"/>
                </w:tcPr>
                <w:p>
                  <w:pPr>
                    <w:pStyle w:val="45"/>
                    <w:bidi w:val="0"/>
                    <w:spacing w:line="240" w:lineRule="auto"/>
                    <w:ind w:firstLine="0"/>
                    <w:rPr>
                      <w:rFonts w:hint="default"/>
                      <w:lang w:val="zh-CN" w:eastAsia="zh-CN"/>
                    </w:rPr>
                  </w:pPr>
                  <w:r>
                    <w:rPr>
                      <w:rFonts w:hint="default"/>
                    </w:rPr>
                    <w:t>环境风险防控</w:t>
                  </w:r>
                </w:p>
              </w:tc>
              <w:tc>
                <w:tcPr>
                  <w:tcW w:w="3727" w:type="dxa"/>
                  <w:gridSpan w:val="3"/>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3.1探索采用PPP等市场化模式，引入第三方参与运行管理，鼓励社会投资建设污水处理厂，将管护权、收益权划归社会投资者，解决农村污水治理问题</w:t>
                  </w:r>
                </w:p>
              </w:tc>
              <w:tc>
                <w:tcPr>
                  <w:tcW w:w="2006" w:type="dxa"/>
                  <w:tcBorders>
                    <w:tl2br w:val="nil"/>
                    <w:tr2bl w:val="nil"/>
                  </w:tcBorders>
                  <w:noWrap w:val="0"/>
                  <w:vAlign w:val="center"/>
                </w:tcPr>
                <w:p>
                  <w:pPr>
                    <w:pStyle w:val="45"/>
                    <w:bidi w:val="0"/>
                    <w:spacing w:line="240" w:lineRule="auto"/>
                    <w:ind w:firstLine="0"/>
                    <w:rPr>
                      <w:rFonts w:hint="default"/>
                      <w:lang w:val="zh-CN" w:eastAsia="zh-CN"/>
                    </w:rPr>
                  </w:pPr>
                  <w:r>
                    <w:rPr>
                      <w:rFonts w:hint="eastAsia"/>
                      <w:lang w:val="en-US" w:eastAsia="zh-CN"/>
                    </w:rPr>
                    <w:t>不涉及</w:t>
                  </w:r>
                </w:p>
              </w:tc>
              <w:tc>
                <w:tcPr>
                  <w:tcW w:w="958" w:type="dxa"/>
                  <w:tcBorders>
                    <w:tl2br w:val="nil"/>
                    <w:tr2bl w:val="nil"/>
                  </w:tcBorders>
                  <w:noWrap w:val="0"/>
                  <w:vAlign w:val="center"/>
                </w:tcPr>
                <w:p>
                  <w:pPr>
                    <w:pStyle w:val="45"/>
                    <w:bidi w:val="0"/>
                    <w:spacing w:line="240" w:lineRule="auto"/>
                    <w:ind w:firstLine="0"/>
                    <w:rPr>
                      <w:rFonts w:hint="default"/>
                      <w:lang w:val="zh-CN"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4" w:hRule="atLeast"/>
                <w:tblHeader/>
                <w:jc w:val="center"/>
              </w:trPr>
              <w:tc>
                <w:tcPr>
                  <w:tcW w:w="1236" w:type="dxa"/>
                  <w:vMerge w:val="continue"/>
                  <w:tcBorders>
                    <w:tl2br w:val="nil"/>
                    <w:tr2bl w:val="nil"/>
                  </w:tcBorders>
                  <w:noWrap w:val="0"/>
                  <w:vAlign w:val="center"/>
                </w:tcPr>
                <w:p>
                  <w:pPr>
                    <w:pStyle w:val="45"/>
                    <w:bidi w:val="0"/>
                    <w:spacing w:line="240" w:lineRule="auto"/>
                    <w:ind w:firstLine="0"/>
                  </w:pPr>
                </w:p>
              </w:tc>
              <w:tc>
                <w:tcPr>
                  <w:tcW w:w="3727" w:type="dxa"/>
                  <w:gridSpan w:val="3"/>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3.2开展饮用水源地周边土壤环境质量调查，掌握饮用水源地周边土壤环境质量状况及其潜在环境风险情况</w:t>
                  </w:r>
                </w:p>
              </w:tc>
              <w:tc>
                <w:tcPr>
                  <w:tcW w:w="2006" w:type="dxa"/>
                  <w:tcBorders>
                    <w:tl2br w:val="nil"/>
                    <w:tr2bl w:val="nil"/>
                  </w:tcBorders>
                  <w:noWrap w:val="0"/>
                  <w:vAlign w:val="center"/>
                </w:tcPr>
                <w:p>
                  <w:pPr>
                    <w:pStyle w:val="45"/>
                    <w:bidi w:val="0"/>
                    <w:spacing w:line="240" w:lineRule="auto"/>
                    <w:ind w:firstLine="0" w:firstLineChars="0"/>
                    <w:rPr>
                      <w:rFonts w:hint="default"/>
                      <w:lang w:val="zh-CN"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zh-CN"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4"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lang w:val="zh-CN" w:eastAsia="zh-CN"/>
                    </w:rPr>
                  </w:pPr>
                </w:p>
              </w:tc>
              <w:tc>
                <w:tcPr>
                  <w:tcW w:w="3727" w:type="dxa"/>
                  <w:gridSpan w:val="3"/>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3.3对生活饮用水集中式供水单位供水水质按国家相关要求进行行业自检和监督监测，所有市政供水安全状况按国家要求每季度进行公开</w:t>
                  </w:r>
                </w:p>
              </w:tc>
              <w:tc>
                <w:tcPr>
                  <w:tcW w:w="2006" w:type="dxa"/>
                  <w:tcBorders>
                    <w:tl2br w:val="nil"/>
                    <w:tr2bl w:val="nil"/>
                  </w:tcBorders>
                  <w:noWrap w:val="0"/>
                  <w:vAlign w:val="center"/>
                </w:tcPr>
                <w:p>
                  <w:pPr>
                    <w:pStyle w:val="45"/>
                    <w:bidi w:val="0"/>
                    <w:spacing w:line="240" w:lineRule="auto"/>
                    <w:ind w:firstLine="0" w:firstLineChars="0"/>
                    <w:rPr>
                      <w:rFonts w:hint="default"/>
                      <w:lang w:val="zh-CN" w:eastAsia="zh-CN"/>
                    </w:rPr>
                  </w:pPr>
                  <w:r>
                    <w:rPr>
                      <w:rFonts w:hint="default"/>
                      <w:lang w:val="en-US" w:eastAsia="zh-CN"/>
                    </w:rPr>
                    <w:t>不涉及</w:t>
                  </w:r>
                </w:p>
              </w:tc>
              <w:tc>
                <w:tcPr>
                  <w:tcW w:w="958" w:type="dxa"/>
                  <w:tcBorders>
                    <w:tl2br w:val="nil"/>
                    <w:tr2bl w:val="nil"/>
                  </w:tcBorders>
                  <w:noWrap w:val="0"/>
                  <w:vAlign w:val="center"/>
                </w:tcPr>
                <w:p>
                  <w:pPr>
                    <w:pStyle w:val="45"/>
                    <w:bidi w:val="0"/>
                    <w:spacing w:line="240" w:lineRule="auto"/>
                    <w:ind w:firstLine="0" w:firstLineChars="0"/>
                    <w:rPr>
                      <w:rFonts w:hint="default"/>
                      <w:lang w:val="zh-CN"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2" w:hRule="atLeast"/>
                <w:tblHeader/>
                <w:jc w:val="center"/>
              </w:trPr>
              <w:tc>
                <w:tcPr>
                  <w:tcW w:w="1236" w:type="dxa"/>
                  <w:vMerge w:val="restart"/>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资源开发效率要求</w:t>
                  </w:r>
                </w:p>
              </w:tc>
              <w:tc>
                <w:tcPr>
                  <w:tcW w:w="3727" w:type="dxa"/>
                  <w:gridSpan w:val="3"/>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4.1水资源：2020年，湘阴县万元国内生产总值用水量75</w:t>
                  </w:r>
                  <w:r>
                    <w:rPr>
                      <w:rFonts w:hint="eastAsia"/>
                      <w:lang w:val="zh-CN" w:eastAsia="zh-CN"/>
                    </w:rPr>
                    <w:t>m</w:t>
                  </w:r>
                  <w:r>
                    <w:rPr>
                      <w:rFonts w:hint="eastAsia"/>
                      <w:vertAlign w:val="superscript"/>
                      <w:lang w:val="zh-CN" w:eastAsia="zh-CN"/>
                    </w:rPr>
                    <w:t>3</w:t>
                  </w:r>
                  <w:r>
                    <w:rPr>
                      <w:rFonts w:hint="default"/>
                      <w:lang w:val="zh-CN" w:eastAsia="zh-CN"/>
                    </w:rPr>
                    <w:t>/万元，万元工业增加值用水量28</w:t>
                  </w:r>
                  <w:r>
                    <w:rPr>
                      <w:rFonts w:hint="eastAsia"/>
                      <w:lang w:val="zh-CN" w:eastAsia="zh-CN"/>
                    </w:rPr>
                    <w:t>m</w:t>
                  </w:r>
                  <w:r>
                    <w:rPr>
                      <w:rFonts w:hint="eastAsia"/>
                      <w:vertAlign w:val="superscript"/>
                      <w:lang w:val="zh-CN" w:eastAsia="zh-CN"/>
                    </w:rPr>
                    <w:t>3</w:t>
                  </w:r>
                  <w:r>
                    <w:rPr>
                      <w:rFonts w:hint="default"/>
                      <w:lang w:val="zh-CN" w:eastAsia="zh-CN"/>
                    </w:rPr>
                    <w:t>/万元，农田灌溉水有效利用系数0.53</w:t>
                  </w:r>
                </w:p>
              </w:tc>
              <w:tc>
                <w:tcPr>
                  <w:tcW w:w="2006" w:type="dxa"/>
                  <w:tcBorders>
                    <w:tl2br w:val="nil"/>
                    <w:tr2bl w:val="nil"/>
                  </w:tcBorders>
                  <w:noWrap w:val="0"/>
                  <w:vAlign w:val="center"/>
                </w:tcPr>
                <w:p>
                  <w:pPr>
                    <w:pStyle w:val="45"/>
                    <w:bidi w:val="0"/>
                    <w:spacing w:line="240" w:lineRule="auto"/>
                    <w:ind w:firstLine="0"/>
                    <w:rPr>
                      <w:rFonts w:hint="default"/>
                      <w:lang w:val="en-US" w:eastAsia="zh-CN"/>
                    </w:rPr>
                  </w:pPr>
                  <w:r>
                    <w:rPr>
                      <w:rFonts w:hint="eastAsia"/>
                      <w:lang w:val="en-US" w:eastAsia="zh-CN"/>
                    </w:rPr>
                    <w:t>本项目为水库的除险加固，不涉及水资源的利用</w:t>
                  </w:r>
                </w:p>
              </w:tc>
              <w:tc>
                <w:tcPr>
                  <w:tcW w:w="958" w:type="dxa"/>
                  <w:tcBorders>
                    <w:tl2br w:val="nil"/>
                    <w:tr2bl w:val="nil"/>
                  </w:tcBorders>
                  <w:noWrap w:val="0"/>
                  <w:vAlign w:val="center"/>
                </w:tcPr>
                <w:p>
                  <w:pPr>
                    <w:pStyle w:val="45"/>
                    <w:bidi w:val="0"/>
                    <w:spacing w:line="240" w:lineRule="auto"/>
                    <w:ind w:firstLine="0"/>
                    <w:rPr>
                      <w:rFonts w:hint="default"/>
                      <w:lang w:val="zh-CN" w:eastAsia="zh-CN"/>
                    </w:rPr>
                  </w:pPr>
                  <w:r>
                    <w:rPr>
                      <w:rFonts w:hint="default"/>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2" w:hRule="atLeast"/>
                <w:tblHeader/>
                <w:jc w:val="center"/>
              </w:trPr>
              <w:tc>
                <w:tcPr>
                  <w:tcW w:w="1236" w:type="dxa"/>
                  <w:vMerge w:val="continue"/>
                  <w:tcBorders>
                    <w:tl2br w:val="nil"/>
                    <w:tr2bl w:val="nil"/>
                  </w:tcBorders>
                  <w:noWrap w:val="0"/>
                  <w:vAlign w:val="center"/>
                </w:tcPr>
                <w:p>
                  <w:pPr>
                    <w:pStyle w:val="45"/>
                    <w:bidi w:val="0"/>
                    <w:spacing w:line="240" w:lineRule="auto"/>
                    <w:ind w:firstLine="0"/>
                    <w:rPr>
                      <w:rFonts w:hint="default"/>
                      <w:lang w:val="zh-CN" w:eastAsia="zh-CN"/>
                    </w:rPr>
                  </w:pPr>
                </w:p>
              </w:tc>
              <w:tc>
                <w:tcPr>
                  <w:tcW w:w="3727" w:type="dxa"/>
                  <w:gridSpan w:val="3"/>
                  <w:tcBorders>
                    <w:tl2br w:val="nil"/>
                    <w:tr2bl w:val="nil"/>
                  </w:tcBorders>
                  <w:noWrap w:val="0"/>
                  <w:vAlign w:val="center"/>
                </w:tcPr>
                <w:p>
                  <w:pPr>
                    <w:pStyle w:val="45"/>
                    <w:bidi w:val="0"/>
                    <w:spacing w:line="240" w:lineRule="auto"/>
                    <w:ind w:firstLine="0"/>
                    <w:rPr>
                      <w:rFonts w:hint="default"/>
                      <w:lang w:val="zh-CN" w:eastAsia="zh-CN"/>
                    </w:rPr>
                  </w:pPr>
                  <w:r>
                    <w:rPr>
                      <w:rFonts w:hint="default"/>
                      <w:lang w:val="zh-CN" w:eastAsia="zh-CN"/>
                    </w:rPr>
                    <w:t>4.2能源：积极引导生活用燃煤的居民改用天然气、液化石油气等清洁能源，鼓励秸秆资源化、能源化利用。湘阴县“十三五”能耗强度降低目标18.5%，“十三五”能耗控制目标20万吨标准煤</w:t>
                  </w:r>
                </w:p>
              </w:tc>
              <w:tc>
                <w:tcPr>
                  <w:tcW w:w="2006" w:type="dxa"/>
                  <w:tcBorders>
                    <w:tl2br w:val="nil"/>
                    <w:tr2bl w:val="nil"/>
                  </w:tcBorders>
                  <w:noWrap w:val="0"/>
                  <w:vAlign w:val="center"/>
                </w:tcPr>
                <w:p>
                  <w:pPr>
                    <w:pStyle w:val="45"/>
                    <w:bidi w:val="0"/>
                    <w:spacing w:line="240" w:lineRule="auto"/>
                    <w:ind w:firstLine="0"/>
                    <w:rPr>
                      <w:rFonts w:hint="default"/>
                      <w:lang w:val="en-US" w:eastAsia="zh-CN"/>
                    </w:rPr>
                  </w:pPr>
                  <w:r>
                    <w:rPr>
                      <w:rFonts w:hint="eastAsia"/>
                      <w:lang w:val="en-US" w:eastAsia="zh-CN"/>
                    </w:rPr>
                    <w:t>项目运营过程均使用电能</w:t>
                  </w:r>
                </w:p>
              </w:tc>
              <w:tc>
                <w:tcPr>
                  <w:tcW w:w="958" w:type="dxa"/>
                  <w:tcBorders>
                    <w:tl2br w:val="nil"/>
                    <w:tr2bl w:val="nil"/>
                  </w:tcBorders>
                  <w:noWrap w:val="0"/>
                  <w:vAlign w:val="center"/>
                </w:tcPr>
                <w:p>
                  <w:pPr>
                    <w:pStyle w:val="45"/>
                    <w:bidi w:val="0"/>
                    <w:spacing w:line="240" w:lineRule="auto"/>
                    <w:ind w:firstLine="0"/>
                    <w:rPr>
                      <w:rFonts w:hint="default"/>
                      <w:lang w:val="zh-CN" w:eastAsia="zh-CN"/>
                    </w:rPr>
                  </w:pPr>
                  <w:r>
                    <w:rPr>
                      <w:rFonts w:hint="default"/>
                    </w:rPr>
                    <w:t>符合</w:t>
                  </w:r>
                </w:p>
              </w:tc>
            </w:tr>
          </w:tbl>
          <w:p>
            <w:pPr>
              <w:bidi w:val="0"/>
              <w:rPr>
                <w:rFonts w:hint="default"/>
                <w:lang w:val="en-US" w:eastAsia="zh-CN"/>
              </w:rPr>
            </w:pPr>
            <w:r>
              <w:rPr>
                <w:rFonts w:hint="default"/>
                <w:lang w:val="en-US" w:eastAsia="zh-CN"/>
              </w:rPr>
              <w:t>综上，本项目与《岳阳市人民政府关于实施岳阳市“三线一单”生态环境分区管控的意见（岳政发〔2021〕2号）》</w:t>
            </w:r>
            <w:r>
              <w:rPr>
                <w:rFonts w:hint="eastAsia"/>
                <w:lang w:val="en-US" w:eastAsia="zh-CN"/>
              </w:rPr>
              <w:t>文件</w:t>
            </w:r>
            <w:r>
              <w:rPr>
                <w:rFonts w:hint="default"/>
                <w:lang w:val="en-US" w:eastAsia="zh-CN"/>
              </w:rPr>
              <w:t>相符合。</w:t>
            </w:r>
          </w:p>
          <w:p>
            <w:pPr>
              <w:bidi w:val="0"/>
              <w:rPr>
                <w:rFonts w:hint="default"/>
                <w:lang w:val="en-US" w:eastAsia="zh-CN"/>
              </w:rPr>
            </w:pPr>
            <w:r>
              <w:rPr>
                <w:rFonts w:hint="default"/>
                <w:lang w:val="en-US" w:eastAsia="zh-CN"/>
              </w:rPr>
              <w:t>1.4</w:t>
            </w:r>
            <w:r>
              <w:rPr>
                <w:rFonts w:hint="eastAsia"/>
                <w:lang w:val="en-US" w:eastAsia="zh-CN"/>
              </w:rPr>
              <w:t xml:space="preserve">与国家水利改革发展政策的符合性 </w:t>
            </w:r>
          </w:p>
          <w:p>
            <w:pPr>
              <w:bidi w:val="0"/>
              <w:rPr>
                <w:rFonts w:hint="eastAsia"/>
                <w:lang w:val="en-US" w:eastAsia="zh-CN"/>
              </w:rPr>
            </w:pPr>
            <w:r>
              <w:rPr>
                <w:rFonts w:hint="eastAsia"/>
                <w:lang w:val="en-US" w:eastAsia="zh-CN"/>
              </w:rPr>
              <w:t>《中共中央国务院关于加快水利改革发展的决定》中“（七）加快中小河流治理和小型水库除险加固”中提及：“中小河流治理要优先安排洪涝灾害易发、保护区人口密集、保护对象重要的河流及河段，加固堤岸，清淤疏浚，使治理河段基本达到国家防洪标准。”因此，燎原水库大坝除险加固工程建设符合国家水利改革发展的要求。</w:t>
            </w:r>
          </w:p>
          <w:p>
            <w:pPr>
              <w:bidi w:val="0"/>
              <w:rPr>
                <w:rFonts w:hint="eastAsia"/>
                <w:lang w:val="en-US" w:eastAsia="zh-CN"/>
              </w:rPr>
            </w:pPr>
            <w:r>
              <w:rPr>
                <w:rFonts w:hint="eastAsia"/>
                <w:lang w:val="en-US" w:eastAsia="zh-CN"/>
              </w:rPr>
              <w:t>1.5项目与湖南省人民政府办公厅“关于切实加强水库除险加固和运行管护工作的意见” (湘政办发〔2021〕30 号) 符合性分析</w:t>
            </w:r>
          </w:p>
          <w:p>
            <w:pPr>
              <w:pStyle w:val="28"/>
              <w:bidi w:val="0"/>
              <w:rPr>
                <w:rFonts w:hint="default"/>
                <w:lang w:val="en-US" w:eastAsia="zh-CN"/>
              </w:rPr>
            </w:pPr>
            <w:r>
              <w:rPr>
                <w:rFonts w:hint="default"/>
                <w:lang w:val="en-US" w:eastAsia="zh-CN"/>
              </w:rPr>
              <w:t>表 1-2  项目与湘政办发〔2021〕30 号符合性分析一览表</w:t>
            </w:r>
          </w:p>
          <w:tbl>
            <w:tblPr>
              <w:tblStyle w:val="4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56"/>
              <w:gridCol w:w="1938"/>
              <w:gridCol w:w="13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4886" w:type="dxa"/>
                  <w:tcBorders>
                    <w:tl2br w:val="nil"/>
                    <w:tr2bl w:val="nil"/>
                  </w:tcBorders>
                  <w:vAlign w:val="center"/>
                </w:tcPr>
                <w:p>
                  <w:pPr>
                    <w:pStyle w:val="27"/>
                    <w:bidi w:val="0"/>
                  </w:pPr>
                  <w:r>
                    <w:t>文件要求</w:t>
                  </w:r>
                </w:p>
              </w:tc>
              <w:tc>
                <w:tcPr>
                  <w:tcW w:w="2033" w:type="dxa"/>
                  <w:tcBorders>
                    <w:tl2br w:val="nil"/>
                    <w:tr2bl w:val="nil"/>
                  </w:tcBorders>
                  <w:vAlign w:val="center"/>
                </w:tcPr>
                <w:p>
                  <w:pPr>
                    <w:pStyle w:val="27"/>
                    <w:bidi w:val="0"/>
                  </w:pPr>
                  <w:r>
                    <w:t>本项目情况</w:t>
                  </w:r>
                </w:p>
              </w:tc>
              <w:tc>
                <w:tcPr>
                  <w:tcW w:w="1398" w:type="dxa"/>
                  <w:tcBorders>
                    <w:tl2br w:val="nil"/>
                    <w:tr2bl w:val="nil"/>
                  </w:tcBorders>
                  <w:vAlign w:val="center"/>
                </w:tcPr>
                <w:p>
                  <w:pPr>
                    <w:pStyle w:val="27"/>
                    <w:bidi w:val="0"/>
                  </w:pPr>
                  <w:r>
                    <w:t>相符性分析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3" w:hRule="atLeast"/>
                <w:jc w:val="center"/>
              </w:trPr>
              <w:tc>
                <w:tcPr>
                  <w:tcW w:w="4886" w:type="dxa"/>
                  <w:tcBorders>
                    <w:tl2br w:val="nil"/>
                    <w:tr2bl w:val="nil"/>
                  </w:tcBorders>
                  <w:vAlign w:val="center"/>
                </w:tcPr>
                <w:p>
                  <w:pPr>
                    <w:pStyle w:val="27"/>
                    <w:bidi w:val="0"/>
                  </w:pPr>
                  <w:r>
                    <w:t>及时开展水库安全鉴定：严格执行水库大坝定期安全检查、鉴定制度，优化安全鉴定程序，强化鉴定成果核查，提高鉴定成果质量，有序完成“十四五”期间水库安全鉴定任务。</w:t>
                  </w:r>
                </w:p>
              </w:tc>
              <w:tc>
                <w:tcPr>
                  <w:tcW w:w="2033" w:type="dxa"/>
                  <w:tcBorders>
                    <w:tl2br w:val="nil"/>
                    <w:tr2bl w:val="nil"/>
                  </w:tcBorders>
                  <w:vAlign w:val="center"/>
                </w:tcPr>
                <w:p>
                  <w:pPr>
                    <w:pStyle w:val="27"/>
                    <w:bidi w:val="0"/>
                  </w:pPr>
                  <w:r>
                    <w:t>本项目已完成了安全评估报告。</w:t>
                  </w:r>
                </w:p>
              </w:tc>
              <w:tc>
                <w:tcPr>
                  <w:tcW w:w="1398" w:type="dxa"/>
                  <w:tcBorders>
                    <w:tl2br w:val="nil"/>
                    <w:tr2bl w:val="nil"/>
                  </w:tcBorders>
                  <w:vAlign w:val="center"/>
                </w:tcPr>
                <w:p>
                  <w:pPr>
                    <w:pStyle w:val="27"/>
                    <w:bidi w:val="0"/>
                  </w:pPr>
                  <w: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4886" w:type="dxa"/>
                  <w:tcBorders>
                    <w:tl2br w:val="nil"/>
                    <w:tr2bl w:val="nil"/>
                  </w:tcBorders>
                  <w:vAlign w:val="center"/>
                </w:tcPr>
                <w:p>
                  <w:pPr>
                    <w:pStyle w:val="27"/>
                    <w:bidi w:val="0"/>
                  </w:pPr>
                  <w:r>
                    <w:t>有序推进水库除险加固：</w:t>
                  </w:r>
                  <w:r>
                    <w:rPr>
                      <w:rFonts w:hint="eastAsia"/>
                    </w:rPr>
                    <w:t>大中型水库方面，对已列入规划的大中型病险水库及时进行除险加固</w:t>
                  </w:r>
                  <w:r>
                    <w:t>。</w:t>
                  </w:r>
                </w:p>
              </w:tc>
              <w:tc>
                <w:tcPr>
                  <w:tcW w:w="2033" w:type="dxa"/>
                  <w:tcBorders>
                    <w:tl2br w:val="nil"/>
                    <w:tr2bl w:val="nil"/>
                  </w:tcBorders>
                  <w:vAlign w:val="center"/>
                </w:tcPr>
                <w:p>
                  <w:pPr>
                    <w:pStyle w:val="27"/>
                    <w:bidi w:val="0"/>
                    <w:rPr>
                      <w:rFonts w:hint="default"/>
                      <w:lang w:val="en-US"/>
                    </w:rPr>
                  </w:pPr>
                  <w:r>
                    <w:t>本项目</w:t>
                  </w:r>
                  <w:r>
                    <w:rPr>
                      <w:rFonts w:hint="eastAsia" w:ascii="Times New Roman" w:eastAsia="宋体"/>
                      <w:lang w:val="en-US" w:eastAsia="zh-CN"/>
                    </w:rPr>
                    <w:t>岳阳市</w:t>
                  </w:r>
                  <w:r>
                    <w:t>“十四五”水安全保障</w:t>
                  </w:r>
                  <w:r>
                    <w:rPr>
                      <w:rFonts w:hint="eastAsia" w:ascii="Times New Roman" w:eastAsia="宋体"/>
                      <w:lang w:val="en-US" w:eastAsia="zh-CN"/>
                    </w:rPr>
                    <w:t>规划</w:t>
                  </w:r>
                  <w:r>
                    <w:rPr>
                      <w:rFonts w:hint="eastAsia"/>
                      <w:lang w:val="en-US" w:eastAsia="zh-CN"/>
                    </w:rPr>
                    <w:t>中的18座中型病险水库除险加固</w:t>
                  </w:r>
                </w:p>
              </w:tc>
              <w:tc>
                <w:tcPr>
                  <w:tcW w:w="1398" w:type="dxa"/>
                  <w:tcBorders>
                    <w:tl2br w:val="nil"/>
                    <w:tr2bl w:val="nil"/>
                  </w:tcBorders>
                  <w:vAlign w:val="center"/>
                </w:tcPr>
                <w:p>
                  <w:pPr>
                    <w:pStyle w:val="27"/>
                    <w:bidi w:val="0"/>
                  </w:pPr>
                  <w: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91" w:hRule="atLeast"/>
                <w:jc w:val="center"/>
              </w:trPr>
              <w:tc>
                <w:tcPr>
                  <w:tcW w:w="4886" w:type="dxa"/>
                  <w:tcBorders>
                    <w:tl2br w:val="nil"/>
                    <w:tr2bl w:val="nil"/>
                  </w:tcBorders>
                  <w:vAlign w:val="center"/>
                </w:tcPr>
                <w:p>
                  <w:pPr>
                    <w:pStyle w:val="27"/>
                    <w:bidi w:val="0"/>
                  </w:pPr>
                  <w:r>
                    <w:t>切实加强水库运行管理：全面落实水库安全管理责任制，按照相关法律和规定落实责任人。在做好病险水库控制运用的基础上，落实水库管护主体、人员和经费，做好日常巡查、维修养护、安全监测、调度运用、防汛抢险等工作</w:t>
                  </w:r>
                </w:p>
              </w:tc>
              <w:tc>
                <w:tcPr>
                  <w:tcW w:w="2033" w:type="dxa"/>
                  <w:tcBorders>
                    <w:tl2br w:val="nil"/>
                    <w:tr2bl w:val="nil"/>
                  </w:tcBorders>
                  <w:vAlign w:val="center"/>
                </w:tcPr>
                <w:p>
                  <w:pPr>
                    <w:pStyle w:val="27"/>
                    <w:bidi w:val="0"/>
                  </w:pPr>
                  <w:r>
                    <w:t>水库已安全运行多年，已建立水库管理责任制，已落实人员日常巡查、安全监测等工作。</w:t>
                  </w:r>
                </w:p>
              </w:tc>
              <w:tc>
                <w:tcPr>
                  <w:tcW w:w="1398" w:type="dxa"/>
                  <w:tcBorders>
                    <w:tl2br w:val="nil"/>
                    <w:tr2bl w:val="nil"/>
                  </w:tcBorders>
                  <w:vAlign w:val="center"/>
                </w:tcPr>
                <w:p>
                  <w:pPr>
                    <w:pStyle w:val="27"/>
                    <w:bidi w:val="0"/>
                  </w:pPr>
                  <w:r>
                    <w:t>符合</w:t>
                  </w:r>
                </w:p>
              </w:tc>
            </w:tr>
          </w:tbl>
          <w:p>
            <w:pPr>
              <w:bidi w:val="0"/>
              <w:rPr>
                <w:rFonts w:hint="eastAsia"/>
                <w:lang w:val="en-US" w:eastAsia="zh-CN"/>
              </w:rPr>
            </w:pPr>
            <w:r>
              <w:rPr>
                <w:rFonts w:hint="eastAsia"/>
                <w:lang w:val="en-US" w:eastAsia="zh-CN"/>
              </w:rPr>
              <w:t>1.5岳阳市</w:t>
            </w:r>
            <w:r>
              <w:t>“十四五”水安全保障</w:t>
            </w:r>
            <w:r>
              <w:rPr>
                <w:rFonts w:hint="eastAsia"/>
                <w:lang w:val="en-US" w:eastAsia="zh-CN"/>
              </w:rPr>
              <w:t>规划</w:t>
            </w:r>
          </w:p>
          <w:p>
            <w:pPr>
              <w:pStyle w:val="15"/>
              <w:keepNext w:val="0"/>
              <w:keepLines w:val="0"/>
              <w:widowControl/>
              <w:suppressLineNumbers w:val="0"/>
              <w:spacing w:before="0" w:beforeAutospacing="0" w:after="0" w:afterAutospacing="0"/>
              <w:ind w:left="0" w:right="0" w:firstLine="0"/>
              <w:rPr>
                <w:rFonts w:hint="default"/>
                <w:lang w:val="en-US" w:eastAsia="zh-CN"/>
              </w:rPr>
            </w:pPr>
            <w:r>
              <w:rPr>
                <w:rFonts w:hint="eastAsia"/>
                <w:lang w:val="en-US" w:eastAsia="zh-CN"/>
              </w:rPr>
              <w:t>根据《岳阳市</w:t>
            </w:r>
            <w:r>
              <w:t>“十四五”水安全保障</w:t>
            </w:r>
            <w:r>
              <w:rPr>
                <w:rFonts w:hint="eastAsia"/>
                <w:lang w:val="en-US" w:eastAsia="zh-CN"/>
              </w:rPr>
              <w:t>规划》中</w:t>
            </w:r>
            <w:r>
              <w:t>水安全保障重点任务第三章</w:t>
            </w:r>
            <w:r>
              <w:rPr>
                <w:rFonts w:hint="eastAsia"/>
                <w:lang w:val="en-US" w:eastAsia="zh-CN"/>
              </w:rPr>
              <w:t>—二、实施防洪提升工程，保障防洪安全—（一）强化防洪排涝工程设施保障—6、持续推进病险水库（闸）及山塘除险加固工程，具体内容如下：</w:t>
            </w:r>
          </w:p>
          <w:p>
            <w:pPr>
              <w:bidi w:val="0"/>
              <w:rPr>
                <w:rFonts w:hint="eastAsia"/>
                <w:lang w:val="en-US" w:eastAsia="zh-CN"/>
              </w:rPr>
            </w:pPr>
            <w:r>
              <w:rPr>
                <w:rFonts w:hint="eastAsia"/>
                <w:lang w:val="en-US" w:eastAsia="zh-CN"/>
              </w:rPr>
              <w:t>对全市病险水库进行除险加固，重点完成铁山水库和</w:t>
            </w:r>
            <w:r>
              <w:rPr>
                <w:rFonts w:hint="eastAsia"/>
                <w:b/>
                <w:bCs/>
                <w:lang w:val="en-US" w:eastAsia="zh-CN"/>
              </w:rPr>
              <w:t>燎原</w:t>
            </w:r>
            <w:r>
              <w:rPr>
                <w:rFonts w:hint="eastAsia"/>
                <w:lang w:val="en-US" w:eastAsia="zh-CN"/>
              </w:rPr>
              <w:t>、兰家洞、赛美、东山、岳坊、金凤、泪罗、双花、兰桥、团湾、北汊、九峰、向家洞、秋湖、白水、大江洞、徐家洞、黄金堰等18座中型病险水库除险加固，有序开展500余座小型病险水库除险加固；推进病险水闸除险加固，重点实施完成返修河水闸、龙须坝水闸、杨树坝水闸、营田闸、青潭垸泄洪闸、中洲垸六门闸、东风湖电排站、南津港电排站、鸭栏泄水闸、双江坝水闸、狮形山水闸、调弦口水闸等12座骨干水闸除险加固工程；加强水库和水闸安全监控，定期开展水闸、水库安全鉴定，对新出险的水库和水闸，鉴定1处实施1处，及时消除隐患。持续开展山塘整治工程，消除病险山塘安全隐患。</w:t>
            </w:r>
          </w:p>
          <w:p>
            <w:pPr>
              <w:bidi w:val="0"/>
            </w:pPr>
            <w:r>
              <w:rPr>
                <w:rFonts w:hint="eastAsia"/>
                <w:lang w:val="en-US" w:eastAsia="zh-CN"/>
              </w:rPr>
              <w:t>本项目为燎原</w:t>
            </w:r>
            <w:r>
              <w:t>水库除险加固，因此和《</w:t>
            </w:r>
            <w:r>
              <w:rPr>
                <w:rFonts w:hint="eastAsia"/>
                <w:lang w:val="en-US" w:eastAsia="zh-CN"/>
              </w:rPr>
              <w:t>岳阳市</w:t>
            </w:r>
            <w:r>
              <w:t>“十四五”水安全保障</w:t>
            </w:r>
            <w:r>
              <w:rPr>
                <w:rFonts w:hint="eastAsia"/>
                <w:lang w:val="en-US" w:eastAsia="zh-CN"/>
              </w:rPr>
              <w:t>规划</w:t>
            </w:r>
            <w:r>
              <w:t>》是相符合的。</w:t>
            </w:r>
          </w:p>
          <w:p>
            <w:pPr>
              <w:pStyle w:val="15"/>
              <w:keepNext w:val="0"/>
              <w:keepLines w:val="0"/>
              <w:widowControl/>
              <w:suppressLineNumbers w:val="0"/>
              <w:spacing w:before="0" w:beforeAutospacing="0" w:after="0" w:afterAutospacing="0"/>
              <w:ind w:left="0" w:right="0" w:firstLine="0"/>
              <w:rPr>
                <w:rFonts w:hint="default" w:ascii="宋体" w:hAnsi="宋体" w:eastAsia="宋体" w:cs="宋体"/>
                <w:sz w:val="24"/>
                <w:szCs w:val="24"/>
                <w:lang w:val="en-US" w:eastAsia="zh-CN"/>
              </w:rPr>
            </w:pPr>
            <w:r>
              <w:rPr>
                <w:rFonts w:hint="eastAsia"/>
                <w:lang w:val="en-US" w:eastAsia="zh-CN"/>
              </w:rPr>
              <w:t>《岳阳市</w:t>
            </w:r>
            <w:r>
              <w:t>“十四五”水安全保障</w:t>
            </w:r>
            <w:r>
              <w:rPr>
                <w:rFonts w:hint="eastAsia"/>
                <w:lang w:val="en-US" w:eastAsia="zh-CN"/>
              </w:rPr>
              <w:t>规划》中</w:t>
            </w:r>
            <w:r>
              <w:rPr>
                <w:rFonts w:hint="eastAsia" w:ascii="宋体" w:hAnsi="宋体" w:eastAsia="宋体" w:cs="宋体"/>
                <w:sz w:val="24"/>
                <w:szCs w:val="24"/>
              </w:rPr>
              <w:t>环境保护措施</w:t>
            </w:r>
            <w:r>
              <w:rPr>
                <w:rFonts w:hint="eastAsia" w:ascii="宋体" w:hAnsi="宋体" w:eastAsia="宋体" w:cs="宋体"/>
                <w:sz w:val="24"/>
                <w:szCs w:val="24"/>
                <w:lang w:val="en-US" w:eastAsia="zh-CN"/>
              </w:rPr>
              <w:t>的具体内容如下：</w:t>
            </w:r>
          </w:p>
          <w:p>
            <w:pPr>
              <w:pStyle w:val="15"/>
              <w:keepNext w:val="0"/>
              <w:keepLines w:val="0"/>
              <w:widowControl/>
              <w:suppressLineNumbers w:val="0"/>
              <w:spacing w:before="0" w:beforeAutospacing="0" w:after="0" w:afterAutospacing="0"/>
              <w:ind w:left="0" w:right="0" w:firstLine="0"/>
              <w:rPr>
                <w:rFonts w:ascii="宋体" w:hAnsi="宋体" w:eastAsia="宋体" w:cs="宋体"/>
                <w:sz w:val="24"/>
                <w:szCs w:val="24"/>
              </w:rPr>
            </w:pPr>
            <w:r>
              <w:rPr>
                <w:rFonts w:ascii="宋体" w:hAnsi="宋体" w:eastAsia="宋体" w:cs="宋体"/>
                <w:sz w:val="24"/>
                <w:szCs w:val="24"/>
              </w:rPr>
              <w:t>加强及落实生态空间保护。规划应满足生态保护红线、环境质量底线、 资源利用上线和环境准入负面清单的相关要求。规划实施过程中各类工 程的选址选线应严格符合《湖南省生态保护红线》要求以及本规划提出的水生态空间管控要求。加强水资源及水环境保护。全面实施本规划中水资源及水环境保护方案，完善点源、面源和内源等污染治理措施，整治入河排污口，严格控制入河排污总量不超过污染物限排总量控制指标，保证河湖水质达标，实现水环境的持续改善。积极推进水生态保护与修复。落实水生态保护与修复措施，改善河湖水动力条件，保障河流生态用水，改善湖泊富营养化状况，修复水生态环境。</w:t>
            </w:r>
          </w:p>
          <w:p>
            <w:pPr>
              <w:pStyle w:val="15"/>
              <w:keepNext w:val="0"/>
              <w:keepLines w:val="0"/>
              <w:widowControl/>
              <w:suppressLineNumbers w:val="0"/>
              <w:spacing w:before="0" w:beforeAutospacing="0" w:after="0" w:afterAutospacing="0"/>
              <w:ind w:left="0" w:right="0" w:firstLine="0"/>
              <w:rPr>
                <w:rFonts w:ascii="宋体" w:hAnsi="宋体" w:eastAsia="宋体" w:cs="宋体"/>
                <w:sz w:val="24"/>
                <w:szCs w:val="24"/>
              </w:rPr>
            </w:pPr>
            <w:r>
              <w:rPr>
                <w:rFonts w:ascii="宋体" w:hAnsi="宋体" w:eastAsia="宋体" w:cs="宋体"/>
                <w:sz w:val="24"/>
                <w:szCs w:val="24"/>
              </w:rPr>
              <w:t>加强水生生物保护、湿地保护与修复，维护水生生物生境和生态系统。加强水生态环境监测。完善水质监测网络建设，针对重点工程涉及的自然保护区、水产种质资源保护区、重要水生生物生境等生态敏感区开展水生态监测。强化生态环境管理。明确环境治理主体责任，政府履行监管职责，企业承担主体责任，社会组织和公众发挥参与和监督作用。健全生态环境损害赔偿、污染排放严惩重罚等制度，强化排污者责任。严格环境执法监管，推进联合执法、区域执法、交叉执法，对破坏生态环境的行为严厉打击、严罚重惩，提高生态环境保护力度。</w:t>
            </w:r>
          </w:p>
          <w:p>
            <w:pPr>
              <w:bidi w:val="0"/>
              <w:rPr>
                <w:rFonts w:hint="default" w:eastAsia="宋体"/>
                <w:lang w:val="en-US" w:eastAsia="zh-CN"/>
              </w:rPr>
            </w:pPr>
            <w:r>
              <w:rPr>
                <w:rFonts w:hint="eastAsia"/>
                <w:lang w:val="en-US" w:eastAsia="zh-CN"/>
              </w:rPr>
              <w:t>根据1.3可知，本项目的建设满足“三线一单”的相关要求，燎原水库未设置入湖排污口，且不涉及</w:t>
            </w:r>
            <w:r>
              <w:rPr>
                <w:rFonts w:ascii="宋体" w:hAnsi="宋体" w:eastAsia="宋体" w:cs="宋体"/>
                <w:sz w:val="24"/>
                <w:szCs w:val="24"/>
              </w:rPr>
              <w:t>自然保护区、水产种质资源保护区、重要水生生物生境等生态敏感区</w:t>
            </w:r>
            <w:r>
              <w:rPr>
                <w:rFonts w:hint="eastAsia" w:ascii="宋体" w:hAnsi="宋体" w:cs="宋体"/>
                <w:sz w:val="24"/>
                <w:szCs w:val="24"/>
                <w:lang w:eastAsia="zh-CN"/>
              </w:rPr>
              <w:t>，</w:t>
            </w:r>
            <w:r>
              <w:rPr>
                <w:rFonts w:hint="eastAsia" w:ascii="宋体" w:hAnsi="宋体" w:cs="宋体"/>
                <w:sz w:val="24"/>
                <w:szCs w:val="24"/>
                <w:lang w:val="en-US" w:eastAsia="zh-CN"/>
              </w:rPr>
              <w:t>燎原水库的主体责任为燎原水库管理所，故本项目的实施满足</w:t>
            </w:r>
            <w:r>
              <w:rPr>
                <w:rFonts w:hint="eastAsia"/>
                <w:lang w:val="en-US" w:eastAsia="zh-CN"/>
              </w:rPr>
              <w:t>《岳阳市</w:t>
            </w:r>
            <w:r>
              <w:t>“十四五”水安全保障</w:t>
            </w:r>
            <w:r>
              <w:rPr>
                <w:rFonts w:hint="eastAsia"/>
                <w:lang w:val="en-US" w:eastAsia="zh-CN"/>
              </w:rPr>
              <w:t>规划》中</w:t>
            </w:r>
            <w:r>
              <w:rPr>
                <w:rFonts w:hint="eastAsia" w:ascii="宋体" w:hAnsi="宋体" w:eastAsia="宋体" w:cs="宋体"/>
                <w:sz w:val="24"/>
                <w:szCs w:val="24"/>
              </w:rPr>
              <w:t>环境保护措施</w:t>
            </w:r>
            <w:r>
              <w:rPr>
                <w:rFonts w:hint="eastAsia" w:ascii="宋体" w:hAnsi="宋体" w:cs="宋体"/>
                <w:sz w:val="24"/>
                <w:szCs w:val="24"/>
                <w:lang w:val="en-US" w:eastAsia="zh-CN"/>
              </w:rPr>
              <w:t>的相关要求。</w:t>
            </w:r>
          </w:p>
          <w:p>
            <w:pPr>
              <w:bidi w:val="0"/>
              <w:rPr>
                <w:rFonts w:hint="default"/>
                <w:u w:val="single"/>
              </w:rPr>
            </w:pPr>
            <w:r>
              <w:rPr>
                <w:rFonts w:hint="eastAsia"/>
                <w:u w:val="single"/>
                <w:lang w:val="en-US" w:eastAsia="zh-CN"/>
              </w:rPr>
              <w:t>1.6</w:t>
            </w:r>
            <w:r>
              <w:rPr>
                <w:rFonts w:hint="default"/>
                <w:u w:val="single"/>
              </w:rPr>
              <w:t>与《湖南省主体功能区规划》的符合性分析</w:t>
            </w:r>
          </w:p>
          <w:p>
            <w:pPr>
              <w:bidi w:val="0"/>
              <w:rPr>
                <w:rFonts w:hint="default"/>
                <w:u w:val="single"/>
              </w:rPr>
            </w:pPr>
            <w:r>
              <w:rPr>
                <w:rFonts w:hint="default"/>
                <w:u w:val="single"/>
              </w:rPr>
              <w:t>《湖南省主体功能区规划》以县级行政区为基本单元，将湖南省国土空间划分为以下主体功能区：按开发内容，分为城市化地区、农产品主产区和重点生态功能区；按开发方式和强度，分为重点开发区域、限制开发区域和禁止开发区域。</w:t>
            </w:r>
            <w:r>
              <w:rPr>
                <w:rFonts w:hint="eastAsia"/>
                <w:u w:val="single"/>
                <w:lang w:val="en-US" w:eastAsia="zh-CN"/>
              </w:rPr>
              <w:t>湘阴县</w:t>
            </w:r>
            <w:r>
              <w:rPr>
                <w:rFonts w:hint="default"/>
                <w:u w:val="single"/>
              </w:rPr>
              <w:t>为国家级农产品主产区，农产品主产区是指耕地面积较多、发展农业条件较好，尽管也适宜工业化城镇化开发，但从保障农产品安全以及永续发展的要求出发，必须把增强农业综合生产能力作为发展的首要任</w:t>
            </w:r>
            <w:r>
              <w:rPr>
                <w:rFonts w:hint="default"/>
                <w:u w:val="single"/>
                <w:lang w:val="en-US" w:eastAsia="zh-CN"/>
              </w:rPr>
              <w:t>务，从而应该限制进行大规模高强度工业化城镇化开发的地区，以提供农产品为主体功能，也提供生态产品、服务产品和工业品。</w:t>
            </w:r>
          </w:p>
          <w:p>
            <w:pPr>
              <w:bidi w:val="0"/>
              <w:rPr>
                <w:rFonts w:hint="default"/>
                <w:u w:val="single"/>
                <w:lang w:val="en-US" w:eastAsia="zh-CN"/>
              </w:rPr>
            </w:pPr>
            <w:r>
              <w:rPr>
                <w:rFonts w:hint="eastAsia"/>
                <w:u w:val="single"/>
                <w:lang w:val="en-US" w:eastAsia="zh-CN"/>
              </w:rPr>
              <w:t>本</w:t>
            </w:r>
            <w:r>
              <w:rPr>
                <w:rFonts w:hint="default"/>
                <w:u w:val="single"/>
                <w:lang w:val="en-US" w:eastAsia="zh-CN"/>
              </w:rPr>
              <w:t>项目位于湖南省</w:t>
            </w:r>
            <w:r>
              <w:rPr>
                <w:rFonts w:hint="eastAsia"/>
                <w:u w:val="single"/>
                <w:lang w:val="en-US" w:eastAsia="zh-CN"/>
              </w:rPr>
              <w:t>岳阳市湘阴县金龙镇金龙村</w:t>
            </w:r>
            <w:r>
              <w:rPr>
                <w:rFonts w:hint="default"/>
                <w:u w:val="single"/>
                <w:lang w:val="en-US" w:eastAsia="zh-CN"/>
              </w:rPr>
              <w:t>，属于水库防洪除涝工程，项目的建设是满足灌区农田灌溉和提高防洪减灾能力、对农产品主产区支持农业综合生产能力建设的重大举措，保障社会经济发展的需要，符合主体功能区划。</w:t>
            </w:r>
          </w:p>
          <w:p>
            <w:pPr>
              <w:bidi w:val="0"/>
              <w:rPr>
                <w:rFonts w:hint="eastAsia"/>
                <w:u w:val="single"/>
                <w:lang w:eastAsia="zh-CN"/>
              </w:rPr>
            </w:pPr>
            <w:r>
              <w:rPr>
                <w:rFonts w:hint="eastAsia"/>
                <w:u w:val="single"/>
                <w:lang w:val="en-US" w:eastAsia="zh-CN"/>
              </w:rPr>
              <w:t>1.7与</w:t>
            </w:r>
            <w:r>
              <w:rPr>
                <w:rFonts w:hint="eastAsia"/>
                <w:u w:val="single"/>
                <w:lang w:eastAsia="zh-CN"/>
              </w:rPr>
              <w:t>《</w:t>
            </w:r>
            <w:r>
              <w:rPr>
                <w:rFonts w:hint="default"/>
                <w:u w:val="single"/>
              </w:rPr>
              <w:t>湖南省“十四五”生态环境保护规划</w:t>
            </w:r>
            <w:r>
              <w:rPr>
                <w:rFonts w:hint="eastAsia"/>
                <w:u w:val="single"/>
                <w:lang w:eastAsia="zh-CN"/>
              </w:rPr>
              <w:t>》</w:t>
            </w:r>
            <w:r>
              <w:rPr>
                <w:rFonts w:hint="default"/>
                <w:u w:val="single"/>
              </w:rPr>
              <w:t>的符合性分析</w:t>
            </w:r>
          </w:p>
          <w:p>
            <w:pPr>
              <w:bidi w:val="0"/>
              <w:rPr>
                <w:rFonts w:hint="eastAsia"/>
                <w:u w:val="single"/>
                <w:lang w:val="en-US" w:eastAsia="zh-CN"/>
              </w:rPr>
            </w:pPr>
            <w:r>
              <w:rPr>
                <w:rFonts w:hint="eastAsia"/>
                <w:u w:val="single"/>
                <w:lang w:eastAsia="zh-CN"/>
              </w:rPr>
              <w:t>《</w:t>
            </w:r>
            <w:r>
              <w:rPr>
                <w:rFonts w:hint="default"/>
                <w:u w:val="single"/>
              </w:rPr>
              <w:t>湖南省“十四五”生态环境保护规划</w:t>
            </w:r>
            <w:r>
              <w:rPr>
                <w:rFonts w:hint="eastAsia"/>
                <w:u w:val="single"/>
                <w:lang w:eastAsia="zh-CN"/>
              </w:rPr>
              <w:t>》</w:t>
            </w:r>
            <w:r>
              <w:rPr>
                <w:rFonts w:hint="eastAsia"/>
                <w:u w:val="single"/>
                <w:lang w:val="en-US" w:eastAsia="zh-CN"/>
              </w:rPr>
              <w:t>的主要目标如下：</w:t>
            </w:r>
          </w:p>
          <w:p>
            <w:pPr>
              <w:bidi w:val="0"/>
              <w:rPr>
                <w:rFonts w:hint="eastAsia"/>
                <w:u w:val="single"/>
                <w:lang w:eastAsia="zh-CN"/>
              </w:rPr>
            </w:pPr>
            <w:r>
              <w:rPr>
                <w:rFonts w:hint="default"/>
                <w:u w:val="single"/>
              </w:rPr>
              <w:t>到2025年，全省绿色低碳发展水平显著提升，重点污染物排放总量、单位地区生产总值二氧化碳排放量和能耗持续降低；水环境质量持续改善，全面消除劣Ⅴ类水体，洞庭湖总磷浓度持续下降，市级城市集中式饮用水水源地水质全面达标，县级城市集中式饮用水水源地水质达标率达到95.8%；空气环境质量持续改善，地级及以上城市PM2.5年平均浓度持续下降，基本消除重度及以上污染天数；全省土壤污染环境风险得到有效管控，土壤安全利用水平巩固提升，受污染耕地和重点建设用地实现安全利用和有效管控；自然生态保护监管取得积极进展，森林覆盖率不降低</w:t>
            </w:r>
            <w:r>
              <w:rPr>
                <w:rFonts w:hint="eastAsia"/>
                <w:u w:val="single"/>
                <w:lang w:eastAsia="zh-CN"/>
              </w:rPr>
              <w:t>。</w:t>
            </w:r>
          </w:p>
          <w:p>
            <w:pPr>
              <w:pStyle w:val="15"/>
              <w:keepNext w:val="0"/>
              <w:keepLines w:val="0"/>
              <w:widowControl/>
              <w:suppressLineNumbers w:val="0"/>
              <w:spacing w:before="0" w:beforeAutospacing="0" w:after="0" w:afterAutospacing="0"/>
              <w:ind w:right="0"/>
            </w:pPr>
            <w:r>
              <w:rPr>
                <w:rFonts w:hint="eastAsia"/>
                <w:u w:val="single"/>
                <w:lang w:val="en-US" w:eastAsia="zh-CN"/>
              </w:rPr>
              <w:t>本</w:t>
            </w:r>
            <w:r>
              <w:rPr>
                <w:rFonts w:hint="default"/>
                <w:u w:val="single"/>
                <w:lang w:val="en-US" w:eastAsia="zh-CN"/>
              </w:rPr>
              <w:t>项目位于湖南省</w:t>
            </w:r>
            <w:r>
              <w:rPr>
                <w:rFonts w:hint="eastAsia"/>
                <w:u w:val="single"/>
                <w:lang w:val="en-US" w:eastAsia="zh-CN"/>
              </w:rPr>
              <w:t>岳阳市湘阴县金龙镇金龙村</w:t>
            </w:r>
            <w:r>
              <w:rPr>
                <w:rFonts w:hint="default"/>
                <w:u w:val="single"/>
                <w:lang w:val="en-US" w:eastAsia="zh-CN"/>
              </w:rPr>
              <w:t>，</w:t>
            </w:r>
            <w:r>
              <w:rPr>
                <w:rFonts w:hint="eastAsia"/>
                <w:u w:val="single"/>
                <w:lang w:val="en-US" w:eastAsia="zh-CN"/>
              </w:rPr>
              <w:t>燎原水库不属于饮用水源保护区，本项目</w:t>
            </w:r>
            <w:r>
              <w:rPr>
                <w:rFonts w:hint="default"/>
                <w:u w:val="single"/>
                <w:lang w:val="en-US" w:eastAsia="zh-CN"/>
              </w:rPr>
              <w:t>属于水库防洪除涝工程</w:t>
            </w:r>
            <w:r>
              <w:rPr>
                <w:rFonts w:hint="eastAsia"/>
                <w:u w:val="single"/>
                <w:lang w:val="en-US" w:eastAsia="zh-CN"/>
              </w:rPr>
              <w:t>，不会对水质以及空气环境质量等生态造成不良影响，故本项目的建设符合</w:t>
            </w:r>
            <w:r>
              <w:rPr>
                <w:rFonts w:hint="default"/>
                <w:u w:val="single"/>
              </w:rPr>
              <w:t>湖南省“十四五”生态环境保护规划</w:t>
            </w:r>
            <w:r>
              <w:rPr>
                <w:rFonts w:hint="eastAsia"/>
                <w:u w:val="single"/>
                <w:lang w:val="en-US" w:eastAsia="zh-CN"/>
              </w:rPr>
              <w:t>的要求。</w:t>
            </w:r>
          </w:p>
          <w:p>
            <w:pPr>
              <w:bidi w:val="0"/>
              <w:ind w:left="0" w:leftChars="0" w:firstLine="0" w:firstLineChars="0"/>
              <w:rPr>
                <w:rFonts w:hint="eastAsia"/>
                <w:lang w:val="en-US" w:eastAsia="zh-CN"/>
              </w:rPr>
            </w:pPr>
          </w:p>
        </w:tc>
      </w:tr>
    </w:tbl>
    <w:p>
      <w:pPr>
        <w:spacing w:line="360" w:lineRule="auto"/>
        <w:outlineLvl w:val="0"/>
        <w:rPr>
          <w:rFonts w:eastAsia="黑体"/>
          <w:sz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0" w:firstLineChars="0"/>
        <w:jc w:val="left"/>
        <w:textAlignment w:val="auto"/>
        <w:outlineLvl w:val="0"/>
        <w:rPr>
          <w:rFonts w:ascii="黑体" w:hAnsi="黑体" w:eastAsia="黑体"/>
          <w:snapToGrid w:val="0"/>
          <w:sz w:val="30"/>
          <w:szCs w:val="30"/>
        </w:rPr>
      </w:pPr>
      <w:bookmarkStart w:id="6" w:name="_Toc11802"/>
      <w:r>
        <w:rPr>
          <w:rFonts w:hint="eastAsia" w:ascii="黑体" w:hAnsi="黑体" w:eastAsia="黑体"/>
          <w:snapToGrid w:val="0"/>
          <w:sz w:val="30"/>
          <w:szCs w:val="30"/>
        </w:rPr>
        <w:t>二、建设内容</w:t>
      </w:r>
      <w:bookmarkEnd w:id="6"/>
    </w:p>
    <w:tbl>
      <w:tblPr>
        <w:tblStyle w:val="18"/>
        <w:tblW w:w="90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5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03" w:type="dxa"/>
            <w:noWrap w:val="0"/>
            <w:vAlign w:val="center"/>
          </w:tcPr>
          <w:p>
            <w:pPr>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地理位置</w:t>
            </w:r>
          </w:p>
        </w:tc>
        <w:tc>
          <w:tcPr>
            <w:tcW w:w="8582" w:type="dxa"/>
            <w:noWrap w:val="0"/>
            <w:vAlign w:val="center"/>
          </w:tcPr>
          <w:p>
            <w:pPr>
              <w:adjustRightInd w:val="0"/>
              <w:snapToGrid w:val="0"/>
              <w:jc w:val="both"/>
              <w:rPr>
                <w:rFonts w:hint="default" w:ascii="Times New Roman" w:hAnsi="Times New Roman" w:eastAsia="宋体" w:cs="Times New Roman"/>
                <w:kern w:val="0"/>
                <w:szCs w:val="21"/>
                <w:lang w:val="en-US" w:eastAsia="zh-CN"/>
              </w:rPr>
            </w:pPr>
            <w:r>
              <w:rPr>
                <w:rFonts w:hint="eastAsia" w:cs="Times New Roman"/>
                <w:szCs w:val="21"/>
                <w:u w:val="none"/>
                <w:lang w:val="en-US" w:eastAsia="zh-CN"/>
              </w:rPr>
              <w:t>燎原水库位于湖南省岳阳市湘阴县金龙镇，地处湘江流域洋沙湖上游，主坝坝址坐落在金龙镇金龙村，地理位置为112度56分32.978秒，28度31分56.016秒，距湘阴县县城20km，紧邻芙蓉北路（S102路）。坝址以上控制集雨面积16km</w:t>
            </w:r>
            <w:r>
              <w:rPr>
                <w:rFonts w:hint="eastAsia" w:cs="Times New Roman"/>
                <w:szCs w:val="21"/>
                <w:u w:val="none"/>
                <w:vertAlign w:val="superscript"/>
                <w:lang w:val="en-US" w:eastAsia="zh-CN"/>
              </w:rPr>
              <w:t>2</w:t>
            </w:r>
            <w:r>
              <w:rPr>
                <w:rFonts w:hint="eastAsia" w:cs="Times New Roman"/>
                <w:szCs w:val="21"/>
                <w:u w:val="none"/>
                <w:lang w:val="en-US" w:eastAsia="zh-CN"/>
              </w:rPr>
              <w:t>（其中外引集雨面积11km</w:t>
            </w:r>
            <w:r>
              <w:rPr>
                <w:rFonts w:hint="eastAsia" w:cs="Times New Roman"/>
                <w:szCs w:val="21"/>
                <w:u w:val="none"/>
                <w:vertAlign w:val="superscript"/>
                <w:lang w:val="en-US" w:eastAsia="zh-CN"/>
              </w:rPr>
              <w:t>2</w:t>
            </w:r>
            <w:r>
              <w:rPr>
                <w:rFonts w:hint="eastAsia" w:cs="Times New Roman"/>
                <w:szCs w:val="21"/>
                <w:u w:val="none"/>
                <w:lang w:val="en-US" w:eastAsia="zh-CN"/>
              </w:rPr>
              <w:t>），水库总库容1024.8万m</w:t>
            </w:r>
            <w:r>
              <w:rPr>
                <w:rFonts w:hint="eastAsia" w:cs="Times New Roman"/>
                <w:szCs w:val="21"/>
                <w:u w:val="none"/>
                <w:vertAlign w:val="superscript"/>
                <w:lang w:val="en-US" w:eastAsia="zh-CN"/>
              </w:rPr>
              <w:t>3</w:t>
            </w:r>
            <w:r>
              <w:rPr>
                <w:rFonts w:hint="eastAsia" w:cs="Times New Roman"/>
                <w:szCs w:val="21"/>
                <w:u w:val="none"/>
                <w:lang w:eastAsia="zh-CN"/>
              </w:rPr>
              <w:t>，</w:t>
            </w:r>
            <w:r>
              <w:rPr>
                <w:rFonts w:hint="eastAsia" w:cs="Times New Roman"/>
                <w:szCs w:val="21"/>
                <w:u w:val="none"/>
                <w:lang w:val="en-US" w:eastAsia="zh-CN"/>
              </w:rPr>
              <w:t>详见附图一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503" w:type="dxa"/>
            <w:noWrap w:val="0"/>
            <w:vAlign w:val="center"/>
          </w:tcPr>
          <w:p>
            <w:pPr>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项目组成及规模</w:t>
            </w:r>
          </w:p>
        </w:tc>
        <w:tc>
          <w:tcPr>
            <w:tcW w:w="8582" w:type="dxa"/>
            <w:noWrap w:val="0"/>
            <w:vAlign w:val="center"/>
          </w:tcPr>
          <w:p>
            <w:pPr>
              <w:bidi w:val="0"/>
              <w:rPr>
                <w:rFonts w:hint="default"/>
                <w:lang w:val="en-US" w:eastAsia="zh-CN"/>
              </w:rPr>
            </w:pPr>
            <w:r>
              <w:rPr>
                <w:rFonts w:hint="eastAsia"/>
                <w:lang w:val="en-US" w:eastAsia="zh-CN"/>
              </w:rPr>
              <w:t>1、项目由来</w:t>
            </w:r>
          </w:p>
          <w:p>
            <w:pPr>
              <w:bidi w:val="0"/>
              <w:rPr>
                <w:rFonts w:hint="default"/>
                <w:u w:val="single"/>
              </w:rPr>
            </w:pPr>
            <w:r>
              <w:rPr>
                <w:rFonts w:hint="default"/>
                <w:u w:val="single"/>
              </w:rPr>
              <w:t>燎原水库是一座以灌溉、防洪为主，兼有旅游等综合效益的中型水库，灌溉金龙镇、樟树镇、静河镇</w:t>
            </w:r>
            <w:r>
              <w:rPr>
                <w:rFonts w:hint="eastAsia"/>
                <w:u w:val="single"/>
                <w:lang w:val="en-US" w:eastAsia="zh-CN"/>
              </w:rPr>
              <w:t>3</w:t>
            </w:r>
            <w:r>
              <w:rPr>
                <w:rFonts w:hint="default"/>
                <w:u w:val="single"/>
              </w:rPr>
              <w:t>镇街共3.1万亩农田，保护下游人口3.8万人、</w:t>
            </w:r>
            <w:r>
              <w:rPr>
                <w:rFonts w:hint="eastAsia"/>
                <w:u w:val="single"/>
                <w:lang w:val="en-US" w:eastAsia="zh-CN"/>
              </w:rPr>
              <w:t>3.1</w:t>
            </w:r>
            <w:r>
              <w:rPr>
                <w:rFonts w:hint="default"/>
                <w:u w:val="single"/>
              </w:rPr>
              <w:t>万亩耕地，保护区域内的厂矿企业14个，机关学校21个，医院金融机构4个，芙蓉北路（S102路）等。该工程属Ⅲ等工程，其主要建筑物级别为3级，次要建筑物为4级，设计洪水标准重现期为100年，校核洪水标准重现期为1000年，溢洪道消能防冲工程设计洪水标准重现期为30年。水库正常蓄水位78.83m，正常库容929万</w:t>
            </w:r>
            <w:r>
              <w:rPr>
                <w:rFonts w:hint="eastAsia"/>
                <w:u w:val="single"/>
                <w:lang w:eastAsia="zh-CN"/>
              </w:rPr>
              <w:t>m3</w:t>
            </w:r>
            <w:r>
              <w:rPr>
                <w:rFonts w:hint="default"/>
                <w:u w:val="single"/>
              </w:rPr>
              <w:t>；校核洪水位79.72m，总库容1024.8万</w:t>
            </w:r>
            <w:r>
              <w:rPr>
                <w:rFonts w:hint="eastAsia"/>
                <w:u w:val="single"/>
                <w:lang w:eastAsia="zh-CN"/>
              </w:rPr>
              <w:t>m3</w:t>
            </w:r>
            <w:r>
              <w:rPr>
                <w:rFonts w:hint="default"/>
                <w:u w:val="single"/>
              </w:rPr>
              <w:t>；设计洪水位79.52m；死水位62.70m，相应死库容8.5万</w:t>
            </w:r>
            <w:r>
              <w:rPr>
                <w:rFonts w:hint="eastAsia"/>
                <w:u w:val="single"/>
                <w:lang w:eastAsia="zh-CN"/>
              </w:rPr>
              <w:t>m3</w:t>
            </w:r>
            <w:r>
              <w:rPr>
                <w:rFonts w:hint="default"/>
                <w:u w:val="single"/>
              </w:rPr>
              <w:t>（高程为1985国家高程基准，下同）。该枢纽工程由主坝、副坝、溢洪道、主坝输水涵洞、主坝坝下渠首渡槽、防汛公路、大兴节制闸和8个分洪闸、引水渠</w:t>
            </w:r>
            <w:r>
              <w:rPr>
                <w:rFonts w:hint="eastAsia"/>
                <w:u w:val="single"/>
                <w:lang w:eastAsia="zh-CN"/>
              </w:rPr>
              <w:t>、</w:t>
            </w:r>
            <w:r>
              <w:rPr>
                <w:rFonts w:hint="eastAsia"/>
                <w:u w:val="single"/>
                <w:lang w:val="en-US" w:eastAsia="zh-CN"/>
              </w:rPr>
              <w:t>引水工程</w:t>
            </w:r>
            <w:r>
              <w:rPr>
                <w:rFonts w:hint="default"/>
                <w:u w:val="single"/>
              </w:rPr>
              <w:t>等永久建筑物组成。</w:t>
            </w:r>
          </w:p>
          <w:p>
            <w:pPr>
              <w:bidi w:val="0"/>
              <w:rPr>
                <w:rFonts w:hint="eastAsia"/>
                <w:lang w:val="en-US" w:eastAsia="zh-CN"/>
              </w:rPr>
            </w:pPr>
            <w:r>
              <w:rPr>
                <w:rFonts w:hint="eastAsia"/>
                <w:lang w:val="en-US" w:eastAsia="zh-CN"/>
              </w:rPr>
              <w:t>根据</w:t>
            </w:r>
            <w:r>
              <w:rPr>
                <w:rFonts w:hint="default"/>
              </w:rPr>
              <w:t>2019年《湖南省湘阴县燎原水库大坝安全评价报告》</w:t>
            </w:r>
            <w:r>
              <w:rPr>
                <w:rFonts w:hint="eastAsia"/>
                <w:lang w:val="en-US" w:eastAsia="zh-CN"/>
              </w:rPr>
              <w:t>可知，评定燎原水库大坝为三类坝，燎原水库于2009年进行了除险加固，经过10多年的运行，目前又出现了一些新的险情。在此背景下，燎原水库应尽快进行除险加固，如果水库失事将会造成巨大的社会影响和经济损失。为了确保水库的安全运行，充分发挥工程效益，维护人民生命安全，充分发挥水库防洪、灌溉、发电、养殖、旅游等作用，湘阴县燎原水库管理所拟投资6686.20万元实施燎原水库大坝除险加固工程。由于</w:t>
            </w:r>
            <w:r>
              <w:t>燎原水库始建于1966年，当时为小(一)型水库，1976年扩建，1985年竣工为中型水库</w:t>
            </w:r>
            <w:r>
              <w:rPr>
                <w:rFonts w:hint="eastAsia"/>
                <w:lang w:eastAsia="zh-CN"/>
              </w:rPr>
              <w:t>，</w:t>
            </w:r>
            <w:r>
              <w:rPr>
                <w:rFonts w:hint="eastAsia"/>
                <w:lang w:val="en-US" w:eastAsia="zh-CN"/>
              </w:rPr>
              <w:t>燎原水库建设早于《中华人民共和国环境保护法》的实施时间，一直未进行环境影响评价，未履行竣工环保验收手续。</w:t>
            </w:r>
          </w:p>
          <w:p>
            <w:pPr>
              <w:bidi w:val="0"/>
              <w:rPr>
                <w:rFonts w:hint="eastAsia"/>
                <w:lang w:val="en-US" w:eastAsia="zh-CN"/>
              </w:rPr>
            </w:pPr>
            <w:r>
              <w:rPr>
                <w:rFonts w:hint="eastAsia"/>
                <w:lang w:val="en-US" w:eastAsia="zh-CN"/>
              </w:rPr>
              <w:t>根据《中华人民共和国环境保护法》、《中华人民共和国环境影响评价法》、《建设项目环境保护管理条例》等有关法律法规的规定，本项目须执行环境影响评价制度。根据《建设项目环境影响评价分类管理名录》（</w:t>
            </w:r>
            <w:r>
              <w:rPr>
                <w:rFonts w:hint="default"/>
                <w:lang w:val="en-US" w:eastAsia="zh-CN"/>
              </w:rPr>
              <w:t>2021</w:t>
            </w:r>
            <w:r>
              <w:rPr>
                <w:rFonts w:hint="eastAsia"/>
                <w:lang w:val="en-US" w:eastAsia="zh-CN"/>
              </w:rPr>
              <w:t>年版），本项目属于</w:t>
            </w:r>
            <w:r>
              <w:rPr>
                <w:rFonts w:hint="default"/>
                <w:lang w:val="en-US" w:eastAsia="zh-CN"/>
              </w:rPr>
              <w:t>“</w:t>
            </w:r>
            <w:r>
              <w:rPr>
                <w:rFonts w:hint="eastAsia"/>
                <w:lang w:val="en-US" w:eastAsia="zh-CN"/>
              </w:rPr>
              <w:t>五十一水利</w:t>
            </w:r>
            <w:r>
              <w:rPr>
                <w:rFonts w:hint="default"/>
                <w:lang w:val="en-US" w:eastAsia="zh-CN"/>
              </w:rPr>
              <w:t>”</w:t>
            </w:r>
            <w:r>
              <w:rPr>
                <w:rFonts w:hint="eastAsia"/>
                <w:lang w:val="en-US" w:eastAsia="zh-CN"/>
              </w:rPr>
              <w:t>中的</w:t>
            </w:r>
            <w:r>
              <w:rPr>
                <w:rFonts w:hint="default"/>
                <w:lang w:val="en-US" w:eastAsia="zh-CN"/>
              </w:rPr>
              <w:t>“127</w:t>
            </w:r>
            <w:r>
              <w:rPr>
                <w:rFonts w:hint="eastAsia"/>
                <w:lang w:val="en-US" w:eastAsia="zh-CN"/>
              </w:rPr>
              <w:t>、防洪除涝工程</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其他（小型沟渠的护坡除外；城镇排涝河流水闸、排涝泵站除外）</w:t>
            </w:r>
            <w:r>
              <w:rPr>
                <w:rFonts w:hint="default"/>
                <w:lang w:val="en-US" w:eastAsia="zh-CN"/>
              </w:rPr>
              <w:t>”</w:t>
            </w:r>
            <w:r>
              <w:rPr>
                <w:rFonts w:hint="eastAsia"/>
                <w:lang w:val="en-US" w:eastAsia="zh-CN"/>
              </w:rPr>
              <w:t>，本项目应编制环境影响报告表。为此，湘阴县燎原水库管理所委托湖南湘尚环境服务有限公司承担本项目的环境影响评价工作（委托书见附件</w:t>
            </w:r>
            <w:r>
              <w:rPr>
                <w:rFonts w:hint="default"/>
                <w:lang w:val="en-US" w:eastAsia="zh-CN"/>
              </w:rPr>
              <w:t>1</w:t>
            </w:r>
            <w:r>
              <w:rPr>
                <w:rFonts w:hint="eastAsia"/>
                <w:lang w:val="en-US" w:eastAsia="zh-CN"/>
              </w:rPr>
              <w:t>所示）。我单位接受委托后，组成项目工作组，并派工程技术人员到现场进行调查和资料收集，按照国家有关环评技术规范编写成报告表。</w:t>
            </w:r>
          </w:p>
          <w:p>
            <w:pPr>
              <w:bidi w:val="0"/>
              <w:rPr>
                <w:rFonts w:hint="eastAsia"/>
                <w:lang w:val="en-US" w:eastAsia="zh-CN"/>
              </w:rPr>
            </w:pPr>
            <w:r>
              <w:rPr>
                <w:rFonts w:hint="eastAsia"/>
                <w:lang w:val="en-US" w:eastAsia="zh-CN"/>
              </w:rPr>
              <w:t>2、除险加固必要性</w:t>
            </w:r>
          </w:p>
          <w:p>
            <w:pPr>
              <w:bidi w:val="0"/>
            </w:pPr>
            <w:r>
              <w:t>2003年1月由湖南省水利厅下发初设批复，2008年由岳阳市水利水电勘测设计院完成技施设计，工程于2008年12月动工，至2009年12月完工。施工完成的主要建设内容包括：主坝全线冲抓回填、高喷灌浆及静压注浆、大坝上游砼预制块护坡、下游草皮护坡、下游坡面排水、排水棱体改造、两处输水涵洞加固、溢洪道加固、六座副坝加高加固、渡槽改造、防汛公路硬化、危房改造等。燎原水库除险加固工程经湖南省水利厅2010年验收合格。</w:t>
            </w:r>
          </w:p>
          <w:p>
            <w:pPr>
              <w:bidi w:val="0"/>
            </w:pPr>
            <w:r>
              <w:t>燎原水库除险加固后，原有问题基本消除，但经历10余年运行，水库大坝又出现一些新的问题，如：主坝坝体冲抓回填粘土防渗体渗透性能下降，渗透系数不满足规范要求，下游一级平台靠右出现较大面积散浸；上游预制六方块护坡浪损；主坝输水涵洞渗漏严重，结构不安全；溢洪道底板受水流冲刷损坏严重；大兴节制闸及8个分洪闸闸门锈蚀严重，无法正常启闭等。</w:t>
            </w:r>
          </w:p>
          <w:p>
            <w:pPr>
              <w:bidi w:val="0"/>
            </w:pPr>
            <w:r>
              <w:t>目前燎原水库枢纽存在较多质量问题，水库无法发挥正常效益，一旦水库大坝失事，将给下游人民生命和财产带来巨大损失。工程实施后，将消除燎原水库的安全隐患，保证农田灌溉，提高水库防洪能力，有利于下游防护区的社会稳定和经济繁荣。因此，为保证大坝安全，充分发挥其效益，确保人民生命财产的安全，对燎原水库枢纽工程进行除险加固是十分必要的。</w:t>
            </w:r>
          </w:p>
          <w:p>
            <w:pPr>
              <w:bidi w:val="0"/>
              <w:rPr>
                <w:rFonts w:hint="default"/>
                <w:u w:val="single"/>
                <w:lang w:val="en-US" w:eastAsia="zh-CN"/>
              </w:rPr>
            </w:pPr>
            <w:r>
              <w:rPr>
                <w:rFonts w:hint="eastAsia"/>
                <w:u w:val="single"/>
                <w:lang w:val="en-US" w:eastAsia="zh-CN"/>
              </w:rPr>
              <w:t>3、燎原水库</w:t>
            </w:r>
            <w:r>
              <w:rPr>
                <w:rFonts w:hint="default"/>
                <w:u w:val="single"/>
                <w:lang w:val="en-US" w:eastAsia="zh-CN"/>
              </w:rPr>
              <w:t>基本情况</w:t>
            </w:r>
          </w:p>
          <w:p>
            <w:pPr>
              <w:bidi w:val="0"/>
              <w:rPr>
                <w:rFonts w:hint="default"/>
                <w:u w:val="single"/>
                <w:lang w:eastAsia="zh-CN"/>
              </w:rPr>
            </w:pPr>
            <w:r>
              <w:rPr>
                <w:rFonts w:hint="default"/>
                <w:u w:val="single"/>
                <w:lang w:eastAsia="zh-CN"/>
              </w:rPr>
              <w:t>燎原水库位于湘阴县与望城区交界的狮岭山脉的西山坡脚，地处湘江流域洋沙湖-洋沙河-金龙河上游，主坝坝址坐落在湘阴县金龙镇金龙村，主坝地理位置为东经112°56′32″，北纬28°31′56″，距湘阴县县城20km，紧邻芙蓉北路（S102路）。燎原水库工程始建于1966年，原为一座坝高18m，库容418万</w:t>
            </w:r>
            <w:r>
              <w:rPr>
                <w:rFonts w:hint="eastAsia"/>
                <w:u w:val="single"/>
                <w:lang w:eastAsia="zh-CN"/>
              </w:rPr>
              <w:t>m3</w:t>
            </w:r>
            <w:r>
              <w:rPr>
                <w:rFonts w:hint="default"/>
                <w:u w:val="single"/>
                <w:lang w:eastAsia="zh-CN"/>
              </w:rPr>
              <w:t>的小（1）型水库。为解决金龙乡毗邻的樟树、安静两乡的干旱死角区的农田水利灌溉问题，枢纽工程于1976年8月动工，1977年基本完成；1977年冬开始中间转入灌区渠系工程建设，由于建设投资有限，整个工程一直到1985年完成。</w:t>
            </w:r>
          </w:p>
          <w:p>
            <w:pPr>
              <w:bidi w:val="0"/>
              <w:rPr>
                <w:rFonts w:hint="default"/>
                <w:u w:val="single"/>
                <w:lang w:eastAsia="zh-CN"/>
              </w:rPr>
            </w:pPr>
            <w:r>
              <w:rPr>
                <w:rFonts w:hint="default"/>
                <w:u w:val="single"/>
                <w:lang w:eastAsia="zh-CN"/>
              </w:rPr>
              <w:t>根据《关于燎原水库退出饮用水源地的公告》（湘阴政告[2019]6号），“燎原水库是始建于1976年的中型水库，主要负责金龙、樟树和静河三个乡镇</w:t>
            </w:r>
            <w:r>
              <w:rPr>
                <w:rFonts w:hint="eastAsia"/>
                <w:u w:val="single"/>
                <w:lang w:val="en-US" w:eastAsia="zh-CN"/>
              </w:rPr>
              <w:t>3.1</w:t>
            </w:r>
            <w:r>
              <w:rPr>
                <w:rFonts w:hint="default"/>
                <w:u w:val="single"/>
                <w:lang w:eastAsia="zh-CN"/>
              </w:rPr>
              <w:t>万亩农田灌溉。2006年利用水库地表水建成了燎原水厂，主要保障集镇周边集中饮水安全。随着金龙镇和金龙新区快速发展，人口增长迅速，供水需求日益剧增，多次出现农业灌溉用水不足而采取湘江补水措施，导致水质水量均不能保障群众饮水需求，也不符合饮用水源地保护要求。鉴此，县人民政府决定启动城乡一体化工程保障金龙地区饮水安全。燎原水库于2019年4月9日正式退出饮用水源地，其功能调整为农业用水兼景观娱乐用水区。燎原水厂停止使用水库水源。”</w:t>
            </w:r>
          </w:p>
          <w:p>
            <w:pPr>
              <w:bidi w:val="0"/>
              <w:rPr>
                <w:rFonts w:hint="default"/>
                <w:u w:val="single"/>
                <w:lang w:eastAsia="zh-CN"/>
              </w:rPr>
            </w:pPr>
            <w:r>
              <w:rPr>
                <w:rFonts w:hint="default"/>
                <w:u w:val="single"/>
                <w:lang w:eastAsia="zh-CN"/>
              </w:rPr>
              <w:t>（</w:t>
            </w:r>
            <w:r>
              <w:rPr>
                <w:rFonts w:hint="default"/>
                <w:u w:val="single"/>
                <w:lang w:val="en-US" w:eastAsia="zh-CN"/>
              </w:rPr>
              <w:t>1</w:t>
            </w:r>
            <w:r>
              <w:rPr>
                <w:rFonts w:hint="default"/>
                <w:u w:val="single"/>
                <w:lang w:eastAsia="zh-CN"/>
              </w:rPr>
              <w:t>）水库枢纽工程</w:t>
            </w:r>
          </w:p>
          <w:p>
            <w:pPr>
              <w:bidi w:val="0"/>
              <w:rPr>
                <w:rFonts w:hint="default"/>
                <w:u w:val="single"/>
                <w:lang w:val="en-US" w:eastAsia="zh-CN"/>
              </w:rPr>
            </w:pPr>
            <w:r>
              <w:rPr>
                <w:rFonts w:hint="default"/>
                <w:u w:val="single"/>
                <w:lang w:val="en-US" w:eastAsia="zh-CN"/>
              </w:rPr>
              <w:t>该枢纽工程由主坝、副坝、溢洪道、主坝输水涵洞、主坝坝下渠首渡槽、防汛公路、大兴节制闸和8个分洪闸、引水渠</w:t>
            </w:r>
            <w:r>
              <w:rPr>
                <w:rFonts w:hint="eastAsia"/>
                <w:u w:val="single"/>
                <w:lang w:val="en-US" w:eastAsia="zh-CN"/>
              </w:rPr>
              <w:t>/补水工程</w:t>
            </w:r>
            <w:r>
              <w:rPr>
                <w:rFonts w:hint="default"/>
                <w:u w:val="single"/>
                <w:lang w:val="en-US" w:eastAsia="zh-CN"/>
              </w:rPr>
              <w:t>等永久建筑物组成。</w:t>
            </w:r>
          </w:p>
          <w:p>
            <w:pPr>
              <w:bidi w:val="0"/>
              <w:rPr>
                <w:rFonts w:hint="default"/>
                <w:u w:val="single"/>
                <w:lang w:eastAsia="zh-CN"/>
              </w:rPr>
            </w:pPr>
            <w:r>
              <w:rPr>
                <w:rFonts w:hint="default"/>
                <w:u w:val="single"/>
                <w:lang w:val="en-US" w:eastAsia="zh-CN"/>
              </w:rPr>
              <w:t>①</w:t>
            </w:r>
            <w:r>
              <w:rPr>
                <w:rFonts w:hint="default"/>
                <w:u w:val="single"/>
                <w:lang w:eastAsia="zh-CN"/>
              </w:rPr>
              <w:t>大坝</w:t>
            </w:r>
          </w:p>
          <w:p>
            <w:pPr>
              <w:bidi w:val="0"/>
              <w:rPr>
                <w:rFonts w:hint="default"/>
                <w:u w:val="single"/>
                <w:lang w:val="en-US" w:eastAsia="zh-CN"/>
              </w:rPr>
            </w:pPr>
            <w:r>
              <w:rPr>
                <w:rFonts w:hint="default"/>
                <w:u w:val="single"/>
                <w:lang w:val="en-US" w:eastAsia="zh-CN"/>
              </w:rPr>
              <w:t>主坝现状为均质土坝（本次设计后为非土质材料防渗体坝（塑性混凝土心墙）），坝顶高程81.90m，最大坝高22.27m，坝顶宽10.0m，坝顶长819m。上游坝坡为三级，坡比自上而下分别为1:2.5、1:2.5、1:3.0，平台高程分别为76.53m、71.23m，平台宽均为2m，上游坝坡为预制砼六方块护坡。下游坝坡为三级，左坝段（桩号0+000~0+419）坡比自上而下分别为1:2.0、1:2.7、1:2.5，河床段（桩号0+419~0+619）和右坝段（桩号0+619~0+819）坡比自上而下分别为1:1.3、1:2.7、1:2.7，由于2015年坝顶路面加高，一、二级坡之间的一级平台已被填埋，左坝段二级平台高程为71.70m，河床段和右坝段二级平台高程为71.40m，平台宽均为2m，下游坝坡采用草皮护坡，下游坝脚设有堆石排水棱体和集渗沟，左坝段下游坝脚排水棱体顶高程68.21m，河床段和右坝段下游坝脚排水棱体顶高程63.60m。坝顶沥青砼路宽6.5m，两侧人行道高于路面0.15m，靠上游人行道侧铺渗水砖宽1.5m，靠下游侧人行道铺渗水砖宽2.0m。</w:t>
            </w:r>
          </w:p>
          <w:p>
            <w:pPr>
              <w:bidi w:val="0"/>
              <w:rPr>
                <w:rFonts w:hint="default"/>
                <w:u w:val="single"/>
                <w:lang w:val="en-US" w:eastAsia="zh-CN"/>
              </w:rPr>
            </w:pPr>
            <w:r>
              <w:rPr>
                <w:rFonts w:hint="eastAsia"/>
                <w:u w:val="single"/>
                <w:lang w:val="en-US" w:eastAsia="zh-CN"/>
              </w:rPr>
              <w:t>②</w:t>
            </w:r>
            <w:r>
              <w:rPr>
                <w:rFonts w:hint="default"/>
                <w:u w:val="single"/>
                <w:lang w:val="en-US" w:eastAsia="zh-CN"/>
              </w:rPr>
              <w:t>副坝</w:t>
            </w:r>
          </w:p>
          <w:p>
            <w:pPr>
              <w:bidi w:val="0"/>
              <w:rPr>
                <w:rFonts w:hint="default"/>
                <w:u w:val="single"/>
                <w:lang w:eastAsia="zh-CN"/>
              </w:rPr>
            </w:pPr>
            <w:r>
              <w:rPr>
                <w:rFonts w:hint="default"/>
                <w:u w:val="single"/>
                <w:lang w:val="en-US" w:eastAsia="zh-CN"/>
              </w:rPr>
              <w:t>周家湾副坝为均质土坝，坝轴线长181m，现状坝顶高程80.28~80.9m，最大坝高7.98m，坝顶为砼路面，上游坝坡为砼六方块护坡，下游坝坡草皮护坡，下游有</w:t>
            </w:r>
            <w:r>
              <w:rPr>
                <w:rFonts w:hint="default"/>
                <w:u w:val="single"/>
                <w:lang w:eastAsia="zh-CN"/>
              </w:rPr>
              <w:t>溢洪道位于大坝左岸山体上，为开敞式泄洪建筑物，自然溢流无闸门控制。溢洪道位于大坝左岸上游100m处的隘口，堰顶宽约</w:t>
            </w:r>
            <w:r>
              <w:rPr>
                <w:rFonts w:hint="default"/>
                <w:u w:val="single"/>
                <w:lang w:val="en-US" w:eastAsia="zh-CN"/>
              </w:rPr>
              <w:t>1.2</w:t>
            </w:r>
            <w:r>
              <w:rPr>
                <w:rFonts w:hint="default"/>
                <w:u w:val="single"/>
                <w:lang w:eastAsia="zh-CN"/>
              </w:rPr>
              <w:t>m，堰顶高程为</w:t>
            </w:r>
            <w:r>
              <w:rPr>
                <w:rFonts w:hint="default"/>
                <w:u w:val="single"/>
                <w:lang w:val="en-US" w:eastAsia="zh-CN"/>
              </w:rPr>
              <w:t>75.40</w:t>
            </w:r>
            <w:r>
              <w:rPr>
                <w:rFonts w:hint="default"/>
                <w:u w:val="single"/>
                <w:lang w:eastAsia="zh-CN"/>
              </w:rPr>
              <w:t>m，属敞开式宽顶堰。</w:t>
            </w:r>
          </w:p>
          <w:p>
            <w:pPr>
              <w:bidi w:val="0"/>
              <w:rPr>
                <w:u w:val="single"/>
              </w:rPr>
            </w:pPr>
            <w:r>
              <w:rPr>
                <w:u w:val="single"/>
              </w:rPr>
              <w:t>排水棱体和排水沟。陈家冲副坝为均质土坝，现状坝顶高程82.40m，坝轴线长59m，最大坝高7.24m，坝顶为砼路面。原设计中除上述2座副坝外，另有4座副坝，即洪家塘副坝、潭公塘副坝、骆家坡副坝、苏家坡副坝根据本次现场查勘，该4座副坝的下游坝坡均已消失，下游地面高程与坝顶基本齐平，已失去坝体形状和功能，与岸坡相当，故不再将其纳入副坝考虑。</w:t>
            </w:r>
          </w:p>
          <w:p>
            <w:pPr>
              <w:bidi w:val="0"/>
              <w:rPr>
                <w:u w:val="single"/>
              </w:rPr>
            </w:pPr>
            <w:r>
              <w:rPr>
                <w:u w:val="single"/>
              </w:rPr>
              <w:t>3)溢洪道：为无闸门控制的开敞式宽顶堰，位于主坝左侧天然垭口处，地理位置东经112°56'35"，北纬28°31'42"。堰顶高程为78.83m，控制段净宽18m，长12.5m，收缩段末端宽6.0m，陡坡段宽6m，长132.0m，消力池长15m，消力池出口高程64.90m。</w:t>
            </w:r>
          </w:p>
          <w:p>
            <w:pPr>
              <w:bidi w:val="0"/>
              <w:rPr>
                <w:u w:val="single"/>
              </w:rPr>
            </w:pPr>
            <w:r>
              <w:rPr>
                <w:u w:val="single"/>
              </w:rPr>
              <w:t>4)主坝输水涵洞：位于主坝中段，总长96.5m，设计流量2.91</w:t>
            </w:r>
            <w:r>
              <w:rPr>
                <w:rFonts w:hint="eastAsia"/>
                <w:u w:val="single"/>
                <w:lang w:eastAsia="zh-CN"/>
              </w:rPr>
              <w:t>m3</w:t>
            </w:r>
            <w:r>
              <w:rPr>
                <w:u w:val="single"/>
              </w:rPr>
              <w:t>/s，管身结构按放水闸门分为前后两段，放水闸前为1.2m×1.7m(宽×高)浆砌石结构圆拱直墙涵，管长36.5m；闸后为内径1.2m钢筋砼压力圆涵，管长60m；放水闸为塔式结构，闸门尺寸1.3m×1.7m(宽×高)，手动螺杆式启闭，涵管进口底板高程62.70m，出口底板高程62.20m；涵管出口设内径1.2m检修闸阀，闸阀后矩形分水池分别接南干和北干，北干入口处设置控水闸。北干渠首渡槽全长189m，设计过水流量为1.26</w:t>
            </w:r>
            <w:r>
              <w:rPr>
                <w:rFonts w:hint="eastAsia"/>
                <w:u w:val="single"/>
                <w:lang w:eastAsia="zh-CN"/>
              </w:rPr>
              <w:t>m3</w:t>
            </w:r>
            <w:r>
              <w:rPr>
                <w:u w:val="single"/>
              </w:rPr>
              <w:t>/s，南干渠首渡槽全长224m，设计过水流量为2.33</w:t>
            </w:r>
            <w:r>
              <w:rPr>
                <w:rFonts w:hint="eastAsia"/>
                <w:u w:val="single"/>
                <w:lang w:eastAsia="zh-CN"/>
              </w:rPr>
              <w:t>m3</w:t>
            </w:r>
            <w:r>
              <w:rPr>
                <w:u w:val="single"/>
              </w:rPr>
              <w:t>/s，渡槽纵坡均为1：500，槽身为预制钢筋砼结构。</w:t>
            </w:r>
          </w:p>
          <w:p>
            <w:pPr>
              <w:bidi w:val="0"/>
              <w:rPr>
                <w:u w:val="single"/>
              </w:rPr>
            </w:pPr>
            <w:r>
              <w:rPr>
                <w:u w:val="single"/>
              </w:rPr>
              <w:t>5)主坝坝下渠首渡槽：北干渠渠首渡槽全长189m，设计过水流量为1.26</w:t>
            </w:r>
            <w:r>
              <w:rPr>
                <w:rFonts w:hint="eastAsia"/>
                <w:u w:val="single"/>
                <w:lang w:eastAsia="zh-CN"/>
              </w:rPr>
              <w:t>m3</w:t>
            </w:r>
            <w:r>
              <w:rPr>
                <w:u w:val="single"/>
              </w:rPr>
              <w:t>/s，纵坡1:500，槽身为预制钢筋砼结构，每节为10m，排架钢筋砼，排架高度为3.6m；南干渠渠首渡槽全长224m，设计过水流量为2.33</w:t>
            </w:r>
            <w:r>
              <w:rPr>
                <w:rFonts w:hint="eastAsia"/>
                <w:u w:val="single"/>
                <w:lang w:eastAsia="zh-CN"/>
              </w:rPr>
              <w:t>m3</w:t>
            </w:r>
            <w:r>
              <w:rPr>
                <w:u w:val="single"/>
              </w:rPr>
              <w:t>/s，纵坡1：500，槽身为预制钢筋砼结构，每节为10m，排架钢筋砼，排架高度为3.0m。上坝公路处北干渠渡槽入口段长60m，为1m×1.2m钢筋砼盖板涵。</w:t>
            </w:r>
          </w:p>
          <w:p>
            <w:pPr>
              <w:bidi w:val="0"/>
              <w:rPr>
                <w:u w:val="single"/>
              </w:rPr>
            </w:pPr>
            <w:r>
              <w:rPr>
                <w:u w:val="single"/>
              </w:rPr>
              <w:t>6)水库防汛公路：上坝公路为沥青砼路面，路宽6m，主坝坝顶路面为沥青砼路面，路宽6.5m。</w:t>
            </w:r>
          </w:p>
          <w:p>
            <w:pPr>
              <w:bidi w:val="0"/>
              <w:rPr>
                <w:u w:val="single"/>
              </w:rPr>
            </w:pPr>
            <w:r>
              <w:rPr>
                <w:u w:val="single"/>
              </w:rPr>
              <w:t>7)大兴节制闸：位于周家湾副坝东北侧1.2km，水库上游往燎原水库补水的引水渠末端，闸门尺寸宽×高=3.0×2.4m，配置10T螺杆式启闭机。8个分洪闸分别为烂泥堪、枫树坡、朱家咀、杨柳塘、窑湾、木屐塘、黄洞堪、老狮岭电站，闸门尺寸均为1.2×2m，均配置2T螺杆式启闭机。</w:t>
            </w:r>
          </w:p>
          <w:p>
            <w:pPr>
              <w:bidi w:val="0"/>
              <w:rPr>
                <w:u w:val="single"/>
              </w:rPr>
            </w:pPr>
            <w:r>
              <w:rPr>
                <w:u w:val="single"/>
              </w:rPr>
              <w:t>8)引水渠：基本为盘山渠道，总长6541m。</w:t>
            </w:r>
          </w:p>
          <w:p>
            <w:pPr>
              <w:bidi w:val="0"/>
              <w:rPr>
                <w:rFonts w:hint="eastAsia"/>
                <w:u w:val="single"/>
                <w:lang w:val="en-US" w:eastAsia="zh-CN"/>
              </w:rPr>
            </w:pPr>
            <w:r>
              <w:rPr>
                <w:rFonts w:hint="eastAsia"/>
                <w:u w:val="single"/>
                <w:lang w:val="en-US" w:eastAsia="zh-CN"/>
              </w:rPr>
              <w:t>9</w:t>
            </w:r>
            <w:r>
              <w:rPr>
                <w:u w:val="single"/>
              </w:rPr>
              <w:t>)</w:t>
            </w:r>
            <w:r>
              <w:rPr>
                <w:rFonts w:hint="eastAsia"/>
                <w:u w:val="single"/>
              </w:rPr>
              <w:t>燎原水库补水工程</w:t>
            </w:r>
            <w:r>
              <w:rPr>
                <w:rFonts w:hint="eastAsia"/>
                <w:u w:val="single"/>
                <w:lang w:eastAsia="zh-CN"/>
              </w:rPr>
              <w:t>：</w:t>
            </w:r>
            <w:r>
              <w:rPr>
                <w:rFonts w:hint="eastAsia"/>
                <w:u w:val="single"/>
                <w:lang w:val="en-US" w:eastAsia="zh-CN"/>
              </w:rPr>
              <w:t>该工程设</w:t>
            </w:r>
            <w:r>
              <w:rPr>
                <w:rFonts w:hint="eastAsia"/>
                <w:u w:val="single"/>
                <w:lang w:eastAsia="zh-CN"/>
              </w:rPr>
              <w:t>计为两级提水泵站，从湘江取水。装机1070千瓦，铺设玻璃管道16379米，引水渠全长6541米。2011年4月该工程竣工。</w:t>
            </w:r>
          </w:p>
          <w:p>
            <w:pPr>
              <w:bidi w:val="0"/>
              <w:rPr>
                <w:rFonts w:hint="default"/>
                <w:u w:val="single"/>
                <w:lang w:val="en-US" w:eastAsia="zh-CN"/>
              </w:rPr>
            </w:pPr>
            <w:r>
              <w:rPr>
                <w:rFonts w:hint="default"/>
                <w:u w:val="single"/>
                <w:lang w:eastAsia="zh-CN"/>
              </w:rPr>
              <w:t>（</w:t>
            </w:r>
            <w:r>
              <w:rPr>
                <w:rFonts w:hint="default"/>
                <w:u w:val="single"/>
                <w:lang w:val="en-US" w:eastAsia="zh-CN"/>
              </w:rPr>
              <w:t>2</w:t>
            </w:r>
            <w:r>
              <w:rPr>
                <w:rFonts w:hint="default"/>
                <w:u w:val="single"/>
                <w:lang w:eastAsia="zh-CN"/>
              </w:rPr>
              <w:t>）水库工程</w:t>
            </w:r>
            <w:r>
              <w:rPr>
                <w:rFonts w:hint="default"/>
                <w:u w:val="single"/>
                <w:lang w:val="en-US" w:eastAsia="zh-CN"/>
              </w:rPr>
              <w:t>特性</w:t>
            </w:r>
          </w:p>
          <w:p>
            <w:pPr>
              <w:pStyle w:val="28"/>
              <w:bidi w:val="0"/>
              <w:rPr>
                <w:rFonts w:hint="default"/>
                <w:u w:val="single"/>
                <w:lang w:val="en-US" w:eastAsia="zh-CN"/>
              </w:rPr>
            </w:pPr>
            <w:r>
              <w:rPr>
                <w:rFonts w:hint="default"/>
                <w:u w:val="single"/>
                <w:lang w:val="en-US" w:eastAsia="zh-CN"/>
              </w:rPr>
              <w:t>表2-1水库工程特性表</w:t>
            </w:r>
          </w:p>
          <w:tbl>
            <w:tblPr>
              <w:tblStyle w:val="4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395"/>
              <w:gridCol w:w="918"/>
              <w:gridCol w:w="1533"/>
              <w:gridCol w:w="1366"/>
              <w:gridCol w:w="13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序号</w:t>
                  </w:r>
                </w:p>
              </w:tc>
              <w:tc>
                <w:tcPr>
                  <w:tcW w:w="2395" w:type="dxa"/>
                  <w:tcBorders>
                    <w:tl2br w:val="nil"/>
                    <w:tr2bl w:val="nil"/>
                  </w:tcBorders>
                  <w:vAlign w:val="center"/>
                </w:tcPr>
                <w:p>
                  <w:pPr>
                    <w:pStyle w:val="45"/>
                    <w:bidi w:val="0"/>
                    <w:rPr>
                      <w:u w:val="single"/>
                    </w:rPr>
                  </w:pPr>
                  <w:r>
                    <w:rPr>
                      <w:u w:val="single"/>
                    </w:rPr>
                    <w:t>指标名称</w:t>
                  </w:r>
                </w:p>
              </w:tc>
              <w:tc>
                <w:tcPr>
                  <w:tcW w:w="918" w:type="dxa"/>
                  <w:tcBorders>
                    <w:tl2br w:val="nil"/>
                    <w:tr2bl w:val="nil"/>
                  </w:tcBorders>
                  <w:vAlign w:val="center"/>
                </w:tcPr>
                <w:p>
                  <w:pPr>
                    <w:pStyle w:val="45"/>
                    <w:bidi w:val="0"/>
                    <w:rPr>
                      <w:u w:val="single"/>
                    </w:rPr>
                  </w:pPr>
                  <w:r>
                    <w:rPr>
                      <w:u w:val="single"/>
                    </w:rPr>
                    <w:t>单位</w:t>
                  </w:r>
                </w:p>
              </w:tc>
              <w:tc>
                <w:tcPr>
                  <w:tcW w:w="1533" w:type="dxa"/>
                  <w:tcBorders>
                    <w:tl2br w:val="nil"/>
                    <w:tr2bl w:val="nil"/>
                  </w:tcBorders>
                  <w:vAlign w:val="center"/>
                </w:tcPr>
                <w:p>
                  <w:pPr>
                    <w:pStyle w:val="45"/>
                    <w:bidi w:val="0"/>
                    <w:rPr>
                      <w:u w:val="single"/>
                    </w:rPr>
                  </w:pPr>
                  <w:r>
                    <w:rPr>
                      <w:u w:val="single"/>
                    </w:rPr>
                    <w:t>2019年第</w:t>
                  </w:r>
                </w:p>
                <w:p>
                  <w:pPr>
                    <w:pStyle w:val="45"/>
                    <w:bidi w:val="0"/>
                    <w:rPr>
                      <w:u w:val="single"/>
                    </w:rPr>
                  </w:pPr>
                  <w:r>
                    <w:rPr>
                      <w:u w:val="single"/>
                    </w:rPr>
                    <w:t>二次安全</w:t>
                  </w:r>
                </w:p>
                <w:p>
                  <w:pPr>
                    <w:pStyle w:val="45"/>
                    <w:bidi w:val="0"/>
                    <w:rPr>
                      <w:u w:val="single"/>
                    </w:rPr>
                  </w:pPr>
                  <w:r>
                    <w:rPr>
                      <w:u w:val="single"/>
                    </w:rPr>
                    <w:t>鉴定</w:t>
                  </w:r>
                </w:p>
              </w:tc>
              <w:tc>
                <w:tcPr>
                  <w:tcW w:w="1366" w:type="dxa"/>
                  <w:tcBorders>
                    <w:tl2br w:val="nil"/>
                    <w:tr2bl w:val="nil"/>
                  </w:tcBorders>
                  <w:vAlign w:val="center"/>
                </w:tcPr>
                <w:p>
                  <w:pPr>
                    <w:pStyle w:val="45"/>
                    <w:bidi w:val="0"/>
                    <w:rPr>
                      <w:u w:val="single"/>
                    </w:rPr>
                  </w:pPr>
                  <w:r>
                    <w:rPr>
                      <w:u w:val="single"/>
                    </w:rPr>
                    <w:t>本次初步设计</w:t>
                  </w:r>
                </w:p>
              </w:tc>
              <w:tc>
                <w:tcPr>
                  <w:tcW w:w="1308" w:type="dxa"/>
                  <w:tcBorders>
                    <w:tl2br w:val="nil"/>
                    <w:tr2bl w:val="nil"/>
                  </w:tcBorders>
                  <w:vAlign w:val="center"/>
                </w:tcPr>
                <w:p>
                  <w:pPr>
                    <w:pStyle w:val="45"/>
                    <w:bidi w:val="0"/>
                    <w:rPr>
                      <w:u w:val="single"/>
                    </w:rPr>
                  </w:pPr>
                  <w:r>
                    <w:rPr>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1</w:t>
                  </w:r>
                </w:p>
              </w:tc>
              <w:tc>
                <w:tcPr>
                  <w:tcW w:w="2395" w:type="dxa"/>
                  <w:tcBorders>
                    <w:tl2br w:val="nil"/>
                    <w:tr2bl w:val="nil"/>
                  </w:tcBorders>
                  <w:vAlign w:val="center"/>
                </w:tcPr>
                <w:p>
                  <w:pPr>
                    <w:pStyle w:val="45"/>
                    <w:bidi w:val="0"/>
                    <w:rPr>
                      <w:u w:val="single"/>
                    </w:rPr>
                  </w:pPr>
                  <w:r>
                    <w:rPr>
                      <w:u w:val="single"/>
                    </w:rPr>
                    <w:t>水文</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vMerge w:val="restart"/>
                  <w:tcBorders>
                    <w:tl2br w:val="nil"/>
                    <w:tr2bl w:val="nil"/>
                  </w:tcBorders>
                  <w:vAlign w:val="center"/>
                </w:tcPr>
                <w:p>
                  <w:pPr>
                    <w:pStyle w:val="45"/>
                    <w:bidi w:val="0"/>
                    <w:rPr>
                      <w:u w:val="single"/>
                    </w:rPr>
                  </w:pPr>
                  <w:r>
                    <w:rPr>
                      <w:u w:val="single"/>
                    </w:rPr>
                    <w:t>1.1</w:t>
                  </w:r>
                </w:p>
              </w:tc>
              <w:tc>
                <w:tcPr>
                  <w:tcW w:w="2395" w:type="dxa"/>
                  <w:tcBorders>
                    <w:tl2br w:val="nil"/>
                    <w:tr2bl w:val="nil"/>
                  </w:tcBorders>
                  <w:vAlign w:val="center"/>
                </w:tcPr>
                <w:p>
                  <w:pPr>
                    <w:pStyle w:val="45"/>
                    <w:bidi w:val="0"/>
                    <w:rPr>
                      <w:u w:val="single"/>
                    </w:rPr>
                  </w:pPr>
                  <w:r>
                    <w:rPr>
                      <w:u w:val="single"/>
                    </w:rPr>
                    <w:t>坝址控制流域面积</w:t>
                  </w:r>
                </w:p>
              </w:tc>
              <w:tc>
                <w:tcPr>
                  <w:tcW w:w="918" w:type="dxa"/>
                  <w:tcBorders>
                    <w:tl2br w:val="nil"/>
                    <w:tr2bl w:val="nil"/>
                  </w:tcBorders>
                  <w:vAlign w:val="center"/>
                </w:tcPr>
                <w:p>
                  <w:pPr>
                    <w:pStyle w:val="45"/>
                    <w:bidi w:val="0"/>
                    <w:rPr>
                      <w:rFonts w:hint="eastAsia"/>
                      <w:u w:val="single"/>
                      <w:lang w:eastAsia="zh-CN"/>
                    </w:rPr>
                  </w:pPr>
                  <w:r>
                    <w:rPr>
                      <w:u w:val="single"/>
                    </w:rPr>
                    <w:t>k</w:t>
                  </w:r>
                  <w:r>
                    <w:rPr>
                      <w:rFonts w:hint="eastAsia"/>
                      <w:u w:val="single"/>
                      <w:lang w:eastAsia="zh-CN"/>
                    </w:rPr>
                    <w:t>m2</w:t>
                  </w:r>
                </w:p>
              </w:tc>
              <w:tc>
                <w:tcPr>
                  <w:tcW w:w="1533" w:type="dxa"/>
                  <w:tcBorders>
                    <w:tl2br w:val="nil"/>
                    <w:tr2bl w:val="nil"/>
                  </w:tcBorders>
                  <w:vAlign w:val="center"/>
                </w:tcPr>
                <w:p>
                  <w:pPr>
                    <w:pStyle w:val="45"/>
                    <w:bidi w:val="0"/>
                    <w:rPr>
                      <w:u w:val="single"/>
                    </w:rPr>
                  </w:pPr>
                  <w:r>
                    <w:rPr>
                      <w:u w:val="single"/>
                    </w:rPr>
                    <w:t>16</w:t>
                  </w:r>
                </w:p>
              </w:tc>
              <w:tc>
                <w:tcPr>
                  <w:tcW w:w="1366" w:type="dxa"/>
                  <w:tcBorders>
                    <w:tl2br w:val="nil"/>
                    <w:tr2bl w:val="nil"/>
                  </w:tcBorders>
                  <w:vAlign w:val="center"/>
                </w:tcPr>
                <w:p>
                  <w:pPr>
                    <w:pStyle w:val="45"/>
                    <w:bidi w:val="0"/>
                    <w:rPr>
                      <w:u w:val="single"/>
                    </w:rPr>
                  </w:pPr>
                  <w:r>
                    <w:rPr>
                      <w:u w:val="single"/>
                    </w:rPr>
                    <w:t>16</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vMerge w:val="continue"/>
                  <w:tcBorders>
                    <w:tl2br w:val="nil"/>
                    <w:tr2bl w:val="nil"/>
                  </w:tcBorders>
                  <w:vAlign w:val="center"/>
                </w:tcPr>
                <w:p>
                  <w:pPr>
                    <w:pStyle w:val="45"/>
                    <w:bidi w:val="0"/>
                    <w:rPr>
                      <w:u w:val="single"/>
                    </w:rPr>
                  </w:pPr>
                </w:p>
              </w:tc>
              <w:tc>
                <w:tcPr>
                  <w:tcW w:w="2395" w:type="dxa"/>
                  <w:tcBorders>
                    <w:tl2br w:val="nil"/>
                    <w:tr2bl w:val="nil"/>
                  </w:tcBorders>
                  <w:vAlign w:val="center"/>
                </w:tcPr>
                <w:p>
                  <w:pPr>
                    <w:pStyle w:val="45"/>
                    <w:bidi w:val="0"/>
                    <w:rPr>
                      <w:u w:val="single"/>
                    </w:rPr>
                  </w:pPr>
                  <w:r>
                    <w:rPr>
                      <w:u w:val="single"/>
                    </w:rPr>
                    <w:t>其中：外引流域集雨面积</w:t>
                  </w:r>
                </w:p>
              </w:tc>
              <w:tc>
                <w:tcPr>
                  <w:tcW w:w="918" w:type="dxa"/>
                  <w:tcBorders>
                    <w:tl2br w:val="nil"/>
                    <w:tr2bl w:val="nil"/>
                  </w:tcBorders>
                  <w:vAlign w:val="center"/>
                </w:tcPr>
                <w:p>
                  <w:pPr>
                    <w:pStyle w:val="45"/>
                    <w:bidi w:val="0"/>
                    <w:rPr>
                      <w:rFonts w:hint="eastAsia"/>
                      <w:u w:val="single"/>
                      <w:lang w:eastAsia="zh-CN"/>
                    </w:rPr>
                  </w:pPr>
                  <w:r>
                    <w:rPr>
                      <w:u w:val="single"/>
                    </w:rPr>
                    <w:t>k</w:t>
                  </w:r>
                  <w:r>
                    <w:rPr>
                      <w:rFonts w:hint="eastAsia"/>
                      <w:u w:val="single"/>
                      <w:lang w:eastAsia="zh-CN"/>
                    </w:rPr>
                    <w:t>m2</w:t>
                  </w:r>
                </w:p>
              </w:tc>
              <w:tc>
                <w:tcPr>
                  <w:tcW w:w="1533" w:type="dxa"/>
                  <w:tcBorders>
                    <w:tl2br w:val="nil"/>
                    <w:tr2bl w:val="nil"/>
                  </w:tcBorders>
                  <w:vAlign w:val="center"/>
                </w:tcPr>
                <w:p>
                  <w:pPr>
                    <w:pStyle w:val="45"/>
                    <w:bidi w:val="0"/>
                    <w:rPr>
                      <w:u w:val="single"/>
                    </w:rPr>
                  </w:pPr>
                  <w:r>
                    <w:rPr>
                      <w:u w:val="single"/>
                    </w:rPr>
                    <w:t>11</w:t>
                  </w:r>
                </w:p>
              </w:tc>
              <w:tc>
                <w:tcPr>
                  <w:tcW w:w="1366" w:type="dxa"/>
                  <w:tcBorders>
                    <w:tl2br w:val="nil"/>
                    <w:tr2bl w:val="nil"/>
                  </w:tcBorders>
                  <w:vAlign w:val="center"/>
                </w:tcPr>
                <w:p>
                  <w:pPr>
                    <w:pStyle w:val="45"/>
                    <w:bidi w:val="0"/>
                    <w:rPr>
                      <w:u w:val="single"/>
                    </w:rPr>
                  </w:pPr>
                  <w:r>
                    <w:rPr>
                      <w:u w:val="single"/>
                    </w:rPr>
                    <w:t>11</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1.2</w:t>
                  </w:r>
                </w:p>
              </w:tc>
              <w:tc>
                <w:tcPr>
                  <w:tcW w:w="2395" w:type="dxa"/>
                  <w:tcBorders>
                    <w:tl2br w:val="nil"/>
                    <w:tr2bl w:val="nil"/>
                  </w:tcBorders>
                  <w:vAlign w:val="center"/>
                </w:tcPr>
                <w:p>
                  <w:pPr>
                    <w:pStyle w:val="45"/>
                    <w:bidi w:val="0"/>
                    <w:rPr>
                      <w:u w:val="single"/>
                    </w:rPr>
                  </w:pPr>
                  <w:r>
                    <w:rPr>
                      <w:u w:val="single"/>
                    </w:rPr>
                    <w:t>干流长度</w:t>
                  </w:r>
                </w:p>
              </w:tc>
              <w:tc>
                <w:tcPr>
                  <w:tcW w:w="918" w:type="dxa"/>
                  <w:tcBorders>
                    <w:tl2br w:val="nil"/>
                    <w:tr2bl w:val="nil"/>
                  </w:tcBorders>
                  <w:vAlign w:val="center"/>
                </w:tcPr>
                <w:p>
                  <w:pPr>
                    <w:pStyle w:val="45"/>
                    <w:bidi w:val="0"/>
                    <w:rPr>
                      <w:u w:val="single"/>
                    </w:rPr>
                  </w:pPr>
                  <w:r>
                    <w:rPr>
                      <w:u w:val="single"/>
                    </w:rPr>
                    <w:t>km</w:t>
                  </w:r>
                </w:p>
              </w:tc>
              <w:tc>
                <w:tcPr>
                  <w:tcW w:w="1533" w:type="dxa"/>
                  <w:tcBorders>
                    <w:tl2br w:val="nil"/>
                    <w:tr2bl w:val="nil"/>
                  </w:tcBorders>
                  <w:vAlign w:val="center"/>
                </w:tcPr>
                <w:p>
                  <w:pPr>
                    <w:pStyle w:val="45"/>
                    <w:bidi w:val="0"/>
                    <w:rPr>
                      <w:u w:val="single"/>
                    </w:rPr>
                  </w:pPr>
                  <w:r>
                    <w:rPr>
                      <w:u w:val="single"/>
                    </w:rPr>
                    <w:t>2.6</w:t>
                  </w:r>
                </w:p>
              </w:tc>
              <w:tc>
                <w:tcPr>
                  <w:tcW w:w="1366" w:type="dxa"/>
                  <w:tcBorders>
                    <w:tl2br w:val="nil"/>
                    <w:tr2bl w:val="nil"/>
                  </w:tcBorders>
                  <w:vAlign w:val="center"/>
                </w:tcPr>
                <w:p>
                  <w:pPr>
                    <w:pStyle w:val="45"/>
                    <w:bidi w:val="0"/>
                    <w:rPr>
                      <w:u w:val="single"/>
                    </w:rPr>
                  </w:pPr>
                  <w:r>
                    <w:rPr>
                      <w:u w:val="single"/>
                    </w:rPr>
                    <w:t>2.6</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1.3</w:t>
                  </w:r>
                </w:p>
              </w:tc>
              <w:tc>
                <w:tcPr>
                  <w:tcW w:w="2395" w:type="dxa"/>
                  <w:tcBorders>
                    <w:tl2br w:val="nil"/>
                    <w:tr2bl w:val="nil"/>
                  </w:tcBorders>
                  <w:vAlign w:val="center"/>
                </w:tcPr>
                <w:p>
                  <w:pPr>
                    <w:pStyle w:val="45"/>
                    <w:bidi w:val="0"/>
                    <w:rPr>
                      <w:u w:val="single"/>
                    </w:rPr>
                  </w:pPr>
                  <w:r>
                    <w:rPr>
                      <w:u w:val="single"/>
                    </w:rPr>
                    <w:t>干流平均坡降</w:t>
                  </w:r>
                </w:p>
              </w:tc>
              <w:tc>
                <w:tcPr>
                  <w:tcW w:w="918" w:type="dxa"/>
                  <w:tcBorders>
                    <w:tl2br w:val="nil"/>
                    <w:tr2bl w:val="nil"/>
                  </w:tcBorders>
                  <w:vAlign w:val="center"/>
                </w:tcPr>
                <w:p>
                  <w:pPr>
                    <w:pStyle w:val="45"/>
                    <w:bidi w:val="0"/>
                    <w:rPr>
                      <w:u w:val="single"/>
                    </w:rPr>
                  </w:pPr>
                  <w:r>
                    <w:rPr>
                      <w:u w:val="single"/>
                    </w:rPr>
                    <w:t>‰</w:t>
                  </w:r>
                </w:p>
              </w:tc>
              <w:tc>
                <w:tcPr>
                  <w:tcW w:w="1533" w:type="dxa"/>
                  <w:tcBorders>
                    <w:tl2br w:val="nil"/>
                    <w:tr2bl w:val="nil"/>
                  </w:tcBorders>
                  <w:vAlign w:val="center"/>
                </w:tcPr>
                <w:p>
                  <w:pPr>
                    <w:pStyle w:val="45"/>
                    <w:bidi w:val="0"/>
                    <w:rPr>
                      <w:u w:val="single"/>
                    </w:rPr>
                  </w:pPr>
                  <w:r>
                    <w:rPr>
                      <w:u w:val="single"/>
                    </w:rPr>
                    <w:t>79.2</w:t>
                  </w:r>
                </w:p>
              </w:tc>
              <w:tc>
                <w:tcPr>
                  <w:tcW w:w="1366" w:type="dxa"/>
                  <w:tcBorders>
                    <w:tl2br w:val="nil"/>
                    <w:tr2bl w:val="nil"/>
                  </w:tcBorders>
                  <w:vAlign w:val="center"/>
                </w:tcPr>
                <w:p>
                  <w:pPr>
                    <w:pStyle w:val="45"/>
                    <w:bidi w:val="0"/>
                    <w:rPr>
                      <w:u w:val="single"/>
                    </w:rPr>
                  </w:pPr>
                  <w:r>
                    <w:rPr>
                      <w:u w:val="single"/>
                    </w:rPr>
                    <w:t>79.2</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1.4</w:t>
                  </w:r>
                </w:p>
              </w:tc>
              <w:tc>
                <w:tcPr>
                  <w:tcW w:w="2395" w:type="dxa"/>
                  <w:tcBorders>
                    <w:tl2br w:val="nil"/>
                    <w:tr2bl w:val="nil"/>
                  </w:tcBorders>
                  <w:vAlign w:val="center"/>
                </w:tcPr>
                <w:p>
                  <w:pPr>
                    <w:pStyle w:val="45"/>
                    <w:bidi w:val="0"/>
                    <w:rPr>
                      <w:u w:val="single"/>
                    </w:rPr>
                  </w:pPr>
                  <w:r>
                    <w:rPr>
                      <w:u w:val="single"/>
                    </w:rPr>
                    <w:t>多年平均降雨量</w:t>
                  </w:r>
                </w:p>
              </w:tc>
              <w:tc>
                <w:tcPr>
                  <w:tcW w:w="918" w:type="dxa"/>
                  <w:tcBorders>
                    <w:tl2br w:val="nil"/>
                    <w:tr2bl w:val="nil"/>
                  </w:tcBorders>
                  <w:vAlign w:val="center"/>
                </w:tcPr>
                <w:p>
                  <w:pPr>
                    <w:pStyle w:val="45"/>
                    <w:bidi w:val="0"/>
                    <w:rPr>
                      <w:u w:val="single"/>
                    </w:rPr>
                  </w:pPr>
                  <w:r>
                    <w:rPr>
                      <w:u w:val="single"/>
                    </w:rPr>
                    <w:t>mm</w:t>
                  </w:r>
                </w:p>
              </w:tc>
              <w:tc>
                <w:tcPr>
                  <w:tcW w:w="1533" w:type="dxa"/>
                  <w:tcBorders>
                    <w:tl2br w:val="nil"/>
                    <w:tr2bl w:val="nil"/>
                  </w:tcBorders>
                  <w:vAlign w:val="center"/>
                </w:tcPr>
                <w:p>
                  <w:pPr>
                    <w:pStyle w:val="45"/>
                    <w:bidi w:val="0"/>
                    <w:rPr>
                      <w:u w:val="single"/>
                    </w:rPr>
                  </w:pPr>
                  <w:r>
                    <w:rPr>
                      <w:u w:val="single"/>
                    </w:rPr>
                    <w:t>1447.2</w:t>
                  </w:r>
                </w:p>
              </w:tc>
              <w:tc>
                <w:tcPr>
                  <w:tcW w:w="1366" w:type="dxa"/>
                  <w:tcBorders>
                    <w:tl2br w:val="nil"/>
                    <w:tr2bl w:val="nil"/>
                  </w:tcBorders>
                  <w:vAlign w:val="center"/>
                </w:tcPr>
                <w:p>
                  <w:pPr>
                    <w:pStyle w:val="45"/>
                    <w:bidi w:val="0"/>
                    <w:rPr>
                      <w:u w:val="single"/>
                    </w:rPr>
                  </w:pPr>
                  <w:r>
                    <w:rPr>
                      <w:u w:val="single"/>
                    </w:rPr>
                    <w:t>1447.2</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w:t>
                  </w:r>
                </w:p>
              </w:tc>
              <w:tc>
                <w:tcPr>
                  <w:tcW w:w="2395" w:type="dxa"/>
                  <w:tcBorders>
                    <w:tl2br w:val="nil"/>
                    <w:tr2bl w:val="nil"/>
                  </w:tcBorders>
                  <w:vAlign w:val="center"/>
                </w:tcPr>
                <w:p>
                  <w:pPr>
                    <w:pStyle w:val="45"/>
                    <w:bidi w:val="0"/>
                    <w:rPr>
                      <w:u w:val="single"/>
                    </w:rPr>
                  </w:pPr>
                  <w:r>
                    <w:rPr>
                      <w:u w:val="single"/>
                    </w:rPr>
                    <w:t>水库</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ind w:firstLine="0" w:firstLineChars="0"/>
                    <w:rPr>
                      <w:u w:val="single"/>
                      <w:lang w:val="en-US" w:eastAsia="zh-CN"/>
                    </w:rPr>
                  </w:pPr>
                  <w:r>
                    <w:rPr>
                      <w:u w:val="single"/>
                    </w:rPr>
                    <w:t>2.1</w:t>
                  </w:r>
                </w:p>
              </w:tc>
              <w:tc>
                <w:tcPr>
                  <w:tcW w:w="2395" w:type="dxa"/>
                  <w:tcBorders>
                    <w:tl2br w:val="nil"/>
                    <w:tr2bl w:val="nil"/>
                  </w:tcBorders>
                  <w:vAlign w:val="center"/>
                </w:tcPr>
                <w:p>
                  <w:pPr>
                    <w:pStyle w:val="45"/>
                    <w:bidi w:val="0"/>
                    <w:ind w:firstLine="0" w:firstLineChars="0"/>
                    <w:rPr>
                      <w:u w:val="single"/>
                      <w:lang w:val="en-US" w:eastAsia="zh-CN"/>
                    </w:rPr>
                  </w:pPr>
                  <w:r>
                    <w:rPr>
                      <w:u w:val="single"/>
                    </w:rPr>
                    <w:t>水库水位</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2.1.1</w:t>
                  </w:r>
                </w:p>
              </w:tc>
              <w:tc>
                <w:tcPr>
                  <w:tcW w:w="2395" w:type="dxa"/>
                  <w:tcBorders>
                    <w:tl2br w:val="nil"/>
                    <w:tr2bl w:val="nil"/>
                  </w:tcBorders>
                  <w:vAlign w:val="center"/>
                </w:tcPr>
                <w:p>
                  <w:pPr>
                    <w:pStyle w:val="45"/>
                    <w:bidi w:val="0"/>
                    <w:rPr>
                      <w:u w:val="single"/>
                    </w:rPr>
                  </w:pPr>
                  <w:r>
                    <w:rPr>
                      <w:u w:val="single"/>
                    </w:rPr>
                    <w:t>校核洪水位</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79.72</w:t>
                  </w:r>
                </w:p>
              </w:tc>
              <w:tc>
                <w:tcPr>
                  <w:tcW w:w="1366" w:type="dxa"/>
                  <w:tcBorders>
                    <w:tl2br w:val="nil"/>
                    <w:tr2bl w:val="nil"/>
                  </w:tcBorders>
                  <w:vAlign w:val="center"/>
                </w:tcPr>
                <w:p>
                  <w:pPr>
                    <w:pStyle w:val="45"/>
                    <w:bidi w:val="0"/>
                    <w:rPr>
                      <w:u w:val="single"/>
                    </w:rPr>
                  </w:pPr>
                  <w:r>
                    <w:rPr>
                      <w:u w:val="single"/>
                    </w:rPr>
                    <w:t>79.72</w:t>
                  </w:r>
                </w:p>
              </w:tc>
              <w:tc>
                <w:tcPr>
                  <w:tcW w:w="1308" w:type="dxa"/>
                  <w:tcBorders>
                    <w:tl2br w:val="nil"/>
                    <w:tr2bl w:val="nil"/>
                  </w:tcBorders>
                  <w:vAlign w:val="center"/>
                </w:tcPr>
                <w:p>
                  <w:pPr>
                    <w:pStyle w:val="45"/>
                    <w:bidi w:val="0"/>
                    <w:rPr>
                      <w:u w:val="single"/>
                    </w:rPr>
                  </w:pPr>
                  <w:r>
                    <w:rPr>
                      <w:u w:val="single"/>
                    </w:rPr>
                    <w:t>P=0.1%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2.1.2</w:t>
                  </w:r>
                </w:p>
              </w:tc>
              <w:tc>
                <w:tcPr>
                  <w:tcW w:w="2395" w:type="dxa"/>
                  <w:tcBorders>
                    <w:tl2br w:val="nil"/>
                    <w:tr2bl w:val="nil"/>
                  </w:tcBorders>
                  <w:vAlign w:val="center"/>
                </w:tcPr>
                <w:p>
                  <w:pPr>
                    <w:pStyle w:val="45"/>
                    <w:bidi w:val="0"/>
                    <w:rPr>
                      <w:u w:val="single"/>
                    </w:rPr>
                  </w:pPr>
                  <w:r>
                    <w:rPr>
                      <w:u w:val="single"/>
                    </w:rPr>
                    <w:t>设计洪水位</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79.52</w:t>
                  </w:r>
                </w:p>
              </w:tc>
              <w:tc>
                <w:tcPr>
                  <w:tcW w:w="1366" w:type="dxa"/>
                  <w:tcBorders>
                    <w:tl2br w:val="nil"/>
                    <w:tr2bl w:val="nil"/>
                  </w:tcBorders>
                  <w:vAlign w:val="center"/>
                </w:tcPr>
                <w:p>
                  <w:pPr>
                    <w:pStyle w:val="45"/>
                    <w:bidi w:val="0"/>
                    <w:rPr>
                      <w:u w:val="single"/>
                    </w:rPr>
                  </w:pPr>
                  <w:r>
                    <w:rPr>
                      <w:u w:val="single"/>
                    </w:rPr>
                    <w:t>79.52</w:t>
                  </w:r>
                </w:p>
              </w:tc>
              <w:tc>
                <w:tcPr>
                  <w:tcW w:w="1308" w:type="dxa"/>
                  <w:tcBorders>
                    <w:tl2br w:val="nil"/>
                    <w:tr2bl w:val="nil"/>
                  </w:tcBorders>
                  <w:vAlign w:val="center"/>
                </w:tcPr>
                <w:p>
                  <w:pPr>
                    <w:pStyle w:val="45"/>
                    <w:bidi w:val="0"/>
                    <w:rPr>
                      <w:u w:val="single"/>
                    </w:rPr>
                  </w:pPr>
                  <w:r>
                    <w:rPr>
                      <w:u w:val="single"/>
                    </w:rPr>
                    <w:t>P=1%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2.1.3</w:t>
                  </w:r>
                </w:p>
              </w:tc>
              <w:tc>
                <w:tcPr>
                  <w:tcW w:w="2395" w:type="dxa"/>
                  <w:tcBorders>
                    <w:tl2br w:val="nil"/>
                    <w:tr2bl w:val="nil"/>
                  </w:tcBorders>
                  <w:vAlign w:val="center"/>
                </w:tcPr>
                <w:p>
                  <w:pPr>
                    <w:pStyle w:val="45"/>
                    <w:bidi w:val="0"/>
                    <w:rPr>
                      <w:u w:val="single"/>
                    </w:rPr>
                  </w:pPr>
                  <w:r>
                    <w:rPr>
                      <w:u w:val="single"/>
                    </w:rPr>
                    <w:t>正常蓄水位</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78.83</w:t>
                  </w:r>
                </w:p>
              </w:tc>
              <w:tc>
                <w:tcPr>
                  <w:tcW w:w="1366" w:type="dxa"/>
                  <w:tcBorders>
                    <w:tl2br w:val="nil"/>
                    <w:tr2bl w:val="nil"/>
                  </w:tcBorders>
                  <w:vAlign w:val="center"/>
                </w:tcPr>
                <w:p>
                  <w:pPr>
                    <w:pStyle w:val="45"/>
                    <w:bidi w:val="0"/>
                    <w:rPr>
                      <w:u w:val="single"/>
                    </w:rPr>
                  </w:pPr>
                  <w:r>
                    <w:rPr>
                      <w:u w:val="single"/>
                    </w:rPr>
                    <w:t>78.83</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2.1.4</w:t>
                  </w:r>
                </w:p>
              </w:tc>
              <w:tc>
                <w:tcPr>
                  <w:tcW w:w="2395" w:type="dxa"/>
                  <w:tcBorders>
                    <w:tl2br w:val="nil"/>
                    <w:tr2bl w:val="nil"/>
                  </w:tcBorders>
                  <w:vAlign w:val="center"/>
                </w:tcPr>
                <w:p>
                  <w:pPr>
                    <w:pStyle w:val="45"/>
                    <w:bidi w:val="0"/>
                    <w:rPr>
                      <w:u w:val="single"/>
                    </w:rPr>
                  </w:pPr>
                  <w:r>
                    <w:rPr>
                      <w:u w:val="single"/>
                    </w:rPr>
                    <w:t>死水位</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62.70</w:t>
                  </w:r>
                </w:p>
              </w:tc>
              <w:tc>
                <w:tcPr>
                  <w:tcW w:w="1366" w:type="dxa"/>
                  <w:tcBorders>
                    <w:tl2br w:val="nil"/>
                    <w:tr2bl w:val="nil"/>
                  </w:tcBorders>
                  <w:vAlign w:val="center"/>
                </w:tcPr>
                <w:p>
                  <w:pPr>
                    <w:pStyle w:val="45"/>
                    <w:bidi w:val="0"/>
                    <w:rPr>
                      <w:u w:val="single"/>
                    </w:rPr>
                  </w:pPr>
                  <w:r>
                    <w:rPr>
                      <w:u w:val="single"/>
                    </w:rPr>
                    <w:t>62.70</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2.2</w:t>
                  </w:r>
                </w:p>
              </w:tc>
              <w:tc>
                <w:tcPr>
                  <w:tcW w:w="2395" w:type="dxa"/>
                  <w:tcBorders>
                    <w:tl2br w:val="nil"/>
                    <w:tr2bl w:val="nil"/>
                  </w:tcBorders>
                  <w:vAlign w:val="center"/>
                </w:tcPr>
                <w:p>
                  <w:pPr>
                    <w:pStyle w:val="45"/>
                    <w:bidi w:val="0"/>
                    <w:rPr>
                      <w:u w:val="single"/>
                    </w:rPr>
                  </w:pPr>
                  <w:r>
                    <w:rPr>
                      <w:u w:val="single"/>
                    </w:rPr>
                    <w:t>水库库容</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2.2.1</w:t>
                  </w:r>
                </w:p>
              </w:tc>
              <w:tc>
                <w:tcPr>
                  <w:tcW w:w="2395" w:type="dxa"/>
                  <w:tcBorders>
                    <w:tl2br w:val="nil"/>
                    <w:tr2bl w:val="nil"/>
                  </w:tcBorders>
                  <w:vAlign w:val="center"/>
                </w:tcPr>
                <w:p>
                  <w:pPr>
                    <w:pStyle w:val="45"/>
                    <w:bidi w:val="0"/>
                    <w:rPr>
                      <w:u w:val="single"/>
                    </w:rPr>
                  </w:pPr>
                  <w:r>
                    <w:rPr>
                      <w:u w:val="single"/>
                    </w:rPr>
                    <w:t>总库容</w:t>
                  </w:r>
                </w:p>
              </w:tc>
              <w:tc>
                <w:tcPr>
                  <w:tcW w:w="918" w:type="dxa"/>
                  <w:tcBorders>
                    <w:tl2br w:val="nil"/>
                    <w:tr2bl w:val="nil"/>
                  </w:tcBorders>
                  <w:vAlign w:val="center"/>
                </w:tcPr>
                <w:p>
                  <w:pPr>
                    <w:pStyle w:val="45"/>
                    <w:bidi w:val="0"/>
                    <w:rPr>
                      <w:rFonts w:hint="eastAsia"/>
                      <w:u w:val="single"/>
                      <w:lang w:eastAsia="zh-CN"/>
                    </w:rPr>
                  </w:pPr>
                  <w:r>
                    <w:rPr>
                      <w:u w:val="single"/>
                    </w:rPr>
                    <w:t>万</w:t>
                  </w:r>
                  <w:r>
                    <w:rPr>
                      <w:rFonts w:hint="eastAsia"/>
                      <w:u w:val="single"/>
                      <w:lang w:eastAsia="zh-CN"/>
                    </w:rPr>
                    <w:t>m3</w:t>
                  </w:r>
                </w:p>
              </w:tc>
              <w:tc>
                <w:tcPr>
                  <w:tcW w:w="1533" w:type="dxa"/>
                  <w:tcBorders>
                    <w:tl2br w:val="nil"/>
                    <w:tr2bl w:val="nil"/>
                  </w:tcBorders>
                  <w:vAlign w:val="center"/>
                </w:tcPr>
                <w:p>
                  <w:pPr>
                    <w:pStyle w:val="45"/>
                    <w:bidi w:val="0"/>
                    <w:rPr>
                      <w:u w:val="single"/>
                    </w:rPr>
                  </w:pPr>
                  <w:r>
                    <w:rPr>
                      <w:u w:val="single"/>
                    </w:rPr>
                    <w:t>1024.8</w:t>
                  </w:r>
                </w:p>
              </w:tc>
              <w:tc>
                <w:tcPr>
                  <w:tcW w:w="1366" w:type="dxa"/>
                  <w:tcBorders>
                    <w:tl2br w:val="nil"/>
                    <w:tr2bl w:val="nil"/>
                  </w:tcBorders>
                  <w:vAlign w:val="center"/>
                </w:tcPr>
                <w:p>
                  <w:pPr>
                    <w:pStyle w:val="45"/>
                    <w:bidi w:val="0"/>
                    <w:rPr>
                      <w:u w:val="single"/>
                    </w:rPr>
                  </w:pPr>
                  <w:r>
                    <w:rPr>
                      <w:u w:val="single"/>
                    </w:rPr>
                    <w:t>1024.8</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2.2.2</w:t>
                  </w:r>
                </w:p>
              </w:tc>
              <w:tc>
                <w:tcPr>
                  <w:tcW w:w="2395" w:type="dxa"/>
                  <w:tcBorders>
                    <w:tl2br w:val="nil"/>
                    <w:tr2bl w:val="nil"/>
                  </w:tcBorders>
                  <w:vAlign w:val="center"/>
                </w:tcPr>
                <w:p>
                  <w:pPr>
                    <w:pStyle w:val="45"/>
                    <w:bidi w:val="0"/>
                    <w:rPr>
                      <w:u w:val="single"/>
                    </w:rPr>
                  </w:pPr>
                  <w:r>
                    <w:rPr>
                      <w:u w:val="single"/>
                    </w:rPr>
                    <w:t>正常库容</w:t>
                  </w:r>
                </w:p>
              </w:tc>
              <w:tc>
                <w:tcPr>
                  <w:tcW w:w="918" w:type="dxa"/>
                  <w:tcBorders>
                    <w:tl2br w:val="nil"/>
                    <w:tr2bl w:val="nil"/>
                  </w:tcBorders>
                  <w:vAlign w:val="center"/>
                </w:tcPr>
                <w:p>
                  <w:pPr>
                    <w:pStyle w:val="45"/>
                    <w:bidi w:val="0"/>
                    <w:rPr>
                      <w:rFonts w:hint="eastAsia"/>
                      <w:u w:val="single"/>
                      <w:lang w:eastAsia="zh-CN"/>
                    </w:rPr>
                  </w:pPr>
                  <w:r>
                    <w:rPr>
                      <w:u w:val="single"/>
                    </w:rPr>
                    <w:t>万</w:t>
                  </w:r>
                  <w:r>
                    <w:rPr>
                      <w:rFonts w:hint="eastAsia"/>
                      <w:u w:val="single"/>
                      <w:lang w:eastAsia="zh-CN"/>
                    </w:rPr>
                    <w:t>m3</w:t>
                  </w:r>
                </w:p>
              </w:tc>
              <w:tc>
                <w:tcPr>
                  <w:tcW w:w="1533" w:type="dxa"/>
                  <w:tcBorders>
                    <w:tl2br w:val="nil"/>
                    <w:tr2bl w:val="nil"/>
                  </w:tcBorders>
                  <w:vAlign w:val="center"/>
                </w:tcPr>
                <w:p>
                  <w:pPr>
                    <w:pStyle w:val="45"/>
                    <w:bidi w:val="0"/>
                    <w:rPr>
                      <w:u w:val="single"/>
                    </w:rPr>
                  </w:pPr>
                  <w:r>
                    <w:rPr>
                      <w:u w:val="single"/>
                    </w:rPr>
                    <w:t>929</w:t>
                  </w:r>
                </w:p>
              </w:tc>
              <w:tc>
                <w:tcPr>
                  <w:tcW w:w="1366" w:type="dxa"/>
                  <w:tcBorders>
                    <w:tl2br w:val="nil"/>
                    <w:tr2bl w:val="nil"/>
                  </w:tcBorders>
                  <w:vAlign w:val="center"/>
                </w:tcPr>
                <w:p>
                  <w:pPr>
                    <w:pStyle w:val="45"/>
                    <w:bidi w:val="0"/>
                    <w:rPr>
                      <w:u w:val="single"/>
                    </w:rPr>
                  </w:pPr>
                  <w:r>
                    <w:rPr>
                      <w:u w:val="single"/>
                    </w:rPr>
                    <w:t>929</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2.2.3</w:t>
                  </w:r>
                </w:p>
              </w:tc>
              <w:tc>
                <w:tcPr>
                  <w:tcW w:w="2395" w:type="dxa"/>
                  <w:tcBorders>
                    <w:tl2br w:val="nil"/>
                    <w:tr2bl w:val="nil"/>
                  </w:tcBorders>
                  <w:vAlign w:val="center"/>
                </w:tcPr>
                <w:p>
                  <w:pPr>
                    <w:pStyle w:val="45"/>
                    <w:bidi w:val="0"/>
                    <w:rPr>
                      <w:u w:val="single"/>
                    </w:rPr>
                  </w:pPr>
                  <w:r>
                    <w:rPr>
                      <w:u w:val="single"/>
                    </w:rPr>
                    <w:t>死库容</w:t>
                  </w:r>
                </w:p>
              </w:tc>
              <w:tc>
                <w:tcPr>
                  <w:tcW w:w="918" w:type="dxa"/>
                  <w:tcBorders>
                    <w:tl2br w:val="nil"/>
                    <w:tr2bl w:val="nil"/>
                  </w:tcBorders>
                  <w:vAlign w:val="center"/>
                </w:tcPr>
                <w:p>
                  <w:pPr>
                    <w:pStyle w:val="45"/>
                    <w:bidi w:val="0"/>
                    <w:rPr>
                      <w:rFonts w:hint="eastAsia"/>
                      <w:u w:val="single"/>
                      <w:lang w:eastAsia="zh-CN"/>
                    </w:rPr>
                  </w:pPr>
                  <w:r>
                    <w:rPr>
                      <w:u w:val="single"/>
                    </w:rPr>
                    <w:t>万</w:t>
                  </w:r>
                  <w:r>
                    <w:rPr>
                      <w:rFonts w:hint="eastAsia"/>
                      <w:u w:val="single"/>
                      <w:lang w:eastAsia="zh-CN"/>
                    </w:rPr>
                    <w:t>m3</w:t>
                  </w:r>
                </w:p>
              </w:tc>
              <w:tc>
                <w:tcPr>
                  <w:tcW w:w="1533" w:type="dxa"/>
                  <w:tcBorders>
                    <w:tl2br w:val="nil"/>
                    <w:tr2bl w:val="nil"/>
                  </w:tcBorders>
                  <w:vAlign w:val="center"/>
                </w:tcPr>
                <w:p>
                  <w:pPr>
                    <w:pStyle w:val="45"/>
                    <w:bidi w:val="0"/>
                    <w:rPr>
                      <w:u w:val="single"/>
                    </w:rPr>
                  </w:pPr>
                  <w:r>
                    <w:rPr>
                      <w:u w:val="single"/>
                    </w:rPr>
                    <w:t>8.5</w:t>
                  </w:r>
                </w:p>
              </w:tc>
              <w:tc>
                <w:tcPr>
                  <w:tcW w:w="1366" w:type="dxa"/>
                  <w:tcBorders>
                    <w:tl2br w:val="nil"/>
                    <w:tr2bl w:val="nil"/>
                  </w:tcBorders>
                  <w:vAlign w:val="center"/>
                </w:tcPr>
                <w:p>
                  <w:pPr>
                    <w:pStyle w:val="45"/>
                    <w:bidi w:val="0"/>
                    <w:rPr>
                      <w:u w:val="single"/>
                    </w:rPr>
                  </w:pPr>
                  <w:r>
                    <w:rPr>
                      <w:u w:val="single"/>
                    </w:rPr>
                    <w:t>8.5</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3</w:t>
                  </w:r>
                </w:p>
              </w:tc>
              <w:tc>
                <w:tcPr>
                  <w:tcW w:w="2395" w:type="dxa"/>
                  <w:tcBorders>
                    <w:tl2br w:val="nil"/>
                    <w:tr2bl w:val="nil"/>
                  </w:tcBorders>
                  <w:vAlign w:val="center"/>
                </w:tcPr>
                <w:p>
                  <w:pPr>
                    <w:pStyle w:val="45"/>
                    <w:bidi w:val="0"/>
                    <w:rPr>
                      <w:u w:val="single"/>
                    </w:rPr>
                  </w:pPr>
                  <w:r>
                    <w:rPr>
                      <w:u w:val="single"/>
                    </w:rPr>
                    <w:t>洪水</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3.1</w:t>
                  </w:r>
                </w:p>
              </w:tc>
              <w:tc>
                <w:tcPr>
                  <w:tcW w:w="2395" w:type="dxa"/>
                  <w:tcBorders>
                    <w:tl2br w:val="nil"/>
                    <w:tr2bl w:val="nil"/>
                  </w:tcBorders>
                  <w:vAlign w:val="center"/>
                </w:tcPr>
                <w:p>
                  <w:pPr>
                    <w:pStyle w:val="45"/>
                    <w:bidi w:val="0"/>
                    <w:rPr>
                      <w:u w:val="single"/>
                    </w:rPr>
                  </w:pPr>
                  <w:r>
                    <w:rPr>
                      <w:u w:val="single"/>
                    </w:rPr>
                    <w:t>设计洪峰流量</w:t>
                  </w:r>
                </w:p>
              </w:tc>
              <w:tc>
                <w:tcPr>
                  <w:tcW w:w="918" w:type="dxa"/>
                  <w:tcBorders>
                    <w:tl2br w:val="nil"/>
                    <w:tr2bl w:val="nil"/>
                  </w:tcBorders>
                  <w:vAlign w:val="center"/>
                </w:tcPr>
                <w:p>
                  <w:pPr>
                    <w:pStyle w:val="45"/>
                    <w:bidi w:val="0"/>
                    <w:rPr>
                      <w:u w:val="single"/>
                    </w:rPr>
                  </w:pPr>
                  <w:r>
                    <w:rPr>
                      <w:rFonts w:hint="eastAsia"/>
                      <w:u w:val="single"/>
                      <w:lang w:eastAsia="zh-CN"/>
                    </w:rPr>
                    <w:t>m3</w:t>
                  </w:r>
                  <w:r>
                    <w:rPr>
                      <w:u w:val="single"/>
                    </w:rPr>
                    <w:t>/s</w:t>
                  </w:r>
                </w:p>
              </w:tc>
              <w:tc>
                <w:tcPr>
                  <w:tcW w:w="1533" w:type="dxa"/>
                  <w:tcBorders>
                    <w:tl2br w:val="nil"/>
                    <w:tr2bl w:val="nil"/>
                  </w:tcBorders>
                  <w:vAlign w:val="center"/>
                </w:tcPr>
                <w:p>
                  <w:pPr>
                    <w:pStyle w:val="45"/>
                    <w:bidi w:val="0"/>
                    <w:rPr>
                      <w:u w:val="single"/>
                    </w:rPr>
                  </w:pPr>
                  <w:r>
                    <w:rPr>
                      <w:u w:val="single"/>
                    </w:rPr>
                    <w:t>82.50</w:t>
                  </w:r>
                </w:p>
              </w:tc>
              <w:tc>
                <w:tcPr>
                  <w:tcW w:w="1366" w:type="dxa"/>
                  <w:tcBorders>
                    <w:tl2br w:val="nil"/>
                    <w:tr2bl w:val="nil"/>
                  </w:tcBorders>
                  <w:vAlign w:val="center"/>
                </w:tcPr>
                <w:p>
                  <w:pPr>
                    <w:pStyle w:val="45"/>
                    <w:bidi w:val="0"/>
                    <w:rPr>
                      <w:u w:val="single"/>
                    </w:rPr>
                  </w:pPr>
                  <w:r>
                    <w:rPr>
                      <w:u w:val="single"/>
                    </w:rPr>
                    <w:t>82.50</w:t>
                  </w:r>
                </w:p>
              </w:tc>
              <w:tc>
                <w:tcPr>
                  <w:tcW w:w="1308" w:type="dxa"/>
                  <w:tcBorders>
                    <w:tl2br w:val="nil"/>
                    <w:tr2bl w:val="nil"/>
                  </w:tcBorders>
                  <w:vAlign w:val="center"/>
                </w:tcPr>
                <w:p>
                  <w:pPr>
                    <w:pStyle w:val="45"/>
                    <w:bidi w:val="0"/>
                    <w:rPr>
                      <w:u w:val="single"/>
                    </w:rPr>
                  </w:pPr>
                  <w:r>
                    <w:rPr>
                      <w:u w:val="single"/>
                    </w:rPr>
                    <w:t>P=1%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3.2</w:t>
                  </w:r>
                </w:p>
              </w:tc>
              <w:tc>
                <w:tcPr>
                  <w:tcW w:w="2395" w:type="dxa"/>
                  <w:tcBorders>
                    <w:tl2br w:val="nil"/>
                    <w:tr2bl w:val="nil"/>
                  </w:tcBorders>
                  <w:vAlign w:val="center"/>
                </w:tcPr>
                <w:p>
                  <w:pPr>
                    <w:pStyle w:val="45"/>
                    <w:bidi w:val="0"/>
                    <w:rPr>
                      <w:u w:val="single"/>
                    </w:rPr>
                  </w:pPr>
                  <w:r>
                    <w:rPr>
                      <w:u w:val="single"/>
                    </w:rPr>
                    <w:t>设计下泄流量</w:t>
                  </w:r>
                </w:p>
              </w:tc>
              <w:tc>
                <w:tcPr>
                  <w:tcW w:w="918" w:type="dxa"/>
                  <w:tcBorders>
                    <w:tl2br w:val="nil"/>
                    <w:tr2bl w:val="nil"/>
                  </w:tcBorders>
                  <w:vAlign w:val="center"/>
                </w:tcPr>
                <w:p>
                  <w:pPr>
                    <w:pStyle w:val="45"/>
                    <w:bidi w:val="0"/>
                    <w:rPr>
                      <w:u w:val="single"/>
                    </w:rPr>
                  </w:pPr>
                  <w:r>
                    <w:rPr>
                      <w:rFonts w:hint="eastAsia"/>
                      <w:u w:val="single"/>
                      <w:lang w:eastAsia="zh-CN"/>
                    </w:rPr>
                    <w:t>m3</w:t>
                  </w:r>
                  <w:r>
                    <w:rPr>
                      <w:u w:val="single"/>
                    </w:rPr>
                    <w:t>/s</w:t>
                  </w:r>
                </w:p>
              </w:tc>
              <w:tc>
                <w:tcPr>
                  <w:tcW w:w="1533" w:type="dxa"/>
                  <w:tcBorders>
                    <w:tl2br w:val="nil"/>
                    <w:tr2bl w:val="nil"/>
                  </w:tcBorders>
                  <w:vAlign w:val="center"/>
                </w:tcPr>
                <w:p>
                  <w:pPr>
                    <w:pStyle w:val="45"/>
                    <w:bidi w:val="0"/>
                    <w:rPr>
                      <w:u w:val="single"/>
                    </w:rPr>
                  </w:pPr>
                  <w:r>
                    <w:rPr>
                      <w:u w:val="single"/>
                    </w:rPr>
                    <w:t>12.5</w:t>
                  </w:r>
                </w:p>
              </w:tc>
              <w:tc>
                <w:tcPr>
                  <w:tcW w:w="1366" w:type="dxa"/>
                  <w:tcBorders>
                    <w:tl2br w:val="nil"/>
                    <w:tr2bl w:val="nil"/>
                  </w:tcBorders>
                  <w:vAlign w:val="center"/>
                </w:tcPr>
                <w:p>
                  <w:pPr>
                    <w:pStyle w:val="45"/>
                    <w:bidi w:val="0"/>
                    <w:rPr>
                      <w:u w:val="single"/>
                    </w:rPr>
                  </w:pPr>
                  <w:r>
                    <w:rPr>
                      <w:u w:val="single"/>
                    </w:rPr>
                    <w:t>12.5</w:t>
                  </w:r>
                </w:p>
              </w:tc>
              <w:tc>
                <w:tcPr>
                  <w:tcW w:w="1308" w:type="dxa"/>
                  <w:tcBorders>
                    <w:tl2br w:val="nil"/>
                    <w:tr2bl w:val="nil"/>
                  </w:tcBorders>
                  <w:vAlign w:val="center"/>
                </w:tcPr>
                <w:p>
                  <w:pPr>
                    <w:pStyle w:val="45"/>
                    <w:bidi w:val="0"/>
                    <w:rPr>
                      <w:u w:val="single"/>
                    </w:rPr>
                  </w:pPr>
                  <w:r>
                    <w:rPr>
                      <w:u w:val="single"/>
                    </w:rPr>
                    <w:t>P=1%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3.3</w:t>
                  </w:r>
                </w:p>
              </w:tc>
              <w:tc>
                <w:tcPr>
                  <w:tcW w:w="2395" w:type="dxa"/>
                  <w:tcBorders>
                    <w:tl2br w:val="nil"/>
                    <w:tr2bl w:val="nil"/>
                  </w:tcBorders>
                  <w:vAlign w:val="center"/>
                </w:tcPr>
                <w:p>
                  <w:pPr>
                    <w:pStyle w:val="45"/>
                    <w:bidi w:val="0"/>
                    <w:rPr>
                      <w:u w:val="single"/>
                    </w:rPr>
                  </w:pPr>
                  <w:r>
                    <w:rPr>
                      <w:u w:val="single"/>
                    </w:rPr>
                    <w:t>校核洪峰流量</w:t>
                  </w:r>
                </w:p>
              </w:tc>
              <w:tc>
                <w:tcPr>
                  <w:tcW w:w="918" w:type="dxa"/>
                  <w:tcBorders>
                    <w:tl2br w:val="nil"/>
                    <w:tr2bl w:val="nil"/>
                  </w:tcBorders>
                  <w:vAlign w:val="center"/>
                </w:tcPr>
                <w:p>
                  <w:pPr>
                    <w:pStyle w:val="45"/>
                    <w:bidi w:val="0"/>
                    <w:rPr>
                      <w:u w:val="single"/>
                    </w:rPr>
                  </w:pPr>
                  <w:r>
                    <w:rPr>
                      <w:rFonts w:hint="eastAsia"/>
                      <w:u w:val="single"/>
                      <w:lang w:eastAsia="zh-CN"/>
                    </w:rPr>
                    <w:t>m3</w:t>
                  </w:r>
                  <w:r>
                    <w:rPr>
                      <w:u w:val="single"/>
                    </w:rPr>
                    <w:t>/s</w:t>
                  </w:r>
                </w:p>
              </w:tc>
              <w:tc>
                <w:tcPr>
                  <w:tcW w:w="1533" w:type="dxa"/>
                  <w:tcBorders>
                    <w:tl2br w:val="nil"/>
                    <w:tr2bl w:val="nil"/>
                  </w:tcBorders>
                  <w:vAlign w:val="center"/>
                </w:tcPr>
                <w:p>
                  <w:pPr>
                    <w:pStyle w:val="45"/>
                    <w:bidi w:val="0"/>
                    <w:rPr>
                      <w:u w:val="single"/>
                    </w:rPr>
                  </w:pPr>
                  <w:r>
                    <w:rPr>
                      <w:u w:val="single"/>
                    </w:rPr>
                    <w:t>115.60</w:t>
                  </w:r>
                </w:p>
              </w:tc>
              <w:tc>
                <w:tcPr>
                  <w:tcW w:w="1366" w:type="dxa"/>
                  <w:tcBorders>
                    <w:tl2br w:val="nil"/>
                    <w:tr2bl w:val="nil"/>
                  </w:tcBorders>
                  <w:vAlign w:val="center"/>
                </w:tcPr>
                <w:p>
                  <w:pPr>
                    <w:pStyle w:val="45"/>
                    <w:bidi w:val="0"/>
                    <w:rPr>
                      <w:u w:val="single"/>
                    </w:rPr>
                  </w:pPr>
                  <w:r>
                    <w:rPr>
                      <w:u w:val="single"/>
                    </w:rPr>
                    <w:t>115.60</w:t>
                  </w:r>
                </w:p>
              </w:tc>
              <w:tc>
                <w:tcPr>
                  <w:tcW w:w="1308" w:type="dxa"/>
                  <w:tcBorders>
                    <w:tl2br w:val="nil"/>
                    <w:tr2bl w:val="nil"/>
                  </w:tcBorders>
                  <w:vAlign w:val="center"/>
                </w:tcPr>
                <w:p>
                  <w:pPr>
                    <w:pStyle w:val="45"/>
                    <w:bidi w:val="0"/>
                    <w:rPr>
                      <w:u w:val="single"/>
                    </w:rPr>
                  </w:pPr>
                  <w:r>
                    <w:rPr>
                      <w:u w:val="single"/>
                    </w:rPr>
                    <w:t>P=0.1%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3.4</w:t>
                  </w:r>
                </w:p>
              </w:tc>
              <w:tc>
                <w:tcPr>
                  <w:tcW w:w="2395" w:type="dxa"/>
                  <w:tcBorders>
                    <w:tl2br w:val="nil"/>
                    <w:tr2bl w:val="nil"/>
                  </w:tcBorders>
                  <w:vAlign w:val="center"/>
                </w:tcPr>
                <w:p>
                  <w:pPr>
                    <w:pStyle w:val="45"/>
                    <w:bidi w:val="0"/>
                    <w:rPr>
                      <w:u w:val="single"/>
                    </w:rPr>
                  </w:pPr>
                  <w:r>
                    <w:rPr>
                      <w:u w:val="single"/>
                    </w:rPr>
                    <w:t>校核下泄流量</w:t>
                  </w:r>
                </w:p>
              </w:tc>
              <w:tc>
                <w:tcPr>
                  <w:tcW w:w="918" w:type="dxa"/>
                  <w:tcBorders>
                    <w:tl2br w:val="nil"/>
                    <w:tr2bl w:val="nil"/>
                  </w:tcBorders>
                  <w:vAlign w:val="center"/>
                </w:tcPr>
                <w:p>
                  <w:pPr>
                    <w:pStyle w:val="45"/>
                    <w:bidi w:val="0"/>
                    <w:rPr>
                      <w:u w:val="single"/>
                    </w:rPr>
                  </w:pPr>
                  <w:r>
                    <w:rPr>
                      <w:rFonts w:hint="eastAsia"/>
                      <w:u w:val="single"/>
                      <w:lang w:eastAsia="zh-CN"/>
                    </w:rPr>
                    <w:t>m3</w:t>
                  </w:r>
                  <w:r>
                    <w:rPr>
                      <w:u w:val="single"/>
                    </w:rPr>
                    <w:t>/s</w:t>
                  </w:r>
                </w:p>
              </w:tc>
              <w:tc>
                <w:tcPr>
                  <w:tcW w:w="1533" w:type="dxa"/>
                  <w:tcBorders>
                    <w:tl2br w:val="nil"/>
                    <w:tr2bl w:val="nil"/>
                  </w:tcBorders>
                  <w:vAlign w:val="center"/>
                </w:tcPr>
                <w:p>
                  <w:pPr>
                    <w:pStyle w:val="45"/>
                    <w:bidi w:val="0"/>
                    <w:rPr>
                      <w:u w:val="single"/>
                    </w:rPr>
                  </w:pPr>
                  <w:r>
                    <w:rPr>
                      <w:u w:val="single"/>
                    </w:rPr>
                    <w:t>19.6</w:t>
                  </w:r>
                </w:p>
              </w:tc>
              <w:tc>
                <w:tcPr>
                  <w:tcW w:w="1366" w:type="dxa"/>
                  <w:tcBorders>
                    <w:tl2br w:val="nil"/>
                    <w:tr2bl w:val="nil"/>
                  </w:tcBorders>
                  <w:vAlign w:val="center"/>
                </w:tcPr>
                <w:p>
                  <w:pPr>
                    <w:pStyle w:val="45"/>
                    <w:bidi w:val="0"/>
                    <w:rPr>
                      <w:u w:val="single"/>
                    </w:rPr>
                  </w:pPr>
                  <w:r>
                    <w:rPr>
                      <w:u w:val="single"/>
                    </w:rPr>
                    <w:t>19.6</w:t>
                  </w:r>
                </w:p>
              </w:tc>
              <w:tc>
                <w:tcPr>
                  <w:tcW w:w="1308" w:type="dxa"/>
                  <w:tcBorders>
                    <w:tl2br w:val="nil"/>
                    <w:tr2bl w:val="nil"/>
                  </w:tcBorders>
                  <w:vAlign w:val="center"/>
                </w:tcPr>
                <w:p>
                  <w:pPr>
                    <w:pStyle w:val="45"/>
                    <w:bidi w:val="0"/>
                    <w:rPr>
                      <w:u w:val="single"/>
                    </w:rPr>
                  </w:pPr>
                  <w:r>
                    <w:rPr>
                      <w:u w:val="single"/>
                    </w:rPr>
                    <w:t>P=0.1%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序号</w:t>
                  </w:r>
                </w:p>
              </w:tc>
              <w:tc>
                <w:tcPr>
                  <w:tcW w:w="2395" w:type="dxa"/>
                  <w:tcBorders>
                    <w:tl2br w:val="nil"/>
                    <w:tr2bl w:val="nil"/>
                  </w:tcBorders>
                  <w:vAlign w:val="center"/>
                </w:tcPr>
                <w:p>
                  <w:pPr>
                    <w:pStyle w:val="45"/>
                    <w:bidi w:val="0"/>
                    <w:rPr>
                      <w:u w:val="single"/>
                    </w:rPr>
                  </w:pPr>
                  <w:r>
                    <w:rPr>
                      <w:u w:val="single"/>
                    </w:rPr>
                    <w:t>指标名称</w:t>
                  </w:r>
                </w:p>
              </w:tc>
              <w:tc>
                <w:tcPr>
                  <w:tcW w:w="918" w:type="dxa"/>
                  <w:tcBorders>
                    <w:tl2br w:val="nil"/>
                    <w:tr2bl w:val="nil"/>
                  </w:tcBorders>
                  <w:textDirection w:val="tbRlV"/>
                  <w:vAlign w:val="center"/>
                </w:tcPr>
                <w:p>
                  <w:pPr>
                    <w:pStyle w:val="45"/>
                    <w:bidi w:val="0"/>
                    <w:rPr>
                      <w:u w:val="single"/>
                    </w:rPr>
                  </w:pPr>
                  <w:r>
                    <w:rPr>
                      <w:u w:val="single"/>
                    </w:rPr>
                    <w:t>单位</w:t>
                  </w:r>
                </w:p>
              </w:tc>
              <w:tc>
                <w:tcPr>
                  <w:tcW w:w="1533" w:type="dxa"/>
                  <w:tcBorders>
                    <w:tl2br w:val="nil"/>
                    <w:tr2bl w:val="nil"/>
                  </w:tcBorders>
                  <w:vAlign w:val="center"/>
                </w:tcPr>
                <w:p>
                  <w:pPr>
                    <w:pStyle w:val="45"/>
                    <w:bidi w:val="0"/>
                    <w:rPr>
                      <w:u w:val="single"/>
                    </w:rPr>
                  </w:pPr>
                  <w:r>
                    <w:rPr>
                      <w:u w:val="single"/>
                    </w:rPr>
                    <w:t>2019年第</w:t>
                  </w:r>
                </w:p>
                <w:p>
                  <w:pPr>
                    <w:pStyle w:val="45"/>
                    <w:bidi w:val="0"/>
                    <w:rPr>
                      <w:u w:val="single"/>
                    </w:rPr>
                  </w:pPr>
                  <w:r>
                    <w:rPr>
                      <w:u w:val="single"/>
                    </w:rPr>
                    <w:t>二次安全</w:t>
                  </w:r>
                </w:p>
                <w:p>
                  <w:pPr>
                    <w:pStyle w:val="45"/>
                    <w:bidi w:val="0"/>
                    <w:rPr>
                      <w:u w:val="single"/>
                    </w:rPr>
                  </w:pPr>
                  <w:r>
                    <w:rPr>
                      <w:u w:val="single"/>
                    </w:rPr>
                    <w:t>鉴定</w:t>
                  </w:r>
                </w:p>
              </w:tc>
              <w:tc>
                <w:tcPr>
                  <w:tcW w:w="1366" w:type="dxa"/>
                  <w:tcBorders>
                    <w:tl2br w:val="nil"/>
                    <w:tr2bl w:val="nil"/>
                  </w:tcBorders>
                  <w:vAlign w:val="center"/>
                </w:tcPr>
                <w:p>
                  <w:pPr>
                    <w:pStyle w:val="45"/>
                    <w:bidi w:val="0"/>
                    <w:rPr>
                      <w:u w:val="single"/>
                    </w:rPr>
                  </w:pPr>
                  <w:r>
                    <w:rPr>
                      <w:u w:val="single"/>
                    </w:rPr>
                    <w:t>本次初步设计</w:t>
                  </w:r>
                </w:p>
              </w:tc>
              <w:tc>
                <w:tcPr>
                  <w:tcW w:w="1308" w:type="dxa"/>
                  <w:tcBorders>
                    <w:tl2br w:val="nil"/>
                    <w:tr2bl w:val="nil"/>
                  </w:tcBorders>
                  <w:vAlign w:val="center"/>
                </w:tcPr>
                <w:p>
                  <w:pPr>
                    <w:pStyle w:val="45"/>
                    <w:bidi w:val="0"/>
                    <w:rPr>
                      <w:u w:val="single"/>
                    </w:rPr>
                  </w:pPr>
                  <w:r>
                    <w:rPr>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w:t>
                  </w:r>
                </w:p>
              </w:tc>
              <w:tc>
                <w:tcPr>
                  <w:tcW w:w="2395" w:type="dxa"/>
                  <w:tcBorders>
                    <w:tl2br w:val="nil"/>
                    <w:tr2bl w:val="nil"/>
                  </w:tcBorders>
                  <w:vAlign w:val="center"/>
                </w:tcPr>
                <w:p>
                  <w:pPr>
                    <w:pStyle w:val="45"/>
                    <w:bidi w:val="0"/>
                    <w:rPr>
                      <w:u w:val="single"/>
                    </w:rPr>
                  </w:pPr>
                  <w:r>
                    <w:rPr>
                      <w:u w:val="single"/>
                    </w:rPr>
                    <w:t>主要建筑物</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w:t>
                  </w:r>
                </w:p>
              </w:tc>
              <w:tc>
                <w:tcPr>
                  <w:tcW w:w="2395" w:type="dxa"/>
                  <w:tcBorders>
                    <w:tl2br w:val="nil"/>
                    <w:tr2bl w:val="nil"/>
                  </w:tcBorders>
                  <w:vAlign w:val="center"/>
                </w:tcPr>
                <w:p>
                  <w:pPr>
                    <w:pStyle w:val="45"/>
                    <w:bidi w:val="0"/>
                    <w:rPr>
                      <w:u w:val="single"/>
                    </w:rPr>
                  </w:pPr>
                  <w:r>
                    <w:rPr>
                      <w:u w:val="single"/>
                    </w:rPr>
                    <w:t>主坝</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4.1.1</w:t>
                  </w:r>
                </w:p>
              </w:tc>
              <w:tc>
                <w:tcPr>
                  <w:tcW w:w="2395" w:type="dxa"/>
                  <w:tcBorders>
                    <w:tl2br w:val="nil"/>
                    <w:tr2bl w:val="nil"/>
                  </w:tcBorders>
                  <w:vAlign w:val="center"/>
                </w:tcPr>
                <w:p>
                  <w:pPr>
                    <w:pStyle w:val="45"/>
                    <w:bidi w:val="0"/>
                    <w:rPr>
                      <w:u w:val="single"/>
                    </w:rPr>
                  </w:pPr>
                  <w:r>
                    <w:rPr>
                      <w:u w:val="single"/>
                    </w:rPr>
                    <w:t>型式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均质土坝</w:t>
                  </w:r>
                </w:p>
              </w:tc>
              <w:tc>
                <w:tcPr>
                  <w:tcW w:w="1366" w:type="dxa"/>
                  <w:tcBorders>
                    <w:tl2br w:val="nil"/>
                    <w:tr2bl w:val="nil"/>
                  </w:tcBorders>
                  <w:vAlign w:val="center"/>
                </w:tcPr>
                <w:p>
                  <w:pPr>
                    <w:pStyle w:val="45"/>
                    <w:bidi w:val="0"/>
                    <w:rPr>
                      <w:u w:val="single"/>
                    </w:rPr>
                  </w:pPr>
                  <w:r>
                    <w:rPr>
                      <w:u w:val="single"/>
                    </w:rPr>
                    <w:t>非土质材料防渗体坝(塑性混凝土心墙)</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4.1.2</w:t>
                  </w:r>
                </w:p>
              </w:tc>
              <w:tc>
                <w:tcPr>
                  <w:tcW w:w="2395" w:type="dxa"/>
                  <w:tcBorders>
                    <w:tl2br w:val="nil"/>
                    <w:tr2bl w:val="nil"/>
                  </w:tcBorders>
                  <w:vAlign w:val="center"/>
                </w:tcPr>
                <w:p>
                  <w:pPr>
                    <w:pStyle w:val="45"/>
                    <w:bidi w:val="0"/>
                    <w:rPr>
                      <w:u w:val="single"/>
                    </w:rPr>
                  </w:pPr>
                  <w:r>
                    <w:rPr>
                      <w:u w:val="single"/>
                    </w:rPr>
                    <w:t>坝顶高程</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81.90</w:t>
                  </w:r>
                </w:p>
              </w:tc>
              <w:tc>
                <w:tcPr>
                  <w:tcW w:w="1366" w:type="dxa"/>
                  <w:tcBorders>
                    <w:tl2br w:val="nil"/>
                    <w:tr2bl w:val="nil"/>
                  </w:tcBorders>
                  <w:vAlign w:val="center"/>
                </w:tcPr>
                <w:p>
                  <w:pPr>
                    <w:pStyle w:val="45"/>
                    <w:bidi w:val="0"/>
                    <w:rPr>
                      <w:u w:val="single"/>
                    </w:rPr>
                  </w:pPr>
                  <w:r>
                    <w:rPr>
                      <w:u w:val="single"/>
                    </w:rPr>
                    <w:t>81.90</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4.1.3</w:t>
                  </w:r>
                </w:p>
              </w:tc>
              <w:tc>
                <w:tcPr>
                  <w:tcW w:w="2395" w:type="dxa"/>
                  <w:tcBorders>
                    <w:tl2br w:val="nil"/>
                    <w:tr2bl w:val="nil"/>
                  </w:tcBorders>
                  <w:vAlign w:val="center"/>
                </w:tcPr>
                <w:p>
                  <w:pPr>
                    <w:pStyle w:val="45"/>
                    <w:bidi w:val="0"/>
                    <w:rPr>
                      <w:u w:val="single"/>
                    </w:rPr>
                  </w:pPr>
                  <w:r>
                    <w:rPr>
                      <w:u w:val="single"/>
                    </w:rPr>
                    <w:t>最大坝高</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22.27</w:t>
                  </w:r>
                </w:p>
              </w:tc>
              <w:tc>
                <w:tcPr>
                  <w:tcW w:w="1366" w:type="dxa"/>
                  <w:tcBorders>
                    <w:tl2br w:val="nil"/>
                    <w:tr2bl w:val="nil"/>
                  </w:tcBorders>
                  <w:vAlign w:val="center"/>
                </w:tcPr>
                <w:p>
                  <w:pPr>
                    <w:pStyle w:val="45"/>
                    <w:bidi w:val="0"/>
                    <w:rPr>
                      <w:u w:val="single"/>
                    </w:rPr>
                  </w:pPr>
                  <w:r>
                    <w:rPr>
                      <w:u w:val="single"/>
                    </w:rPr>
                    <w:t>22.27</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4.1.4</w:t>
                  </w:r>
                </w:p>
              </w:tc>
              <w:tc>
                <w:tcPr>
                  <w:tcW w:w="2395" w:type="dxa"/>
                  <w:tcBorders>
                    <w:tl2br w:val="nil"/>
                    <w:tr2bl w:val="nil"/>
                  </w:tcBorders>
                  <w:vAlign w:val="center"/>
                </w:tcPr>
                <w:p>
                  <w:pPr>
                    <w:pStyle w:val="45"/>
                    <w:bidi w:val="0"/>
                    <w:rPr>
                      <w:u w:val="single"/>
                    </w:rPr>
                  </w:pPr>
                  <w:r>
                    <w:rPr>
                      <w:u w:val="single"/>
                    </w:rPr>
                    <w:t>坝顶宽</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10</w:t>
                  </w:r>
                </w:p>
              </w:tc>
              <w:tc>
                <w:tcPr>
                  <w:tcW w:w="1366" w:type="dxa"/>
                  <w:tcBorders>
                    <w:tl2br w:val="nil"/>
                    <w:tr2bl w:val="nil"/>
                  </w:tcBorders>
                  <w:vAlign w:val="center"/>
                </w:tcPr>
                <w:p>
                  <w:pPr>
                    <w:pStyle w:val="45"/>
                    <w:bidi w:val="0"/>
                    <w:rPr>
                      <w:u w:val="single"/>
                    </w:rPr>
                  </w:pPr>
                  <w:r>
                    <w:rPr>
                      <w:u w:val="single"/>
                    </w:rPr>
                    <w:t>10</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4.1.5</w:t>
                  </w:r>
                </w:p>
              </w:tc>
              <w:tc>
                <w:tcPr>
                  <w:tcW w:w="2395" w:type="dxa"/>
                  <w:tcBorders>
                    <w:tl2br w:val="nil"/>
                    <w:tr2bl w:val="nil"/>
                  </w:tcBorders>
                  <w:vAlign w:val="center"/>
                </w:tcPr>
                <w:p>
                  <w:pPr>
                    <w:pStyle w:val="45"/>
                    <w:bidi w:val="0"/>
                    <w:rPr>
                      <w:u w:val="single"/>
                    </w:rPr>
                  </w:pPr>
                  <w:r>
                    <w:rPr>
                      <w:u w:val="single"/>
                    </w:rPr>
                    <w:t>坝顶轴线长</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819</w:t>
                  </w:r>
                </w:p>
              </w:tc>
              <w:tc>
                <w:tcPr>
                  <w:tcW w:w="1366" w:type="dxa"/>
                  <w:tcBorders>
                    <w:tl2br w:val="nil"/>
                    <w:tr2bl w:val="nil"/>
                  </w:tcBorders>
                  <w:vAlign w:val="center"/>
                </w:tcPr>
                <w:p>
                  <w:pPr>
                    <w:pStyle w:val="45"/>
                    <w:bidi w:val="0"/>
                    <w:rPr>
                      <w:u w:val="single"/>
                    </w:rPr>
                  </w:pPr>
                  <w:r>
                    <w:rPr>
                      <w:u w:val="single"/>
                    </w:rPr>
                    <w:t>819</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w:t>
                  </w:r>
                </w:p>
              </w:tc>
              <w:tc>
                <w:tcPr>
                  <w:tcW w:w="2395" w:type="dxa"/>
                  <w:tcBorders>
                    <w:tl2br w:val="nil"/>
                    <w:tr2bl w:val="nil"/>
                  </w:tcBorders>
                  <w:vAlign w:val="center"/>
                </w:tcPr>
                <w:p>
                  <w:pPr>
                    <w:pStyle w:val="45"/>
                    <w:bidi w:val="0"/>
                    <w:rPr>
                      <w:u w:val="single"/>
                    </w:rPr>
                  </w:pPr>
                  <w:r>
                    <w:rPr>
                      <w:u w:val="single"/>
                    </w:rPr>
                    <w:t>周家湾副坝</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4.2.1</w:t>
                  </w:r>
                </w:p>
              </w:tc>
              <w:tc>
                <w:tcPr>
                  <w:tcW w:w="2395" w:type="dxa"/>
                  <w:tcBorders>
                    <w:tl2br w:val="nil"/>
                    <w:tr2bl w:val="nil"/>
                  </w:tcBorders>
                  <w:vAlign w:val="center"/>
                </w:tcPr>
                <w:p>
                  <w:pPr>
                    <w:pStyle w:val="45"/>
                    <w:bidi w:val="0"/>
                    <w:rPr>
                      <w:u w:val="single"/>
                    </w:rPr>
                  </w:pPr>
                  <w:r>
                    <w:rPr>
                      <w:u w:val="single"/>
                    </w:rPr>
                    <w:t>型式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均质土坝</w:t>
                  </w:r>
                </w:p>
              </w:tc>
              <w:tc>
                <w:tcPr>
                  <w:tcW w:w="1366" w:type="dxa"/>
                  <w:tcBorders>
                    <w:tl2br w:val="nil"/>
                    <w:tr2bl w:val="nil"/>
                  </w:tcBorders>
                  <w:vAlign w:val="center"/>
                </w:tcPr>
                <w:p>
                  <w:pPr>
                    <w:pStyle w:val="45"/>
                    <w:bidi w:val="0"/>
                    <w:rPr>
                      <w:u w:val="single"/>
                    </w:rPr>
                  </w:pPr>
                  <w:r>
                    <w:rPr>
                      <w:u w:val="single"/>
                    </w:rPr>
                    <w:t>均质土坝</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4.2.2</w:t>
                  </w:r>
                </w:p>
              </w:tc>
              <w:tc>
                <w:tcPr>
                  <w:tcW w:w="2395" w:type="dxa"/>
                  <w:tcBorders>
                    <w:tl2br w:val="nil"/>
                    <w:tr2bl w:val="nil"/>
                  </w:tcBorders>
                  <w:vAlign w:val="center"/>
                </w:tcPr>
                <w:p>
                  <w:pPr>
                    <w:pStyle w:val="45"/>
                    <w:bidi w:val="0"/>
                    <w:rPr>
                      <w:u w:val="single"/>
                    </w:rPr>
                  </w:pPr>
                  <w:r>
                    <w:rPr>
                      <w:u w:val="single"/>
                    </w:rPr>
                    <w:t>坝顶高程</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80.28~80.9</w:t>
                  </w:r>
                </w:p>
              </w:tc>
              <w:tc>
                <w:tcPr>
                  <w:tcW w:w="1366" w:type="dxa"/>
                  <w:tcBorders>
                    <w:tl2br w:val="nil"/>
                    <w:tr2bl w:val="nil"/>
                  </w:tcBorders>
                  <w:vAlign w:val="center"/>
                </w:tcPr>
                <w:p>
                  <w:pPr>
                    <w:pStyle w:val="45"/>
                    <w:bidi w:val="0"/>
                    <w:rPr>
                      <w:u w:val="single"/>
                    </w:rPr>
                  </w:pPr>
                  <w:r>
                    <w:rPr>
                      <w:u w:val="single"/>
                    </w:rPr>
                    <w:t>80.28~80.9</w:t>
                  </w:r>
                </w:p>
              </w:tc>
              <w:tc>
                <w:tcPr>
                  <w:tcW w:w="1308" w:type="dxa"/>
                  <w:tcBorders>
                    <w:tl2br w:val="nil"/>
                    <w:tr2bl w:val="nil"/>
                  </w:tcBorders>
                  <w:vAlign w:val="center"/>
                </w:tcPr>
                <w:p>
                  <w:pPr>
                    <w:pStyle w:val="45"/>
                    <w:bidi w:val="0"/>
                    <w:rPr>
                      <w:u w:val="single"/>
                    </w:rPr>
                  </w:pPr>
                  <w:r>
                    <w:rPr>
                      <w:u w:val="single"/>
                    </w:rPr>
                    <w:t>本次初设设防浪墙，墙顶高程80.9m。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4.2.3</w:t>
                  </w:r>
                </w:p>
              </w:tc>
              <w:tc>
                <w:tcPr>
                  <w:tcW w:w="2395" w:type="dxa"/>
                  <w:tcBorders>
                    <w:tl2br w:val="nil"/>
                    <w:tr2bl w:val="nil"/>
                  </w:tcBorders>
                  <w:vAlign w:val="center"/>
                </w:tcPr>
                <w:p>
                  <w:pPr>
                    <w:pStyle w:val="45"/>
                    <w:bidi w:val="0"/>
                    <w:rPr>
                      <w:u w:val="single"/>
                    </w:rPr>
                  </w:pPr>
                  <w:r>
                    <w:rPr>
                      <w:u w:val="single"/>
                    </w:rPr>
                    <w:t>最大坝高</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7.98</w:t>
                  </w:r>
                </w:p>
              </w:tc>
              <w:tc>
                <w:tcPr>
                  <w:tcW w:w="1366" w:type="dxa"/>
                  <w:tcBorders>
                    <w:tl2br w:val="nil"/>
                    <w:tr2bl w:val="nil"/>
                  </w:tcBorders>
                  <w:vAlign w:val="center"/>
                </w:tcPr>
                <w:p>
                  <w:pPr>
                    <w:pStyle w:val="45"/>
                    <w:bidi w:val="0"/>
                    <w:rPr>
                      <w:u w:val="single"/>
                    </w:rPr>
                  </w:pPr>
                  <w:r>
                    <w:rPr>
                      <w:u w:val="single"/>
                    </w:rPr>
                    <w:t>7.98</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4.2.4</w:t>
                  </w:r>
                </w:p>
              </w:tc>
              <w:tc>
                <w:tcPr>
                  <w:tcW w:w="2395" w:type="dxa"/>
                  <w:tcBorders>
                    <w:tl2br w:val="nil"/>
                    <w:tr2bl w:val="nil"/>
                  </w:tcBorders>
                  <w:vAlign w:val="center"/>
                </w:tcPr>
                <w:p>
                  <w:pPr>
                    <w:pStyle w:val="45"/>
                    <w:bidi w:val="0"/>
                    <w:rPr>
                      <w:u w:val="single"/>
                    </w:rPr>
                  </w:pPr>
                  <w:r>
                    <w:rPr>
                      <w:u w:val="single"/>
                    </w:rPr>
                    <w:t>坝顶宽</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6</w:t>
                  </w:r>
                </w:p>
              </w:tc>
              <w:tc>
                <w:tcPr>
                  <w:tcW w:w="1366" w:type="dxa"/>
                  <w:tcBorders>
                    <w:tl2br w:val="nil"/>
                    <w:tr2bl w:val="nil"/>
                  </w:tcBorders>
                  <w:vAlign w:val="center"/>
                </w:tcPr>
                <w:p>
                  <w:pPr>
                    <w:pStyle w:val="45"/>
                    <w:bidi w:val="0"/>
                    <w:rPr>
                      <w:u w:val="single"/>
                    </w:rPr>
                  </w:pPr>
                  <w:r>
                    <w:rPr>
                      <w:u w:val="single"/>
                    </w:rPr>
                    <w:t>6</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4.2.5</w:t>
                  </w:r>
                </w:p>
              </w:tc>
              <w:tc>
                <w:tcPr>
                  <w:tcW w:w="2395" w:type="dxa"/>
                  <w:tcBorders>
                    <w:tl2br w:val="nil"/>
                    <w:tr2bl w:val="nil"/>
                  </w:tcBorders>
                  <w:vAlign w:val="center"/>
                </w:tcPr>
                <w:p>
                  <w:pPr>
                    <w:pStyle w:val="45"/>
                    <w:bidi w:val="0"/>
                    <w:rPr>
                      <w:u w:val="single"/>
                    </w:rPr>
                  </w:pPr>
                  <w:r>
                    <w:rPr>
                      <w:u w:val="single"/>
                    </w:rPr>
                    <w:t>坝顶轴线长</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181</w:t>
                  </w:r>
                </w:p>
              </w:tc>
              <w:tc>
                <w:tcPr>
                  <w:tcW w:w="1366" w:type="dxa"/>
                  <w:tcBorders>
                    <w:tl2br w:val="nil"/>
                    <w:tr2bl w:val="nil"/>
                  </w:tcBorders>
                  <w:vAlign w:val="center"/>
                </w:tcPr>
                <w:p>
                  <w:pPr>
                    <w:pStyle w:val="45"/>
                    <w:bidi w:val="0"/>
                    <w:rPr>
                      <w:u w:val="single"/>
                    </w:rPr>
                  </w:pPr>
                  <w:r>
                    <w:rPr>
                      <w:u w:val="single"/>
                    </w:rPr>
                    <w:t>181</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w:t>
                  </w:r>
                </w:p>
              </w:tc>
              <w:tc>
                <w:tcPr>
                  <w:tcW w:w="2395" w:type="dxa"/>
                  <w:tcBorders>
                    <w:tl2br w:val="nil"/>
                    <w:tr2bl w:val="nil"/>
                  </w:tcBorders>
                  <w:vAlign w:val="center"/>
                </w:tcPr>
                <w:p>
                  <w:pPr>
                    <w:pStyle w:val="45"/>
                    <w:bidi w:val="0"/>
                    <w:rPr>
                      <w:u w:val="single"/>
                    </w:rPr>
                  </w:pPr>
                  <w:r>
                    <w:rPr>
                      <w:u w:val="single"/>
                    </w:rPr>
                    <w:t>陈家冲副坝</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4.3.1</w:t>
                  </w:r>
                </w:p>
              </w:tc>
              <w:tc>
                <w:tcPr>
                  <w:tcW w:w="2395" w:type="dxa"/>
                  <w:tcBorders>
                    <w:tl2br w:val="nil"/>
                    <w:tr2bl w:val="nil"/>
                  </w:tcBorders>
                  <w:vAlign w:val="center"/>
                </w:tcPr>
                <w:p>
                  <w:pPr>
                    <w:pStyle w:val="45"/>
                    <w:bidi w:val="0"/>
                    <w:rPr>
                      <w:u w:val="single"/>
                    </w:rPr>
                  </w:pPr>
                  <w:r>
                    <w:rPr>
                      <w:u w:val="single"/>
                    </w:rPr>
                    <w:t>型式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均质土坝</w:t>
                  </w:r>
                </w:p>
              </w:tc>
              <w:tc>
                <w:tcPr>
                  <w:tcW w:w="1366" w:type="dxa"/>
                  <w:tcBorders>
                    <w:tl2br w:val="nil"/>
                    <w:tr2bl w:val="nil"/>
                  </w:tcBorders>
                  <w:vAlign w:val="center"/>
                </w:tcPr>
                <w:p>
                  <w:pPr>
                    <w:pStyle w:val="45"/>
                    <w:bidi w:val="0"/>
                    <w:rPr>
                      <w:u w:val="single"/>
                    </w:rPr>
                  </w:pPr>
                  <w:r>
                    <w:rPr>
                      <w:u w:val="single"/>
                    </w:rPr>
                    <w:t>均质土坝</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4.3.2</w:t>
                  </w:r>
                </w:p>
              </w:tc>
              <w:tc>
                <w:tcPr>
                  <w:tcW w:w="2395" w:type="dxa"/>
                  <w:tcBorders>
                    <w:tl2br w:val="nil"/>
                    <w:tr2bl w:val="nil"/>
                  </w:tcBorders>
                  <w:vAlign w:val="center"/>
                </w:tcPr>
                <w:p>
                  <w:pPr>
                    <w:pStyle w:val="45"/>
                    <w:bidi w:val="0"/>
                    <w:rPr>
                      <w:u w:val="single"/>
                    </w:rPr>
                  </w:pPr>
                  <w:r>
                    <w:rPr>
                      <w:u w:val="single"/>
                    </w:rPr>
                    <w:t>坝顶高程</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82.40</w:t>
                  </w:r>
                </w:p>
              </w:tc>
              <w:tc>
                <w:tcPr>
                  <w:tcW w:w="1366" w:type="dxa"/>
                  <w:tcBorders>
                    <w:tl2br w:val="nil"/>
                    <w:tr2bl w:val="nil"/>
                  </w:tcBorders>
                  <w:vAlign w:val="center"/>
                </w:tcPr>
                <w:p>
                  <w:pPr>
                    <w:pStyle w:val="45"/>
                    <w:bidi w:val="0"/>
                    <w:rPr>
                      <w:u w:val="single"/>
                    </w:rPr>
                  </w:pPr>
                  <w:r>
                    <w:rPr>
                      <w:u w:val="single"/>
                    </w:rPr>
                    <w:t>82.40</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4.3.3</w:t>
                  </w:r>
                </w:p>
              </w:tc>
              <w:tc>
                <w:tcPr>
                  <w:tcW w:w="2395" w:type="dxa"/>
                  <w:tcBorders>
                    <w:tl2br w:val="nil"/>
                    <w:tr2bl w:val="nil"/>
                  </w:tcBorders>
                  <w:vAlign w:val="center"/>
                </w:tcPr>
                <w:p>
                  <w:pPr>
                    <w:pStyle w:val="45"/>
                    <w:bidi w:val="0"/>
                    <w:rPr>
                      <w:u w:val="single"/>
                    </w:rPr>
                  </w:pPr>
                  <w:r>
                    <w:rPr>
                      <w:u w:val="single"/>
                    </w:rPr>
                    <w:t>最大坝高</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7.24</w:t>
                  </w:r>
                </w:p>
              </w:tc>
              <w:tc>
                <w:tcPr>
                  <w:tcW w:w="1366" w:type="dxa"/>
                  <w:tcBorders>
                    <w:tl2br w:val="nil"/>
                    <w:tr2bl w:val="nil"/>
                  </w:tcBorders>
                  <w:vAlign w:val="center"/>
                </w:tcPr>
                <w:p>
                  <w:pPr>
                    <w:pStyle w:val="45"/>
                    <w:bidi w:val="0"/>
                    <w:rPr>
                      <w:u w:val="single"/>
                    </w:rPr>
                  </w:pPr>
                  <w:r>
                    <w:rPr>
                      <w:u w:val="single"/>
                    </w:rPr>
                    <w:t>7.24</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4.3.4</w:t>
                  </w:r>
                </w:p>
              </w:tc>
              <w:tc>
                <w:tcPr>
                  <w:tcW w:w="2395" w:type="dxa"/>
                  <w:tcBorders>
                    <w:tl2br w:val="nil"/>
                    <w:tr2bl w:val="nil"/>
                  </w:tcBorders>
                  <w:vAlign w:val="center"/>
                </w:tcPr>
                <w:p>
                  <w:pPr>
                    <w:pStyle w:val="45"/>
                    <w:bidi w:val="0"/>
                    <w:rPr>
                      <w:u w:val="single"/>
                    </w:rPr>
                  </w:pPr>
                  <w:r>
                    <w:rPr>
                      <w:u w:val="single"/>
                    </w:rPr>
                    <w:t>坝顶宽</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5.5</w:t>
                  </w:r>
                </w:p>
              </w:tc>
              <w:tc>
                <w:tcPr>
                  <w:tcW w:w="1366" w:type="dxa"/>
                  <w:tcBorders>
                    <w:tl2br w:val="nil"/>
                    <w:tr2bl w:val="nil"/>
                  </w:tcBorders>
                  <w:vAlign w:val="center"/>
                </w:tcPr>
                <w:p>
                  <w:pPr>
                    <w:pStyle w:val="45"/>
                    <w:bidi w:val="0"/>
                    <w:rPr>
                      <w:u w:val="single"/>
                    </w:rPr>
                  </w:pPr>
                  <w:r>
                    <w:rPr>
                      <w:u w:val="single"/>
                    </w:rPr>
                    <w:t>5.5</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4.3.5</w:t>
                  </w:r>
                </w:p>
              </w:tc>
              <w:tc>
                <w:tcPr>
                  <w:tcW w:w="2395" w:type="dxa"/>
                  <w:tcBorders>
                    <w:tl2br w:val="nil"/>
                    <w:tr2bl w:val="nil"/>
                  </w:tcBorders>
                  <w:vAlign w:val="center"/>
                </w:tcPr>
                <w:p>
                  <w:pPr>
                    <w:pStyle w:val="45"/>
                    <w:bidi w:val="0"/>
                    <w:rPr>
                      <w:u w:val="single"/>
                    </w:rPr>
                  </w:pPr>
                  <w:r>
                    <w:rPr>
                      <w:u w:val="single"/>
                    </w:rPr>
                    <w:t>坝顶轴线长</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79</w:t>
                  </w:r>
                </w:p>
              </w:tc>
              <w:tc>
                <w:tcPr>
                  <w:tcW w:w="1366" w:type="dxa"/>
                  <w:tcBorders>
                    <w:tl2br w:val="nil"/>
                    <w:tr2bl w:val="nil"/>
                  </w:tcBorders>
                  <w:vAlign w:val="center"/>
                </w:tcPr>
                <w:p>
                  <w:pPr>
                    <w:pStyle w:val="45"/>
                    <w:bidi w:val="0"/>
                    <w:rPr>
                      <w:u w:val="single"/>
                    </w:rPr>
                  </w:pPr>
                  <w:r>
                    <w:rPr>
                      <w:u w:val="single"/>
                    </w:rPr>
                    <w:t>59</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4.4</w:t>
                  </w:r>
                </w:p>
              </w:tc>
              <w:tc>
                <w:tcPr>
                  <w:tcW w:w="2395" w:type="dxa"/>
                  <w:tcBorders>
                    <w:tl2br w:val="nil"/>
                    <w:tr2bl w:val="nil"/>
                  </w:tcBorders>
                  <w:vAlign w:val="center"/>
                </w:tcPr>
                <w:p>
                  <w:pPr>
                    <w:pStyle w:val="45"/>
                    <w:bidi w:val="0"/>
                    <w:rPr>
                      <w:u w:val="single"/>
                    </w:rPr>
                  </w:pPr>
                  <w:r>
                    <w:rPr>
                      <w:u w:val="single"/>
                    </w:rPr>
                    <w:t>泄水建筑物</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序号</w:t>
                  </w:r>
                </w:p>
              </w:tc>
              <w:tc>
                <w:tcPr>
                  <w:tcW w:w="2395" w:type="dxa"/>
                  <w:tcBorders>
                    <w:tl2br w:val="nil"/>
                    <w:tr2bl w:val="nil"/>
                  </w:tcBorders>
                  <w:vAlign w:val="center"/>
                </w:tcPr>
                <w:p>
                  <w:pPr>
                    <w:pStyle w:val="45"/>
                    <w:bidi w:val="0"/>
                    <w:rPr>
                      <w:u w:val="single"/>
                    </w:rPr>
                  </w:pPr>
                  <w:r>
                    <w:rPr>
                      <w:u w:val="single"/>
                    </w:rPr>
                    <w:t>指标名称</w:t>
                  </w:r>
                </w:p>
              </w:tc>
              <w:tc>
                <w:tcPr>
                  <w:tcW w:w="918" w:type="dxa"/>
                  <w:tcBorders>
                    <w:tl2br w:val="nil"/>
                    <w:tr2bl w:val="nil"/>
                  </w:tcBorders>
                  <w:vAlign w:val="center"/>
                </w:tcPr>
                <w:p>
                  <w:pPr>
                    <w:pStyle w:val="45"/>
                    <w:bidi w:val="0"/>
                    <w:rPr>
                      <w:u w:val="single"/>
                    </w:rPr>
                  </w:pPr>
                  <w:r>
                    <w:rPr>
                      <w:u w:val="single"/>
                    </w:rPr>
                    <w:t>单位</w:t>
                  </w:r>
                </w:p>
              </w:tc>
              <w:tc>
                <w:tcPr>
                  <w:tcW w:w="1533" w:type="dxa"/>
                  <w:tcBorders>
                    <w:tl2br w:val="nil"/>
                    <w:tr2bl w:val="nil"/>
                  </w:tcBorders>
                  <w:vAlign w:val="center"/>
                </w:tcPr>
                <w:p>
                  <w:pPr>
                    <w:pStyle w:val="45"/>
                    <w:bidi w:val="0"/>
                    <w:rPr>
                      <w:u w:val="single"/>
                    </w:rPr>
                  </w:pPr>
                  <w:r>
                    <w:rPr>
                      <w:u w:val="single"/>
                    </w:rPr>
                    <w:t>2019年第</w:t>
                  </w:r>
                </w:p>
                <w:p>
                  <w:pPr>
                    <w:pStyle w:val="45"/>
                    <w:bidi w:val="0"/>
                    <w:rPr>
                      <w:u w:val="single"/>
                    </w:rPr>
                  </w:pPr>
                  <w:r>
                    <w:rPr>
                      <w:u w:val="single"/>
                    </w:rPr>
                    <w:t>二次安全</w:t>
                  </w:r>
                </w:p>
                <w:p>
                  <w:pPr>
                    <w:pStyle w:val="45"/>
                    <w:bidi w:val="0"/>
                    <w:rPr>
                      <w:u w:val="single"/>
                    </w:rPr>
                  </w:pPr>
                  <w:r>
                    <w:rPr>
                      <w:u w:val="single"/>
                    </w:rPr>
                    <w:t>鉴定</w:t>
                  </w:r>
                </w:p>
              </w:tc>
              <w:tc>
                <w:tcPr>
                  <w:tcW w:w="1366" w:type="dxa"/>
                  <w:tcBorders>
                    <w:tl2br w:val="nil"/>
                    <w:tr2bl w:val="nil"/>
                  </w:tcBorders>
                  <w:vAlign w:val="center"/>
                </w:tcPr>
                <w:p>
                  <w:pPr>
                    <w:pStyle w:val="45"/>
                    <w:bidi w:val="0"/>
                    <w:rPr>
                      <w:u w:val="single"/>
                    </w:rPr>
                  </w:pPr>
                  <w:r>
                    <w:rPr>
                      <w:u w:val="single"/>
                    </w:rPr>
                    <w:t>本次初步设计</w:t>
                  </w:r>
                </w:p>
              </w:tc>
              <w:tc>
                <w:tcPr>
                  <w:tcW w:w="1308" w:type="dxa"/>
                  <w:tcBorders>
                    <w:tl2br w:val="nil"/>
                    <w:tr2bl w:val="nil"/>
                  </w:tcBorders>
                  <w:vAlign w:val="center"/>
                </w:tcPr>
                <w:p>
                  <w:pPr>
                    <w:pStyle w:val="45"/>
                    <w:bidi w:val="0"/>
                    <w:rPr>
                      <w:u w:val="single"/>
                    </w:rPr>
                  </w:pPr>
                  <w:r>
                    <w:rPr>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4.4.1</w:t>
                  </w:r>
                </w:p>
              </w:tc>
              <w:tc>
                <w:tcPr>
                  <w:tcW w:w="2395" w:type="dxa"/>
                  <w:tcBorders>
                    <w:tl2br w:val="nil"/>
                    <w:tr2bl w:val="nil"/>
                  </w:tcBorders>
                  <w:vAlign w:val="center"/>
                </w:tcPr>
                <w:p>
                  <w:pPr>
                    <w:pStyle w:val="45"/>
                    <w:bidi w:val="0"/>
                    <w:rPr>
                      <w:u w:val="single"/>
                    </w:rPr>
                  </w:pPr>
                  <w:r>
                    <w:rPr>
                      <w:u w:val="single"/>
                    </w:rPr>
                    <w:t>型式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开敞式溢洪道</w:t>
                  </w:r>
                </w:p>
              </w:tc>
              <w:tc>
                <w:tcPr>
                  <w:tcW w:w="1366" w:type="dxa"/>
                  <w:tcBorders>
                    <w:tl2br w:val="nil"/>
                    <w:tr2bl w:val="nil"/>
                  </w:tcBorders>
                  <w:vAlign w:val="center"/>
                </w:tcPr>
                <w:p>
                  <w:pPr>
                    <w:pStyle w:val="45"/>
                    <w:bidi w:val="0"/>
                    <w:rPr>
                      <w:u w:val="single"/>
                    </w:rPr>
                  </w:pPr>
                  <w:r>
                    <w:rPr>
                      <w:u w:val="single"/>
                    </w:rPr>
                    <w:t>开敞式溢洪道</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4.4.2</w:t>
                  </w:r>
                </w:p>
              </w:tc>
              <w:tc>
                <w:tcPr>
                  <w:tcW w:w="2395" w:type="dxa"/>
                  <w:tcBorders>
                    <w:tl2br w:val="nil"/>
                    <w:tr2bl w:val="nil"/>
                  </w:tcBorders>
                  <w:vAlign w:val="center"/>
                </w:tcPr>
                <w:p>
                  <w:pPr>
                    <w:pStyle w:val="45"/>
                    <w:bidi w:val="0"/>
                    <w:rPr>
                      <w:u w:val="single"/>
                    </w:rPr>
                  </w:pPr>
                  <w:r>
                    <w:rPr>
                      <w:u w:val="single"/>
                    </w:rPr>
                    <w:t>溢流堰顶高程</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78.83</w:t>
                  </w:r>
                </w:p>
              </w:tc>
              <w:tc>
                <w:tcPr>
                  <w:tcW w:w="1366" w:type="dxa"/>
                  <w:tcBorders>
                    <w:tl2br w:val="nil"/>
                    <w:tr2bl w:val="nil"/>
                  </w:tcBorders>
                  <w:vAlign w:val="center"/>
                </w:tcPr>
                <w:p>
                  <w:pPr>
                    <w:pStyle w:val="45"/>
                    <w:bidi w:val="0"/>
                    <w:rPr>
                      <w:u w:val="single"/>
                    </w:rPr>
                  </w:pPr>
                  <w:r>
                    <w:rPr>
                      <w:u w:val="single"/>
                    </w:rPr>
                    <w:t>78.83</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4.4.3</w:t>
                  </w:r>
                </w:p>
              </w:tc>
              <w:tc>
                <w:tcPr>
                  <w:tcW w:w="2395" w:type="dxa"/>
                  <w:tcBorders>
                    <w:tl2br w:val="nil"/>
                    <w:tr2bl w:val="nil"/>
                  </w:tcBorders>
                  <w:vAlign w:val="center"/>
                </w:tcPr>
                <w:p>
                  <w:pPr>
                    <w:pStyle w:val="45"/>
                    <w:bidi w:val="0"/>
                    <w:rPr>
                      <w:u w:val="single"/>
                    </w:rPr>
                  </w:pPr>
                  <w:r>
                    <w:rPr>
                      <w:u w:val="single"/>
                    </w:rPr>
                    <w:t>溢流段净宽</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18</w:t>
                  </w:r>
                </w:p>
              </w:tc>
              <w:tc>
                <w:tcPr>
                  <w:tcW w:w="1366" w:type="dxa"/>
                  <w:tcBorders>
                    <w:tl2br w:val="nil"/>
                    <w:tr2bl w:val="nil"/>
                  </w:tcBorders>
                  <w:vAlign w:val="center"/>
                </w:tcPr>
                <w:p>
                  <w:pPr>
                    <w:pStyle w:val="45"/>
                    <w:bidi w:val="0"/>
                    <w:rPr>
                      <w:u w:val="single"/>
                    </w:rPr>
                  </w:pPr>
                  <w:r>
                    <w:rPr>
                      <w:u w:val="single"/>
                    </w:rPr>
                    <w:t>18</w:t>
                  </w:r>
                </w:p>
              </w:tc>
              <w:tc>
                <w:tcPr>
                  <w:tcW w:w="1308" w:type="dxa"/>
                  <w:tcBorders>
                    <w:tl2br w:val="nil"/>
                    <w:tr2bl w:val="nil"/>
                  </w:tcBorders>
                  <w:vAlign w:val="center"/>
                </w:tcPr>
                <w:p>
                  <w:pPr>
                    <w:pStyle w:val="45"/>
                    <w:bidi w:val="0"/>
                    <w:rPr>
                      <w:u w:val="single"/>
                    </w:rPr>
                  </w:pPr>
                  <w:r>
                    <w:rPr>
                      <w:u w:val="single"/>
                    </w:rPr>
                    <w:t>不含交通桥两个中墩厚度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4.4.4</w:t>
                  </w:r>
                </w:p>
              </w:tc>
              <w:tc>
                <w:tcPr>
                  <w:tcW w:w="2395" w:type="dxa"/>
                  <w:tcBorders>
                    <w:tl2br w:val="nil"/>
                    <w:tr2bl w:val="nil"/>
                  </w:tcBorders>
                  <w:vAlign w:val="center"/>
                </w:tcPr>
                <w:p>
                  <w:pPr>
                    <w:pStyle w:val="45"/>
                    <w:bidi w:val="0"/>
                    <w:rPr>
                      <w:u w:val="single"/>
                    </w:rPr>
                  </w:pPr>
                  <w:r>
                    <w:rPr>
                      <w:u w:val="single"/>
                    </w:rPr>
                    <w:t>消能方式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跌坎底流消能</w:t>
                  </w:r>
                </w:p>
              </w:tc>
              <w:tc>
                <w:tcPr>
                  <w:tcW w:w="1366" w:type="dxa"/>
                  <w:tcBorders>
                    <w:tl2br w:val="nil"/>
                    <w:tr2bl w:val="nil"/>
                  </w:tcBorders>
                  <w:vAlign w:val="center"/>
                </w:tcPr>
                <w:p>
                  <w:pPr>
                    <w:pStyle w:val="45"/>
                    <w:bidi w:val="0"/>
                    <w:rPr>
                      <w:u w:val="single"/>
                    </w:rPr>
                  </w:pPr>
                  <w:r>
                    <w:rPr>
                      <w:u w:val="single"/>
                    </w:rPr>
                    <w:t>跌坎底流消能</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w:t>
                  </w:r>
                </w:p>
              </w:tc>
              <w:tc>
                <w:tcPr>
                  <w:tcW w:w="2395" w:type="dxa"/>
                  <w:tcBorders>
                    <w:tl2br w:val="nil"/>
                    <w:tr2bl w:val="nil"/>
                  </w:tcBorders>
                  <w:vAlign w:val="center"/>
                </w:tcPr>
                <w:p>
                  <w:pPr>
                    <w:pStyle w:val="45"/>
                    <w:bidi w:val="0"/>
                    <w:rPr>
                      <w:u w:val="single"/>
                    </w:rPr>
                  </w:pPr>
                  <w:r>
                    <w:rPr>
                      <w:u w:val="single"/>
                    </w:rPr>
                    <w:t>输水建筑物(主坝输水涵洞)</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p>
              </w:tc>
              <w:tc>
                <w:tcPr>
                  <w:tcW w:w="1366" w:type="dxa"/>
                  <w:tcBorders>
                    <w:tl2br w:val="nil"/>
                    <w:tr2bl w:val="nil"/>
                  </w:tcBorders>
                  <w:vAlign w:val="center"/>
                </w:tcPr>
                <w:p>
                  <w:pPr>
                    <w:pStyle w:val="45"/>
                    <w:bidi w:val="0"/>
                    <w:rPr>
                      <w:u w:val="single"/>
                    </w:rPr>
                  </w:pP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4.5.1</w:t>
                  </w:r>
                </w:p>
              </w:tc>
              <w:tc>
                <w:tcPr>
                  <w:tcW w:w="2395" w:type="dxa"/>
                  <w:tcBorders>
                    <w:tl2br w:val="nil"/>
                    <w:tr2bl w:val="nil"/>
                  </w:tcBorders>
                  <w:vAlign w:val="center"/>
                </w:tcPr>
                <w:p>
                  <w:pPr>
                    <w:pStyle w:val="45"/>
                    <w:bidi w:val="0"/>
                    <w:rPr>
                      <w:u w:val="single"/>
                    </w:rPr>
                  </w:pPr>
                  <w:r>
                    <w:rPr>
                      <w:u w:val="single"/>
                    </w:rPr>
                    <w:t>型式</w:t>
                  </w:r>
                </w:p>
              </w:tc>
              <w:tc>
                <w:tcPr>
                  <w:tcW w:w="918" w:type="dxa"/>
                  <w:tcBorders>
                    <w:tl2br w:val="nil"/>
                    <w:tr2bl w:val="nil"/>
                  </w:tcBorders>
                  <w:vAlign w:val="center"/>
                </w:tcPr>
                <w:p>
                  <w:pPr>
                    <w:pStyle w:val="45"/>
                    <w:bidi w:val="0"/>
                    <w:rPr>
                      <w:u w:val="single"/>
                    </w:rPr>
                  </w:pPr>
                </w:p>
              </w:tc>
              <w:tc>
                <w:tcPr>
                  <w:tcW w:w="1533" w:type="dxa"/>
                  <w:tcBorders>
                    <w:tl2br w:val="nil"/>
                    <w:tr2bl w:val="nil"/>
                  </w:tcBorders>
                  <w:vAlign w:val="center"/>
                </w:tcPr>
                <w:p>
                  <w:pPr>
                    <w:pStyle w:val="45"/>
                    <w:bidi w:val="0"/>
                    <w:rPr>
                      <w:u w:val="single"/>
                    </w:rPr>
                  </w:pPr>
                  <w:r>
                    <w:rPr>
                      <w:u w:val="single"/>
                    </w:rPr>
                    <w:t>钢筋砼压力圆管</w:t>
                  </w:r>
                </w:p>
              </w:tc>
              <w:tc>
                <w:tcPr>
                  <w:tcW w:w="1366" w:type="dxa"/>
                  <w:tcBorders>
                    <w:tl2br w:val="nil"/>
                    <w:tr2bl w:val="nil"/>
                  </w:tcBorders>
                  <w:vAlign w:val="center"/>
                </w:tcPr>
                <w:p>
                  <w:pPr>
                    <w:pStyle w:val="45"/>
                    <w:bidi w:val="0"/>
                    <w:rPr>
                      <w:u w:val="single"/>
                    </w:rPr>
                  </w:pPr>
                  <w:r>
                    <w:rPr>
                      <w:u w:val="single"/>
                    </w:rPr>
                    <w:t>钢筋砼压力箱涵</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4.5.2</w:t>
                  </w:r>
                </w:p>
              </w:tc>
              <w:tc>
                <w:tcPr>
                  <w:tcW w:w="2395" w:type="dxa"/>
                  <w:tcBorders>
                    <w:tl2br w:val="nil"/>
                    <w:tr2bl w:val="nil"/>
                  </w:tcBorders>
                  <w:vAlign w:val="center"/>
                </w:tcPr>
                <w:p>
                  <w:pPr>
                    <w:pStyle w:val="45"/>
                    <w:bidi w:val="0"/>
                    <w:rPr>
                      <w:u w:val="single"/>
                    </w:rPr>
                  </w:pPr>
                  <w:r>
                    <w:rPr>
                      <w:u w:val="single"/>
                    </w:rPr>
                    <w:t>设计流量</w:t>
                  </w:r>
                </w:p>
              </w:tc>
              <w:tc>
                <w:tcPr>
                  <w:tcW w:w="918" w:type="dxa"/>
                  <w:tcBorders>
                    <w:tl2br w:val="nil"/>
                    <w:tr2bl w:val="nil"/>
                  </w:tcBorders>
                  <w:vAlign w:val="center"/>
                </w:tcPr>
                <w:p>
                  <w:pPr>
                    <w:pStyle w:val="45"/>
                    <w:bidi w:val="0"/>
                    <w:rPr>
                      <w:u w:val="single"/>
                    </w:rPr>
                  </w:pPr>
                  <w:r>
                    <w:rPr>
                      <w:rFonts w:hint="eastAsia"/>
                      <w:u w:val="single"/>
                      <w:lang w:eastAsia="zh-CN"/>
                    </w:rPr>
                    <w:t>m3</w:t>
                  </w:r>
                  <w:r>
                    <w:rPr>
                      <w:u w:val="single"/>
                    </w:rPr>
                    <w:t>/s</w:t>
                  </w:r>
                </w:p>
              </w:tc>
              <w:tc>
                <w:tcPr>
                  <w:tcW w:w="1533" w:type="dxa"/>
                  <w:tcBorders>
                    <w:tl2br w:val="nil"/>
                    <w:tr2bl w:val="nil"/>
                  </w:tcBorders>
                  <w:vAlign w:val="center"/>
                </w:tcPr>
                <w:p>
                  <w:pPr>
                    <w:pStyle w:val="45"/>
                    <w:bidi w:val="0"/>
                    <w:rPr>
                      <w:u w:val="single"/>
                    </w:rPr>
                  </w:pPr>
                  <w:r>
                    <w:rPr>
                      <w:u w:val="single"/>
                    </w:rPr>
                    <w:t>2.91</w:t>
                  </w:r>
                </w:p>
              </w:tc>
              <w:tc>
                <w:tcPr>
                  <w:tcW w:w="1366" w:type="dxa"/>
                  <w:tcBorders>
                    <w:tl2br w:val="nil"/>
                    <w:tr2bl w:val="nil"/>
                  </w:tcBorders>
                  <w:vAlign w:val="center"/>
                </w:tcPr>
                <w:p>
                  <w:pPr>
                    <w:pStyle w:val="45"/>
                    <w:bidi w:val="0"/>
                    <w:rPr>
                      <w:u w:val="single"/>
                    </w:rPr>
                  </w:pPr>
                  <w:r>
                    <w:rPr>
                      <w:u w:val="single"/>
                    </w:rPr>
                    <w:t>2.91</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4.5.3</w:t>
                  </w:r>
                </w:p>
              </w:tc>
              <w:tc>
                <w:tcPr>
                  <w:tcW w:w="2395" w:type="dxa"/>
                  <w:tcBorders>
                    <w:tl2br w:val="nil"/>
                    <w:tr2bl w:val="nil"/>
                  </w:tcBorders>
                  <w:vAlign w:val="center"/>
                </w:tcPr>
                <w:p>
                  <w:pPr>
                    <w:pStyle w:val="45"/>
                    <w:bidi w:val="0"/>
                    <w:rPr>
                      <w:u w:val="single"/>
                    </w:rPr>
                  </w:pPr>
                  <w:r>
                    <w:rPr>
                      <w:u w:val="single"/>
                    </w:rPr>
                    <w:t>长度</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96.5</w:t>
                  </w:r>
                </w:p>
              </w:tc>
              <w:tc>
                <w:tcPr>
                  <w:tcW w:w="1366" w:type="dxa"/>
                  <w:tcBorders>
                    <w:tl2br w:val="nil"/>
                    <w:tr2bl w:val="nil"/>
                  </w:tcBorders>
                  <w:vAlign w:val="center"/>
                </w:tcPr>
                <w:p>
                  <w:pPr>
                    <w:pStyle w:val="45"/>
                    <w:bidi w:val="0"/>
                    <w:rPr>
                      <w:u w:val="single"/>
                    </w:rPr>
                  </w:pPr>
                  <w:r>
                    <w:rPr>
                      <w:u w:val="single"/>
                    </w:rPr>
                    <w:t>107.0</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4.5.4</w:t>
                  </w:r>
                </w:p>
              </w:tc>
              <w:tc>
                <w:tcPr>
                  <w:tcW w:w="2395" w:type="dxa"/>
                  <w:tcBorders>
                    <w:tl2br w:val="nil"/>
                    <w:tr2bl w:val="nil"/>
                  </w:tcBorders>
                  <w:vAlign w:val="center"/>
                </w:tcPr>
                <w:p>
                  <w:pPr>
                    <w:pStyle w:val="45"/>
                    <w:bidi w:val="0"/>
                    <w:rPr>
                      <w:u w:val="single"/>
                    </w:rPr>
                  </w:pPr>
                  <w:r>
                    <w:rPr>
                      <w:u w:val="single"/>
                    </w:rPr>
                    <w:t>断面尺寸</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Ф1.2</w:t>
                  </w:r>
                </w:p>
              </w:tc>
              <w:tc>
                <w:tcPr>
                  <w:tcW w:w="1366" w:type="dxa"/>
                  <w:tcBorders>
                    <w:tl2br w:val="nil"/>
                    <w:tr2bl w:val="nil"/>
                  </w:tcBorders>
                  <w:vAlign w:val="center"/>
                </w:tcPr>
                <w:p>
                  <w:pPr>
                    <w:pStyle w:val="45"/>
                    <w:bidi w:val="0"/>
                    <w:rPr>
                      <w:u w:val="single"/>
                    </w:rPr>
                  </w:pPr>
                  <w:r>
                    <w:rPr>
                      <w:u w:val="single"/>
                    </w:rPr>
                    <w:t>1.5×1.8</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4.5.5</w:t>
                  </w:r>
                </w:p>
              </w:tc>
              <w:tc>
                <w:tcPr>
                  <w:tcW w:w="2395" w:type="dxa"/>
                  <w:tcBorders>
                    <w:tl2br w:val="nil"/>
                    <w:tr2bl w:val="nil"/>
                  </w:tcBorders>
                  <w:vAlign w:val="center"/>
                </w:tcPr>
                <w:p>
                  <w:pPr>
                    <w:pStyle w:val="45"/>
                    <w:bidi w:val="0"/>
                    <w:rPr>
                      <w:u w:val="single"/>
                    </w:rPr>
                  </w:pPr>
                  <w:r>
                    <w:rPr>
                      <w:u w:val="single"/>
                    </w:rPr>
                    <w:t>进口高程</w:t>
                  </w:r>
                </w:p>
              </w:tc>
              <w:tc>
                <w:tcPr>
                  <w:tcW w:w="918" w:type="dxa"/>
                  <w:tcBorders>
                    <w:tl2br w:val="nil"/>
                    <w:tr2bl w:val="nil"/>
                  </w:tcBorders>
                  <w:vAlign w:val="center"/>
                </w:tcPr>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62.7</w:t>
                  </w:r>
                </w:p>
              </w:tc>
              <w:tc>
                <w:tcPr>
                  <w:tcW w:w="1366" w:type="dxa"/>
                  <w:tcBorders>
                    <w:tl2br w:val="nil"/>
                    <w:tr2bl w:val="nil"/>
                  </w:tcBorders>
                  <w:vAlign w:val="center"/>
                </w:tcPr>
                <w:p>
                  <w:pPr>
                    <w:pStyle w:val="45"/>
                    <w:bidi w:val="0"/>
                    <w:rPr>
                      <w:u w:val="single"/>
                    </w:rPr>
                  </w:pPr>
                  <w:r>
                    <w:rPr>
                      <w:u w:val="single"/>
                    </w:rPr>
                    <w:t>62.7</w:t>
                  </w:r>
                </w:p>
              </w:tc>
              <w:tc>
                <w:tcPr>
                  <w:tcW w:w="1308" w:type="dxa"/>
                  <w:tcBorders>
                    <w:tl2br w:val="nil"/>
                    <w:tr2bl w:val="nil"/>
                  </w:tcBorders>
                  <w:vAlign w:val="center"/>
                </w:tcPr>
                <w:p>
                  <w:pPr>
                    <w:pStyle w:val="45"/>
                    <w:bidi w:val="0"/>
                    <w:rPr>
                      <w:u w:val="singl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4.5.6</w:t>
                  </w:r>
                </w:p>
              </w:tc>
              <w:tc>
                <w:tcPr>
                  <w:tcW w:w="2395" w:type="dxa"/>
                  <w:tcBorders>
                    <w:tl2br w:val="nil"/>
                    <w:tr2bl w:val="nil"/>
                  </w:tcBorders>
                  <w:vAlign w:val="center"/>
                </w:tcPr>
                <w:p>
                  <w:pPr>
                    <w:pStyle w:val="45"/>
                    <w:bidi w:val="0"/>
                    <w:rPr>
                      <w:u w:val="single"/>
                    </w:rPr>
                  </w:pPr>
                  <w:r>
                    <w:rPr>
                      <w:u w:val="single"/>
                    </w:rPr>
                    <w:t>闸门尺寸(宽×高)</w:t>
                  </w:r>
                </w:p>
              </w:tc>
              <w:tc>
                <w:tcPr>
                  <w:tcW w:w="918" w:type="dxa"/>
                  <w:tcBorders>
                    <w:tl2br w:val="nil"/>
                    <w:tr2bl w:val="nil"/>
                  </w:tcBorders>
                  <w:vAlign w:val="center"/>
                </w:tcPr>
                <w:p>
                  <w:pPr>
                    <w:pStyle w:val="45"/>
                    <w:bidi w:val="0"/>
                    <w:rPr>
                      <w:u w:val="single"/>
                    </w:rPr>
                  </w:pPr>
                  <w:r>
                    <w:rPr>
                      <w:u w:val="single"/>
                    </w:rPr>
                    <w:t>m×</w:t>
                  </w:r>
                </w:p>
                <w:p>
                  <w:pPr>
                    <w:pStyle w:val="45"/>
                    <w:bidi w:val="0"/>
                    <w:rPr>
                      <w:u w:val="single"/>
                    </w:rPr>
                  </w:pPr>
                  <w:r>
                    <w:rPr>
                      <w:u w:val="single"/>
                    </w:rPr>
                    <w:t>m</w:t>
                  </w:r>
                </w:p>
              </w:tc>
              <w:tc>
                <w:tcPr>
                  <w:tcW w:w="1533" w:type="dxa"/>
                  <w:tcBorders>
                    <w:tl2br w:val="nil"/>
                    <w:tr2bl w:val="nil"/>
                  </w:tcBorders>
                  <w:vAlign w:val="center"/>
                </w:tcPr>
                <w:p>
                  <w:pPr>
                    <w:pStyle w:val="45"/>
                    <w:bidi w:val="0"/>
                    <w:rPr>
                      <w:u w:val="single"/>
                    </w:rPr>
                  </w:pPr>
                  <w:r>
                    <w:rPr>
                      <w:u w:val="single"/>
                    </w:rPr>
                    <w:t>1.7×1.3</w:t>
                  </w:r>
                </w:p>
              </w:tc>
              <w:tc>
                <w:tcPr>
                  <w:tcW w:w="1366" w:type="dxa"/>
                  <w:tcBorders>
                    <w:tl2br w:val="nil"/>
                    <w:tr2bl w:val="nil"/>
                  </w:tcBorders>
                  <w:vAlign w:val="center"/>
                </w:tcPr>
                <w:p>
                  <w:pPr>
                    <w:pStyle w:val="45"/>
                    <w:bidi w:val="0"/>
                    <w:rPr>
                      <w:u w:val="single"/>
                    </w:rPr>
                  </w:pPr>
                  <w:r>
                    <w:rPr>
                      <w:u w:val="single"/>
                    </w:rPr>
                    <w:t>2.01×1.95</w:t>
                  </w:r>
                </w:p>
              </w:tc>
              <w:tc>
                <w:tcPr>
                  <w:tcW w:w="1308" w:type="dxa"/>
                  <w:tcBorders>
                    <w:tl2br w:val="nil"/>
                    <w:tr2bl w:val="nil"/>
                  </w:tcBorders>
                  <w:vAlign w:val="center"/>
                </w:tcPr>
                <w:p>
                  <w:pPr>
                    <w:pStyle w:val="45"/>
                    <w:bidi w:val="0"/>
                    <w:rPr>
                      <w:u w:val="single"/>
                    </w:rPr>
                  </w:pPr>
                  <w:r>
                    <w:rPr>
                      <w:u w:val="single"/>
                    </w:rPr>
                    <w:t>4扇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16" w:type="dxa"/>
                  <w:tcBorders>
                    <w:tl2br w:val="nil"/>
                    <w:tr2bl w:val="nil"/>
                  </w:tcBorders>
                  <w:vAlign w:val="center"/>
                </w:tcPr>
                <w:p>
                  <w:pPr>
                    <w:pStyle w:val="45"/>
                    <w:bidi w:val="0"/>
                    <w:rPr>
                      <w:u w:val="single"/>
                    </w:rPr>
                  </w:pPr>
                  <w:r>
                    <w:rPr>
                      <w:u w:val="single"/>
                    </w:rPr>
                    <w:t>4.5.7</w:t>
                  </w:r>
                </w:p>
              </w:tc>
              <w:tc>
                <w:tcPr>
                  <w:tcW w:w="2395" w:type="dxa"/>
                  <w:tcBorders>
                    <w:tl2br w:val="nil"/>
                    <w:tr2bl w:val="nil"/>
                  </w:tcBorders>
                  <w:vAlign w:val="center"/>
                </w:tcPr>
                <w:p>
                  <w:pPr>
                    <w:pStyle w:val="45"/>
                    <w:bidi w:val="0"/>
                    <w:rPr>
                      <w:u w:val="single"/>
                    </w:rPr>
                  </w:pPr>
                  <w:r>
                    <w:rPr>
                      <w:u w:val="single"/>
                    </w:rPr>
                    <w:t>启闭机</w:t>
                  </w:r>
                </w:p>
              </w:tc>
              <w:tc>
                <w:tcPr>
                  <w:tcW w:w="918" w:type="dxa"/>
                  <w:tcBorders>
                    <w:tl2br w:val="nil"/>
                    <w:tr2bl w:val="nil"/>
                  </w:tcBorders>
                  <w:vAlign w:val="center"/>
                </w:tcPr>
                <w:p>
                  <w:pPr>
                    <w:pStyle w:val="45"/>
                    <w:bidi w:val="0"/>
                    <w:rPr>
                      <w:u w:val="single"/>
                    </w:rPr>
                  </w:pPr>
                  <w:r>
                    <w:rPr>
                      <w:u w:val="single"/>
                    </w:rPr>
                    <w:t>t/台</w:t>
                  </w:r>
                </w:p>
              </w:tc>
              <w:tc>
                <w:tcPr>
                  <w:tcW w:w="1533" w:type="dxa"/>
                  <w:tcBorders>
                    <w:tl2br w:val="nil"/>
                    <w:tr2bl w:val="nil"/>
                  </w:tcBorders>
                  <w:vAlign w:val="center"/>
                </w:tcPr>
                <w:p>
                  <w:pPr>
                    <w:pStyle w:val="45"/>
                    <w:bidi w:val="0"/>
                    <w:rPr>
                      <w:u w:val="single"/>
                    </w:rPr>
                  </w:pPr>
                  <w:r>
                    <w:rPr>
                      <w:u w:val="single"/>
                    </w:rPr>
                    <w:t>螺杆式</w:t>
                  </w:r>
                </w:p>
                <w:p>
                  <w:pPr>
                    <w:pStyle w:val="45"/>
                    <w:bidi w:val="0"/>
                    <w:rPr>
                      <w:u w:val="single"/>
                    </w:rPr>
                  </w:pPr>
                  <w:r>
                    <w:rPr>
                      <w:u w:val="single"/>
                    </w:rPr>
                    <w:t>10/1</w:t>
                  </w:r>
                </w:p>
              </w:tc>
              <w:tc>
                <w:tcPr>
                  <w:tcW w:w="1366" w:type="dxa"/>
                  <w:tcBorders>
                    <w:tl2br w:val="nil"/>
                    <w:tr2bl w:val="nil"/>
                  </w:tcBorders>
                  <w:vAlign w:val="center"/>
                </w:tcPr>
                <w:p>
                  <w:pPr>
                    <w:pStyle w:val="45"/>
                    <w:bidi w:val="0"/>
                    <w:rPr>
                      <w:u w:val="single"/>
                    </w:rPr>
                  </w:pPr>
                  <w:r>
                    <w:rPr>
                      <w:u w:val="single"/>
                    </w:rPr>
                    <w:t>卷扬式QPQ-250/2</w:t>
                  </w:r>
                </w:p>
              </w:tc>
              <w:tc>
                <w:tcPr>
                  <w:tcW w:w="1308" w:type="dxa"/>
                  <w:tcBorders>
                    <w:tl2br w:val="nil"/>
                    <w:tr2bl w:val="nil"/>
                  </w:tcBorders>
                  <w:vAlign w:val="center"/>
                </w:tcPr>
                <w:p>
                  <w:pPr>
                    <w:pStyle w:val="45"/>
                    <w:bidi w:val="0"/>
                    <w:rPr>
                      <w:u w:val="single"/>
                    </w:rPr>
                  </w:pPr>
                </w:p>
              </w:tc>
            </w:tr>
          </w:tbl>
          <w:p>
            <w:pPr>
              <w:bidi w:val="0"/>
              <w:rPr>
                <w:rFonts w:hint="default"/>
                <w:u w:val="single"/>
                <w:lang w:val="en-US" w:eastAsia="zh-CN"/>
              </w:rPr>
            </w:pPr>
            <w:r>
              <w:rPr>
                <w:rFonts w:hint="eastAsia"/>
                <w:u w:val="single"/>
                <w:lang w:val="en-US" w:eastAsia="zh-CN"/>
              </w:rPr>
              <w:t>4、工程建设方案</w:t>
            </w:r>
          </w:p>
          <w:p>
            <w:pPr>
              <w:bidi w:val="0"/>
              <w:rPr>
                <w:rFonts w:hint="default"/>
                <w:u w:val="single"/>
                <w:lang w:val="en-US" w:eastAsia="zh-CN"/>
              </w:rPr>
            </w:pPr>
            <w:r>
              <w:rPr>
                <w:rFonts w:hint="default"/>
                <w:u w:val="single"/>
                <w:lang w:val="en-US" w:eastAsia="zh-CN"/>
              </w:rPr>
              <w:t>（</w:t>
            </w:r>
            <w:r>
              <w:rPr>
                <w:rFonts w:hint="eastAsia"/>
                <w:u w:val="single"/>
                <w:lang w:val="en-US" w:eastAsia="zh-CN"/>
              </w:rPr>
              <w:t>一</w:t>
            </w:r>
            <w:r>
              <w:rPr>
                <w:rFonts w:hint="default"/>
                <w:u w:val="single"/>
                <w:lang w:val="en-US" w:eastAsia="zh-CN"/>
              </w:rPr>
              <w:t>）建设内容和规模</w:t>
            </w:r>
          </w:p>
          <w:p>
            <w:pPr>
              <w:bidi w:val="0"/>
              <w:rPr>
                <w:rFonts w:hint="default"/>
                <w:u w:val="single"/>
                <w:lang w:val="en-US" w:eastAsia="zh-CN"/>
              </w:rPr>
            </w:pPr>
            <w:r>
              <w:rPr>
                <w:rFonts w:hint="default"/>
                <w:u w:val="single"/>
                <w:lang w:val="en-US" w:eastAsia="zh-CN"/>
              </w:rPr>
              <w:t>1、本项目主要建设内容</w:t>
            </w:r>
          </w:p>
          <w:p>
            <w:pPr>
              <w:bidi w:val="0"/>
              <w:rPr>
                <w:rFonts w:hint="default"/>
                <w:u w:val="single"/>
                <w:lang w:val="en-US" w:eastAsia="zh-CN"/>
              </w:rPr>
            </w:pPr>
            <w:r>
              <w:rPr>
                <w:rFonts w:hint="default"/>
                <w:u w:val="single"/>
                <w:lang w:val="en-US" w:eastAsia="zh-CN"/>
              </w:rPr>
              <w:t>1)主坝</w:t>
            </w:r>
          </w:p>
          <w:p>
            <w:pPr>
              <w:bidi w:val="0"/>
              <w:rPr>
                <w:rFonts w:hint="default"/>
                <w:u w:val="single"/>
                <w:lang w:val="en-US" w:eastAsia="zh-CN"/>
              </w:rPr>
            </w:pPr>
            <w:r>
              <w:rPr>
                <w:rFonts w:hint="eastAsia"/>
                <w:u w:val="single"/>
                <w:lang w:val="en-US" w:eastAsia="zh-CN"/>
              </w:rPr>
              <w:t>①</w:t>
            </w:r>
            <w:r>
              <w:rPr>
                <w:rFonts w:hint="default"/>
                <w:u w:val="single"/>
                <w:lang w:val="en-US" w:eastAsia="zh-CN"/>
              </w:rPr>
              <w:t>上游坝坡原有预制砼六方块护坡浪损严重部分修复。</w:t>
            </w:r>
          </w:p>
          <w:p>
            <w:pPr>
              <w:bidi w:val="0"/>
              <w:rPr>
                <w:rFonts w:hint="default"/>
                <w:u w:val="single"/>
                <w:lang w:val="en-US" w:eastAsia="zh-CN"/>
              </w:rPr>
            </w:pPr>
            <w:r>
              <w:rPr>
                <w:rFonts w:hint="eastAsia"/>
                <w:u w:val="single"/>
                <w:lang w:val="en-US" w:eastAsia="zh-CN"/>
              </w:rPr>
              <w:t>②</w:t>
            </w:r>
            <w:r>
              <w:rPr>
                <w:rFonts w:hint="default"/>
                <w:u w:val="single"/>
                <w:lang w:val="en-US" w:eastAsia="zh-CN"/>
              </w:rPr>
              <w:t>坝体(桩号0+000~0+819坝段)采用塑性砼防渗墙防渗，部分坝基(桩号0+440~0+819坝段)和右坝肩(长125m)采用帷幕灌浆防渗。</w:t>
            </w:r>
          </w:p>
          <w:p>
            <w:pPr>
              <w:bidi w:val="0"/>
              <w:rPr>
                <w:rFonts w:hint="default"/>
                <w:u w:val="single"/>
                <w:lang w:val="en-US" w:eastAsia="zh-CN"/>
              </w:rPr>
            </w:pPr>
            <w:r>
              <w:rPr>
                <w:rFonts w:hint="eastAsia"/>
                <w:u w:val="single"/>
                <w:lang w:val="en-US" w:eastAsia="zh-CN"/>
              </w:rPr>
              <w:t>③</w:t>
            </w:r>
            <w:r>
              <w:rPr>
                <w:rFonts w:hint="default"/>
                <w:u w:val="single"/>
                <w:lang w:val="en-US" w:eastAsia="zh-CN"/>
              </w:rPr>
              <w:t>下游坝坡桩号0+099~0+419和0+469~0+796坝段下游坝坡整坡，坝面重铺草皮护坡，下游坝面一级平台及其内侧纵向排水沟拆除重建，坝面共设6条横向排水沟，左右坝肩与岸坡相交处新建排水沟；现有2道砼踏步拆除重建，并新增2道砼踏步。</w:t>
            </w:r>
          </w:p>
          <w:p>
            <w:pPr>
              <w:bidi w:val="0"/>
              <w:rPr>
                <w:rFonts w:hint="default"/>
                <w:u w:val="single"/>
                <w:lang w:val="en-US" w:eastAsia="zh-CN"/>
              </w:rPr>
            </w:pPr>
            <w:r>
              <w:rPr>
                <w:rFonts w:hint="eastAsia"/>
                <w:u w:val="single"/>
                <w:lang w:val="en-US" w:eastAsia="zh-CN"/>
              </w:rPr>
              <w:t>④</w:t>
            </w:r>
            <w:r>
              <w:rPr>
                <w:rFonts w:hint="default"/>
                <w:u w:val="single"/>
                <w:lang w:val="en-US" w:eastAsia="zh-CN"/>
              </w:rPr>
              <w:t>桩号0+140~0+260、0+550~0+662坝段下游坝脚排水棱体局部维修，桩号0+662~0+701坝段下游坝脚新建排水棱体；桩号0+134~0+400坝段、0+662~0+701坝段下游坝脚新建集渗沟，桩号0+469~0+662坝段下游坝脚原有集渗沟拆除重建。</w:t>
            </w:r>
          </w:p>
          <w:p>
            <w:pPr>
              <w:bidi w:val="0"/>
              <w:rPr>
                <w:rFonts w:hint="default"/>
                <w:u w:val="single"/>
                <w:lang w:val="en-US" w:eastAsia="zh-CN"/>
              </w:rPr>
            </w:pPr>
            <w:r>
              <w:rPr>
                <w:rFonts w:hint="eastAsia"/>
                <w:u w:val="single"/>
                <w:lang w:val="en-US" w:eastAsia="zh-CN"/>
              </w:rPr>
              <w:t>⑥</w:t>
            </w:r>
            <w:r>
              <w:rPr>
                <w:rFonts w:hint="default"/>
                <w:u w:val="single"/>
                <w:lang w:val="en-US" w:eastAsia="zh-CN"/>
              </w:rPr>
              <w:t>主坝下游坝脚采用砂性土料填塘固基一处。</w:t>
            </w:r>
          </w:p>
          <w:p>
            <w:pPr>
              <w:bidi w:val="0"/>
              <w:rPr>
                <w:rFonts w:hint="default"/>
                <w:u w:val="single"/>
                <w:lang w:val="en-US" w:eastAsia="zh-CN"/>
              </w:rPr>
            </w:pPr>
            <w:r>
              <w:rPr>
                <w:rFonts w:hint="eastAsia"/>
                <w:u w:val="single"/>
                <w:lang w:val="en-US" w:eastAsia="zh-CN"/>
              </w:rPr>
              <w:t>⑦</w:t>
            </w:r>
            <w:r>
              <w:rPr>
                <w:rFonts w:hint="default"/>
                <w:u w:val="single"/>
                <w:lang w:val="en-US" w:eastAsia="zh-CN"/>
              </w:rPr>
              <w:t>坝顶路面及人行道拆除重建。</w:t>
            </w:r>
          </w:p>
          <w:p>
            <w:pPr>
              <w:bidi w:val="0"/>
              <w:rPr>
                <w:rFonts w:hint="default"/>
                <w:u w:val="single"/>
                <w:lang w:val="en-US" w:eastAsia="zh-CN"/>
              </w:rPr>
            </w:pPr>
            <w:r>
              <w:rPr>
                <w:rFonts w:hint="eastAsia"/>
                <w:u w:val="single"/>
                <w:lang w:val="en-US" w:eastAsia="zh-CN"/>
              </w:rPr>
              <w:t>⑧</w:t>
            </w:r>
            <w:r>
              <w:rPr>
                <w:rFonts w:hint="default"/>
                <w:u w:val="single"/>
                <w:lang w:val="en-US" w:eastAsia="zh-CN"/>
              </w:rPr>
              <w:t>坝顶裂缝开挖翻筑。</w:t>
            </w:r>
          </w:p>
          <w:p>
            <w:pPr>
              <w:bidi w:val="0"/>
              <w:rPr>
                <w:rFonts w:hint="default"/>
                <w:u w:val="single"/>
                <w:lang w:val="en-US" w:eastAsia="zh-CN"/>
              </w:rPr>
            </w:pPr>
            <w:r>
              <w:rPr>
                <w:rFonts w:hint="default"/>
                <w:u w:val="single"/>
                <w:lang w:val="en-US" w:eastAsia="zh-CN"/>
              </w:rPr>
              <w:t>2)周家湾副坝</w:t>
            </w:r>
          </w:p>
          <w:p>
            <w:pPr>
              <w:bidi w:val="0"/>
              <w:rPr>
                <w:rFonts w:hint="default"/>
                <w:u w:val="single"/>
                <w:lang w:val="en-US" w:eastAsia="zh-CN"/>
              </w:rPr>
            </w:pPr>
            <w:r>
              <w:rPr>
                <w:rFonts w:hint="eastAsia"/>
                <w:u w:val="single"/>
                <w:lang w:val="en-US" w:eastAsia="zh-CN"/>
              </w:rPr>
              <w:t>①</w:t>
            </w:r>
            <w:r>
              <w:rPr>
                <w:rFonts w:hint="default"/>
                <w:u w:val="single"/>
                <w:lang w:val="en-US" w:eastAsia="zh-CN"/>
              </w:rPr>
              <w:t>桩号0+130~0+160采用冲抓回填防渗。</w:t>
            </w:r>
          </w:p>
          <w:p>
            <w:pPr>
              <w:bidi w:val="0"/>
              <w:rPr>
                <w:rFonts w:hint="default"/>
                <w:u w:val="single"/>
                <w:lang w:val="en-US" w:eastAsia="zh-CN"/>
              </w:rPr>
            </w:pPr>
            <w:r>
              <w:rPr>
                <w:rFonts w:hint="eastAsia"/>
                <w:u w:val="single"/>
                <w:lang w:val="en-US" w:eastAsia="zh-CN"/>
              </w:rPr>
              <w:t>②</w:t>
            </w:r>
            <w:r>
              <w:rPr>
                <w:rFonts w:hint="default"/>
                <w:u w:val="single"/>
                <w:lang w:val="en-US" w:eastAsia="zh-CN"/>
              </w:rPr>
              <w:t>上游坝坡预制砼六方块护坡修复。</w:t>
            </w:r>
          </w:p>
          <w:p>
            <w:pPr>
              <w:bidi w:val="0"/>
              <w:rPr>
                <w:rFonts w:hint="default"/>
                <w:u w:val="single"/>
                <w:lang w:val="en-US" w:eastAsia="zh-CN"/>
              </w:rPr>
            </w:pPr>
            <w:r>
              <w:rPr>
                <w:rFonts w:hint="eastAsia"/>
                <w:u w:val="single"/>
                <w:lang w:val="en-US" w:eastAsia="zh-CN"/>
              </w:rPr>
              <w:t>③</w:t>
            </w:r>
            <w:r>
              <w:rPr>
                <w:rFonts w:hint="default"/>
                <w:u w:val="single"/>
                <w:lang w:val="en-US" w:eastAsia="zh-CN"/>
              </w:rPr>
              <w:t>坝顶上游侧增设砼防浪墙。</w:t>
            </w:r>
          </w:p>
          <w:p>
            <w:pPr>
              <w:bidi w:val="0"/>
              <w:rPr>
                <w:rFonts w:hint="default"/>
                <w:u w:val="single"/>
                <w:lang w:val="en-US" w:eastAsia="zh-CN"/>
              </w:rPr>
            </w:pPr>
            <w:r>
              <w:rPr>
                <w:rFonts w:hint="default"/>
                <w:u w:val="single"/>
                <w:lang w:val="en-US" w:eastAsia="zh-CN"/>
              </w:rPr>
              <w:t>(4)下游坝坡修整后草皮护坡，并对下游排水棱体修复，下游坝坡设置2处C20砼踏步。</w:t>
            </w:r>
          </w:p>
          <w:p>
            <w:pPr>
              <w:bidi w:val="0"/>
              <w:rPr>
                <w:rFonts w:hint="default"/>
                <w:u w:val="single"/>
                <w:lang w:val="en-US" w:eastAsia="zh-CN"/>
              </w:rPr>
            </w:pPr>
            <w:r>
              <w:rPr>
                <w:rFonts w:hint="default"/>
                <w:u w:val="single"/>
                <w:lang w:val="en-US" w:eastAsia="zh-CN"/>
              </w:rPr>
              <w:t>(5)坝顶路面改建为沥青砼路面。</w:t>
            </w:r>
          </w:p>
          <w:p>
            <w:pPr>
              <w:bidi w:val="0"/>
              <w:rPr>
                <w:rFonts w:hint="default"/>
                <w:u w:val="single"/>
                <w:lang w:val="en-US" w:eastAsia="zh-CN"/>
              </w:rPr>
            </w:pPr>
            <w:r>
              <w:rPr>
                <w:rFonts w:hint="default"/>
                <w:u w:val="single"/>
                <w:lang w:val="en-US" w:eastAsia="zh-CN"/>
              </w:rPr>
              <w:t>3)陈家冲副坝</w:t>
            </w:r>
          </w:p>
          <w:p>
            <w:pPr>
              <w:bidi w:val="0"/>
              <w:rPr>
                <w:rFonts w:hint="default"/>
                <w:u w:val="single"/>
                <w:lang w:val="en-US" w:eastAsia="zh-CN"/>
              </w:rPr>
            </w:pPr>
            <w:r>
              <w:rPr>
                <w:rFonts w:hint="eastAsia"/>
                <w:u w:val="single"/>
                <w:lang w:val="en-US" w:eastAsia="zh-CN"/>
              </w:rPr>
              <w:t>①</w:t>
            </w:r>
            <w:r>
              <w:rPr>
                <w:rFonts w:hint="default"/>
                <w:u w:val="single"/>
                <w:lang w:val="en-US" w:eastAsia="zh-CN"/>
              </w:rPr>
              <w:t>上游坝坡及两侧岸坡桩号0+000~0+079及左侧岸坡桩号0+079~0+235进行整坡，并采用C20砼脚槽(0.5×0.8m)+预制0.10m厚砼六方块+草皮护坡护砌，预制砼六方块护砌至高程80.00m。</w:t>
            </w:r>
          </w:p>
          <w:p>
            <w:pPr>
              <w:bidi w:val="0"/>
              <w:rPr>
                <w:rFonts w:hint="default"/>
                <w:u w:val="single"/>
                <w:lang w:val="en-US" w:eastAsia="zh-CN"/>
              </w:rPr>
            </w:pPr>
            <w:r>
              <w:rPr>
                <w:rFonts w:hint="eastAsia"/>
                <w:u w:val="single"/>
                <w:lang w:val="en-US" w:eastAsia="zh-CN"/>
              </w:rPr>
              <w:t>②</w:t>
            </w:r>
            <w:r>
              <w:rPr>
                <w:rFonts w:hint="default"/>
                <w:u w:val="single"/>
                <w:lang w:val="en-US" w:eastAsia="zh-CN"/>
              </w:rPr>
              <w:t>下游坝坡修整后草皮护坡，并在桩号0+032~0+070范围内坝脚新建贴坡排水并设置集渗沟；下游坝坡设置1处C20砼踏步；下游坝脚采用风化料填塘固基1处。</w:t>
            </w:r>
          </w:p>
          <w:p>
            <w:pPr>
              <w:bidi w:val="0"/>
              <w:rPr>
                <w:rFonts w:hint="default"/>
                <w:u w:val="single"/>
                <w:lang w:val="en-US" w:eastAsia="zh-CN"/>
              </w:rPr>
            </w:pPr>
            <w:r>
              <w:rPr>
                <w:rFonts w:hint="eastAsia"/>
                <w:u w:val="single"/>
                <w:lang w:val="en-US" w:eastAsia="zh-CN"/>
              </w:rPr>
              <w:t>③</w:t>
            </w:r>
            <w:r>
              <w:rPr>
                <w:rFonts w:hint="default"/>
                <w:u w:val="single"/>
                <w:lang w:val="en-US" w:eastAsia="zh-CN"/>
              </w:rPr>
              <w:t>上下游坝坡清障。</w:t>
            </w:r>
          </w:p>
          <w:p>
            <w:pPr>
              <w:bidi w:val="0"/>
              <w:rPr>
                <w:rFonts w:hint="default"/>
                <w:u w:val="single"/>
                <w:lang w:val="en-US" w:eastAsia="zh-CN"/>
              </w:rPr>
            </w:pPr>
            <w:r>
              <w:rPr>
                <w:rFonts w:hint="eastAsia"/>
                <w:u w:val="single"/>
                <w:lang w:val="en-US" w:eastAsia="zh-CN"/>
              </w:rPr>
              <w:t>④</w:t>
            </w:r>
            <w:r>
              <w:rPr>
                <w:rFonts w:hint="default"/>
                <w:u w:val="single"/>
                <w:lang w:val="en-US" w:eastAsia="zh-CN"/>
              </w:rPr>
              <w:t>坝顶路面拆除，改建为沥青砼路面。</w:t>
            </w:r>
          </w:p>
          <w:p>
            <w:pPr>
              <w:bidi w:val="0"/>
              <w:rPr>
                <w:rFonts w:hint="default"/>
                <w:u w:val="single"/>
                <w:lang w:val="en-US" w:eastAsia="zh-CN"/>
              </w:rPr>
            </w:pPr>
            <w:r>
              <w:rPr>
                <w:rFonts w:hint="default"/>
                <w:u w:val="single"/>
                <w:lang w:val="en-US" w:eastAsia="zh-CN"/>
              </w:rPr>
              <w:t>4)溢洪道</w:t>
            </w:r>
          </w:p>
          <w:p>
            <w:pPr>
              <w:bidi w:val="0"/>
              <w:rPr>
                <w:rFonts w:hint="default"/>
                <w:u w:val="single"/>
                <w:lang w:val="en-US" w:eastAsia="zh-CN"/>
              </w:rPr>
            </w:pPr>
            <w:r>
              <w:rPr>
                <w:rFonts w:hint="eastAsia"/>
                <w:u w:val="single"/>
                <w:lang w:val="en-US" w:eastAsia="zh-CN"/>
              </w:rPr>
              <w:t>①</w:t>
            </w:r>
            <w:r>
              <w:rPr>
                <w:rFonts w:hint="default"/>
                <w:u w:val="single"/>
                <w:lang w:val="en-US" w:eastAsia="zh-CN"/>
              </w:rPr>
              <w:t>进口反坡段底板拆除，重建C25钢筋砼底板；右侧侧墙砂浆修复。</w:t>
            </w:r>
          </w:p>
          <w:p>
            <w:pPr>
              <w:bidi w:val="0"/>
              <w:rPr>
                <w:rFonts w:hint="default"/>
                <w:u w:val="single"/>
                <w:lang w:val="en-US" w:eastAsia="zh-CN"/>
              </w:rPr>
            </w:pPr>
            <w:r>
              <w:rPr>
                <w:rFonts w:hint="eastAsia"/>
                <w:u w:val="single"/>
                <w:lang w:val="en-US" w:eastAsia="zh-CN"/>
              </w:rPr>
              <w:t>②</w:t>
            </w:r>
            <w:r>
              <w:rPr>
                <w:rFonts w:hint="default"/>
                <w:u w:val="single"/>
                <w:lang w:val="en-US" w:eastAsia="zh-CN"/>
              </w:rPr>
              <w:t>控制段底板拆除，重建C25钢筋砼底板。</w:t>
            </w:r>
          </w:p>
          <w:p>
            <w:pPr>
              <w:bidi w:val="0"/>
              <w:rPr>
                <w:rFonts w:hint="default"/>
                <w:u w:val="single"/>
                <w:lang w:val="en-US" w:eastAsia="zh-CN"/>
              </w:rPr>
            </w:pPr>
            <w:r>
              <w:rPr>
                <w:rFonts w:hint="eastAsia"/>
                <w:u w:val="single"/>
                <w:lang w:val="en-US" w:eastAsia="zh-CN"/>
              </w:rPr>
              <w:t>③</w:t>
            </w:r>
            <w:r>
              <w:rPr>
                <w:rFonts w:hint="default"/>
                <w:u w:val="single"/>
                <w:lang w:val="en-US" w:eastAsia="zh-CN"/>
              </w:rPr>
              <w:t>泄槽段底板拆除，重建C25钢筋砼底板；两侧侧墙拆除，重建C20砼重力式挡墙。</w:t>
            </w:r>
          </w:p>
          <w:p>
            <w:pPr>
              <w:bidi w:val="0"/>
              <w:rPr>
                <w:rFonts w:hint="default"/>
                <w:u w:val="single"/>
                <w:lang w:val="en-US" w:eastAsia="zh-CN"/>
              </w:rPr>
            </w:pPr>
            <w:r>
              <w:rPr>
                <w:rFonts w:hint="eastAsia"/>
                <w:u w:val="single"/>
                <w:lang w:val="en-US" w:eastAsia="zh-CN"/>
              </w:rPr>
              <w:t>④</w:t>
            </w:r>
            <w:r>
              <w:rPr>
                <w:rFonts w:hint="default"/>
                <w:u w:val="single"/>
                <w:lang w:val="en-US" w:eastAsia="zh-CN"/>
              </w:rPr>
              <w:t>重建跌水消力池。</w:t>
            </w:r>
          </w:p>
          <w:p>
            <w:pPr>
              <w:bidi w:val="0"/>
              <w:rPr>
                <w:rFonts w:hint="default"/>
                <w:u w:val="single"/>
                <w:lang w:val="en-US" w:eastAsia="zh-CN"/>
              </w:rPr>
            </w:pPr>
            <w:r>
              <w:rPr>
                <w:rFonts w:hint="eastAsia"/>
                <w:u w:val="single"/>
                <w:lang w:val="en-US" w:eastAsia="zh-CN"/>
              </w:rPr>
              <w:t>⑤</w:t>
            </w:r>
            <w:r>
              <w:rPr>
                <w:rFonts w:hint="default"/>
                <w:u w:val="single"/>
                <w:lang w:val="en-US" w:eastAsia="zh-CN"/>
              </w:rPr>
              <w:t>消力池后出水渠桩号0+161~0+171采用C20砼重力式挡墙及300mm厚C20砼护坦，桩号0+171~0+230段采用M10浆砌石护坡及150mm厚C20砼护底；</w:t>
            </w:r>
          </w:p>
          <w:p>
            <w:pPr>
              <w:bidi w:val="0"/>
              <w:rPr>
                <w:rFonts w:hint="default"/>
                <w:u w:val="single"/>
                <w:lang w:val="en-US" w:eastAsia="zh-CN"/>
              </w:rPr>
            </w:pPr>
            <w:r>
              <w:rPr>
                <w:rFonts w:hint="eastAsia"/>
                <w:u w:val="single"/>
                <w:lang w:val="en-US" w:eastAsia="zh-CN"/>
              </w:rPr>
              <w:t>⑥</w:t>
            </w:r>
            <w:r>
              <w:rPr>
                <w:rFonts w:hint="default"/>
                <w:u w:val="single"/>
                <w:lang w:val="en-US" w:eastAsia="zh-CN"/>
              </w:rPr>
              <w:t>移位泄槽段桩号K0+078处电杆。</w:t>
            </w:r>
          </w:p>
          <w:p>
            <w:pPr>
              <w:bidi w:val="0"/>
              <w:rPr>
                <w:rFonts w:hint="default"/>
                <w:u w:val="single"/>
                <w:lang w:val="en-US" w:eastAsia="zh-CN"/>
              </w:rPr>
            </w:pPr>
            <w:r>
              <w:rPr>
                <w:rFonts w:hint="eastAsia"/>
                <w:u w:val="single"/>
                <w:lang w:val="en-US" w:eastAsia="zh-CN"/>
              </w:rPr>
              <w:t>⑦</w:t>
            </w:r>
            <w:r>
              <w:rPr>
                <w:rFonts w:hint="default"/>
                <w:u w:val="single"/>
                <w:lang w:val="en-US" w:eastAsia="zh-CN"/>
              </w:rPr>
              <w:t>跨消力池上的机耕桥拆除重建。</w:t>
            </w:r>
          </w:p>
          <w:p>
            <w:pPr>
              <w:bidi w:val="0"/>
              <w:rPr>
                <w:rFonts w:hint="default"/>
                <w:u w:val="single"/>
                <w:lang w:val="en-US" w:eastAsia="zh-CN"/>
              </w:rPr>
            </w:pPr>
            <w:r>
              <w:rPr>
                <w:rFonts w:hint="default"/>
                <w:u w:val="single"/>
                <w:lang w:val="en-US" w:eastAsia="zh-CN"/>
              </w:rPr>
              <w:t>5)主坝输水涵洞拆除重建。</w:t>
            </w:r>
          </w:p>
          <w:p>
            <w:pPr>
              <w:bidi w:val="0"/>
              <w:rPr>
                <w:rFonts w:hint="default"/>
                <w:u w:val="single"/>
                <w:lang w:val="en-US" w:eastAsia="zh-CN"/>
              </w:rPr>
            </w:pPr>
            <w:r>
              <w:rPr>
                <w:rFonts w:hint="default"/>
                <w:u w:val="single"/>
                <w:lang w:val="en-US" w:eastAsia="zh-CN"/>
              </w:rPr>
              <w:t>6)主坝坝下渡槽加固：对渡槽接缝止水和槽身裂缝进行修补。</w:t>
            </w:r>
          </w:p>
          <w:p>
            <w:pPr>
              <w:bidi w:val="0"/>
              <w:rPr>
                <w:rFonts w:hint="default"/>
                <w:u w:val="single"/>
                <w:lang w:val="en-US" w:eastAsia="zh-CN"/>
              </w:rPr>
            </w:pPr>
            <w:r>
              <w:rPr>
                <w:rFonts w:hint="default"/>
                <w:u w:val="single"/>
                <w:lang w:val="en-US" w:eastAsia="zh-CN"/>
              </w:rPr>
              <w:t>7)大兴节制闸和8个分洪闸更换闸门和启闭设备。</w:t>
            </w:r>
          </w:p>
          <w:p>
            <w:pPr>
              <w:bidi w:val="0"/>
              <w:rPr>
                <w:rFonts w:hint="default"/>
                <w:u w:val="single"/>
                <w:lang w:val="en-US" w:eastAsia="zh-CN"/>
              </w:rPr>
            </w:pPr>
            <w:r>
              <w:rPr>
                <w:rFonts w:hint="default"/>
                <w:u w:val="single"/>
                <w:lang w:val="en-US" w:eastAsia="zh-CN"/>
              </w:rPr>
              <w:t>8)增设大坝观测设施及视频监控系统。</w:t>
            </w:r>
          </w:p>
          <w:p>
            <w:pPr>
              <w:bidi w:val="0"/>
              <w:rPr>
                <w:rFonts w:hint="default"/>
                <w:u w:val="single"/>
                <w:lang w:val="en-US" w:eastAsia="zh-CN"/>
              </w:rPr>
            </w:pPr>
            <w:r>
              <w:rPr>
                <w:rFonts w:hint="default"/>
                <w:u w:val="single"/>
                <w:lang w:val="en-US" w:eastAsia="zh-CN"/>
              </w:rPr>
              <w:t>9)增设水雨情自动测报系统。</w:t>
            </w:r>
          </w:p>
          <w:p>
            <w:pPr>
              <w:bidi w:val="0"/>
              <w:rPr>
                <w:rFonts w:hint="default"/>
                <w:u w:val="single"/>
                <w:lang w:val="en-US" w:eastAsia="zh-CN"/>
              </w:rPr>
            </w:pPr>
            <w:r>
              <w:rPr>
                <w:rFonts w:hint="default"/>
                <w:u w:val="single"/>
                <w:lang w:val="en-US" w:eastAsia="zh-CN"/>
              </w:rPr>
              <w:t>10)增设计算机网络及通信系统和综合信息管理系统。</w:t>
            </w:r>
          </w:p>
          <w:p>
            <w:pPr>
              <w:bidi w:val="0"/>
              <w:rPr>
                <w:rFonts w:hint="default"/>
                <w:u w:val="single"/>
                <w:lang w:val="en-US" w:eastAsia="zh-CN"/>
              </w:rPr>
            </w:pPr>
            <w:r>
              <w:rPr>
                <w:rFonts w:hint="default"/>
                <w:u w:val="single"/>
                <w:lang w:val="en-US" w:eastAsia="zh-CN"/>
              </w:rPr>
              <w:t>11)主坝、周家湾副坝、陈家冲副坝及水库管理区白蚁治理。</w:t>
            </w:r>
          </w:p>
          <w:p>
            <w:pPr>
              <w:bidi w:val="0"/>
              <w:rPr>
                <w:rFonts w:hint="default"/>
                <w:u w:val="single"/>
                <w:lang w:val="en-US" w:eastAsia="zh-CN"/>
              </w:rPr>
            </w:pPr>
            <w:r>
              <w:rPr>
                <w:rFonts w:hint="default"/>
                <w:u w:val="single"/>
                <w:lang w:val="en-US" w:eastAsia="zh-CN"/>
              </w:rPr>
              <w:t>12)防汛公路改造。</w:t>
            </w:r>
          </w:p>
          <w:p>
            <w:pPr>
              <w:bidi w:val="0"/>
              <w:rPr>
                <w:rFonts w:hint="default"/>
                <w:u w:val="single"/>
                <w:lang w:val="en-US" w:eastAsia="zh-CN"/>
              </w:rPr>
            </w:pPr>
            <w:r>
              <w:rPr>
                <w:rFonts w:hint="eastAsia"/>
                <w:u w:val="single"/>
                <w:lang w:val="en-US" w:eastAsia="zh-CN"/>
              </w:rPr>
              <w:t>2、</w:t>
            </w:r>
            <w:r>
              <w:rPr>
                <w:rFonts w:hint="default"/>
                <w:u w:val="single"/>
                <w:lang w:val="en-US" w:eastAsia="zh-CN"/>
              </w:rPr>
              <w:t>项目组成</w:t>
            </w:r>
          </w:p>
          <w:p>
            <w:pPr>
              <w:bidi w:val="0"/>
              <w:rPr>
                <w:rFonts w:hint="default"/>
                <w:u w:val="single"/>
                <w:lang w:val="en-US" w:eastAsia="zh-CN"/>
              </w:rPr>
            </w:pPr>
            <w:r>
              <w:rPr>
                <w:rFonts w:hint="default"/>
                <w:u w:val="single"/>
                <w:lang w:val="en-US" w:eastAsia="zh-CN"/>
              </w:rPr>
              <w:t>包括主体工程（大坝、溢流坝、灌溉输水洞等）、辅助工程、公用工程、临时工程及环保工程等五部分组成。工程组成见下表2-2。</w:t>
            </w:r>
          </w:p>
          <w:p>
            <w:pPr>
              <w:pStyle w:val="28"/>
              <w:bidi w:val="0"/>
              <w:rPr>
                <w:rFonts w:hint="default"/>
                <w:u w:val="single"/>
                <w:lang w:val="en-US" w:eastAsia="zh-CN"/>
              </w:rPr>
            </w:pPr>
            <w:r>
              <w:rPr>
                <w:rFonts w:hint="default"/>
                <w:u w:val="single"/>
                <w:lang w:val="en-US" w:eastAsia="zh-CN"/>
              </w:rPr>
              <w:t>表2-</w:t>
            </w:r>
            <w:r>
              <w:rPr>
                <w:rFonts w:hint="eastAsia"/>
                <w:u w:val="single"/>
                <w:lang w:val="en-US" w:eastAsia="zh-CN"/>
              </w:rPr>
              <w:t>2</w:t>
            </w:r>
            <w:r>
              <w:rPr>
                <w:rFonts w:hint="default"/>
                <w:u w:val="single"/>
                <w:lang w:val="en-US" w:eastAsia="zh-CN"/>
              </w:rPr>
              <w:t>项目组成及主要环境问题一览表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226"/>
              <w:gridCol w:w="1226"/>
              <w:gridCol w:w="51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385" w:type="dxa"/>
                  <w:gridSpan w:val="3"/>
                  <w:vMerge w:val="restart"/>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项目名称</w:t>
                  </w:r>
                </w:p>
              </w:tc>
              <w:tc>
                <w:tcPr>
                  <w:tcW w:w="5119" w:type="dxa"/>
                  <w:vMerge w:val="restart"/>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项目内容及规模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85" w:type="dxa"/>
                  <w:gridSpan w:val="3"/>
                  <w:vMerge w:val="continue"/>
                  <w:tcBorders>
                    <w:tl2br w:val="nil"/>
                    <w:tr2bl w:val="nil"/>
                  </w:tcBorders>
                  <w:noWrap w:val="0"/>
                  <w:vAlign w:val="center"/>
                </w:tcPr>
                <w:p>
                  <w:pPr>
                    <w:pStyle w:val="45"/>
                    <w:bidi w:val="0"/>
                    <w:rPr>
                      <w:rFonts w:hint="default"/>
                      <w:u w:val="single"/>
                    </w:rPr>
                  </w:pPr>
                </w:p>
              </w:tc>
              <w:tc>
                <w:tcPr>
                  <w:tcW w:w="5119" w:type="dxa"/>
                  <w:vMerge w:val="continue"/>
                  <w:tcBorders>
                    <w:tl2br w:val="nil"/>
                    <w:tr2bl w:val="nil"/>
                  </w:tcBorders>
                  <w:noWrap w:val="0"/>
                  <w:vAlign w:val="center"/>
                </w:tcPr>
                <w:p>
                  <w:pPr>
                    <w:pStyle w:val="45"/>
                    <w:bidi w:val="0"/>
                    <w:rPr>
                      <w:rFonts w:hint="default"/>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33" w:type="dxa"/>
                  <w:vMerge w:val="restart"/>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主体工程</w:t>
                  </w: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主坝加固</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大坝主坝(桩号0+000~0+819段)坝体采用塑性砼防渗墙防渗处理，部分坝段坝基(桩号0+440~0+819)和右坝肩(长125m)采用帷幕灌浆处理，右坝肩帷幕灌浆延伸至水库正常蓄水位与相对不透水层交界处，使主坝坝基、坝身、坝肩形成相对封闭的、连续的防渗体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33" w:type="dxa"/>
                  <w:vMerge w:val="continue"/>
                  <w:tcBorders>
                    <w:tl2br w:val="nil"/>
                    <w:tr2bl w:val="nil"/>
                  </w:tcBorders>
                  <w:noWrap w:val="0"/>
                  <w:vAlign w:val="center"/>
                </w:tcPr>
                <w:p>
                  <w:pPr>
                    <w:pStyle w:val="45"/>
                    <w:bidi w:val="0"/>
                    <w:rPr>
                      <w:rFonts w:hint="eastAsia"/>
                      <w:u w:val="single"/>
                      <w:lang w:val="en-US" w:eastAsia="zh-CN"/>
                    </w:rPr>
                  </w:pPr>
                </w:p>
              </w:tc>
              <w:tc>
                <w:tcPr>
                  <w:tcW w:w="2452" w:type="dxa"/>
                  <w:gridSpan w:val="2"/>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周湾副坝</w:t>
                  </w:r>
                </w:p>
              </w:tc>
              <w:tc>
                <w:tcPr>
                  <w:tcW w:w="5119"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坝顶增设防浪墙，局部坝段采用冲抓回填防渗，上游坝坡预制砼六方块护坡修复，下游坝坡修整后草皮护坡，坝脚排水棱体维修并设置集渗沟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33" w:type="dxa"/>
                  <w:vMerge w:val="continue"/>
                  <w:tcBorders>
                    <w:tl2br w:val="nil"/>
                    <w:tr2bl w:val="nil"/>
                  </w:tcBorders>
                  <w:noWrap w:val="0"/>
                  <w:vAlign w:val="center"/>
                </w:tcPr>
                <w:p>
                  <w:pPr>
                    <w:pStyle w:val="45"/>
                    <w:bidi w:val="0"/>
                    <w:rPr>
                      <w:rFonts w:hint="eastAsia"/>
                      <w:u w:val="single"/>
                      <w:lang w:val="en-US" w:eastAsia="zh-CN"/>
                    </w:rPr>
                  </w:pPr>
                </w:p>
              </w:tc>
              <w:tc>
                <w:tcPr>
                  <w:tcW w:w="2452" w:type="dxa"/>
                  <w:gridSpan w:val="2"/>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陈家冲副坝</w:t>
                  </w:r>
                </w:p>
              </w:tc>
              <w:tc>
                <w:tcPr>
                  <w:tcW w:w="5119"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上游坝坡采用预制砼六方块和草皮护坡，下游坝坡修整后草皮护坡，坝脚新建贴坡排水并设置集渗沟，上下游坝坡清障。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溢洪道</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进口反坡段底板拆除重建；右侧墙进行砂浆修复；控制段底板拆除重建；泄槽段底板拆除重建；两侧侧墙拆除重建；重建跌水消力池；消力池后出水渠采用砼重力式挡墙、浆砌石护坡及砼护底；拆除移位泄槽段桩号K0+078处电杆；跨消力池上的机耕桥拆除重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输水涵洞及取水设施</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拆除重建原主坝输水涵洞及取水设施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防汛公路</w:t>
                  </w:r>
                </w:p>
              </w:tc>
              <w:tc>
                <w:tcPr>
                  <w:tcW w:w="5119" w:type="dxa"/>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加固改造位于大坝左侧的溢洪道与管理所之间的防汛公路，加固改造连接周家湾副坝和大兴节制闸之间以及周家湾副坝西侧的防汛公路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更换闸门和启闭设备</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大兴节制闸和8个分洪闸更换闸门和启闭设备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restart"/>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辅助工程</w:t>
                  </w: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取土场</w:t>
                  </w:r>
                </w:p>
              </w:tc>
              <w:tc>
                <w:tcPr>
                  <w:tcW w:w="5119" w:type="dxa"/>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占地面积约</w:t>
                  </w:r>
                  <w:r>
                    <w:rPr>
                      <w:rFonts w:hint="eastAsia"/>
                      <w:u w:val="single"/>
                      <w:lang w:val="en-US" w:eastAsia="zh-CN"/>
                    </w:rPr>
                    <w:t>3800m</w:t>
                  </w:r>
                  <w:r>
                    <w:rPr>
                      <w:rFonts w:hint="eastAsia"/>
                      <w:u w:val="single"/>
                      <w:vertAlign w:val="superscript"/>
                      <w:lang w:val="en-US" w:eastAsia="zh-CN"/>
                    </w:rPr>
                    <w:t>2</w:t>
                  </w:r>
                  <w:r>
                    <w:rPr>
                      <w:rFonts w:hint="default"/>
                      <w:u w:val="single"/>
                      <w:lang w:val="en-US" w:eastAsia="zh-CN"/>
                    </w:rPr>
                    <w:t>，</w:t>
                  </w:r>
                  <w:r>
                    <w:rPr>
                      <w:rFonts w:hint="eastAsia"/>
                      <w:u w:val="single"/>
                      <w:lang w:val="en-US" w:eastAsia="zh-CN"/>
                    </w:rPr>
                    <w:t>取土量</w:t>
                  </w:r>
                  <w:r>
                    <w:rPr>
                      <w:rFonts w:hint="default"/>
                      <w:u w:val="single"/>
                      <w:lang w:val="en-US" w:eastAsia="zh-CN"/>
                    </w:rPr>
                    <w:t>15862 m³，取土前先对取土场区进行表土剥离，取土前先将表土剥离，约0.11万</w:t>
                  </w:r>
                  <w:r>
                    <w:rPr>
                      <w:rFonts w:hint="eastAsia"/>
                      <w:u w:val="single"/>
                      <w:lang w:val="en-US" w:eastAsia="zh-CN"/>
                    </w:rPr>
                    <w:t>m</w:t>
                  </w:r>
                  <w:r>
                    <w:rPr>
                      <w:rFonts w:hint="eastAsia"/>
                      <w:u w:val="single"/>
                      <w:vertAlign w:val="superscript"/>
                      <w:lang w:val="en-US" w:eastAsia="zh-CN"/>
                    </w:rPr>
                    <w:t>3</w:t>
                  </w:r>
                  <w:r>
                    <w:rPr>
                      <w:rFonts w:hint="default"/>
                      <w:u w:val="single"/>
                      <w:lang w:val="en-US" w:eastAsia="zh-CN"/>
                    </w:rPr>
                    <w:t>堆放在旁边以待后期回填</w:t>
                  </w:r>
                  <w:r>
                    <w:rPr>
                      <w:rFonts w:hint="eastAsia"/>
                      <w:u w:val="single"/>
                      <w:lang w:val="en-US" w:eastAsia="zh-CN"/>
                    </w:rPr>
                    <w:t>,</w:t>
                  </w:r>
                  <w:r>
                    <w:rPr>
                      <w:rFonts w:hint="default"/>
                      <w:u w:val="single"/>
                      <w:lang w:val="en-US" w:eastAsia="zh-CN"/>
                    </w:rPr>
                    <w:t>距离大坝</w:t>
                  </w:r>
                  <w:r>
                    <w:rPr>
                      <w:rFonts w:hint="eastAsia"/>
                      <w:u w:val="single"/>
                      <w:lang w:val="en-US" w:eastAsia="zh-CN"/>
                    </w:rPr>
                    <w:t>5</w:t>
                  </w:r>
                  <w:r>
                    <w:rPr>
                      <w:rFonts w:hint="default"/>
                      <w:u w:val="single"/>
                      <w:lang w:val="en-US" w:eastAsia="zh-CN"/>
                    </w:rPr>
                    <w:t>km库区内的</w:t>
                  </w:r>
                  <w:r>
                    <w:rPr>
                      <w:rFonts w:hint="eastAsia"/>
                      <w:u w:val="single"/>
                      <w:lang w:val="en-US" w:eastAsia="zh-CN"/>
                    </w:rPr>
                    <w:t>山包。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弃</w:t>
                  </w:r>
                  <w:r>
                    <w:rPr>
                      <w:rFonts w:hint="eastAsia"/>
                      <w:u w:val="single"/>
                      <w:lang w:val="en-US" w:eastAsia="zh-CN"/>
                    </w:rPr>
                    <w:t>渣</w:t>
                  </w:r>
                  <w:r>
                    <w:rPr>
                      <w:rFonts w:hint="default"/>
                      <w:u w:val="single"/>
                      <w:lang w:val="en-US" w:eastAsia="zh-CN"/>
                    </w:rPr>
                    <w:t>场</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本工程不设置弃渣场，产生的弃渣交湖南科凡再生资源综合利用有限公司处理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施工便道</w:t>
                  </w:r>
                </w:p>
              </w:tc>
              <w:tc>
                <w:tcPr>
                  <w:tcW w:w="5119" w:type="dxa"/>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利用现有道路进行施工运输，不设施工便道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施工营地</w:t>
                  </w:r>
                </w:p>
              </w:tc>
              <w:tc>
                <w:tcPr>
                  <w:tcW w:w="5119" w:type="dxa"/>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就近</w:t>
                  </w:r>
                  <w:r>
                    <w:rPr>
                      <w:rFonts w:hint="eastAsia"/>
                      <w:u w:val="single"/>
                      <w:lang w:val="en-US" w:eastAsia="zh-CN"/>
                    </w:rPr>
                    <w:t>使用湘阴县燎原水库管理所的办公区域</w:t>
                  </w:r>
                  <w:r>
                    <w:rPr>
                      <w:rFonts w:hint="default"/>
                      <w:u w:val="single"/>
                      <w:lang w:val="en-US" w:eastAsia="zh-CN"/>
                    </w:rPr>
                    <w:t>，不新建施工营地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土石方</w:t>
                  </w:r>
                </w:p>
              </w:tc>
              <w:tc>
                <w:tcPr>
                  <w:tcW w:w="5119" w:type="dxa"/>
                  <w:tcBorders>
                    <w:tl2br w:val="nil"/>
                    <w:tr2bl w:val="nil"/>
                  </w:tcBorders>
                  <w:noWrap w:val="0"/>
                  <w:vAlign w:val="center"/>
                </w:tcPr>
                <w:p>
                  <w:pPr>
                    <w:pStyle w:val="45"/>
                    <w:bidi w:val="0"/>
                    <w:rPr>
                      <w:rFonts w:hint="default"/>
                      <w:u w:val="single"/>
                      <w:lang w:val="en-US" w:eastAsia="zh-CN"/>
                    </w:rPr>
                  </w:pPr>
                  <w:r>
                    <w:rPr>
                      <w:rFonts w:hint="default"/>
                      <w:highlight w:val="yellow"/>
                      <w:u w:val="single"/>
                      <w:lang w:val="en-US" w:eastAsia="zh-CN"/>
                    </w:rPr>
                    <w:t>土石方开挖</w:t>
                  </w:r>
                  <w:r>
                    <w:rPr>
                      <w:rFonts w:hint="eastAsia"/>
                      <w:highlight w:val="yellow"/>
                      <w:u w:val="single"/>
                      <w:lang w:val="en-US" w:eastAsia="zh-CN"/>
                    </w:rPr>
                    <w:t>80910</w:t>
                  </w:r>
                  <w:r>
                    <w:rPr>
                      <w:rFonts w:hint="default"/>
                      <w:highlight w:val="yellow"/>
                      <w:u w:val="single"/>
                      <w:lang w:val="en-US" w:eastAsia="zh-CN"/>
                    </w:rPr>
                    <w:t>m³，</w:t>
                  </w:r>
                  <w:r>
                    <w:rPr>
                      <w:rFonts w:hint="eastAsia"/>
                      <w:highlight w:val="yellow"/>
                      <w:u w:val="single"/>
                      <w:lang w:val="en-US" w:eastAsia="zh-CN"/>
                    </w:rPr>
                    <w:t>其中</w:t>
                  </w:r>
                  <w:r>
                    <w:rPr>
                      <w:u w:val="single"/>
                    </w:rPr>
                    <w:t>土石方开挖料为68849</w:t>
                  </w:r>
                  <w:r>
                    <w:rPr>
                      <w:rFonts w:hint="eastAsia"/>
                      <w:u w:val="single"/>
                      <w:lang w:eastAsia="zh-CN"/>
                    </w:rPr>
                    <w:t>m</w:t>
                  </w:r>
                  <w:r>
                    <w:rPr>
                      <w:rFonts w:hint="eastAsia"/>
                      <w:u w:val="single"/>
                      <w:vertAlign w:val="superscript"/>
                      <w:lang w:eastAsia="zh-CN"/>
                    </w:rPr>
                    <w:t>3</w:t>
                  </w:r>
                  <w:r>
                    <w:rPr>
                      <w:u w:val="single"/>
                    </w:rPr>
                    <w:t>，弃料13902</w:t>
                  </w:r>
                  <w:r>
                    <w:rPr>
                      <w:rFonts w:hint="eastAsia"/>
                      <w:u w:val="single"/>
                      <w:lang w:eastAsia="zh-CN"/>
                    </w:rPr>
                    <w:t>m</w:t>
                  </w:r>
                  <w:r>
                    <w:rPr>
                      <w:rFonts w:hint="eastAsia"/>
                      <w:u w:val="single"/>
                      <w:vertAlign w:val="superscript"/>
                      <w:lang w:eastAsia="zh-CN"/>
                    </w:rPr>
                    <w:t>3</w:t>
                  </w:r>
                  <w:r>
                    <w:rPr>
                      <w:u w:val="single"/>
                    </w:rPr>
                    <w:t>，料场取土料15862</w:t>
                  </w:r>
                  <w:r>
                    <w:rPr>
                      <w:rFonts w:hint="eastAsia"/>
                      <w:u w:val="single"/>
                      <w:lang w:eastAsia="zh-CN"/>
                    </w:rPr>
                    <w:t>m</w:t>
                  </w:r>
                  <w:r>
                    <w:rPr>
                      <w:rFonts w:hint="eastAsia"/>
                      <w:u w:val="single"/>
                      <w:vertAlign w:val="superscript"/>
                      <w:lang w:eastAsia="zh-CN"/>
                    </w:rPr>
                    <w:t>3</w:t>
                  </w:r>
                  <w:r>
                    <w:rPr>
                      <w:u w:val="single"/>
                    </w:rPr>
                    <w:t>，外购块石1712</w:t>
                  </w:r>
                  <w:r>
                    <w:rPr>
                      <w:rFonts w:hint="eastAsia"/>
                      <w:u w:val="single"/>
                      <w:lang w:eastAsia="zh-CN"/>
                    </w:rPr>
                    <w:t>m</w:t>
                  </w:r>
                  <w:r>
                    <w:rPr>
                      <w:rFonts w:hint="eastAsia"/>
                      <w:u w:val="single"/>
                      <w:vertAlign w:val="superscript"/>
                      <w:lang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restart"/>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公用工程</w:t>
                  </w: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给水</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施工用水来源于燎原水库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eastAsia"/>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供电</w:t>
                  </w:r>
                </w:p>
              </w:tc>
              <w:tc>
                <w:tcPr>
                  <w:tcW w:w="5119"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当地电网介入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eastAsia"/>
                      <w:u w:val="single"/>
                      <w:lang w:val="en-US" w:eastAsia="zh-CN"/>
                    </w:rPr>
                  </w:pPr>
                </w:p>
              </w:tc>
              <w:tc>
                <w:tcPr>
                  <w:tcW w:w="2452" w:type="dxa"/>
                  <w:gridSpan w:val="2"/>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排水</w:t>
                  </w:r>
                </w:p>
              </w:tc>
              <w:tc>
                <w:tcPr>
                  <w:tcW w:w="5119"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施工废水经隔油沉淀池处理后回用，</w:t>
                  </w:r>
                </w:p>
                <w:p>
                  <w:pPr>
                    <w:pStyle w:val="45"/>
                    <w:bidi w:val="0"/>
                    <w:rPr>
                      <w:rFonts w:hint="default"/>
                      <w:u w:val="single"/>
                      <w:lang w:val="en-US" w:eastAsia="zh-CN"/>
                    </w:rPr>
                  </w:pPr>
                  <w:r>
                    <w:rPr>
                      <w:rFonts w:hint="eastAsia"/>
                      <w:u w:val="single"/>
                      <w:lang w:val="en-US" w:eastAsia="zh-CN"/>
                    </w:rPr>
                    <w:t>营运期生活污水经化粪池处理后用于周边林地农肥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restart"/>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环保工程</w:t>
                  </w:r>
                </w:p>
              </w:tc>
              <w:tc>
                <w:tcPr>
                  <w:tcW w:w="1226" w:type="dxa"/>
                  <w:vMerge w:val="restart"/>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施工期</w:t>
                  </w:r>
                </w:p>
              </w:tc>
              <w:tc>
                <w:tcPr>
                  <w:tcW w:w="1226"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废水</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设置1个5m3的隔油沉淀池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1226" w:type="dxa"/>
                  <w:vMerge w:val="continue"/>
                  <w:tcBorders>
                    <w:tl2br w:val="nil"/>
                    <w:tr2bl w:val="nil"/>
                  </w:tcBorders>
                  <w:noWrap w:val="0"/>
                  <w:vAlign w:val="center"/>
                </w:tcPr>
                <w:p>
                  <w:pPr>
                    <w:pStyle w:val="45"/>
                    <w:bidi w:val="0"/>
                    <w:rPr>
                      <w:rFonts w:hint="default"/>
                      <w:u w:val="single"/>
                      <w:lang w:val="en-US" w:eastAsia="zh-CN"/>
                    </w:rPr>
                  </w:pPr>
                </w:p>
              </w:tc>
              <w:tc>
                <w:tcPr>
                  <w:tcW w:w="1226"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废气</w:t>
                  </w:r>
                </w:p>
              </w:tc>
              <w:tc>
                <w:tcPr>
                  <w:tcW w:w="5119" w:type="dxa"/>
                  <w:tcBorders>
                    <w:tl2br w:val="nil"/>
                    <w:tr2bl w:val="nil"/>
                  </w:tcBorders>
                  <w:noWrap w:val="0"/>
                  <w:vAlign w:val="center"/>
                </w:tcPr>
                <w:p>
                  <w:pPr>
                    <w:pStyle w:val="45"/>
                    <w:bidi w:val="0"/>
                    <w:rPr>
                      <w:rFonts w:hint="default"/>
                      <w:u w:val="single"/>
                      <w:lang w:val="en-US" w:eastAsia="zh-CN"/>
                    </w:rPr>
                  </w:pPr>
                  <w:r>
                    <w:rPr>
                      <w:rFonts w:hint="default"/>
                      <w:u w:val="single"/>
                      <w:lang w:val="en-US" w:eastAsia="zh-CN"/>
                    </w:rPr>
                    <w:t>路面硬化、防尘网、洒水降尘、围墙</w:t>
                  </w:r>
                  <w:r>
                    <w:rPr>
                      <w:rFonts w:hint="eastAsia"/>
                      <w:u w:val="single"/>
                      <w:lang w:val="en-US" w:eastAsia="zh-CN"/>
                    </w:rPr>
                    <w:t>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1226" w:type="dxa"/>
                  <w:vMerge w:val="continue"/>
                  <w:tcBorders>
                    <w:tl2br w:val="nil"/>
                    <w:tr2bl w:val="nil"/>
                  </w:tcBorders>
                  <w:noWrap w:val="0"/>
                  <w:vAlign w:val="center"/>
                </w:tcPr>
                <w:p>
                  <w:pPr>
                    <w:pStyle w:val="45"/>
                    <w:bidi w:val="0"/>
                    <w:rPr>
                      <w:rFonts w:hint="default"/>
                      <w:u w:val="single"/>
                      <w:lang w:val="en-US" w:eastAsia="zh-CN"/>
                    </w:rPr>
                  </w:pPr>
                </w:p>
              </w:tc>
              <w:tc>
                <w:tcPr>
                  <w:tcW w:w="1226" w:type="dxa"/>
                  <w:tcBorders>
                    <w:tl2br w:val="nil"/>
                    <w:tr2bl w:val="nil"/>
                  </w:tcBorders>
                  <w:noWrap w:val="0"/>
                  <w:vAlign w:val="center"/>
                </w:tcPr>
                <w:p>
                  <w:pPr>
                    <w:pStyle w:val="45"/>
                    <w:bidi w:val="0"/>
                    <w:rPr>
                      <w:rFonts w:hint="eastAsia"/>
                      <w:u w:val="single"/>
                      <w:lang w:val="en-US" w:eastAsia="zh-CN"/>
                    </w:rPr>
                  </w:pPr>
                  <w:r>
                    <w:rPr>
                      <w:rFonts w:hint="eastAsia"/>
                      <w:u w:val="single"/>
                      <w:lang w:val="en-US" w:eastAsia="zh-CN"/>
                    </w:rPr>
                    <w:t>噪声</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选用低噪声设备，合理安排施工时间，夜间禁止高噪声作业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vMerge w:val="continue"/>
                  <w:tcBorders>
                    <w:tl2br w:val="nil"/>
                    <w:tr2bl w:val="nil"/>
                  </w:tcBorders>
                  <w:noWrap w:val="0"/>
                  <w:vAlign w:val="center"/>
                </w:tcPr>
                <w:p>
                  <w:pPr>
                    <w:pStyle w:val="45"/>
                    <w:bidi w:val="0"/>
                    <w:rPr>
                      <w:rFonts w:hint="default"/>
                      <w:u w:val="single"/>
                      <w:lang w:val="en-US" w:eastAsia="zh-CN"/>
                    </w:rPr>
                  </w:pPr>
                </w:p>
              </w:tc>
              <w:tc>
                <w:tcPr>
                  <w:tcW w:w="1226"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营运期</w:t>
                  </w:r>
                </w:p>
              </w:tc>
              <w:tc>
                <w:tcPr>
                  <w:tcW w:w="1226"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废水</w:t>
                  </w:r>
                </w:p>
              </w:tc>
              <w:tc>
                <w:tcPr>
                  <w:tcW w:w="5119" w:type="dxa"/>
                  <w:tcBorders>
                    <w:tl2br w:val="nil"/>
                    <w:tr2bl w:val="nil"/>
                  </w:tcBorders>
                  <w:noWrap w:val="0"/>
                  <w:vAlign w:val="center"/>
                </w:tcPr>
                <w:p>
                  <w:pPr>
                    <w:pStyle w:val="45"/>
                    <w:bidi w:val="0"/>
                    <w:rPr>
                      <w:rFonts w:hint="default"/>
                      <w:u w:val="single"/>
                      <w:lang w:val="en-US" w:eastAsia="zh-CN"/>
                    </w:rPr>
                  </w:pPr>
                  <w:r>
                    <w:rPr>
                      <w:rFonts w:hint="eastAsia"/>
                      <w:u w:val="single"/>
                      <w:lang w:val="en-US" w:eastAsia="zh-CN"/>
                    </w:rPr>
                    <w:t>生活污水经化粪池处理后用于周边林地农肥</w:t>
                  </w:r>
                </w:p>
              </w:tc>
            </w:tr>
          </w:tbl>
          <w:p>
            <w:pPr>
              <w:numPr>
                <w:ilvl w:val="0"/>
                <w:numId w:val="3"/>
              </w:numPr>
              <w:bidi w:val="0"/>
              <w:rPr>
                <w:rFonts w:hint="eastAsia"/>
                <w:lang w:val="en-US" w:eastAsia="zh-CN"/>
              </w:rPr>
            </w:pPr>
            <w:r>
              <w:rPr>
                <w:rFonts w:hint="eastAsia"/>
                <w:lang w:val="en-US" w:eastAsia="zh-CN"/>
              </w:rPr>
              <w:t>工程建设方案</w:t>
            </w:r>
          </w:p>
          <w:p>
            <w:pPr>
              <w:bidi w:val="0"/>
              <w:rPr>
                <w:rFonts w:hint="default"/>
                <w:lang w:val="en-US" w:eastAsia="zh-CN"/>
              </w:rPr>
            </w:pPr>
            <w:r>
              <w:rPr>
                <w:rFonts w:hint="eastAsia"/>
                <w:lang w:val="en-US" w:eastAsia="zh-CN"/>
              </w:rPr>
              <w:t>1、</w:t>
            </w:r>
            <w:r>
              <w:t>主坝坝体、坝基、坝肩防渗处理</w:t>
            </w:r>
          </w:p>
          <w:p>
            <w:pPr>
              <w:bidi w:val="0"/>
            </w:pPr>
            <w:r>
              <w:t>大坝建基面在粉质粘土层上，粉质粘土下有一层含砂砾粉土层，透水性较强，而冲抓回填粘土防渗心墙均未穿透含砂砾粉土层，故本次塑性砼防渗墙深度应深至花岗岩以下1m，下接弱风化花岗岩或帷幕灌浆。塑性砼防渗墙的轴线位于坝顶中心线偏上游1.2m(原坝体冲抓回填粘土防渗墙轴线偏下游0.8m)，塑性砼防渗墙最大高度为42.27m(81.40m-39.13m)，塑性砼防渗墙墙厚分两种，桩号0+000~0+440坝段0.4m，桩号0+440~0+819坝段0.6m。防渗处理范围为：主坝桩号0+000~0+819坝体采用塑性砼防渗墙防渗，桩号0+440~0+819坝段坝基和右坝肩进行帷幕灌浆，坝体塑性砼防渗墙底部伸入花岗岩层1m，坝基与坝肩帷幕灌浆底部伸入相对不透水层10Lu线以下5m。这样，使主坝坝基、坝身、坝肩形成相对封闭的、连续的防渗体系。</w:t>
            </w:r>
          </w:p>
          <w:p>
            <w:pPr>
              <w:bidi w:val="0"/>
            </w:pPr>
            <w:r>
              <w:t>大坝坝身塑性砼防渗墙设计</w:t>
            </w:r>
          </w:p>
          <w:p>
            <w:pPr>
              <w:bidi w:val="0"/>
            </w:pPr>
            <w:r>
              <w:t>推荐方案坝身塑性砼防渗墙防渗方案的设计要求如下：</w:t>
            </w:r>
          </w:p>
          <w:p>
            <w:pPr>
              <w:bidi w:val="0"/>
            </w:pPr>
            <w:r>
              <w:t>(1)塑性砼防渗墙的轴线位于坝顶轴线偏上游1.2m(原冲抓回填粘土防渗墙轴线下游0.8m)，塑性砼防渗墙深度应深至花岗岩以下1m，塑性砼防渗墙的顶部伸至施工平台81.40m高程。砼防渗墙最大高度为81.40m-39.13m=42.27m，塑性砼防渗墙厚0.4~0.6m。</w:t>
            </w:r>
          </w:p>
          <w:p>
            <w:pPr>
              <w:bidi w:val="0"/>
            </w:pPr>
            <w:r>
              <w:t>(2)采用冲击钻机和液压抓斗成槽法施工，粘土泥浆护壁。孔位偏差不大于3cm；孔斜率不大于4‰。在塑性砼防渗墙施工平台上，塑性砼防渗墙的两侧设梯形C25钢筋砼导墙，墙高1.0m，墙顶宽0.4m。</w:t>
            </w:r>
          </w:p>
          <w:p>
            <w:pPr>
              <w:bidi w:val="0"/>
            </w:pPr>
            <w:r>
              <w:t>(3)塑性混凝土主要指标：</w:t>
            </w:r>
          </w:p>
          <w:p>
            <w:pPr>
              <w:bidi w:val="0"/>
            </w:pPr>
            <w:r>
              <w:t>28d抗压强度：2.0~2.5MPa；</w:t>
            </w:r>
          </w:p>
          <w:p>
            <w:pPr>
              <w:bidi w:val="0"/>
            </w:pPr>
            <w:r>
              <w:t>28d弹性模量≤500MPa；</w:t>
            </w:r>
          </w:p>
          <w:p>
            <w:pPr>
              <w:bidi w:val="0"/>
            </w:pPr>
            <w:r>
              <w:t>坍落度：18~22cm；</w:t>
            </w:r>
          </w:p>
          <w:p>
            <w:pPr>
              <w:bidi w:val="0"/>
            </w:pPr>
            <w:r>
              <w:t>扩散度：35~45cm；</w:t>
            </w:r>
          </w:p>
          <w:p>
            <w:pPr>
              <w:bidi w:val="0"/>
            </w:pPr>
            <w:r>
              <w:t>渗透系数：≤10-7cm/s。</w:t>
            </w:r>
          </w:p>
          <w:p>
            <w:pPr>
              <w:bidi w:val="0"/>
            </w:pPr>
            <w:r>
              <w:t>(4)右坝段槽内预埋帷幕灌浆管，埋管内径为114mm。</w:t>
            </w:r>
          </w:p>
          <w:p>
            <w:pPr>
              <w:bidi w:val="0"/>
            </w:pPr>
            <w:r>
              <w:t>(5)塑性混凝土浇筑</w:t>
            </w:r>
          </w:p>
          <w:p>
            <w:pPr>
              <w:bidi w:val="0"/>
            </w:pPr>
            <w:r>
              <w:t>混凝土浇筑采用“泥浆下直升导管法”，导管埋入砼深度不宜小于1.5m，控制混凝土面上升速度不小于2m/h，导管下设及导管起拔均按设计要求控制。采用压球法开浇，以减小开浇时砼快速下落与泥浆的絮凝反应。</w:t>
            </w:r>
          </w:p>
          <w:p>
            <w:pPr>
              <w:bidi w:val="0"/>
            </w:pPr>
            <w:r>
              <w:t>拟采用快速接头法连接导管。导管的连接和下设均按有关规范要求进行。</w:t>
            </w:r>
          </w:p>
          <w:p>
            <w:pPr>
              <w:bidi w:val="0"/>
            </w:pPr>
            <w:r>
              <w:t>(6)平台回填</w:t>
            </w:r>
          </w:p>
          <w:p>
            <w:pPr>
              <w:bidi w:val="0"/>
            </w:pPr>
            <w:r>
              <w:t>施工平台待防渗墙与上部砼压盖施工结束后即进行回填，回填料利用原坝开挖原状土回填并压实，压实度不小于0.96。</w:t>
            </w:r>
          </w:p>
          <w:p>
            <w:pPr>
              <w:bidi w:val="0"/>
            </w:pPr>
            <w:r>
              <w:t>(7)塑性砼防渗墙完成后，再进行帷幕灌浆施工。</w:t>
            </w:r>
          </w:p>
          <w:p>
            <w:pPr>
              <w:bidi w:val="0"/>
            </w:pPr>
            <w:r>
              <w:t>塑性砼防渗墙厚度B按下式确定：B=H/Jp</w:t>
            </w:r>
          </w:p>
          <w:p>
            <w:pPr>
              <w:bidi w:val="0"/>
            </w:pPr>
            <w:r>
              <w:t>式中：B──设计墙厚，m；</w:t>
            </w:r>
          </w:p>
          <w:p>
            <w:pPr>
              <w:bidi w:val="0"/>
            </w:pPr>
            <w:r>
              <w:t>H──最大作用水头，m；</w:t>
            </w:r>
          </w:p>
          <w:p>
            <w:pPr>
              <w:bidi w:val="0"/>
            </w:pPr>
            <w:r>
              <w:t>Jp──塑性砼防渗墙允许比降，根据已有工程经验取值50；</w:t>
            </w:r>
          </w:p>
          <w:p>
            <w:pPr>
              <w:bidi w:val="0"/>
            </w:pPr>
            <w:r>
              <w:t>根据工程水文计算水库校核洪水位为79.72m，大坝下游无水，上、下游水位最大水头差为79.72-60.10=19.62m。经计算，B＝0.39m，结合坝基帷幕灌浆预埋灌浆管并参照我国已建工程实例、施工机械特点，设置两种防渗墙厚度，其中桩号0+000~0+440坝段塑性砼防渗墙厚度为0.4m，桩号0+440~0+819坝段(帷幕灌浆坝段)塑性砼防渗墙厚度为0.6m。</w:t>
            </w:r>
          </w:p>
          <w:p>
            <w:pPr>
              <w:bidi w:val="0"/>
            </w:pPr>
            <w:r>
              <w:t>3)大坝部分坝基及右坝肩帷幕灌浆处理加固设计</w:t>
            </w:r>
          </w:p>
          <w:p>
            <w:pPr>
              <w:bidi w:val="0"/>
            </w:pPr>
            <w:r>
              <w:t>根据本工程的地质揭露情况，主坝左坝段塑性砼防渗墙底部为弱风化花岗岩，透水率较低，属相对不透水层，可不必进行防渗处理，右坝段含砂砾粉土层下部有一强风化带，节理裂隙发育，岩芯呈土夹砂砾状或砂夹碎块状，厚0.00~5.50m，透水率q=11.5~18.4Lu，属中等透水带，本次对主坝桩号0+440~0+819坝段坝基及右坝肩进行帷幕灌浆</w:t>
            </w:r>
            <w:r>
              <w:tab/>
            </w:r>
            <w:r>
              <w:t>(长125m)，与坝身塑性砼防渗墙形成一封闭的防渗体系。</w:t>
            </w:r>
          </w:p>
          <w:p>
            <w:pPr>
              <w:bidi w:val="0"/>
            </w:pPr>
            <w:r>
              <w:t>(1)帷幕灌浆的布置</w:t>
            </w:r>
          </w:p>
          <w:p>
            <w:pPr>
              <w:bidi w:val="0"/>
            </w:pPr>
            <w:r>
              <w:t>为保证基础帷幕灌浆与坝身塑性砼防渗墙形成整体的防渗质量，本次设计帷幕灌浆布设一排孔，帷幕灌浆孔孔距3.0m；为减少绕坝渗漏，在主坝右坝肩布置一排帷幕灌浆孔，孔距均为3.0m，与主坝坝基帷幕灌浆形成连续防渗体。帷幕灌浆均采取自下而上灌浆法，分三序灌浆。</w:t>
            </w:r>
          </w:p>
          <w:p>
            <w:pPr>
              <w:bidi w:val="0"/>
            </w:pPr>
            <w:r>
              <w:t>(2)帷幕灌浆的深度</w:t>
            </w:r>
          </w:p>
          <w:p>
            <w:pPr>
              <w:bidi w:val="0"/>
            </w:pPr>
            <w:r>
              <w:t>帷幕灌浆的深度控制在岩基q=10Lu线以下5m。</w:t>
            </w:r>
          </w:p>
          <w:p>
            <w:pPr>
              <w:bidi w:val="0"/>
            </w:pPr>
            <w:r>
              <w:t>(3)灌浆帷幕进尺</w:t>
            </w:r>
          </w:p>
          <w:p>
            <w:pPr>
              <w:bidi w:val="0"/>
            </w:pPr>
            <w:r>
              <w:t>主坝右坝肩帷幕灌浆轴线长度125m，主坝右坝段坝基帷幕灌浆长度379m，主坝帷幕灌浆轴线总长度504m，帷幕灌浆钻孔总进尺4164m，帷幕灌浆总进尺3100m。</w:t>
            </w:r>
          </w:p>
          <w:p>
            <w:pPr>
              <w:bidi w:val="0"/>
            </w:pPr>
            <w:r>
              <w:t>(4)帷幕灌浆材料</w:t>
            </w:r>
          </w:p>
          <w:p>
            <w:pPr>
              <w:bidi w:val="0"/>
            </w:pPr>
            <w:r>
              <w:t>灌浆材料必须是新鲜的普通硅酸盐水泥，强度等级不低于42.5，对因受潮而结块的水泥一定要清除，以免影响施工质量。</w:t>
            </w:r>
          </w:p>
          <w:p>
            <w:pPr>
              <w:bidi w:val="0"/>
            </w:pPr>
            <w:r>
              <w:rPr>
                <w:rFonts w:hint="eastAsia"/>
                <w:lang w:val="en-US" w:eastAsia="zh-CN"/>
              </w:rPr>
              <w:t>2、主坝</w:t>
            </w:r>
            <w:r>
              <w:t>坝顶路面、设施恢复及坝顶裂缝处理</w:t>
            </w:r>
          </w:p>
          <w:p>
            <w:pPr>
              <w:bidi w:val="0"/>
            </w:pPr>
            <w:r>
              <w:t>1)坝顶路面及设施恢复</w:t>
            </w:r>
          </w:p>
          <w:p>
            <w:pPr>
              <w:bidi w:val="0"/>
            </w:pPr>
            <w:r>
              <w:t>塑性砼防渗墙施工前，坝顶原有沥青砼路面需进行拆除，将坝顶开挖至81.40高程形成施工平台，待塑性砼防渗墙施工完毕后，再将大坝坝顶路面进行恢复，本次加固后坝顶高程81.90m不变，坝顶总宽度10m不变。本次坝顶路面及设施恢复按如下措施进行：</w:t>
            </w:r>
          </w:p>
          <w:p>
            <w:pPr>
              <w:bidi w:val="0"/>
            </w:pPr>
            <w:r>
              <w:t>a.坝顶依次铺筑150mm厚10%水泥石粉稳定层、70mm厚粗粒式AC-25C沥青混凝土层、改性乳化沥青0.6~1.0L/m²和35mm厚细粒式AC-13F沥青混凝土。</w:t>
            </w:r>
          </w:p>
          <w:p>
            <w:pPr>
              <w:bidi w:val="0"/>
            </w:pPr>
            <w:r>
              <w:t>b.坝顶面向下游侧放坡，坡度2%，下游侧设C20砼排水沟，与下游坝坡横向排水沟连通。</w:t>
            </w:r>
          </w:p>
          <w:p>
            <w:pPr>
              <w:bidi w:val="0"/>
            </w:pPr>
            <w:r>
              <w:t>c.上游侧设C20砼路缘石，路缘石高出坝顶路面0.30m，每10m设一伸缩缝。路缘石上设麻石栏杆，栏杆高度1.37m。</w:t>
            </w:r>
          </w:p>
          <w:p>
            <w:pPr>
              <w:bidi w:val="0"/>
            </w:pPr>
            <w:r>
              <w:t>d.为了防汛、抢险和坝顶通行的需要，在坝顶上、下游两侧设置路灯，间距35m，共46盏。</w:t>
            </w:r>
          </w:p>
          <w:p>
            <w:pPr>
              <w:bidi w:val="0"/>
            </w:pPr>
            <w:r>
              <w:t>2)坝顶裂缝处理</w:t>
            </w:r>
          </w:p>
          <w:p>
            <w:pPr>
              <w:bidi w:val="0"/>
            </w:pPr>
            <w:r>
              <w:t>根据现场勘察，目前大坝坝顶路面沿坝轴线附近有一纵向裂缝。分析坝顶裂缝成因，主要是由于2015年坝顶“戴帽”、路面加高加宽时，坝体回填土夯实不密实所致，故本次结合大坝塑性砼防渗墙施工及坝顶恢复，对坝顶裂缝处进行开挖翻筑处理，在塑性砼防渗墙施工平台高程81.40m以下挖除原坝体0.5m填筑土后，重新回填夯实，压实度不小于0.96。</w:t>
            </w:r>
          </w:p>
          <w:p>
            <w:pPr>
              <w:bidi w:val="0"/>
            </w:pPr>
            <w:r>
              <w:rPr>
                <w:rFonts w:hint="eastAsia"/>
                <w:lang w:eastAsia="zh-CN"/>
              </w:rPr>
              <w:t>（</w:t>
            </w:r>
            <w:r>
              <w:rPr>
                <w:rFonts w:hint="eastAsia"/>
                <w:lang w:val="en-US" w:eastAsia="zh-CN"/>
              </w:rPr>
              <w:t>3</w:t>
            </w:r>
            <w:r>
              <w:rPr>
                <w:rFonts w:hint="eastAsia"/>
                <w:lang w:eastAsia="zh-CN"/>
              </w:rPr>
              <w:t>）</w:t>
            </w:r>
            <w:r>
              <w:t>主坝上游护坡修复</w:t>
            </w:r>
          </w:p>
          <w:p>
            <w:pPr>
              <w:bidi w:val="0"/>
            </w:pPr>
            <w:r>
              <w:t>主要存在的问题：上游坝坡预制砼六方块护坡有浪损，局部预制砼六方块被冲毁破损或砂浆被冲刷掏空，存在安全隐患。</w:t>
            </w:r>
          </w:p>
          <w:p>
            <w:pPr>
              <w:bidi w:val="0"/>
            </w:pPr>
            <w:r>
              <w:t>本次拟对大坝上游坝坡预制砼六方块护坡浪损严重部分进行修复。</w:t>
            </w:r>
          </w:p>
          <w:p>
            <w:pPr>
              <w:bidi w:val="0"/>
            </w:pPr>
            <w:r>
              <w:t>1)上游护坡</w:t>
            </w:r>
          </w:p>
          <w:p>
            <w:pPr>
              <w:bidi w:val="0"/>
            </w:pPr>
            <w:r>
              <w:t>(1)护坡范围及形式</w:t>
            </w:r>
          </w:p>
          <w:p>
            <w:pPr>
              <w:bidi w:val="0"/>
            </w:pPr>
            <w:r>
              <w:t>将大坝上游坝坡原有预制砼六方块护浪损严重部分修复，修复面积按上游坝坡护坡总面积的15%考虑。护坡采用预制C20砼六块护坡，M10砂浆勾缝，正六边形边长为300mm，下铺100mm厚碎石垫层，100mm厚粗砂垫层，护坡面上每隔2.5m设置一个Φ50mm排水孔，孔中用反滤料填充设排水孔，孔径为Φ50mm，孔距2.5m，呈梅花形布置。沿坝轴线方向每隔15m设一条伸缩缝，沥青杉板嵌缝。</w:t>
            </w:r>
          </w:p>
          <w:p>
            <w:pPr>
              <w:bidi w:val="0"/>
            </w:pPr>
            <w:r>
              <w:t>(2)预制砼块护坡厚度计算</w:t>
            </w:r>
          </w:p>
          <w:p>
            <w:pPr>
              <w:bidi w:val="0"/>
            </w:pPr>
            <w:r>
              <w:t>预制砼块护坡厚度的计算，是根据板厚在波压力和浮力作用下，不致浮起和破裂的条件而定的，通常只计算厚度，平面尺寸预先选定。设计采用C20预制砼六方块护坡。C20预制砼六方块护坡厚度取为120mm厚，六方块边长300mm。</w:t>
            </w:r>
          </w:p>
          <w:p>
            <w:pPr>
              <w:bidi w:val="0"/>
            </w:pPr>
            <w:r>
              <w:rPr>
                <w:rFonts w:hint="eastAsia"/>
                <w:lang w:val="en-US" w:eastAsia="zh-CN"/>
              </w:rPr>
              <w:t>3、</w:t>
            </w:r>
            <w:r>
              <w:t>主坝下游坡面护坡和排水</w:t>
            </w:r>
          </w:p>
          <w:p>
            <w:pPr>
              <w:bidi w:val="0"/>
            </w:pPr>
            <w:r>
              <w:t>燎原水库主坝下游坝坡现状为三级，左坝段(桩号0+000~0+419)坡比自上而下分别为1:2.0、1:2.7、1:2.5，河床段(桩号0+419~0+619)和右坝段(0+619~0+819)坡比自上而下分别为1:1.3、1:2.7、1:2.7，由于2005年坝顶路面加高，下游坡原有一级平台已被填埋，原二级平台变为现在的一级平台，左坝段一级平台高程为71.70m，河床段和右坝段一级平台高程为71.40m，平台宽均为2m，下游坝坡采用草皮护坡。据现场查勘及大坝安全鉴定成果，主坝河床段(桩号0+419~0+619)和右坝段(0+619~0+819)下游一、二级坡面均存在不平整情况，草皮护坡破损，排水沟淤积，部分工况下游坝坡抗滑稳定安全系数不满足规范要求。</w:t>
            </w:r>
          </w:p>
          <w:p>
            <w:pPr>
              <w:bidi w:val="0"/>
            </w:pPr>
            <w:r>
              <w:t>本次拟对桩号0+099~0+419和0+469~0+796坝段下游坝坡整坡，坝面重铺草皮护坡，下游坝面一级平台及其内侧纵向排水沟拆除重建，坝面共设6条横向排水沟，左右坝肩与岸坡相交处新建排水沟；现有2道砼踏步拆除重建，并新增2道砼踏步。</w:t>
            </w:r>
          </w:p>
          <w:p>
            <w:pPr>
              <w:bidi w:val="0"/>
              <w:rPr>
                <w:rFonts w:hint="eastAsia"/>
                <w:lang w:eastAsia="zh-CN"/>
              </w:rPr>
            </w:pPr>
            <w:r>
              <w:rPr>
                <w:rFonts w:hint="eastAsia"/>
                <w:lang w:eastAsia="zh-CN"/>
              </w:rPr>
              <w:t>（</w:t>
            </w:r>
            <w:r>
              <w:rPr>
                <w:rFonts w:hint="eastAsia"/>
                <w:lang w:val="en-US" w:eastAsia="zh-CN"/>
              </w:rPr>
              <w:t>一</w:t>
            </w:r>
            <w:r>
              <w:rPr>
                <w:rFonts w:hint="eastAsia"/>
                <w:lang w:eastAsia="zh-CN"/>
              </w:rPr>
              <w:t>）下游坝坡整坡、重铺草皮护坡</w:t>
            </w:r>
          </w:p>
          <w:p>
            <w:pPr>
              <w:bidi w:val="0"/>
            </w:pPr>
            <w:r>
              <w:t>(1)坝体填筑材料要求：</w:t>
            </w:r>
          </w:p>
          <w:p>
            <w:pPr>
              <w:bidi w:val="0"/>
            </w:pPr>
            <w:r>
              <w:t>填筑土料采用当地的砾质砂质粘土坝壳料(其渗透系数不能小于原大坝填筑土的渗透系数)。</w:t>
            </w:r>
          </w:p>
          <w:p>
            <w:pPr>
              <w:bidi w:val="0"/>
            </w:pPr>
            <w:r>
              <w:t>(2)填筑作业应符合下列要求</w:t>
            </w:r>
          </w:p>
          <w:p>
            <w:pPr>
              <w:bidi w:val="0"/>
            </w:pPr>
            <w:r>
              <w:t>a.坝体填筑时应按水平分层从低处开始逐层填筑，不得顺坡铺填。作业面应分层统一铺土，统一碾压，严禁出现界沟；</w:t>
            </w:r>
          </w:p>
          <w:p>
            <w:pPr>
              <w:bidi w:val="0"/>
            </w:pPr>
            <w:r>
              <w:t>b.相邻施工段的作业面宜均衡上升，若段与段之间不可避免出现高差时，应以斜坡面相接。</w:t>
            </w:r>
          </w:p>
          <w:p>
            <w:pPr>
              <w:bidi w:val="0"/>
            </w:pPr>
            <w:r>
              <w:t>(3)铺料作业应符合下列要求</w:t>
            </w:r>
          </w:p>
          <w:p>
            <w:pPr>
              <w:bidi w:val="0"/>
            </w:pPr>
            <w:r>
              <w:t>a.应按设计要求将土料铺至规定部位，严禁将砂(砾)料或其他透水材料与粘性土料混杂，填筑土料中的杂质应予清除；</w:t>
            </w:r>
          </w:p>
          <w:p>
            <w:pPr>
              <w:bidi w:val="0"/>
            </w:pPr>
            <w:r>
              <w:t>b.采用轻中型机械碾压时，一次铺料厚度为30cm，土块直径不应大于10cm。</w:t>
            </w:r>
          </w:p>
          <w:p>
            <w:pPr>
              <w:bidi w:val="0"/>
            </w:pPr>
            <w:r>
              <w:t>(4)压实作业应符合下列要求</w:t>
            </w:r>
          </w:p>
          <w:p>
            <w:pPr>
              <w:bidi w:val="0"/>
            </w:pPr>
            <w:r>
              <w:t>a.上下层的分段接缝位置应错开；</w:t>
            </w:r>
          </w:p>
          <w:p>
            <w:pPr>
              <w:bidi w:val="0"/>
            </w:pPr>
            <w:r>
              <w:t>b.碾压施工应符合下列要求：</w:t>
            </w:r>
          </w:p>
          <w:p>
            <w:pPr>
              <w:bidi w:val="0"/>
            </w:pPr>
            <w:r>
              <w:t>(a)碾压机械行走方向应平行于堤轴线；</w:t>
            </w:r>
          </w:p>
          <w:p>
            <w:pPr>
              <w:bidi w:val="0"/>
            </w:pPr>
            <w:r>
              <w:t>(b)分段、分片碾压，相邻作业面的搭接碾压宽度，平行堤轴线方向不应小于0.5m,垂直堤轴线方向不应小于3m；</w:t>
            </w:r>
          </w:p>
          <w:p>
            <w:pPr>
              <w:bidi w:val="0"/>
            </w:pPr>
            <w:r>
              <w:t>(c)机械碾压应控制行车速度，以不超过下列规定为宜：平碾为2km/h，振动碾为2km/h，铲运机为2档；</w:t>
            </w:r>
          </w:p>
          <w:p>
            <w:pPr>
              <w:bidi w:val="0"/>
            </w:pPr>
            <w:r>
              <w:t>(d)机械碾压不到位的部位，应辅以夯具夯实。</w:t>
            </w:r>
          </w:p>
          <w:p>
            <w:pPr>
              <w:bidi w:val="0"/>
            </w:pPr>
            <w:r>
              <w:t>(5)填筑标准应符合下列要求(必须同时满足)：</w:t>
            </w:r>
          </w:p>
          <w:p>
            <w:pPr>
              <w:bidi w:val="0"/>
            </w:pPr>
            <w:r>
              <w:t>a.填筑标准按压实度确定，压实度应不小于0.96。</w:t>
            </w:r>
          </w:p>
          <w:p>
            <w:pPr>
              <w:bidi w:val="0"/>
            </w:pPr>
            <w:r>
              <w:t>b.填筑干密度应根据土料的压实度为0.96及料场土料击实试验成果确实。</w:t>
            </w:r>
          </w:p>
          <w:p>
            <w:pPr>
              <w:bidi w:val="0"/>
            </w:pPr>
            <w:r>
              <w:t>(6)其他事项</w:t>
            </w:r>
          </w:p>
          <w:p>
            <w:pPr>
              <w:bidi w:val="0"/>
            </w:pPr>
            <w:r>
              <w:t>本技术要求未提及的，须严格按照相关规范的要求进行施工。</w:t>
            </w:r>
          </w:p>
          <w:p>
            <w:pPr>
              <w:bidi w:val="0"/>
            </w:pPr>
            <w:r>
              <w:t>全坝段下游坝坡重铺草皮护坡，草皮选用台湾青，草皮下加培150mm的种植土。</w:t>
            </w:r>
          </w:p>
          <w:p>
            <w:pPr>
              <w:bidi w:val="0"/>
            </w:pPr>
            <w:r>
              <w:rPr>
                <w:rFonts w:hint="eastAsia"/>
                <w:lang w:eastAsia="zh-CN"/>
              </w:rPr>
              <w:t>（</w:t>
            </w:r>
            <w:r>
              <w:rPr>
                <w:rFonts w:hint="eastAsia"/>
                <w:lang w:val="en-US" w:eastAsia="zh-CN"/>
              </w:rPr>
              <w:t>二</w:t>
            </w:r>
            <w:r>
              <w:rPr>
                <w:rFonts w:hint="eastAsia"/>
                <w:lang w:eastAsia="zh-CN"/>
              </w:rPr>
              <w:t>）</w:t>
            </w:r>
            <w:r>
              <w:t>砼平台、排水沟和踏步</w:t>
            </w:r>
          </w:p>
          <w:p>
            <w:pPr>
              <w:bidi w:val="0"/>
            </w:pPr>
            <w:r>
              <w:t>本次设计下游坝坡各级坡比从上自下分别为1:2.2和1:2.7。第一级坡和第二级坡之间设一级平台，高程71.90m，平台宽2m。桩号0+000~0+419坝段下游坝面左右两端设C20砼踏步，桩号0+419~0+819坝段下游坝同左右两端设C20砼踏步，踏步宽1.5m。</w:t>
            </w:r>
          </w:p>
          <w:p>
            <w:pPr>
              <w:spacing w:before="2" w:line="359" w:lineRule="auto"/>
              <w:ind w:left="37" w:firstLine="483"/>
            </w:pPr>
            <w:r>
              <w:t>为防止下游坝坡雨水集中冲刷而形成雨淋沟，需设置纵、横排水沟，汇集径流，排到坝脚，并在坝坡与左右岸坡连接处设排水沟。纵向排水沟布置在各级马道内侧，采用明沟，以利清淤，纵向排水沟净宽断面尺寸为b×h=300mm×300mm；顺着坝坡的横向排水沟共设6条，并要求与纵向排水沟相连接，净宽断面尺寸为b×h=300mm×300mm。纵向和横向排水沟均采用C20砼现浇衬砌，衬砌厚度为100mm。大坝左坝段(桩号0+000~0+419)和坝段(桩号0+419~0+819)下游坝坡与左右岸连接处各设2条排水沟，坝顶排水沟、坡面排水沟中的雨水汇入坝脚两岸的排水沟，与排水棱体集渗沟分开设置。各级平台采用C20砼浇筑，厚200mm，下设碎石垫层，厚100mm。桩号0+419~0+819坝段下游坝面整坡和护坡后原有水库标志字体原样恢复。</w:t>
            </w:r>
          </w:p>
          <w:p>
            <w:pPr>
              <w:spacing w:before="1" w:line="218" w:lineRule="auto"/>
              <w:ind w:left="36"/>
            </w:pPr>
            <w:r>
              <w:rPr>
                <w:rFonts w:hint="eastAsia"/>
                <w:lang w:val="en-US" w:eastAsia="zh-CN"/>
              </w:rPr>
              <w:t>4、</w:t>
            </w:r>
            <w:r>
              <w:t>主坝下游坝脚排水棱体局部维修</w:t>
            </w:r>
          </w:p>
          <w:p>
            <w:pPr>
              <w:spacing w:before="184" w:line="359" w:lineRule="auto"/>
              <w:ind w:left="37" w:right="219" w:firstLine="482"/>
            </w:pPr>
            <w:r>
              <w:t>主坝左坝段下游坝脚排水棱体顶高程68.21m，河床段和右坝段下游坝脚排水棱体顶高程63.60m。由于大坝下游坝脚部分排水棱体块石间孔隙被坝体流失土等充填、堵塞，部分块石风化严重，导致排水棱体局部导水功能下降、排水不畅，因此需对下游坝脚部分排水棱体进行局部维修、更换，局部坝段下游坝脚无排水棱体，本次予以新建。根据现场查勘，本次对主坝桩号桩号0+140~0+190、0+550~0+662坝段下游坝脚排水棱体局部维修，桩号0+662~0+701坝段下游坝脚新建排水棱体；桩号0+134~0+400坝段、0+662~0+701坝段下游坝脚新建集渗沟，桩号0+469~0+662坝段下游坝脚原有集渗沟拆除重建。</w:t>
            </w:r>
          </w:p>
          <w:p>
            <w:pPr>
              <w:spacing w:line="359" w:lineRule="auto"/>
              <w:ind w:left="41" w:right="221" w:firstLine="481"/>
            </w:pPr>
            <w:r>
              <w:t>具体措施为将原排水棱体表面风化较严重的砌石拆除，重新砌筑较好的块石，局部充填、堵塞严重的地段进行开挖更换，维修维修后排水棱体顶高程与原高程保持不变。</w:t>
            </w:r>
          </w:p>
          <w:p>
            <w:pPr>
              <w:bidi w:val="0"/>
            </w:pPr>
            <w:r>
              <w:t>本次设计对桩号0+662~0+701坝段下游坝脚拟新建排水棱体。新建的排水棱体顶高程与已建排水棱体顶高程保持一致，干砌石排水棱体顶高程63.60m，顶面宽2.0m，外坡比为1:1.0，内坡比为1:1.0。干砌块石护脚反滤料:第一层反滤料粒径D取0.25~1mm，D15≤0.36mm，厚度为200mm；第二层反滤料D=1~5mm，厚度为200mm；第三层反滤料D=5~20mm，厚度为250mm。三层反滤料的不均匀系数η=d60/d10≤5~8，第二层、第三层反滤料需满足D15/d85≤4~5、D15/d15≥5。(式中d为被保护土层粒径，D为保护土层粒</w:t>
            </w:r>
            <w: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-12065</wp:posOffset>
                      </wp:positionV>
                      <wp:extent cx="222885" cy="2006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22885" cy="200660"/>
                              </a:xfrm>
                              <a:prstGeom prst="rect">
                                <a:avLst/>
                              </a:prstGeom>
                              <a:noFill/>
                              <a:ln>
                                <a:noFill/>
                              </a:ln>
                            </wps:spPr>
                            <wps:txbx>
                              <w:txbxContent>
                                <w:p>
                                  <w:pPr>
                                    <w:spacing w:before="20" w:line="212" w:lineRule="auto"/>
                                    <w:ind w:left="20"/>
                                    <w:rPr>
                                      <w:rFonts w:ascii="Times New Roman" w:hAnsi="Times New Roman" w:eastAsia="Times New Roman" w:cs="Times New Roman"/>
                                      <w:sz w:val="24"/>
                                      <w:szCs w:val="24"/>
                                    </w:rPr>
                                  </w:pPr>
                                  <w:r>
                                    <w:rPr>
                                      <w:rFonts w:ascii="宋体" w:hAnsi="宋体" w:eastAsia="宋体" w:cs="宋体"/>
                                      <w:spacing w:val="-6"/>
                                      <w:sz w:val="24"/>
                                      <w:szCs w:val="24"/>
                                    </w:rPr>
                                    <w:t>径</w:t>
                                  </w:r>
                                  <w:r>
                                    <w:rPr>
                                      <w:rFonts w:ascii="Times New Roman" w:hAnsi="Times New Roman" w:eastAsia="Times New Roman" w:cs="Times New Roman"/>
                                      <w:spacing w:val="-4"/>
                                      <w:sz w:val="24"/>
                                      <w:szCs w:val="24"/>
                                    </w:rPr>
                                    <w:t>)</w:t>
                                  </w:r>
                                </w:p>
                              </w:txbxContent>
                            </wps:txbx>
                            <wps:bodyPr lIns="0" tIns="0" rIns="0" bIns="0" upright="1"/>
                          </wps:wsp>
                        </a:graphicData>
                      </a:graphic>
                    </wp:anchor>
                  </w:drawing>
                </mc:Choice>
                <mc:Fallback>
                  <w:pict>
                    <v:shape id="_x0000_s1026" o:spid="_x0000_s1026" o:spt="202" type="#_x0000_t202" style="position:absolute;left:0pt;margin-left:0.9pt;margin-top:-0.95pt;height:15.8pt;width:17.55pt;z-index:251660288;mso-width-relative:page;mso-height-relative:page;" filled="f" stroked="f" coordsize="21600,21600" o:gfxdata="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iXpFHVAAAABgEAAA8AAAAAAAAAAQAgAAAAIgAAAGRycy9kb3ducmV2LnhtbFBLAQIUABQA&#10;AAAIAIdO4kBTwmaPugEAAHMDAAAOAAAAAAAAAAEAIAAAACQBAABkcnMvZTJvRG9jLnhtbFBLBQYA&#10;AAAABgAGAFkBAABQBQAAAAA=&#10;">
                      <v:fill on="f" focussize="0,0"/>
                      <v:stroke on="f"/>
                      <v:imagedata o:title=""/>
                      <o:lock v:ext="edit" aspectratio="f"/>
                      <v:textbox inset="0mm,0mm,0mm,0mm">
                        <w:txbxContent>
                          <w:p>
                            <w:pPr>
                              <w:spacing w:before="20" w:line="212" w:lineRule="auto"/>
                              <w:ind w:left="20"/>
                              <w:rPr>
                                <w:rFonts w:ascii="Times New Roman" w:hAnsi="Times New Roman" w:eastAsia="Times New Roman" w:cs="Times New Roman"/>
                                <w:sz w:val="24"/>
                                <w:szCs w:val="24"/>
                              </w:rPr>
                            </w:pPr>
                            <w:r>
                              <w:rPr>
                                <w:rFonts w:ascii="宋体" w:hAnsi="宋体" w:eastAsia="宋体" w:cs="宋体"/>
                                <w:spacing w:val="-6"/>
                                <w:sz w:val="24"/>
                                <w:szCs w:val="24"/>
                              </w:rPr>
                              <w:t>径</w:t>
                            </w:r>
                            <w:r>
                              <w:rPr>
                                <w:rFonts w:ascii="Times New Roman" w:hAnsi="Times New Roman" w:eastAsia="Times New Roman" w:cs="Times New Roman"/>
                                <w:spacing w:val="-4"/>
                                <w:sz w:val="24"/>
                                <w:szCs w:val="24"/>
                              </w:rPr>
                              <w:t>)</w:t>
                            </w:r>
                          </w:p>
                        </w:txbxContent>
                      </v:textbox>
                    </v:shape>
                  </w:pict>
                </mc:Fallback>
              </mc:AlternateContent>
            </w:r>
            <w:r>
              <w:t>。</w:t>
            </w:r>
          </w:p>
          <w:p>
            <w:pPr>
              <w:bidi w:val="0"/>
            </w:pPr>
            <w:r>
              <w:t>目前左坝段排水棱体下游无集渗沟，右坝段集渗沟淤积、护砌破损严重，本次拟在桩号0+134~0+400坝段、0+662~0+701坝段下游坝脚新建集渗沟，桩号0+469~0+662坝段下游坝脚原有集渗沟拆除重建。集渗沟采用梯形断面，边坡1:1.0，集渗沟护砌均采用C20砼护砌，护砌厚度100mm。</w:t>
            </w:r>
          </w:p>
          <w:p>
            <w:pPr>
              <w:bidi w:val="0"/>
            </w:pPr>
            <w:r>
              <w:rPr>
                <w:rFonts w:hint="eastAsia"/>
                <w:lang w:val="en-US" w:eastAsia="zh-CN"/>
              </w:rPr>
              <w:t>5、</w:t>
            </w:r>
            <w:r>
              <w:t>主坝下游坝脚填塘固基</w:t>
            </w:r>
          </w:p>
          <w:p>
            <w:pPr>
              <w:bidi w:val="0"/>
            </w:pPr>
            <w:r>
              <w:t>主坝下游坝脚有一水塘，致使坝脚常年浸泡在水中，不利于坝坡稳定，且不满足大坝巡视检查通道的要求。</w:t>
            </w:r>
          </w:p>
          <w:p>
            <w:pPr>
              <w:bidi w:val="0"/>
            </w:pPr>
            <w:r>
              <w:t>因此本次对大坝下游坝坡坡脚的水塘进行填塘固基，填塘固基范围为大坝下游坡脚向外延伸30m，面积约1200</w:t>
            </w:r>
            <w:r>
              <w:rPr>
                <w:rFonts w:hint="eastAsia"/>
                <w:lang w:eastAsia="zh-CN"/>
              </w:rPr>
              <w:t>m2</w:t>
            </w:r>
            <w:r>
              <w:t>，填塘固基顶高程为65.00m，采用砂性土料回填，填筑料可先利用弃渣料，不足部分从料场取土，运距约5.0km。</w:t>
            </w:r>
          </w:p>
          <w:p>
            <w:pPr>
              <w:bidi w:val="0"/>
            </w:pPr>
            <w:r>
              <w:rPr>
                <w:rFonts w:hint="eastAsia"/>
                <w:lang w:val="en-US" w:eastAsia="zh-CN"/>
              </w:rPr>
              <w:t>6、</w:t>
            </w:r>
            <w:r>
              <w:t>周家湾副坝加固</w:t>
            </w:r>
          </w:p>
          <w:p>
            <w:pPr>
              <w:bidi w:val="0"/>
            </w:pPr>
            <w:r>
              <w:rPr>
                <w:rFonts w:hint="eastAsia"/>
                <w:lang w:eastAsia="zh-CN"/>
              </w:rPr>
              <w:t>（</w:t>
            </w:r>
            <w:r>
              <w:rPr>
                <w:rFonts w:hint="eastAsia"/>
                <w:lang w:val="en-US" w:eastAsia="zh-CN"/>
              </w:rPr>
              <w:t>1</w:t>
            </w:r>
            <w:r>
              <w:rPr>
                <w:rFonts w:hint="eastAsia"/>
                <w:lang w:eastAsia="zh-CN"/>
              </w:rPr>
              <w:t>）</w:t>
            </w:r>
            <w:r>
              <w:t>坝顶增设防浪墙和坝顶路面改造</w:t>
            </w:r>
          </w:p>
          <w:p>
            <w:pPr>
              <w:bidi w:val="0"/>
            </w:pPr>
            <w:r>
              <w:t>本次拟在周家湾副坝坝顶增设防浪墙，防浪墙顶高程80.90m，防浪墙呈倒“T”字形，底宽0.8m，高1.2m，顶宽0.3m，采用C20素砼结构。</w:t>
            </w:r>
          </w:p>
          <w:p>
            <w:pPr>
              <w:bidi w:val="0"/>
            </w:pPr>
            <w:r>
              <w:t>坝顶路面在原有砼路面上铺设沥青混凝土路面，路面宽6m，在原有砼路面基础上依次铺筑70mm厚粗粒式AC-25C沥青混凝土层、改性乳化沥青0.6~1.0L/m²和35mm厚细粒式AC-13F沥青混凝土。</w:t>
            </w:r>
          </w:p>
          <w:p>
            <w:pPr>
              <w:bidi w:val="0"/>
            </w:pPr>
            <w:r>
              <w:rPr>
                <w:rFonts w:hint="eastAsia"/>
                <w:lang w:eastAsia="zh-CN"/>
              </w:rPr>
              <w:t>（</w:t>
            </w:r>
            <w:r>
              <w:rPr>
                <w:rFonts w:hint="eastAsia"/>
                <w:lang w:val="en-US" w:eastAsia="zh-CN"/>
              </w:rPr>
              <w:t>2</w:t>
            </w:r>
            <w:r>
              <w:rPr>
                <w:rFonts w:hint="eastAsia"/>
                <w:lang w:eastAsia="zh-CN"/>
              </w:rPr>
              <w:t>）</w:t>
            </w:r>
            <w:r>
              <w:t>局部坝体冲抓回填防渗</w:t>
            </w:r>
          </w:p>
          <w:p>
            <w:pPr>
              <w:bidi w:val="0"/>
            </w:pPr>
            <w:r>
              <w:t>由于周家湾副坝有局部渗漏，本次拟在周家湾副坝0+130至0+160采用冲抓回填防渗，总长30m。冲抓回填轴线位于坝顶轴线偏上游1.0m处，布置一排，井距0.78m，冲抓孔直径为1.1m。冲抓回填深：坝顶至粘土层下1m。</w:t>
            </w:r>
          </w:p>
          <w:p>
            <w:pPr>
              <w:bidi w:val="0"/>
            </w:pPr>
            <w:r>
              <w:t>⑴回填土料的要求</w:t>
            </w:r>
          </w:p>
          <w:p>
            <w:pPr>
              <w:bidi w:val="0"/>
            </w:pPr>
            <w:r>
              <w:t>回填土料采用粘土，要求粘粒含量为35%~50%，小粒径石子含量不超过10%。渗透系数K≤1×10</w:t>
            </w:r>
            <w:r>
              <w:rPr>
                <w:vertAlign w:val="superscript"/>
              </w:rPr>
              <w:t>-5</w:t>
            </w:r>
            <w:r>
              <w:t>cm/s。含水量控制在塑限附近，若试验后的天然含水量超过25%时，必须进行翻晒；而小于19%时，应洒水，以达到设计值。填筑后的土料干容重γd≥1.55g/c</w:t>
            </w:r>
            <w:r>
              <w:rPr>
                <w:rFonts w:hint="eastAsia"/>
                <w:lang w:eastAsia="zh-CN"/>
              </w:rPr>
              <w:t>m3</w:t>
            </w:r>
            <w:r>
              <w:t>。</w:t>
            </w:r>
          </w:p>
          <w:p>
            <w:pPr>
              <w:bidi w:val="0"/>
            </w:pPr>
            <w:r>
              <w:t>⑵钻孔平面布置</w:t>
            </w:r>
          </w:p>
          <w:p>
            <w:pPr>
              <w:bidi w:val="0"/>
            </w:pPr>
            <w:r>
              <w:t>在坝顶轴线上游2m处布设一排孔，在平面上按主、套井相间布置，一主一套相接连成井墙，套井为整圆，主井被套井切割，呈对称蚀圆。</w:t>
            </w:r>
          </w:p>
          <w:p>
            <w:pPr>
              <w:bidi w:val="0"/>
            </w:pPr>
            <w:r>
              <w:t>⑶孔距、排距和有效厚度的确定</w:t>
            </w:r>
          </w:p>
          <w:p>
            <w:pPr>
              <w:bidi w:val="0"/>
            </w:pPr>
            <w:r>
              <w:t>孔距(主井与套井中心距)L=2Rcosα，其中α为主、套井最优切割角度，α=45°，R为井孔半径，R=550mm；</w:t>
            </w:r>
          </w:p>
          <w:p>
            <w:pPr>
              <w:bidi w:val="0"/>
            </w:pPr>
            <w:r>
              <w:t>有效设计厚度：T=2Rsinα。</w:t>
            </w:r>
          </w:p>
          <w:p>
            <w:pPr>
              <w:bidi w:val="0"/>
            </w:pPr>
            <w:r>
              <w:t>经计算，L=0.78m，T=0.78m。</w:t>
            </w:r>
          </w:p>
          <w:p>
            <w:pPr>
              <w:bidi w:val="0"/>
            </w:pPr>
            <w:r>
              <w:t>单排井孔冲抓套井回填防渗墙主、套井孔距为78cm，有效厚度为0.78m。</w:t>
            </w:r>
          </w:p>
          <w:p>
            <w:pPr>
              <w:bidi w:val="0"/>
            </w:pPr>
            <w:r>
              <w:t>⑷主要工程量：冲抓套井回填197.4m。</w:t>
            </w:r>
          </w:p>
          <w:p>
            <w:pPr>
              <w:bidi w:val="0"/>
            </w:pPr>
            <w:r>
              <w:rPr>
                <w:rFonts w:hint="eastAsia"/>
                <w:lang w:eastAsia="zh-CN"/>
              </w:rPr>
              <w:t>（</w:t>
            </w:r>
            <w:r>
              <w:rPr>
                <w:rFonts w:hint="eastAsia"/>
                <w:lang w:val="en-US" w:eastAsia="zh-CN"/>
              </w:rPr>
              <w:t>3</w:t>
            </w:r>
            <w:r>
              <w:rPr>
                <w:rFonts w:hint="eastAsia"/>
                <w:lang w:eastAsia="zh-CN"/>
              </w:rPr>
              <w:t>）</w:t>
            </w:r>
            <w:r>
              <w:t>上、下游护坡</w:t>
            </w:r>
          </w:p>
          <w:p>
            <w:pPr>
              <w:bidi w:val="0"/>
            </w:pPr>
            <w:r>
              <w:t>本次拟对大坝上游坝坡原有预制砼六方块护坡进行修复，下游坝坡修整后草皮护坡。</w:t>
            </w:r>
          </w:p>
          <w:p>
            <w:pPr>
              <w:bidi w:val="0"/>
            </w:pPr>
            <w:r>
              <w:t>1)上游护坡</w:t>
            </w:r>
          </w:p>
          <w:p>
            <w:pPr>
              <w:bidi w:val="0"/>
            </w:pPr>
            <w:r>
              <w:t>将大坝上游坝坡74.40m至80.28m(原有坝顶高程)原有预制砼六方块护坡损坏处进行修复，采用预制C20砼六方块护坡，砂浆勾缝，正六边形边长为300mm，下铺100mm厚砂石垫层，护坡面上每隔2.5m设置一个ϕ50mm排水孔，孔中用反滤料填充设排水孔，孔径为ϕ50mm，孔距2.5m，呈梅花形布置。沿坝轴线方向每隔15m设一条伸缩缝，沥青杉板嵌缝，在每级平台处设置C20砼护脚，底部原有浆砌石脚槽保留。</w:t>
            </w:r>
          </w:p>
          <w:p>
            <w:pPr>
              <w:bidi w:val="0"/>
            </w:pPr>
            <w:r>
              <w:t>2)下游护坡</w:t>
            </w:r>
          </w:p>
          <w:p>
            <w:pPr>
              <w:bidi w:val="0"/>
            </w:pPr>
            <w:r>
              <w:t>本次设计下游坝坡坡比为1:2.5，坝体加高后下游坝坡铺筑草皮护坡，大坝中部增设一道C20砼踏步，踏步宽1.5m。为防止下游坝坡雨水集中冲刷而形成雨淋沟，结合踏步设置1条横向排水沟，汇集径流，排到坝脚，下游坝坡与左右岸岸坡连接处各设置1条排水沟，排水沟净宽断面尺寸均为b×h=300mm×300mm。排水沟采用C20砼现浇衬砌，衬砌厚度为100mm。</w:t>
            </w:r>
          </w:p>
          <w:p>
            <w:pPr>
              <w:bidi w:val="0"/>
            </w:pPr>
            <w:r>
              <w:rPr>
                <w:rFonts w:hint="eastAsia"/>
                <w:lang w:eastAsia="zh-CN"/>
              </w:rPr>
              <w:t>（</w:t>
            </w:r>
            <w:r>
              <w:rPr>
                <w:rFonts w:hint="eastAsia"/>
                <w:lang w:val="en-US" w:eastAsia="zh-CN"/>
              </w:rPr>
              <w:t>3</w:t>
            </w:r>
            <w:r>
              <w:rPr>
                <w:rFonts w:hint="eastAsia"/>
                <w:lang w:eastAsia="zh-CN"/>
              </w:rPr>
              <w:t>）</w:t>
            </w:r>
            <w:r>
              <w:t>下游坝脚排水体</w:t>
            </w:r>
          </w:p>
          <w:p>
            <w:pPr>
              <w:bidi w:val="0"/>
            </w:pPr>
            <w:r>
              <w:t>由于大坝下游坝脚排水棱体部分堵塞，块石间孔隙被坝体流失土等充填，导致排水棱体导水功能下降，排水不畅，因此需对下游坝脚原有排水棱体进行局部维修。具体措施为将原排水棱体表面风化较严重的砌石拆除，重新砌筑较好的块石，局部充填、堵塞严重的地段进行开挖更换，维修维修后排水棱体顶高程与原高程保持不变。</w:t>
            </w:r>
          </w:p>
          <w:p>
            <w:pPr>
              <w:bidi w:val="0"/>
            </w:pPr>
            <w:r>
              <w:rPr>
                <w:rFonts w:hint="eastAsia"/>
                <w:lang w:val="en-US" w:eastAsia="zh-CN"/>
              </w:rPr>
              <w:t>7、</w:t>
            </w:r>
            <w:r>
              <w:t>陈家冲副坝加固设计</w:t>
            </w:r>
          </w:p>
          <w:p>
            <w:pPr>
              <w:bidi w:val="0"/>
            </w:pPr>
            <w:r>
              <w:rPr>
                <w:rFonts w:hint="eastAsia"/>
                <w:lang w:val="en-US" w:eastAsia="zh-CN"/>
              </w:rPr>
              <w:t>A</w:t>
            </w:r>
            <w:r>
              <w:t>加固处理方案</w:t>
            </w:r>
          </w:p>
          <w:p>
            <w:pPr>
              <w:bidi w:val="0"/>
            </w:pPr>
            <w:r>
              <w:t>根据陈家冲副坝目前存在的实际问题，本次</w:t>
            </w:r>
            <w:r>
              <w:rPr>
                <w:rFonts w:hint="eastAsia"/>
                <w:lang w:val="en-US" w:eastAsia="zh-CN"/>
              </w:rPr>
              <w:t>工程</w:t>
            </w:r>
            <w:r>
              <w:t>采用如下措施进行加固：</w:t>
            </w:r>
          </w:p>
          <w:p>
            <w:pPr>
              <w:bidi w:val="0"/>
            </w:pPr>
            <w:r>
              <w:t>(1)上游坝坡桩号0+020~0+079、右侧岸坡桩号0+000~0+020及左侧岸坡桩号0+079~0+235进行整坡，并采用C20砼脚槽(0.5×0.8m)+预制0.1m厚砼六方块+草皮护坡护砌，预制砼六方块护砌高程至80.00m。</w:t>
            </w:r>
          </w:p>
          <w:p>
            <w:pPr>
              <w:bidi w:val="0"/>
            </w:pPr>
            <w:r>
              <w:t>(2)下游坝坡修整后采用草皮护坡，并在桩号0+032~0+070范围内坝脚新建贴坡排水并设置集渗沟；下游坝坡设置1处C20砼踏步。</w:t>
            </w:r>
          </w:p>
          <w:p>
            <w:pPr>
              <w:bidi w:val="0"/>
            </w:pPr>
            <w:r>
              <w:t>(3)上、下游坝坡清障。</w:t>
            </w:r>
          </w:p>
          <w:p>
            <w:pPr>
              <w:bidi w:val="0"/>
            </w:pPr>
            <w:r>
              <w:t>(4)坝顶路面拆除后改建为沥青砼路面。</w:t>
            </w:r>
          </w:p>
          <w:p>
            <w:pPr>
              <w:bidi w:val="0"/>
            </w:pPr>
            <w:r>
              <w:rPr>
                <w:rFonts w:hint="eastAsia"/>
                <w:lang w:val="en-US" w:eastAsia="zh-CN"/>
              </w:rPr>
              <w:t>B</w:t>
            </w:r>
            <w:r>
              <w:t>上、下游护坡</w:t>
            </w:r>
          </w:p>
          <w:p>
            <w:pPr>
              <w:bidi w:val="0"/>
            </w:pPr>
            <w:r>
              <w:t>1)上游护坡</w:t>
            </w:r>
          </w:p>
          <w:p>
            <w:pPr>
              <w:bidi w:val="0"/>
            </w:pPr>
            <w:r>
              <w:t>本次拟对上游坝坡桩号0+020~0+079、右侧岸坡桩号0+000~0+020及左侧岸坡桩号0+079~0+235整坡并采用C20砼脚槽(0.5×0.8m)+预制0.10m厚砼六方块+草皮护坡护砌,预制砼六方块护砌至高程80.00m。</w:t>
            </w:r>
          </w:p>
          <w:p>
            <w:pPr>
              <w:bidi w:val="0"/>
            </w:pPr>
            <w:r>
              <w:t>(1)护坡范围及形式</w:t>
            </w:r>
          </w:p>
          <w:p>
            <w:pPr>
              <w:bidi w:val="0"/>
            </w:pPr>
            <w:r>
              <w:t>大坝上游坝坡75.81m至80.00m桩号0+020~0+079、右侧岸坡桩号0+000~0+020及左侧岸坡桩号0+079~0+235采用预制C20砼六块护坡，砂浆勾缝，正六边形边长为300mm，下铺100mm厚砂石垫层，护坡面上每隔2.5m设置一个ϕ50mm排水孔，孔中用反滤料填充设排水孔，孔径为ϕ50mm，孔距2.5m，呈梅花形布置。沿坝轴线方向每隔15m设一条伸缩缝，沥青杉板嵌缝，底部设C20素砼脚槽，脚槽尺寸0.5×0.8m。</w:t>
            </w:r>
          </w:p>
          <w:p>
            <w:pPr>
              <w:bidi w:val="0"/>
            </w:pPr>
            <w:r>
              <w:t>(2)预制砼块护坡厚度</w:t>
            </w:r>
          </w:p>
          <w:p>
            <w:pPr>
              <w:bidi w:val="0"/>
            </w:pPr>
            <w:r>
              <w:t>C20预制砼六方块护坡</w:t>
            </w:r>
            <w:r>
              <w:rPr>
                <w:rFonts w:hint="eastAsia"/>
                <w:lang w:val="en-US" w:eastAsia="zh-CN"/>
              </w:rPr>
              <w:t>采用</w:t>
            </w:r>
            <w:r>
              <w:t>预制砼块厚度为100mm厚，六方块边长300mm，单块重量58kg。</w:t>
            </w:r>
          </w:p>
          <w:p>
            <w:pPr>
              <w:bidi w:val="0"/>
            </w:pPr>
            <w:r>
              <w:t>2)下游护坡</w:t>
            </w:r>
          </w:p>
          <w:p>
            <w:pPr>
              <w:bidi w:val="0"/>
            </w:pPr>
            <w:r>
              <w:t>本次设计下游坝坡坡比为1:2.5，重新铺筑草皮护坡，大坝中部增设一道C20砼踏步，踏步宽1.5m。为防止下游坝坡雨水集中冲刷而形成雨淋沟，结合踏步设置1条横向排水沟，汇集径流，排到坝脚，下游坝坡与左右岸岸坡连接处各设置1条排水沟，排水沟净宽断面尺寸均为b×h=300mm×300mm。排水沟采用C20砼现浇衬砌，衬砌厚度为100mm。</w:t>
            </w:r>
          </w:p>
          <w:p>
            <w:pPr>
              <w:bidi w:val="0"/>
            </w:pPr>
            <w:r>
              <w:rPr>
                <w:rFonts w:hint="eastAsia"/>
                <w:lang w:val="en-US" w:eastAsia="zh-CN"/>
              </w:rPr>
              <w:t>C</w:t>
            </w:r>
            <w:r>
              <w:t>下游坝脚排水体</w:t>
            </w:r>
          </w:p>
          <w:p>
            <w:pPr>
              <w:bidi w:val="0"/>
            </w:pPr>
            <w:r>
              <w:t>本次在下游坝脚新建干砌石贴坡排水体，并设置集渗沟。</w:t>
            </w:r>
          </w:p>
          <w:p>
            <w:pPr>
              <w:bidi w:val="0"/>
            </w:pPr>
            <w:r>
              <w:t>干砌石贴坡排水顶高程76.3m，顶面宽1.5m，外坡比为1:3.0，内坡比为1:2.0。干砌块石护脚反滤料：第一层反滤料为细砂，粒径D取0.25~1.0mm，厚度为300mm；第二层反滤料为卵石，粒径D=5.0~20mm，厚度为300mm。二层反滤料的不均匀系数η=d60/d10≤5~8，第二层反滤料需满足D15/d85≤4~5、D15/d15≥5。(式中d为被保护土层粒径，D为保护土层粒径)。</w:t>
            </w:r>
          </w:p>
          <w:p>
            <w:pPr>
              <w:spacing w:before="1" w:line="216" w:lineRule="auto"/>
              <w:ind w:left="36"/>
            </w:pPr>
            <w:r>
              <w:rPr>
                <w:rFonts w:hint="eastAsia"/>
                <w:lang w:val="en-US" w:eastAsia="zh-CN"/>
              </w:rPr>
              <w:t>D</w:t>
            </w:r>
            <w:r>
              <w:t>下游坝脚填塘固基</w:t>
            </w:r>
          </w:p>
          <w:p>
            <w:pPr>
              <w:bidi w:val="0"/>
            </w:pPr>
            <w:r>
              <w:t>大坝下游坝脚有一水塘，致使坝脚常年浸泡在水中，不利于坝坡稳定，且不满足大坝巡视检查通道的要求。</w:t>
            </w:r>
          </w:p>
          <w:p>
            <w:pPr>
              <w:bidi w:val="0"/>
            </w:pPr>
            <w:r>
              <w:t>因此本次对大坝下游坝坡坡脚的水塘进行填塘固基，填塘固基范围为大坝下游坡脚向外延伸30m，填塘固基顶高程为74.30m，填筑料可采用砂性土料填筑填塘固基顶高程为74.30m，填筑料可采用砂性土料填筑。</w:t>
            </w:r>
          </w:p>
          <w:p>
            <w:pPr>
              <w:bidi w:val="0"/>
            </w:pPr>
            <w:r>
              <w:rPr>
                <w:rFonts w:hint="eastAsia"/>
                <w:lang w:val="en-US" w:eastAsia="zh-CN"/>
              </w:rPr>
              <w:t>E</w:t>
            </w:r>
            <w:r>
              <w:t>坝顶路面</w:t>
            </w:r>
          </w:p>
          <w:p>
            <w:pPr>
              <w:bidi w:val="0"/>
            </w:pPr>
            <w:r>
              <w:t>坝顶路面拆除重建，坝顶高程按原状恢复至82.40，坝顶宽5.5m，采用沥青砼路面，沥青砼路面结构与主坝一致。坝顶依次铺筑150mm厚10%水泥石粉稳定层、70mm厚粗粒式AC-25C沥青混凝土层、改性乳化沥青0.6~1.0L/m²和35mm厚细粒式AC-13F沥青混凝土。</w:t>
            </w:r>
          </w:p>
          <w:p>
            <w:pPr>
              <w:bidi w:val="0"/>
              <w:rPr>
                <w:rFonts w:hint="default"/>
                <w:lang w:eastAsia="zh-CN"/>
              </w:rPr>
            </w:pPr>
            <w:r>
              <w:rPr>
                <w:rFonts w:hint="eastAsia"/>
                <w:lang w:val="en-US" w:eastAsia="zh-CN"/>
              </w:rPr>
              <w:t>8、</w:t>
            </w:r>
            <w:r>
              <w:t>溢洪道除险加固设计</w:t>
            </w:r>
          </w:p>
          <w:p>
            <w:pPr>
              <w:bidi w:val="0"/>
            </w:pPr>
            <w:r>
              <w:t>本次溢洪道加固的主要内容有：1)进口反坡段底板拆除，重建C25钢筋砼底板；右侧墙进行砂浆修复；2)控制段底板拆除，重建C25钢筋砼底板；3)泄槽段底板拆除，重建C25钢筋砼底板；两侧侧墙拆除，重建C20砼重力式挡墙；4)重建跌水消力池；5)消力池后出水渠桩号0+161.00-0+171.00采用C20砼重力式挡墙及300mm厚C20砼护坦，桩号0+171.00-0+230.00段采用M10浆砌石护坡及150mm厚C20砼护底；6)拆除移位泄槽段桩号K0+078处电杆；7)跨消力池上的机耕桥拆除重建。</w:t>
            </w:r>
          </w:p>
          <w:p>
            <w:pPr>
              <w:bidi w:val="0"/>
            </w:pPr>
            <w:r>
              <w:t>本次加固后的溢洪道由进口段、控制段、泄槽段、跌水消力池、出水渠组成，其中：进口段(桩号K0-024.50~K0-012.50)长12.0m，宽33.5m~20.0m；控制段(桩号K0-012.50~K0+000.00)长12.5m，宽20m，泄槽(桩号K0+000.00~K0+149.00)长149m，宽20~6m，其中(桩号K0+000~K0+023、K0+046~K0+149)为直线段，(桩号K0+023~K0+046)为平面转弯段；跌水消力池(桩号K0+149.00~K0+161.00)长12m，宽6m；出水渠(桩号K0+161.00~K0+230.00)长69m，宽3~7.8m。溢洪道进口段首、末端底宽之比为1.675，反坡段底坡i为0.175。溢洪道进口段、控制段和泄槽(桩号K0+000.00~K0+023.00)在平面上基本呈直线布置，泄槽收缩段收缩角为18°，转弯段</w:t>
            </w:r>
          </w:p>
          <w:p>
            <w:pPr>
              <w:bidi w:val="0"/>
            </w:pPr>
            <w:r>
              <w:t>首端在平面上沿轴线以角度57°、半径25m转弯23m后成直线布置，出水渠桩号K0+178.00处以角度48°、半径9.9m转弯9m，总体上溢洪道平面布置平顺流畅。</w:t>
            </w:r>
          </w:p>
          <w:p>
            <w:pPr>
              <w:bidi w:val="0"/>
            </w:pPr>
            <w:r>
              <w:t>本次设计进口段右侧导墙顺水流向长度可以挡住邻接的大坝坡脚，控制段2倍堰前水深距离以内的导墙墙顶高程大于校核洪水位，满足《溢洪道设计规范》(SL253-2018)3.2.6条要求。</w:t>
            </w:r>
          </w:p>
          <w:p>
            <w:pPr>
              <w:bidi w:val="0"/>
            </w:pPr>
            <w:r>
              <w:t>燎原水库溢洪道为开敞式，根据《溢洪道设计规范》(SL253-2018)控制段导墙顶部高程不得低于校核洪水位加安全超高值(3级建筑物为0.3m)，即79.72+0.3=80.02m，溢洪道控制段靠近主坝左坝肩布置，导墙现状顶部高程81.53m，高于80.02m，因此，溢洪道控制段导墙顶部高程满足规范要求。</w:t>
            </w:r>
          </w:p>
          <w:p>
            <w:pPr>
              <w:bidi w:val="0"/>
            </w:pPr>
            <w:r>
              <w:rPr>
                <w:rFonts w:hint="eastAsia"/>
                <w:lang w:val="en-US" w:eastAsia="zh-CN"/>
              </w:rPr>
              <w:t>A</w:t>
            </w:r>
            <w:r>
              <w:t>溢洪道结构加固设计</w:t>
            </w:r>
          </w:p>
          <w:p>
            <w:pPr>
              <w:bidi w:val="0"/>
            </w:pPr>
            <w:r>
              <w:t>(1)进口段加固处理设计</w:t>
            </w:r>
          </w:p>
          <w:p>
            <w:pPr>
              <w:bidi w:val="0"/>
            </w:pPr>
            <w:r>
              <w:t>本次加固设计将原有砼底板拆除后，采用C25钢筋砼结构重新护底，厚度400mm。右侧墙采用砂浆修复。</w:t>
            </w:r>
          </w:p>
          <w:p>
            <w:pPr>
              <w:bidi w:val="0"/>
            </w:pPr>
            <w:r>
              <w:t>(2)控制段加固处理设计</w:t>
            </w:r>
          </w:p>
          <w:p>
            <w:pPr>
              <w:bidi w:val="0"/>
            </w:pPr>
            <w:r>
              <w:t>控制段为三孔无底坎宽顶堰，长12.5m，宽20m，孔宽6m，中墩宽1m，堰顶高程78.83m，导墙墙顶高程为81.53m，交通桥桥面高程82.33m。本次加固设计将原有砼底板拆除后，采用C25钢筋砼结构重新护底，厚度400mm。</w:t>
            </w:r>
          </w:p>
          <w:p>
            <w:pPr>
              <w:bidi w:val="0"/>
            </w:pPr>
            <w:r>
              <w:t>(3)泄槽段加固处理设计</w:t>
            </w:r>
          </w:p>
          <w:p>
            <w:pPr>
              <w:bidi w:val="0"/>
            </w:pPr>
            <w:r>
              <w:t>泄槽长149m，本次加固设计将泄槽两侧浆砌石挡墙拆除后，重建C20砼挡墙；原有砼底板拆除后，采用C25钢筋砼结构重新护底，厚度400mm。</w:t>
            </w:r>
          </w:p>
          <w:p>
            <w:pPr>
              <w:bidi w:val="0"/>
            </w:pPr>
            <w:r>
              <w:t>1)泄槽底板的布置及断面设计</w:t>
            </w:r>
          </w:p>
          <w:p>
            <w:pPr>
              <w:bidi w:val="0"/>
            </w:pPr>
            <w:r>
              <w:t>本次设计对泄槽底板拆除重建，泄槽宽20~6m，底板厚度为400mm，采用C25钢筋砼结构。泄槽桩号K0+000~K0+020纵坡i=0.05，桩号K0+020~K0+147.5纵坡i=0.085，断面形式为6.0m宽矩形断面；泄槽(K0+147.5~K0+149)陡坡段高3.0m，采用C20砼仰斜式挡土墙，泄槽断面形式为20~6m宽矩形断面。</w:t>
            </w:r>
          </w:p>
          <w:p>
            <w:pPr>
              <w:bidi w:val="0"/>
            </w:pPr>
            <w:r>
              <w:t>2)泄槽挡墙的构造</w:t>
            </w:r>
          </w:p>
          <w:p>
            <w:pPr>
              <w:bidi w:val="0"/>
            </w:pPr>
            <w:r>
              <w:t>本工程泄槽边墙采用C20砼重力式挡墙结构。在底板与两侧边墙相交处设置两道纵向永久缝；泄槽底板顺水流向每隔10~15m设置一道横向永久缝，共14道；边墙分缝原则与底板横缝置于同一横断面，纵、横永久缝均宽20mm，采用橡胶止水，沥青杉板嵌缝；底板永久缝下设纵、横向排水沟，纵、横向排水沟的尺寸为300mm×300mm；纵、横向排水采用沟内放置无砂管，管径100mm，管周围用粒径10~20mm的卵石填满，管与管之间留6mm间距，卵石上部用油毡盖好再浇砼。</w:t>
            </w:r>
          </w:p>
          <w:p>
            <w:pPr>
              <w:spacing w:before="3" w:line="359" w:lineRule="auto"/>
              <w:ind w:left="38" w:firstLine="482"/>
            </w:pPr>
            <w:r>
              <w:t>为保证溢洪道右侧水厂加压站的安全，且泄槽右侧边墙原为上下两段式浆砌石挡墙，本次加固设计将原右侧边墙拆除时，泄槽桩号K0+046~K0+126段采用钢板桩临时支护作挡护处理并将两段式挡土墙改为3m高的C20砼重力式挡墙。钢板桩型号为VL 503K，板厚10mm，长12m，其打入基坑水平线以下深度不得小于5m，应深入粉质黏土层(Q2edl)。</w:t>
            </w:r>
          </w:p>
          <w:p>
            <w:pPr>
              <w:bidi w:val="0"/>
            </w:pPr>
            <w:r>
              <w:t>(</w:t>
            </w:r>
            <w:r>
              <w:rPr>
                <w:rFonts w:hint="eastAsia"/>
                <w:lang w:val="en-US" w:eastAsia="zh-CN"/>
              </w:rPr>
              <w:t>3</w:t>
            </w:r>
            <w:r>
              <w:t>)跌水消力池段加固处理设计</w:t>
            </w:r>
          </w:p>
          <w:p>
            <w:pPr>
              <w:bidi w:val="0"/>
            </w:pPr>
            <w:r>
              <w:t>陡坡段下接跌水消力池(桩号K0+149~K0+161)。消力池段为拆除重建，长12m，宽6.0m，池深1.0m，底板厚0.5m，底板高程为64.00m。两侧侧墙原采用浆砌石重力式挡墙，本次拆除原侧墙后，重建C20砼挡墙，因机耕桥与公路相接，为使机耕桥桥面高程与左侧公路高程相接，K0+149~K0+154段墙高4.38m，K0+154~K0+161段墙高3.0m；墙身设置φ50mmPVC排水管，孔向外坡为5%，排水管出口高出底板顶面200mm，墙背设置反滤包，间距1.5m。底板采用C25钢筋砼，厚度500mm，梅花型布置。</w:t>
            </w:r>
          </w:p>
          <w:p>
            <w:pPr>
              <w:bidi w:val="0"/>
            </w:pPr>
            <w:r>
              <w:t>(</w:t>
            </w:r>
            <w:r>
              <w:rPr>
                <w:rFonts w:hint="eastAsia"/>
                <w:lang w:val="en-US" w:eastAsia="zh-CN"/>
              </w:rPr>
              <w:t>4</w:t>
            </w:r>
            <w:r>
              <w:t>)出水渠段加固处理设计</w:t>
            </w:r>
          </w:p>
          <w:p>
            <w:pPr>
              <w:bidi w:val="0"/>
            </w:pPr>
            <w:r>
              <w:t>消力池后桩号K0+161~K0+171段底板为C20砼护坦，厚0.3m，两侧采用C20砼挡墙，高2.0m，桩号K0+171~K0+176为M10浆砌石扭曲面，断面型式由矩形断面渐变为梯形断面，边坡坡比由铅直渐变至1:2.0，桩号K0+171~K0+230渠底宽度3~7.8m，采用C20砼护底，厚0.15m，边坡整坡后面铺100mm厚砂石垫层，再用M10浆砌石护坡，厚度0.4m，护坡高度1.6m，护坡设置ϕ50mmPVC排水管，孔向外坡为5%，排水管出口高出底板顶面200mm，墙背设置反滤包，间距1.5m，梅花型布置。</w:t>
            </w:r>
          </w:p>
          <w:p>
            <w:pPr>
              <w:bidi w:val="0"/>
              <w:rPr>
                <w:rFonts w:hint="default"/>
                <w:lang w:eastAsia="zh-CN"/>
              </w:rPr>
            </w:pPr>
            <w:r>
              <w:rPr>
                <w:rFonts w:hint="eastAsia"/>
                <w:lang w:val="en-US" w:eastAsia="zh-CN"/>
              </w:rPr>
              <w:t>9、</w:t>
            </w:r>
            <w:r>
              <w:t>主坝输水涵洞加固</w:t>
            </w:r>
          </w:p>
          <w:p>
            <w:pPr>
              <w:bidi w:val="0"/>
            </w:pPr>
            <w:r>
              <w:rPr>
                <w:rFonts w:hint="eastAsia"/>
                <w:lang w:val="en-US" w:eastAsia="zh-CN"/>
              </w:rPr>
              <w:t>A</w:t>
            </w:r>
            <w:r>
              <w:t>重建输水涵洞布置</w:t>
            </w:r>
          </w:p>
          <w:p>
            <w:pPr>
              <w:bidi w:val="0"/>
            </w:pPr>
            <w:r>
              <w:t>本次设计拟将原主坝输水涵洞拆除重建，钻孔揭露地层岩性为粉质粘土与含砂砾粉土交界，涵洞上游建基面土层为网纹状粉质粘土，厚度0~1.45m，下游建基面为含砂砾粉土，厚度3.29~3.96m。</w:t>
            </w:r>
          </w:p>
          <w:p>
            <w:pPr>
              <w:bidi w:val="0"/>
            </w:pPr>
            <w:r>
              <w:t>重建的输水涵洞为有压涵洞，分为进口段、取水塔段和涵身段。进口段长5m，采用砼八字墙结构。取水塔段长8.0m，分两层取水，下取水口塔身为矩形钢筋砼结构，宽1.5m，高1.8m，底板高程为62.70m，消力井底板高程为61.20m(比进口底板低1.50m，形成1.5m水垫深度)，塔顶高程为79.30m，设检修闸门和工作闸门各1扇；上取水口为砼圆筒式，圆筒直径1.0m，砼厚0.5m，设工作闸门1扇；取水塔塔顶为检修平台，检修平台上设检修孔，塔顶至岸边设工作桥，检修平台上部为启闭机室。涵身段长94m，采用矩形钢筋砼结构，断面尺寸宽1.50m，高1.80m，首端底板高程62.70m，末端底板高程62.20m，底坡i=0.5/94=0.005；涵洞出口设分水池，分别接北干渠和南干渠，北干渠为高干渠，渠底高程61.40m，南干渠为低干渠，渠底高程64.60m。</w:t>
            </w:r>
          </w:p>
          <w:p>
            <w:pPr>
              <w:bidi w:val="0"/>
            </w:pPr>
            <w:r>
              <w:rPr>
                <w:rFonts w:hint="eastAsia"/>
                <w:lang w:val="en-US" w:eastAsia="zh-CN"/>
              </w:rPr>
              <w:t>B</w:t>
            </w:r>
            <w:r>
              <w:t>取水塔设计</w:t>
            </w:r>
          </w:p>
          <w:p>
            <w:pPr>
              <w:bidi w:val="0"/>
            </w:pPr>
            <w:r>
              <w:t>本次设计将取水塔前移至涵洞进水口处，将竖井式进水口改为岸塔式进水口，新建的取水塔进水口由进水口、取水塔、启闭机房和检修平台等建筑物组成，进口底板高程62.70m，各段具体情况分述如下。</w:t>
            </w:r>
          </w:p>
          <w:p>
            <w:pPr>
              <w:bidi w:val="0"/>
            </w:pPr>
            <w:r>
              <w:t>进水口长5m，两侧八字墙采用C20砼挡墙，底板采用C20砼浇筑，厚300mm，底板高程62.70m，首端八字墙高1.0m，末端八字墙高3.0m。八字墙墙身设置ϕ50mmPVC排水管，排水管朝迎水面倾斜，坡度为5%，墙背设置反滤包，间距2.0m，梅花型布置。</w:t>
            </w:r>
          </w:p>
          <w:p>
            <w:pPr>
              <w:bidi w:val="0"/>
            </w:pPr>
            <w:r>
              <w:t>取水塔长8.0m，分两层取水，下取水口塔身为矩形钢筋砼结构，宽1.5m，高1.8m，底板高程为62.70m，消力池底板高程为61.20m(比进口底板低1.50m，形成1.5m水垫深度)，塔顶高程为79.30m，设检修闸门和工作闸门各1扇；上取水口为砼圆筒式，圆筒直径1.0m，砼厚0.5m，设工作闸门1扇；取水塔塔顶为检修平台，检修平台上设检修孔，塔顶至岸边设工作桥，检修平台上部为启闭机室。</w:t>
            </w:r>
          </w:p>
          <w:p>
            <w:pPr>
              <w:spacing w:before="6" w:line="358" w:lineRule="auto"/>
              <w:ind w:left="38" w:right="2" w:firstLine="482"/>
              <w:rPr>
                <w:rFonts w:hint="eastAsia"/>
                <w:lang w:eastAsia="zh-CN"/>
              </w:rPr>
            </w:pPr>
            <w:r>
              <w:t>取水塔的取水口由进口喇叭口和闸门组成。喇叭口为收缩段，上唇为半径为0.75m的1/4个圆，进口高由2.55m逐渐收缩至1.8m，进口宽为1.5m，进口段长1.0m。喇叭口后面为工作闸门，闸门孔口尺寸为1.5×1.8 m，闸门尺寸宽×高=2.01×1.95m，动水中启闭，配单吊点的QPQ—250型卷扬式启闭机</w:t>
            </w:r>
            <w:r>
              <w:rPr>
                <w:rFonts w:hint="eastAsia"/>
                <w:lang w:eastAsia="zh-CN"/>
              </w:rPr>
              <w:t>。</w:t>
            </w:r>
          </w:p>
          <w:p>
            <w:pPr>
              <w:bidi w:val="0"/>
            </w:pPr>
            <w:r>
              <w:t>通气孔与检修孔：在圆筒式进水闸闸顶(检修平台)设通气孔，孔内设PVC通气管，按《水利水电工程钢闸门设计规范》规定确定通气管面积，经计算通气管内径为ϕ350mm，通气管顶部高程高于校核洪水位0.5m以上，通气管下部与圆筒式闸室连通。检修孔设于检修平台上，孔宽1.0m，长1.5m，孔顶高程与检修平台齐平为79.30m，孔底至下取水口底板，高程62.70m。</w:t>
            </w:r>
          </w:p>
          <w:p>
            <w:pPr>
              <w:bidi w:val="0"/>
            </w:pPr>
            <w:r>
              <w:t>启闭机室：启闭机室地面高程为83.30m，屋顶高程为87.50m。室内设QPQ—250型卷扬式启闭机3台。启闭机房屋面采用坡屋顶型式。</w:t>
            </w:r>
          </w:p>
          <w:p>
            <w:pPr>
              <w:bidi w:val="0"/>
            </w:pPr>
            <w:r>
              <w:t>检修平台：检修平台高程79.30m，层高4.0m，设不锈钢爬梯与启闭机房连通。</w:t>
            </w:r>
          </w:p>
          <w:p>
            <w:pPr>
              <w:bidi w:val="0"/>
            </w:pPr>
            <w:r>
              <w:t>工作桥：为使取水塔与岸边相连，以利安装、维修、运行管理，在取水塔与岸坡之间设工作桥。工作桥桥面高程82.00m，桥面宽为1.5m，总长45.48m，一跨共5跨，其中4跨每跨10m，1跨5.48m。工作桥为板梁式结构，梁高700 mm，共设4榀“H”形排架，排架高为8.35m，排架单肢柱断面为300×400mm。工作桥末端采用C20砼踏步与启闭机房门口连接，砼踏步总高1.5m，宽1.5m，单级踏步宽300mm，高150mm。</w:t>
            </w:r>
          </w:p>
          <w:p>
            <w:pPr>
              <w:bidi w:val="0"/>
            </w:pPr>
            <w:r>
              <w:rPr>
                <w:rFonts w:hint="eastAsia"/>
                <w:lang w:val="en-US" w:eastAsia="zh-CN"/>
              </w:rPr>
              <w:t>10</w:t>
            </w:r>
            <w:r>
              <w:t>大坝安全监测系统设计</w:t>
            </w:r>
          </w:p>
          <w:p>
            <w:pPr>
              <w:bidi w:val="0"/>
            </w:pPr>
            <w:r>
              <w:t>大坝安全监测系统是实现安全监测数据和信息的自动化处理、分析，为监测对象提供早期安全预警报告，为工程安全提供评估依据，保证工程的安全运行。大坝安全监测系统主要是与现地层的现场传感器、测控单元(MCU)通信，获取监测数据。大坝安全监测系统由数据采集单元、信号传输电缆、信号接口装置、大坝安全监测管理主机及相关系统等组成。</w:t>
            </w:r>
          </w:p>
          <w:p>
            <w:pPr>
              <w:bidi w:val="0"/>
            </w:pPr>
            <w:r>
              <w:t>大坝安全监测系统是在施工期间建设并立刻投入运行，对影响工程安全、可能危及人员的要素进行监测，是为安全生产服务的信息管理系统，也是本工程首先投入运行的信息管理系统。通过在土建施工期间布设全面、完善的测点，可获得能够反映建筑物实际工作性态的监测数据，通过采取科学、有效的方法对数据进行分析，达到为工程建设期的生产安全工作提供技术支持，为运行期的安全生产提供技术支持，更进一步的为科学的管理决策及调度运行工作提供核心数据支撑的最终目的。</w:t>
            </w:r>
          </w:p>
          <w:p>
            <w:pPr>
              <w:bidi w:val="0"/>
            </w:pPr>
            <w:r>
              <w:t>大坝安全监测系统包括了永久设置的各种/类传感器、数据采集控制单元(MCU)，同时拥有必要的独立通信网络及供电系统，并且在施工期间开始存储、管理、分析数据的监测系统专用的中央控制中心。</w:t>
            </w:r>
          </w:p>
          <w:p>
            <w:pPr>
              <w:bidi w:val="0"/>
            </w:pPr>
            <w:r>
              <w:t>大坝安全监测系统主要对主坝渗流压力、渗漏量监测、垂直位移和水平位移进行监测。数据能定时和不定时地自动采集和存储，接受并存储人工输入的测量数据，可为今后对工程性状进行定性分析和数学模型提供数据，对相关数据进行打印、显示、查询，灵活方便的制作供分析、报告应用的各种过程图、分布图、相关图形，对工程安全预报和报警。</w:t>
            </w:r>
          </w:p>
          <w:p>
            <w:pPr>
              <w:bidi w:val="0"/>
            </w:pPr>
            <w:r>
              <w:t>监测内容</w:t>
            </w:r>
            <w:r>
              <w:rPr>
                <w:rFonts w:hint="eastAsia"/>
                <w:lang w:eastAsia="zh-CN"/>
              </w:rPr>
              <w:t>：</w:t>
            </w:r>
            <w:r>
              <w:t>燎原水库属Ⅲ等工程，水库大坝属3级建筑物，根据《土石坝安全监测技术规范》(SL551-2012)要求，其观测项目为：巡视检查(时间、部位、内容、方法、要求、记录和报告)，大坝表面变形观测，大坝渗流观测(大坝渗流量、坝体渗流压力)，水文气象观测(上、下游水位、降水量、气温)等项目</w:t>
            </w:r>
          </w:p>
          <w:p>
            <w:pPr>
              <w:bidi w:val="0"/>
            </w:pPr>
            <w:r>
              <w:rPr>
                <w:rFonts w:hint="eastAsia"/>
                <w:lang w:val="en-US" w:eastAsia="zh-CN"/>
              </w:rPr>
              <w:t>11、</w:t>
            </w:r>
            <w:r>
              <w:t>白蚁防治</w:t>
            </w:r>
          </w:p>
          <w:p>
            <w:pPr>
              <w:bidi w:val="0"/>
            </w:pPr>
            <w:r>
              <w:t>本次对主坝外坡2.7万</w:t>
            </w:r>
            <w:r>
              <w:rPr>
                <w:rFonts w:hint="eastAsia"/>
                <w:lang w:eastAsia="zh-CN"/>
              </w:rPr>
              <w:t>m2</w:t>
            </w:r>
            <w:r>
              <w:t>坡面，周家湾副坝和陈家冲副坝0.1万</w:t>
            </w:r>
            <w:r>
              <w:rPr>
                <w:rFonts w:hint="eastAsia"/>
                <w:lang w:eastAsia="zh-CN"/>
              </w:rPr>
              <w:t>m2</w:t>
            </w:r>
            <w:r>
              <w:t>的坡面及管理所的白蚁灾害，采取多种措施进行综合灭治。</w:t>
            </w:r>
          </w:p>
          <w:p>
            <w:pPr>
              <w:bidi w:val="0"/>
            </w:pPr>
            <w:r>
              <w:t>1)人工开挖蚁巢</w:t>
            </w:r>
          </w:p>
          <w:p>
            <w:pPr>
              <w:bidi w:val="0"/>
            </w:pPr>
            <w:r>
              <w:t>在白蚁活动的区域查找蚁道，根据蚁道走向跟踪挖出白蚁副巢、主巢，捕捉蚁王、蚁后，清理主巢周边的副巢，然后对白蚁副巢、主巢残余的白蚁进行施药处理，对开挖槽腔回填夯实，且开挖点准确，破坏性小，既能清除水库大坝的空腔，堵塞蚁道，有效防止水库大坝因白蚁危害而产生渗漏、散渗、管涌等现象。</w:t>
            </w:r>
          </w:p>
          <w:p>
            <w:pPr>
              <w:bidi w:val="0"/>
            </w:pPr>
            <w:r>
              <w:t>2)建防蚁隔离带</w:t>
            </w:r>
          </w:p>
          <w:p>
            <w:pPr>
              <w:bidi w:val="0"/>
            </w:pPr>
            <w:r>
              <w:t>在大坝背水坡自坝顶至坝脚开挖隔离沟、沟深40cm，宽30cm，在沟底、沟壁用“吡虫啉”喷洒，药液比为1:100，然后在沟中填土，每填20cm土喷洒一次药水，直至填满土为止，大坝左右坝肩结合部各设置1条。</w:t>
            </w:r>
          </w:p>
          <w:p>
            <w:pPr>
              <w:bidi w:val="0"/>
            </w:pPr>
            <w:r>
              <w:t>3)水库大坝坝体打孔注药</w:t>
            </w:r>
          </w:p>
          <w:p>
            <w:pPr>
              <w:bidi w:val="0"/>
            </w:pPr>
            <w:r>
              <w:t>在大坝左右坝肩各50m坡面采取人工打孔灌药的方法，将毒杀药物按琔配比进行灌注，其目的可杀死浅层白蚁的新生巢，也可起到预防白蚁的作用。具体作法：采用人工挖巢后，在白蚁分布密度大的区域，人工钻孔，孔深0.5m，孔距为1，呈梅花形分布，灭杀药物采用高效低毒的吡虫淋悬浮剂，药液比1:100，逐孔灌注及时用土或细砂填充封口。</w:t>
            </w:r>
          </w:p>
          <w:p>
            <w:pPr>
              <w:bidi w:val="0"/>
            </w:pPr>
            <w:r>
              <w:t>4)地表施药</w:t>
            </w:r>
          </w:p>
          <w:p>
            <w:pPr>
              <w:bidi w:val="0"/>
            </w:pPr>
            <w:r>
              <w:t>大水库大坝外坡全线坡面进行药物喷</w:t>
            </w:r>
            <w:r>
              <w:rPr>
                <w:rFonts w:hint="eastAsia"/>
                <w:lang w:val="en-US" w:eastAsia="zh-CN"/>
              </w:rPr>
              <w:t>洒</w:t>
            </w:r>
            <w:r>
              <w:t>处理，具体做法：将吡虫啉按1:100比例采用电动喷雾器喷洒。注意事项：施药后一个月禁止放牧，同时做好水库周边群众工作，禁止养鸡上坝，地表施药须在晴天进行。</w:t>
            </w:r>
          </w:p>
          <w:p>
            <w:pPr>
              <w:bidi w:val="0"/>
            </w:pPr>
            <w:r>
              <w:t>5)药物诱杀</w:t>
            </w:r>
          </w:p>
          <w:p>
            <w:pPr>
              <w:bidi w:val="0"/>
            </w:pPr>
            <w:r>
              <w:t>在水库大坝背水坡地表及坝顶绿化带全面采用ASP诱杀片进行毒饵诱杀，按白蚁活动规律，在堤坝内外坡按5~10m间距进行埋放，此方法不仅能诱杀白蚁，还可以检查确认该坝段有无白蚁危害。</w:t>
            </w:r>
          </w:p>
          <w:p>
            <w:pPr>
              <w:bidi w:val="0"/>
              <w:rPr>
                <w:rFonts w:hint="default"/>
                <w:lang w:val="en-US" w:eastAsia="zh-CN"/>
              </w:rPr>
            </w:pPr>
            <w:r>
              <w:rPr>
                <w:rFonts w:hint="eastAsia"/>
                <w:lang w:val="en-US" w:eastAsia="zh-CN"/>
              </w:rPr>
              <w:t>12</w:t>
            </w:r>
            <w:r>
              <w:t>防汛公路改造</w:t>
            </w:r>
          </w:p>
          <w:p>
            <w:pPr>
              <w:bidi w:val="0"/>
            </w:pPr>
            <w:r>
              <w:t>(1)库外防汛公路</w:t>
            </w:r>
          </w:p>
          <w:p>
            <w:pPr>
              <w:bidi w:val="0"/>
            </w:pPr>
            <w:r>
              <w:t>燎原水库目前有两条上坝公路，均与芙蓉北路相连，分别位于大坝右坝端和大坝中部，均为沥青砼路面，路基宽6m。该路段道路标准较高，可以满足防汛抢险车辆的通行，不需要新建或改造库外防汛公路。</w:t>
            </w:r>
          </w:p>
          <w:p>
            <w:pPr>
              <w:bidi w:val="0"/>
            </w:pPr>
            <w:r>
              <w:t>(2)环库防汛公路改造</w:t>
            </w:r>
          </w:p>
          <w:p>
            <w:pPr>
              <w:bidi w:val="0"/>
            </w:pPr>
            <w:r>
              <w:t>燎原水库有一座主坝、两座副坝，各大坝之间基本上有环库防汛公路相连，燎原水库主坝与各副坝及溢洪道等主要建筑物之间目前已建防汛公路2.3km，路基宽5~10m，均为砼路面。</w:t>
            </w:r>
          </w:p>
          <w:p>
            <w:pPr>
              <w:bidi w:val="0"/>
            </w:pPr>
            <w:r>
              <w:t>目前部分环库防汛公路路况较差，路面坑洼较多，通行不畅，影响了防汛工作，急需进行改造。本次除险加固设计结合水库风景区建设，拟对因工程建设需拆除重建的沥青砼路面进行恢复，对原为非沥青砼路面的防汛公路统一采用沥青砼路面硬化改造，总长度1.48km，具体路段包括：周家湾副坝段防汛公路长0.75km，路基宽6m；周家湾副坝至大兴节制闸段防汛公路长0.05km，路基宽3.5m；溢洪道至管理所及陈家冲副坝之间的防汛公路长0.43km，路基宽4.5m，陈家冲副坝段防汛公路长0.25km，路基宽5.5m。</w:t>
            </w:r>
          </w:p>
          <w:p>
            <w:pPr>
              <w:bidi w:val="0"/>
            </w:pPr>
            <w:r>
              <w:t>防汛公路改建标准参照山丘区四级公路标准，路基进行加固，路面采用沥青砼硬化，路线基本保持原路线不变，按行车速度20km/h设计。开挖坡侧设20cm×20cm的浆砌石排水沟，路面采取沥青砼路面，防汛公路路面宽3.5~6m，岩石开挖边坡1∶0.5，土基开挖边坡1∶1，土石填筑边坡1∶1.5。开挖坡侧设30cm×30cm的浆砌石排水沟。公路路面</w:t>
            </w:r>
          </w:p>
          <w:p>
            <w:pPr>
              <w:bidi w:val="0"/>
            </w:pPr>
            <w:r>
              <w:t>由基层和面层组成：基层为10%水泥石粉稳定层厚15cm，面层分别为70mm厚粗粒式AC-25C沥青混凝土层、改性乳化沥青0.6~1.0L/m²和35mm厚细粒式AC-13F沥青混凝土。沥青路面施工按《公路沥青路面施工技术规范》(JTGF40-2019)执行。</w:t>
            </w:r>
          </w:p>
          <w:p>
            <w:pPr>
              <w:bidi w:val="0"/>
            </w:pPr>
            <w:r>
              <w:rPr>
                <w:rFonts w:hint="eastAsia"/>
                <w:lang w:val="en-US" w:eastAsia="zh-CN"/>
              </w:rPr>
              <w:t>13</w:t>
            </w:r>
            <w:r>
              <w:t>主坝坝下渡槽维修加固</w:t>
            </w:r>
          </w:p>
          <w:p>
            <w:pPr>
              <w:bidi w:val="0"/>
            </w:pPr>
            <w:r>
              <w:t>1)渡槽接缝止水修补。</w:t>
            </w:r>
          </w:p>
          <w:p>
            <w:pPr>
              <w:bidi w:val="0"/>
            </w:pPr>
            <w:r>
              <w:t>接缝止水修补方法：①将原有已破坏接缝止水拆除。②原有伸缩缝外侧5cm高采用沥青杉板填充，内侧采用沥青麻绒填充，靠近迎水面处采用“U”型橡皮+不锈钢压板+φ14螺栓+树脂砂浆修补平整。③“U”型橡皮型号为250mm(长)×R30mm(半径)×15mm(厚)；不锈钢压板型号为-8mm(厚)×80mm(宽)；螺栓型号为直径14mm，长150mm，间距0.3m。</w:t>
            </w:r>
          </w:p>
          <w:p>
            <w:pPr>
              <w:bidi w:val="0"/>
            </w:pPr>
            <w:r>
              <w:t>2)渡槽裂缝修补。</w:t>
            </w:r>
          </w:p>
          <w:p>
            <w:pPr>
              <w:bidi w:val="0"/>
            </w:pPr>
            <w:r>
              <w:t>渡槽裂缝修补可采用低压注浆法、开槽填补法和涂膜封闭法，不同的缝宽可分别采用相对应的方法，也可根据最大裂缝宽度采用同一种方法。低压注浆法适用于裂缝宽度为0.2mm~1.0mm的裂缝修补。开槽填补法适用于结构允许开槽而宽度较大但数量不多的裂缝。采取掺ZV型混凝土修补配制的聚合物修补砂浆修补混凝土裂缝，具有粘结力高，耐久性好等特点。涂膜封闭法适用于宽度小于0.2mm的微细裂缝的修补，也可用于混凝土外表面的装饰和防水处理，以及防止混凝土保护层的碳化和有害离子对混凝土的腐蚀。</w:t>
            </w:r>
          </w:p>
          <w:p>
            <w:pPr>
              <w:bidi w:val="0"/>
            </w:pPr>
            <w:r>
              <w:t>因渡槽裂缝较多且宽度不一，具体采取的修补措施和工程量应根据现场实际情况进行确定。</w:t>
            </w:r>
          </w:p>
          <w:p>
            <w:pPr>
              <w:bidi w:val="0"/>
              <w:rPr>
                <w:rFonts w:hint="default"/>
                <w:lang w:val="en-US" w:eastAsia="zh-CN"/>
              </w:rPr>
            </w:pPr>
            <w:r>
              <w:rPr>
                <w:rFonts w:hint="default"/>
                <w:lang w:val="en-US" w:eastAsia="zh-CN"/>
              </w:rPr>
              <w:t>（三）</w:t>
            </w:r>
            <w:r>
              <w:rPr>
                <w:rFonts w:hint="eastAsia"/>
                <w:lang w:val="en-US" w:eastAsia="zh-CN"/>
              </w:rPr>
              <w:t>主要工程量和原辅材料</w:t>
            </w:r>
          </w:p>
          <w:p>
            <w:pPr>
              <w:bidi w:val="0"/>
              <w:rPr>
                <w:rFonts w:hint="eastAsia"/>
                <w:lang w:val="en-US" w:eastAsia="zh-CN"/>
              </w:rPr>
            </w:pPr>
            <w:r>
              <w:rPr>
                <w:rFonts w:hint="eastAsia"/>
                <w:lang w:val="en-US" w:eastAsia="zh-CN"/>
              </w:rPr>
              <w:t>燎原</w:t>
            </w:r>
            <w:r>
              <w:rPr>
                <w:rFonts w:hint="default"/>
                <w:lang w:val="en-US" w:eastAsia="zh-CN"/>
              </w:rPr>
              <w:t>水库除险加工工程主要</w:t>
            </w:r>
            <w:r>
              <w:rPr>
                <w:rFonts w:hint="eastAsia"/>
                <w:lang w:val="en-US" w:eastAsia="zh-CN"/>
              </w:rPr>
              <w:t>工程量和</w:t>
            </w:r>
            <w:r>
              <w:rPr>
                <w:rFonts w:hint="default"/>
                <w:lang w:val="en-US" w:eastAsia="zh-CN"/>
              </w:rPr>
              <w:t>原辅材料</w:t>
            </w:r>
            <w:r>
              <w:rPr>
                <w:rFonts w:hint="eastAsia"/>
                <w:lang w:val="en-US" w:eastAsia="zh-CN"/>
              </w:rPr>
              <w:t>如下。</w:t>
            </w:r>
          </w:p>
          <w:p>
            <w:pPr>
              <w:bidi w:val="0"/>
              <w:jc w:val="center"/>
              <w:rPr>
                <w:rFonts w:hint="default"/>
                <w:lang w:val="en-US" w:eastAsia="zh-CN"/>
              </w:rPr>
            </w:pPr>
            <w:r>
              <w:rPr>
                <w:rFonts w:hint="eastAsia"/>
                <w:lang w:val="en-US" w:eastAsia="zh-CN"/>
              </w:rPr>
              <w:t>表2-3主要原辅材料</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2126"/>
              <w:gridCol w:w="2126"/>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45"/>
                    <w:bidi w:val="0"/>
                    <w:rPr>
                      <w:rFonts w:hint="default"/>
                      <w:lang w:val="en-US" w:eastAsia="zh-CN"/>
                    </w:rPr>
                  </w:pPr>
                  <w:r>
                    <w:rPr>
                      <w:rFonts w:hint="default"/>
                      <w:lang w:val="en-US" w:eastAsia="zh-CN"/>
                    </w:rPr>
                    <w:t>项目</w:t>
                  </w:r>
                </w:p>
              </w:tc>
              <w:tc>
                <w:tcPr>
                  <w:tcW w:w="2126" w:type="dxa"/>
                  <w:tcBorders>
                    <w:tl2br w:val="nil"/>
                    <w:tr2bl w:val="nil"/>
                  </w:tcBorders>
                  <w:noWrap w:val="0"/>
                  <w:vAlign w:val="center"/>
                </w:tcPr>
                <w:p>
                  <w:pPr>
                    <w:pStyle w:val="45"/>
                    <w:bidi w:val="0"/>
                    <w:rPr>
                      <w:rFonts w:hint="default"/>
                      <w:lang w:val="en-US" w:eastAsia="zh-CN"/>
                    </w:rPr>
                  </w:pPr>
                  <w:r>
                    <w:rPr>
                      <w:rFonts w:hint="default"/>
                      <w:lang w:val="en-US" w:eastAsia="zh-CN"/>
                    </w:rPr>
                    <w:t>名称</w:t>
                  </w:r>
                </w:p>
              </w:tc>
              <w:tc>
                <w:tcPr>
                  <w:tcW w:w="2126" w:type="dxa"/>
                  <w:tcBorders>
                    <w:tl2br w:val="nil"/>
                    <w:tr2bl w:val="nil"/>
                  </w:tcBorders>
                  <w:noWrap w:val="0"/>
                  <w:vAlign w:val="center"/>
                </w:tcPr>
                <w:p>
                  <w:pPr>
                    <w:pStyle w:val="45"/>
                    <w:bidi w:val="0"/>
                    <w:rPr>
                      <w:rFonts w:hint="default"/>
                      <w:lang w:val="en-US" w:eastAsia="zh-CN"/>
                    </w:rPr>
                  </w:pPr>
                  <w:r>
                    <w:rPr>
                      <w:rFonts w:hint="default"/>
                      <w:lang w:val="en-US" w:eastAsia="zh-CN"/>
                    </w:rPr>
                    <w:t>耗量</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restart"/>
                  <w:tcBorders>
                    <w:tl2br w:val="nil"/>
                    <w:tr2bl w:val="nil"/>
                  </w:tcBorders>
                  <w:noWrap w:val="0"/>
                  <w:vAlign w:val="center"/>
                </w:tcPr>
                <w:p>
                  <w:pPr>
                    <w:pStyle w:val="45"/>
                    <w:bidi w:val="0"/>
                    <w:rPr>
                      <w:rFonts w:hint="default"/>
                      <w:lang w:val="en-US" w:eastAsia="zh-CN"/>
                    </w:rPr>
                  </w:pPr>
                  <w:r>
                    <w:rPr>
                      <w:rFonts w:hint="default"/>
                      <w:lang w:val="en-US" w:eastAsia="zh-CN"/>
                    </w:rPr>
                    <w:t>主</w:t>
                  </w:r>
                  <w:r>
                    <w:rPr>
                      <w:rFonts w:hint="eastAsia"/>
                      <w:lang w:val="en-US" w:eastAsia="zh-CN"/>
                    </w:rPr>
                    <w:t>要工程量</w:t>
                  </w:r>
                </w:p>
              </w:tc>
              <w:tc>
                <w:tcPr>
                  <w:tcW w:w="2126" w:type="dxa"/>
                  <w:tcBorders>
                    <w:tl2br w:val="nil"/>
                    <w:tr2bl w:val="nil"/>
                  </w:tcBorders>
                  <w:noWrap w:val="0"/>
                  <w:vAlign w:val="center"/>
                </w:tcPr>
                <w:p>
                  <w:pPr>
                    <w:pStyle w:val="45"/>
                    <w:bidi w:val="0"/>
                    <w:ind w:firstLine="0" w:firstLineChars="0"/>
                    <w:rPr>
                      <w:rFonts w:hint="default"/>
                      <w:lang w:val="en-US" w:eastAsia="zh-CN"/>
                    </w:rPr>
                  </w:pPr>
                  <w:r>
                    <w:rPr>
                      <w:rFonts w:hint="eastAsia"/>
                      <w:lang w:val="en-US" w:eastAsia="zh-CN"/>
                    </w:rPr>
                    <w:t>土石方开挖</w:t>
                  </w:r>
                </w:p>
              </w:tc>
              <w:tc>
                <w:tcPr>
                  <w:tcW w:w="2126" w:type="dxa"/>
                  <w:tcBorders>
                    <w:tl2br w:val="nil"/>
                    <w:tr2bl w:val="nil"/>
                  </w:tcBorders>
                  <w:noWrap w:val="0"/>
                  <w:vAlign w:val="center"/>
                </w:tcPr>
                <w:p>
                  <w:pPr>
                    <w:pStyle w:val="45"/>
                    <w:bidi w:val="0"/>
                    <w:ind w:firstLine="0" w:firstLineChars="0"/>
                    <w:rPr>
                      <w:rFonts w:hint="default"/>
                      <w:lang w:val="en-US" w:eastAsia="zh-CN"/>
                    </w:rPr>
                  </w:pPr>
                  <w:r>
                    <w:rPr>
                      <w:rFonts w:hint="eastAsia"/>
                      <w:lang w:val="en-US" w:eastAsia="zh-CN"/>
                    </w:rPr>
                    <w:t>80911m3</w:t>
                  </w:r>
                </w:p>
              </w:tc>
              <w:tc>
                <w:tcPr>
                  <w:tcW w:w="2127" w:type="dxa"/>
                  <w:tcBorders>
                    <w:tl2br w:val="nil"/>
                    <w:tr2bl w:val="nil"/>
                  </w:tcBorders>
                  <w:noWrap w:val="0"/>
                  <w:vAlign w:val="center"/>
                </w:tcPr>
                <w:p>
                  <w:pPr>
                    <w:pStyle w:val="45"/>
                    <w:bidi w:val="0"/>
                    <w:ind w:firstLine="0" w:firstLineChars="0"/>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土石方填筑</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82162m3</w:t>
                  </w:r>
                </w:p>
              </w:tc>
              <w:tc>
                <w:tcPr>
                  <w:tcW w:w="2127" w:type="dxa"/>
                  <w:tcBorders>
                    <w:tl2br w:val="nil"/>
                    <w:tr2bl w:val="nil"/>
                  </w:tcBorders>
                  <w:noWrap w:val="0"/>
                  <w:vAlign w:val="center"/>
                </w:tcPr>
                <w:p>
                  <w:pPr>
                    <w:pStyle w:val="45"/>
                    <w:bidi w:val="0"/>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砼防渗墙</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26401m2</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干砌石</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1712m2</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帷幕灌浆</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3100m</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商品砼</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14718m3</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浆砌石</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514m3</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restart"/>
                  <w:tcBorders>
                    <w:tl2br w:val="nil"/>
                    <w:tr2bl w:val="nil"/>
                  </w:tcBorders>
                  <w:noWrap w:val="0"/>
                  <w:vAlign w:val="center"/>
                </w:tcPr>
                <w:p>
                  <w:pPr>
                    <w:pStyle w:val="45"/>
                    <w:bidi w:val="0"/>
                    <w:rPr>
                      <w:rFonts w:hint="default"/>
                      <w:lang w:val="en-US" w:eastAsia="zh-CN"/>
                    </w:rPr>
                  </w:pPr>
                  <w:r>
                    <w:rPr>
                      <w:rFonts w:hint="eastAsia"/>
                      <w:lang w:val="en-US" w:eastAsia="zh-CN"/>
                    </w:rPr>
                    <w:t>主要</w:t>
                  </w:r>
                  <w:r>
                    <w:rPr>
                      <w:rFonts w:hint="default"/>
                      <w:lang w:val="en-US" w:eastAsia="zh-CN"/>
                    </w:rPr>
                    <w:t>原辅材料</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水泥</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3998t</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钢材</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282t</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卵（碎）石</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10453m3</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砂</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11779m3</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125" w:type="dxa"/>
                  <w:vMerge w:val="continue"/>
                  <w:tcBorders>
                    <w:tl2br w:val="nil"/>
                    <w:tr2bl w:val="nil"/>
                  </w:tcBorders>
                  <w:noWrap w:val="0"/>
                  <w:vAlign w:val="center"/>
                </w:tcPr>
                <w:p>
                  <w:pPr>
                    <w:pStyle w:val="45"/>
                    <w:bidi w:val="0"/>
                    <w:rPr>
                      <w:rFonts w:hint="default"/>
                      <w:lang w:val="en-US" w:eastAsia="zh-CN"/>
                    </w:rPr>
                  </w:pP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块石</w:t>
                  </w:r>
                </w:p>
              </w:tc>
              <w:tc>
                <w:tcPr>
                  <w:tcW w:w="2126" w:type="dxa"/>
                  <w:tcBorders>
                    <w:tl2br w:val="nil"/>
                    <w:tr2bl w:val="nil"/>
                  </w:tcBorders>
                  <w:noWrap w:val="0"/>
                  <w:vAlign w:val="center"/>
                </w:tcPr>
                <w:p>
                  <w:pPr>
                    <w:pStyle w:val="45"/>
                    <w:bidi w:val="0"/>
                    <w:rPr>
                      <w:rFonts w:hint="default"/>
                      <w:lang w:val="en-US" w:eastAsia="zh-CN"/>
                    </w:rPr>
                  </w:pPr>
                  <w:r>
                    <w:rPr>
                      <w:rFonts w:hint="eastAsia"/>
                      <w:lang w:val="en-US" w:eastAsia="zh-CN"/>
                    </w:rPr>
                    <w:t>2522m</w:t>
                  </w:r>
                  <w:r>
                    <w:rPr>
                      <w:rFonts w:hint="eastAsia"/>
                      <w:vertAlign w:val="superscript"/>
                      <w:lang w:val="en-US" w:eastAsia="zh-CN"/>
                    </w:rPr>
                    <w:t>3</w:t>
                  </w:r>
                </w:p>
              </w:tc>
              <w:tc>
                <w:tcPr>
                  <w:tcW w:w="2127" w:type="dxa"/>
                  <w:tcBorders>
                    <w:tl2br w:val="nil"/>
                    <w:tr2bl w:val="nil"/>
                  </w:tcBorders>
                  <w:noWrap w:val="0"/>
                  <w:vAlign w:val="center"/>
                </w:tcPr>
                <w:p>
                  <w:pPr>
                    <w:pStyle w:val="45"/>
                    <w:bidi w:val="0"/>
                    <w:rPr>
                      <w:rFonts w:hint="default"/>
                      <w:lang w:val="en-US" w:eastAsia="zh-CN"/>
                    </w:rPr>
                  </w:pPr>
                  <w:r>
                    <w:rPr>
                      <w:rFonts w:hint="default"/>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45"/>
                    <w:bidi w:val="0"/>
                    <w:ind w:firstLine="0" w:firstLineChars="0"/>
                    <w:rPr>
                      <w:rFonts w:hint="default"/>
                      <w:lang w:val="en-US" w:eastAsia="zh-CN"/>
                    </w:rPr>
                  </w:pPr>
                  <w:r>
                    <w:rPr>
                      <w:rFonts w:hint="default"/>
                      <w:lang w:val="en-US" w:eastAsia="zh-CN"/>
                    </w:rPr>
                    <w:t>水量</w:t>
                  </w:r>
                </w:p>
              </w:tc>
              <w:tc>
                <w:tcPr>
                  <w:tcW w:w="2126" w:type="dxa"/>
                  <w:tcBorders>
                    <w:tl2br w:val="nil"/>
                    <w:tr2bl w:val="nil"/>
                  </w:tcBorders>
                  <w:noWrap w:val="0"/>
                  <w:vAlign w:val="center"/>
                </w:tcPr>
                <w:p>
                  <w:pPr>
                    <w:pStyle w:val="45"/>
                    <w:bidi w:val="0"/>
                    <w:ind w:firstLine="0" w:firstLineChars="0"/>
                    <w:rPr>
                      <w:rFonts w:hint="default"/>
                      <w:lang w:val="en-US" w:eastAsia="zh-CN"/>
                    </w:rPr>
                  </w:pPr>
                  <w:r>
                    <w:rPr>
                      <w:rFonts w:hint="default"/>
                      <w:lang w:val="en-US" w:eastAsia="zh-CN"/>
                    </w:rPr>
                    <w:t>地表水</w:t>
                  </w:r>
                </w:p>
              </w:tc>
              <w:tc>
                <w:tcPr>
                  <w:tcW w:w="2126" w:type="dxa"/>
                  <w:tcBorders>
                    <w:tl2br w:val="nil"/>
                    <w:tr2bl w:val="nil"/>
                  </w:tcBorders>
                  <w:noWrap w:val="0"/>
                  <w:vAlign w:val="center"/>
                </w:tcPr>
                <w:p>
                  <w:pPr>
                    <w:pStyle w:val="45"/>
                    <w:bidi w:val="0"/>
                    <w:ind w:firstLine="0" w:firstLineChars="0"/>
                    <w:rPr>
                      <w:rFonts w:hint="default"/>
                      <w:lang w:val="en-US" w:eastAsia="zh-CN"/>
                    </w:rPr>
                  </w:pPr>
                  <w:r>
                    <w:rPr>
                      <w:rFonts w:hint="default"/>
                      <w:lang w:val="en-US" w:eastAsia="zh-CN"/>
                    </w:rPr>
                    <w:t>1000</w:t>
                  </w:r>
                  <w:r>
                    <w:rPr>
                      <w:rFonts w:hint="eastAsia"/>
                      <w:lang w:val="en-US" w:eastAsia="zh-CN"/>
                    </w:rPr>
                    <w:t>m</w:t>
                  </w:r>
                  <w:r>
                    <w:rPr>
                      <w:rFonts w:hint="eastAsia"/>
                      <w:vertAlign w:val="superscript"/>
                      <w:lang w:val="en-US" w:eastAsia="zh-CN"/>
                    </w:rPr>
                    <w:t>3</w:t>
                  </w:r>
                </w:p>
              </w:tc>
              <w:tc>
                <w:tcPr>
                  <w:tcW w:w="2127" w:type="dxa"/>
                  <w:tcBorders>
                    <w:tl2br w:val="nil"/>
                    <w:tr2bl w:val="nil"/>
                  </w:tcBorders>
                  <w:noWrap w:val="0"/>
                  <w:vAlign w:val="center"/>
                </w:tcPr>
                <w:p>
                  <w:pPr>
                    <w:pStyle w:val="45"/>
                    <w:bidi w:val="0"/>
                    <w:ind w:firstLine="0" w:firstLineChars="0"/>
                    <w:rPr>
                      <w:rFonts w:hint="default"/>
                      <w:lang w:val="en-US" w:eastAsia="zh-CN"/>
                    </w:rPr>
                  </w:pPr>
                  <w:r>
                    <w:rPr>
                      <w:rFonts w:hint="eastAsia"/>
                      <w:lang w:val="en-US" w:eastAsia="zh-CN"/>
                    </w:rPr>
                    <w:t>燎原</w:t>
                  </w:r>
                  <w:r>
                    <w:rPr>
                      <w:rFonts w:hint="default"/>
                      <w:lang w:val="en-US" w:eastAsia="zh-CN"/>
                    </w:rPr>
                    <w:t>水库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5" w:type="dxa"/>
                  <w:tcBorders>
                    <w:tl2br w:val="nil"/>
                    <w:tr2bl w:val="nil"/>
                  </w:tcBorders>
                  <w:noWrap w:val="0"/>
                  <w:vAlign w:val="center"/>
                </w:tcPr>
                <w:p>
                  <w:pPr>
                    <w:pStyle w:val="45"/>
                    <w:bidi w:val="0"/>
                    <w:ind w:firstLine="0" w:firstLineChars="0"/>
                    <w:rPr>
                      <w:rFonts w:hint="default"/>
                      <w:u w:val="single"/>
                      <w:lang w:val="en-US" w:eastAsia="zh-CN"/>
                    </w:rPr>
                  </w:pPr>
                  <w:r>
                    <w:rPr>
                      <w:rFonts w:hint="eastAsia"/>
                      <w:u w:val="single"/>
                      <w:lang w:val="en-US" w:eastAsia="zh-CN"/>
                    </w:rPr>
                    <w:t>白蚁防治</w:t>
                  </w:r>
                </w:p>
              </w:tc>
              <w:tc>
                <w:tcPr>
                  <w:tcW w:w="2126" w:type="dxa"/>
                  <w:tcBorders>
                    <w:tl2br w:val="nil"/>
                    <w:tr2bl w:val="nil"/>
                  </w:tcBorders>
                  <w:noWrap w:val="0"/>
                  <w:vAlign w:val="center"/>
                </w:tcPr>
                <w:p>
                  <w:pPr>
                    <w:pStyle w:val="45"/>
                    <w:bidi w:val="0"/>
                    <w:ind w:firstLine="0" w:firstLineChars="0"/>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kern w:val="2"/>
                      <w:sz w:val="21"/>
                      <w:szCs w:val="21"/>
                      <w:u w:val="single"/>
                      <w:lang w:val="en-US" w:eastAsia="zh-CN" w:bidi="ar-SA"/>
                    </w:rPr>
                    <w:t>吡虫啉</w:t>
                  </w:r>
                </w:p>
              </w:tc>
              <w:tc>
                <w:tcPr>
                  <w:tcW w:w="2126" w:type="dxa"/>
                  <w:tcBorders>
                    <w:tl2br w:val="nil"/>
                    <w:tr2bl w:val="nil"/>
                  </w:tcBorders>
                  <w:noWrap w:val="0"/>
                  <w:vAlign w:val="center"/>
                </w:tcPr>
                <w:p>
                  <w:pPr>
                    <w:pStyle w:val="45"/>
                    <w:bidi w:val="0"/>
                    <w:ind w:firstLine="0" w:firstLineChars="0"/>
                    <w:rPr>
                      <w:rFonts w:hint="default" w:ascii="Times New Roman" w:hAnsi="Times New Roman" w:eastAsia="宋体" w:cs="Times New Roman"/>
                      <w:kern w:val="2"/>
                      <w:sz w:val="21"/>
                      <w:szCs w:val="21"/>
                      <w:u w:val="single"/>
                      <w:lang w:val="en-US" w:eastAsia="zh-CN" w:bidi="ar-SA"/>
                    </w:rPr>
                  </w:pPr>
                  <w:r>
                    <w:rPr>
                      <w:rFonts w:hint="eastAsia" w:cs="Times New Roman"/>
                      <w:kern w:val="2"/>
                      <w:sz w:val="21"/>
                      <w:szCs w:val="21"/>
                      <w:u w:val="single"/>
                      <w:lang w:val="en-US" w:eastAsia="zh-CN" w:bidi="ar-SA"/>
                    </w:rPr>
                    <w:t>400L</w:t>
                  </w:r>
                </w:p>
              </w:tc>
              <w:tc>
                <w:tcPr>
                  <w:tcW w:w="2127" w:type="dxa"/>
                  <w:tcBorders>
                    <w:tl2br w:val="nil"/>
                    <w:tr2bl w:val="nil"/>
                  </w:tcBorders>
                  <w:noWrap w:val="0"/>
                  <w:vAlign w:val="center"/>
                </w:tcPr>
                <w:p>
                  <w:pPr>
                    <w:pStyle w:val="45"/>
                    <w:bidi w:val="0"/>
                    <w:ind w:firstLine="0" w:firstLineChars="0"/>
                    <w:rPr>
                      <w:rFonts w:hint="default" w:ascii="Times New Roman" w:hAnsi="Times New Roman" w:eastAsia="宋体" w:cs="Times New Roman"/>
                      <w:kern w:val="2"/>
                      <w:sz w:val="21"/>
                      <w:szCs w:val="21"/>
                      <w:u w:val="single"/>
                      <w:lang w:val="en-US" w:eastAsia="zh-CN" w:bidi="ar-SA"/>
                    </w:rPr>
                  </w:pPr>
                  <w:r>
                    <w:rPr>
                      <w:rFonts w:hint="default"/>
                      <w:u w:val="single"/>
                      <w:lang w:val="en-US" w:eastAsia="zh-CN"/>
                    </w:rPr>
                    <w:t>外购</w:t>
                  </w:r>
                </w:p>
              </w:tc>
            </w:tr>
          </w:tbl>
          <w:p>
            <w:pPr>
              <w:pStyle w:val="15"/>
              <w:keepNext w:val="0"/>
              <w:keepLines w:val="0"/>
              <w:widowControl/>
              <w:suppressLineNumbers w:val="0"/>
              <w:spacing w:before="0" w:beforeAutospacing="0" w:after="0" w:afterAutospacing="0"/>
              <w:ind w:left="0" w:right="0" w:firstLine="0"/>
              <w:jc w:val="both"/>
              <w:rPr>
                <w:rFonts w:hint="default"/>
                <w:u w:val="single"/>
                <w:lang w:val="en-US" w:eastAsia="zh-CN"/>
              </w:rPr>
            </w:pPr>
            <w:r>
              <w:rPr>
                <w:rFonts w:hint="eastAsia"/>
                <w:u w:val="single"/>
                <w:lang w:val="en-US" w:eastAsia="zh-CN"/>
              </w:rPr>
              <w:t>吡虫啉：主要为吡虫啉</w:t>
            </w:r>
            <w:r>
              <w:rPr>
                <w:rFonts w:hint="default" w:ascii="Times New Roman" w:hAnsi="Times New Roman" w:cs="Times New Roman"/>
                <w:u w:val="single"/>
                <w:lang w:val="en-US" w:eastAsia="zh-CN"/>
              </w:rPr>
              <w:t>，</w:t>
            </w:r>
            <w:r>
              <w:rPr>
                <w:rFonts w:hint="eastAsia"/>
                <w:u w:val="single"/>
                <w:lang w:val="en-US" w:eastAsia="zh-CN"/>
              </w:rPr>
              <w:t>化</w:t>
            </w:r>
            <w:r>
              <w:rPr>
                <w:rFonts w:hint="default" w:ascii="Times New Roman" w:hAnsi="Times New Roman" w:cs="Times New Roman"/>
                <w:u w:val="single"/>
                <w:lang w:val="en-US" w:eastAsia="zh-CN"/>
              </w:rPr>
              <w:t>学式为C</w:t>
            </w:r>
            <w:r>
              <w:rPr>
                <w:rFonts w:hint="default" w:ascii="Times New Roman" w:hAnsi="Times New Roman" w:cs="Times New Roman"/>
                <w:u w:val="single"/>
                <w:vertAlign w:val="subscript"/>
                <w:lang w:val="en-US" w:eastAsia="zh-CN"/>
              </w:rPr>
              <w:t>9</w:t>
            </w:r>
            <w:r>
              <w:rPr>
                <w:rFonts w:hint="default" w:ascii="Times New Roman" w:hAnsi="Times New Roman" w:cs="Times New Roman"/>
                <w:u w:val="single"/>
                <w:lang w:val="en-US" w:eastAsia="zh-CN"/>
              </w:rPr>
              <w:t>H</w:t>
            </w:r>
            <w:r>
              <w:rPr>
                <w:rFonts w:hint="default" w:ascii="Times New Roman" w:hAnsi="Times New Roman" w:cs="Times New Roman"/>
                <w:u w:val="single"/>
                <w:vertAlign w:val="subscript"/>
                <w:lang w:val="en-US" w:eastAsia="zh-CN"/>
              </w:rPr>
              <w:t>10</w:t>
            </w:r>
            <w:r>
              <w:rPr>
                <w:rFonts w:hint="default" w:ascii="Times New Roman" w:hAnsi="Times New Roman" w:cs="Times New Roman"/>
                <w:u w:val="single"/>
                <w:lang w:val="en-US" w:eastAsia="zh-CN"/>
              </w:rPr>
              <w:t>ClN</w:t>
            </w:r>
            <w:r>
              <w:rPr>
                <w:rFonts w:hint="default" w:ascii="Times New Roman" w:hAnsi="Times New Roman" w:cs="Times New Roman"/>
                <w:u w:val="single"/>
                <w:vertAlign w:val="subscript"/>
                <w:lang w:val="en-US" w:eastAsia="zh-CN"/>
              </w:rPr>
              <w:t>5</w:t>
            </w:r>
            <w:r>
              <w:rPr>
                <w:rFonts w:hint="default" w:ascii="Times New Roman" w:hAnsi="Times New Roman" w:cs="Times New Roman"/>
                <w:u w:val="single"/>
                <w:lang w:val="en-US" w:eastAsia="zh-CN"/>
              </w:rPr>
              <w:t>O</w:t>
            </w:r>
            <w:r>
              <w:rPr>
                <w:rFonts w:hint="default" w:ascii="Times New Roman" w:hAnsi="Times New Roman" w:cs="Times New Roman"/>
                <w:u w:val="single"/>
                <w:vertAlign w:val="subscript"/>
                <w:lang w:val="en-US" w:eastAsia="zh-CN"/>
              </w:rPr>
              <w:t>2</w:t>
            </w:r>
            <w:r>
              <w:rPr>
                <w:rFonts w:hint="eastAsia" w:ascii="Times New Roman" w:hAnsi="Times New Roman" w:cs="Times New Roman"/>
                <w:u w:val="single"/>
                <w:vertAlign w:val="baseline"/>
                <w:lang w:val="en-US" w:eastAsia="zh-CN"/>
              </w:rPr>
              <w:t>，</w:t>
            </w:r>
            <w:r>
              <w:rPr>
                <w:rFonts w:hint="default" w:ascii="Times New Roman" w:hAnsi="Times New Roman" w:cs="Times New Roman"/>
                <w:u w:val="single"/>
                <w:lang w:val="en-US" w:eastAsia="zh-CN"/>
              </w:rPr>
              <w:t>CAS登录号105827-78-9，无色晶体，有微弱气味，熔点143.8℃，蒸气压0.2μPa（20℃），密度1.543g/cm3（20℃），KowlogP=0.57（22℃），溶解度水0.51g/L（20℃），异丙醇1-2g/L（20℃），甲苯0.5-1g/L（20℃），正己烷&lt;0.1g/L（20℃），pH5-11稳定。毒性</w:t>
            </w:r>
            <w:r>
              <w:rPr>
                <w:rFonts w:hint="eastAsia" w:ascii="Times New Roman" w:hAnsi="Times New Roman" w:cs="Times New Roman"/>
                <w:u w:val="single"/>
                <w:lang w:val="en-US" w:eastAsia="zh-CN"/>
              </w:rPr>
              <w:t>：</w:t>
            </w:r>
            <w:r>
              <w:rPr>
                <w:rFonts w:hint="default" w:ascii="Times New Roman" w:hAnsi="Times New Roman" w:cs="Times New Roman"/>
                <w:u w:val="single"/>
                <w:lang w:val="en-US" w:eastAsia="zh-CN"/>
              </w:rPr>
              <w:t>大鼠急性经口LD</w:t>
            </w:r>
            <w:r>
              <w:rPr>
                <w:rFonts w:hint="default" w:ascii="Times New Roman" w:hAnsi="Times New Roman" w:cs="Times New Roman"/>
                <w:u w:val="single"/>
                <w:vertAlign w:val="subscript"/>
                <w:lang w:val="en-US" w:eastAsia="zh-CN"/>
              </w:rPr>
              <w:t>50</w:t>
            </w:r>
            <w:r>
              <w:rPr>
                <w:rFonts w:hint="default" w:ascii="Times New Roman" w:hAnsi="Times New Roman" w:cs="Times New Roman"/>
                <w:u w:val="single"/>
                <w:lang w:val="en-US" w:eastAsia="zh-CN"/>
              </w:rPr>
              <w:t>为450mg/kg，急性经皮LD</w:t>
            </w:r>
            <w:r>
              <w:rPr>
                <w:rFonts w:hint="default" w:ascii="Times New Roman" w:hAnsi="Times New Roman" w:cs="Times New Roman"/>
                <w:u w:val="single"/>
                <w:vertAlign w:val="subscript"/>
                <w:lang w:val="en-US" w:eastAsia="zh-CN"/>
              </w:rPr>
              <w:t>50</w:t>
            </w:r>
            <w:r>
              <w:rPr>
                <w:rFonts w:hint="default" w:ascii="Times New Roman" w:hAnsi="Times New Roman" w:cs="Times New Roman"/>
                <w:u w:val="single"/>
                <w:lang w:val="en-US" w:eastAsia="zh-CN"/>
              </w:rPr>
              <w:t>&gt;5000mg/kg。急性吸入LC</w:t>
            </w:r>
            <w:r>
              <w:rPr>
                <w:rFonts w:hint="default" w:ascii="Times New Roman" w:hAnsi="Times New Roman" w:cs="Times New Roman"/>
                <w:u w:val="single"/>
                <w:vertAlign w:val="subscript"/>
                <w:lang w:val="en-US" w:eastAsia="zh-CN"/>
              </w:rPr>
              <w:t>50</w:t>
            </w:r>
            <w:r>
              <w:rPr>
                <w:rFonts w:hint="default" w:ascii="Times New Roman" w:hAnsi="Times New Roman" w:cs="Times New Roman"/>
                <w:u w:val="single"/>
                <w:lang w:val="en-US" w:eastAsia="zh-CN"/>
              </w:rPr>
              <w:t>(4h)&gt;5323 mg/m3，对兔眼睛和皮肤无刺激作用。</w:t>
            </w:r>
            <w:r>
              <w:rPr>
                <w:rFonts w:hint="eastAsia"/>
                <w:u w:val="single"/>
                <w:lang w:val="en-US" w:eastAsia="zh-CN"/>
              </w:rPr>
              <w:t>吡虫啉是一种硝基亚甲基类内吸杀虫剂，属氯化烟酰类杀虫剂，又称为新烟碱类杀虫剂</w:t>
            </w:r>
            <w:r>
              <w:rPr>
                <w:rFonts w:hint="default" w:ascii="Times New Roman" w:hAnsi="Times New Roman" w:cs="Times New Roman"/>
                <w:u w:val="single"/>
                <w:lang w:val="en-US" w:eastAsia="zh-CN"/>
              </w:rPr>
              <w:t>。具有广谱、高效、低毒、低残留，害虫不易产生抗性，并有触杀、胃毒</w:t>
            </w:r>
            <w:r>
              <w:rPr>
                <w:rFonts w:hint="eastAsia"/>
                <w:u w:val="single"/>
                <w:lang w:val="en-US" w:eastAsia="zh-CN"/>
              </w:rPr>
              <w:t>和内吸等多重作用。</w:t>
            </w:r>
          </w:p>
          <w:p>
            <w:pPr>
              <w:bidi w:val="0"/>
              <w:rPr>
                <w:rFonts w:hint="default"/>
                <w:lang w:val="en-US" w:eastAsia="zh-CN"/>
              </w:rPr>
            </w:pPr>
            <w:r>
              <w:rPr>
                <w:rFonts w:hint="default"/>
                <w:lang w:val="en-US" w:eastAsia="zh-CN"/>
              </w:rPr>
              <w:t>（四）施工期主要设备</w:t>
            </w:r>
          </w:p>
          <w:p>
            <w:pPr>
              <w:bidi w:val="0"/>
              <w:jc w:val="center"/>
              <w:rPr>
                <w:rFonts w:hint="default"/>
                <w:lang w:val="en-US" w:eastAsia="zh-CN"/>
              </w:rPr>
            </w:pPr>
            <w:r>
              <w:rPr>
                <w:rFonts w:hint="default"/>
                <w:lang w:val="en-US" w:eastAsia="zh-CN"/>
              </w:rPr>
              <w:t>表2-</w:t>
            </w:r>
            <w:r>
              <w:rPr>
                <w:rFonts w:hint="eastAsia"/>
                <w:lang w:val="en-US" w:eastAsia="zh-CN"/>
              </w:rPr>
              <w:t>4</w:t>
            </w:r>
            <w:r>
              <w:rPr>
                <w:rFonts w:hint="default"/>
                <w:lang w:val="en-US" w:eastAsia="zh-CN"/>
              </w:rPr>
              <w:t>施工期主要生产设备一览表</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序号</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名称</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1</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挖掘机</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2</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压路机</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3</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推土机</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4</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自卸汽车</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2辆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34" w:type="dxa"/>
                  <w:tcBorders>
                    <w:tl2br w:val="nil"/>
                    <w:tr2bl w:val="nil"/>
                  </w:tcBorders>
                  <w:noWrap w:val="0"/>
                  <w:vAlign w:val="top"/>
                </w:tcPr>
                <w:p>
                  <w:pPr>
                    <w:pStyle w:val="45"/>
                    <w:bidi w:val="0"/>
                    <w:rPr>
                      <w:rFonts w:hint="default"/>
                      <w:lang w:val="en-US" w:eastAsia="zh-CN"/>
                    </w:rPr>
                  </w:pPr>
                  <w:r>
                    <w:rPr>
                      <w:rFonts w:hint="eastAsia"/>
                      <w:lang w:val="en-US" w:eastAsia="zh-CN"/>
                    </w:rPr>
                    <w:t>5</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打桩机</w:t>
                  </w:r>
                </w:p>
              </w:tc>
              <w:tc>
                <w:tcPr>
                  <w:tcW w:w="2835" w:type="dxa"/>
                  <w:tcBorders>
                    <w:tl2br w:val="nil"/>
                    <w:tr2bl w:val="nil"/>
                  </w:tcBorders>
                  <w:noWrap w:val="0"/>
                  <w:vAlign w:val="top"/>
                </w:tcPr>
                <w:p>
                  <w:pPr>
                    <w:pStyle w:val="45"/>
                    <w:bidi w:val="0"/>
                    <w:rPr>
                      <w:rFonts w:hint="default"/>
                      <w:lang w:val="en-US" w:eastAsia="zh-CN"/>
                    </w:rPr>
                  </w:pPr>
                  <w:r>
                    <w:rPr>
                      <w:rFonts w:hint="eastAsia"/>
                      <w:lang w:val="en-US" w:eastAsia="zh-CN"/>
                    </w:rPr>
                    <w:t>1</w:t>
                  </w:r>
                  <w:r>
                    <w:rPr>
                      <w:rFonts w:hint="default"/>
                      <w:lang w:val="en-US" w:eastAsia="zh-CN"/>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6</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振捣器</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7</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砼输送泵</w:t>
                  </w:r>
                </w:p>
              </w:tc>
              <w:tc>
                <w:tcPr>
                  <w:tcW w:w="2835" w:type="dxa"/>
                  <w:tcBorders>
                    <w:tl2br w:val="nil"/>
                    <w:tr2bl w:val="nil"/>
                  </w:tcBorders>
                  <w:noWrap w:val="0"/>
                  <w:vAlign w:val="top"/>
                </w:tcPr>
                <w:p>
                  <w:pPr>
                    <w:pStyle w:val="45"/>
                    <w:bidi w:val="0"/>
                    <w:rPr>
                      <w:rFonts w:hint="default"/>
                      <w:lang w:val="en-US" w:eastAsia="zh-CN"/>
                    </w:rPr>
                  </w:pPr>
                  <w:r>
                    <w:rPr>
                      <w:rFonts w:hint="default"/>
                      <w:lang w:val="en-US" w:eastAsia="zh-CN"/>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default"/>
                      <w:lang w:val="en-US" w:eastAsia="zh-CN"/>
                    </w:rPr>
                    <w:t>8</w:t>
                  </w:r>
                </w:p>
              </w:tc>
              <w:tc>
                <w:tcPr>
                  <w:tcW w:w="2835" w:type="dxa"/>
                  <w:tcBorders>
                    <w:tl2br w:val="nil"/>
                    <w:tr2bl w:val="nil"/>
                  </w:tcBorders>
                  <w:noWrap w:val="0"/>
                  <w:vAlign w:val="top"/>
                </w:tcPr>
                <w:p>
                  <w:pPr>
                    <w:pStyle w:val="45"/>
                    <w:bidi w:val="0"/>
                    <w:rPr>
                      <w:rFonts w:hint="default"/>
                      <w:lang w:val="en-US" w:eastAsia="zh-CN"/>
                    </w:rPr>
                  </w:pPr>
                  <w:r>
                    <w:rPr>
                      <w:rFonts w:hint="eastAsia"/>
                      <w:lang w:val="en-US" w:eastAsia="zh-CN"/>
                    </w:rPr>
                    <w:t>钢筋加工设备</w:t>
                  </w:r>
                </w:p>
              </w:tc>
              <w:tc>
                <w:tcPr>
                  <w:tcW w:w="2835" w:type="dxa"/>
                  <w:tcBorders>
                    <w:tl2br w:val="nil"/>
                    <w:tr2bl w:val="nil"/>
                  </w:tcBorders>
                  <w:noWrap w:val="0"/>
                  <w:vAlign w:val="top"/>
                </w:tcPr>
                <w:p>
                  <w:pPr>
                    <w:pStyle w:val="45"/>
                    <w:bidi w:val="0"/>
                    <w:rPr>
                      <w:rFonts w:hint="default"/>
                      <w:lang w:val="en-US" w:eastAsia="zh-CN"/>
                    </w:rPr>
                  </w:pPr>
                  <w:r>
                    <w:rPr>
                      <w:rFonts w:hint="eastAsia"/>
                      <w:lang w:val="en-US" w:eastAsia="zh-CN"/>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tcBorders>
                    <w:tl2br w:val="nil"/>
                    <w:tr2bl w:val="nil"/>
                  </w:tcBorders>
                  <w:noWrap w:val="0"/>
                  <w:vAlign w:val="top"/>
                </w:tcPr>
                <w:p>
                  <w:pPr>
                    <w:pStyle w:val="45"/>
                    <w:bidi w:val="0"/>
                    <w:rPr>
                      <w:rFonts w:hint="default"/>
                      <w:lang w:val="en-US" w:eastAsia="zh-CN"/>
                    </w:rPr>
                  </w:pPr>
                  <w:r>
                    <w:rPr>
                      <w:rFonts w:hint="eastAsia"/>
                      <w:lang w:val="en-US" w:eastAsia="zh-CN"/>
                    </w:rPr>
                    <w:t>9</w:t>
                  </w:r>
                </w:p>
              </w:tc>
              <w:tc>
                <w:tcPr>
                  <w:tcW w:w="2835" w:type="dxa"/>
                  <w:tcBorders>
                    <w:tl2br w:val="nil"/>
                    <w:tr2bl w:val="nil"/>
                  </w:tcBorders>
                  <w:noWrap w:val="0"/>
                  <w:vAlign w:val="top"/>
                </w:tcPr>
                <w:p>
                  <w:pPr>
                    <w:pStyle w:val="45"/>
                    <w:bidi w:val="0"/>
                    <w:rPr>
                      <w:rFonts w:hint="default"/>
                      <w:lang w:val="en-US" w:eastAsia="zh-CN"/>
                    </w:rPr>
                  </w:pPr>
                  <w:r>
                    <w:rPr>
                      <w:rFonts w:hint="eastAsia"/>
                      <w:lang w:val="en-US" w:eastAsia="zh-CN"/>
                    </w:rPr>
                    <w:t>水泵</w:t>
                  </w:r>
                </w:p>
              </w:tc>
              <w:tc>
                <w:tcPr>
                  <w:tcW w:w="2835" w:type="dxa"/>
                  <w:tcBorders>
                    <w:tl2br w:val="nil"/>
                    <w:tr2bl w:val="nil"/>
                  </w:tcBorders>
                  <w:noWrap w:val="0"/>
                  <w:vAlign w:val="top"/>
                </w:tcPr>
                <w:p>
                  <w:pPr>
                    <w:pStyle w:val="45"/>
                    <w:bidi w:val="0"/>
                    <w:rPr>
                      <w:rFonts w:hint="default"/>
                      <w:lang w:val="en-US" w:eastAsia="zh-CN"/>
                    </w:rPr>
                  </w:pPr>
                  <w:r>
                    <w:rPr>
                      <w:rFonts w:hint="eastAsia"/>
                      <w:lang w:val="en-US" w:eastAsia="zh-CN"/>
                    </w:rPr>
                    <w:t>2台</w:t>
                  </w:r>
                </w:p>
              </w:tc>
            </w:tr>
          </w:tbl>
          <w:p>
            <w:pPr>
              <w:bidi w:val="0"/>
              <w:rPr>
                <w:rFonts w:hint="default"/>
              </w:rPr>
            </w:pPr>
            <w:r>
              <w:rPr>
                <w:rFonts w:hint="default"/>
                <w:lang w:eastAsia="zh-CN"/>
              </w:rPr>
              <w:t>（</w:t>
            </w:r>
            <w:r>
              <w:rPr>
                <w:rFonts w:hint="default"/>
                <w:lang w:val="en-US" w:eastAsia="zh-CN"/>
              </w:rPr>
              <w:t>五</w:t>
            </w:r>
            <w:r>
              <w:rPr>
                <w:rFonts w:hint="default"/>
                <w:lang w:eastAsia="zh-CN"/>
              </w:rPr>
              <w:t>）</w:t>
            </w:r>
            <w:r>
              <w:rPr>
                <w:rFonts w:hint="default"/>
              </w:rPr>
              <w:t>其他相关工程内容</w:t>
            </w:r>
          </w:p>
          <w:p>
            <w:pPr>
              <w:bidi w:val="0"/>
              <w:rPr>
                <w:rFonts w:hint="default"/>
              </w:rPr>
            </w:pPr>
            <w:r>
              <w:rPr>
                <w:rFonts w:hint="default"/>
              </w:rPr>
              <w:t>1、给水</w:t>
            </w:r>
          </w:p>
          <w:p>
            <w:pPr>
              <w:bidi w:val="0"/>
              <w:rPr>
                <w:rFonts w:hint="default"/>
              </w:rPr>
            </w:pPr>
            <w:r>
              <w:rPr>
                <w:rFonts w:hint="default"/>
              </w:rPr>
              <w:t>施工用水考虑从本项目水库中抽取。</w:t>
            </w:r>
          </w:p>
          <w:p>
            <w:pPr>
              <w:bidi w:val="0"/>
              <w:rPr>
                <w:rFonts w:hint="default"/>
              </w:rPr>
            </w:pPr>
            <w:r>
              <w:rPr>
                <w:rFonts w:hint="default"/>
              </w:rPr>
              <w:t>2、水库管理用电</w:t>
            </w:r>
          </w:p>
          <w:p>
            <w:pPr>
              <w:bidi w:val="0"/>
              <w:rPr>
                <w:rFonts w:hint="default"/>
              </w:rPr>
            </w:pPr>
            <w:r>
              <w:rPr>
                <w:rFonts w:hint="eastAsia"/>
                <w:lang w:val="en-US" w:eastAsia="zh-CN"/>
              </w:rPr>
              <w:t>燎原</w:t>
            </w:r>
            <w:r>
              <w:rPr>
                <w:rFonts w:hint="default"/>
              </w:rPr>
              <w:t>水库加固完成后，工程日常管理用电负荷主要是管理房用电及汛期大坝坝顶照明用电，估算用电总负荷为500W。考虑到日常运行坝首用电负荷不大，本着节约运行成本考虑，因此管理用电直接从水库附近的村镇电网拉设300V低压线路。</w:t>
            </w:r>
          </w:p>
          <w:p>
            <w:pPr>
              <w:bidi w:val="0"/>
              <w:rPr>
                <w:rFonts w:hint="default"/>
              </w:rPr>
            </w:pPr>
            <w:r>
              <w:rPr>
                <w:rFonts w:hint="default"/>
              </w:rPr>
              <w:t>3、施工配电</w:t>
            </w:r>
          </w:p>
          <w:p>
            <w:pPr>
              <w:bidi w:val="0"/>
              <w:rPr>
                <w:rFonts w:hint="default"/>
                <w:lang w:val="en-US" w:eastAsia="zh-CN"/>
              </w:rPr>
            </w:pPr>
            <w:r>
              <w:rPr>
                <w:rFonts w:hint="default"/>
              </w:rPr>
              <w:t>本水库加固施工分为</w:t>
            </w:r>
            <w:r>
              <w:rPr>
                <w:rFonts w:hint="default"/>
                <w:lang w:eastAsia="zh-CN"/>
              </w:rPr>
              <w:t>：</w:t>
            </w:r>
            <w:r>
              <w:rPr>
                <w:rFonts w:hint="default"/>
              </w:rPr>
              <w:t>大坝、溢洪道</w:t>
            </w:r>
            <w:r>
              <w:rPr>
                <w:rFonts w:hint="default"/>
                <w:lang w:val="en-US" w:eastAsia="zh-CN"/>
              </w:rPr>
              <w:t>2</w:t>
            </w:r>
            <w:r>
              <w:rPr>
                <w:rFonts w:hint="default"/>
              </w:rPr>
              <w:t>个施工区，施工用电大容量约为28kva。施工期生活办公照明用电，可结合后期水库管理用电从</w:t>
            </w:r>
            <w:r>
              <w:rPr>
                <w:rFonts w:hint="default"/>
                <w:lang w:val="en-US" w:eastAsia="zh-CN"/>
              </w:rPr>
              <w:t>团农村生活点源接入。</w:t>
            </w:r>
          </w:p>
          <w:p>
            <w:pPr>
              <w:bidi w:val="0"/>
              <w:rPr>
                <w:rFonts w:hint="default"/>
              </w:rPr>
            </w:pPr>
            <w:r>
              <w:rPr>
                <w:rFonts w:hint="default"/>
                <w:lang w:val="en-US" w:eastAsia="zh-CN"/>
              </w:rPr>
              <w:t>4</w:t>
            </w:r>
            <w:r>
              <w:rPr>
                <w:rFonts w:hint="default"/>
              </w:rPr>
              <w:t>、拆迁征地及移民情况</w:t>
            </w:r>
          </w:p>
          <w:p>
            <w:pPr>
              <w:bidi w:val="0"/>
              <w:rPr>
                <w:rFonts w:hint="default"/>
                <w:lang w:val="en-GB"/>
              </w:rPr>
            </w:pPr>
            <w:r>
              <w:rPr>
                <w:rFonts w:hint="default"/>
              </w:rPr>
              <w:t>本次除险加固主体工程范围均属于水库工程管理范围，工程建设没有新增永久占地</w:t>
            </w:r>
            <w:r>
              <w:rPr>
                <w:rFonts w:hint="eastAsia"/>
                <w:lang w:eastAsia="zh-CN"/>
              </w:rPr>
              <w:t>，不涉及</w:t>
            </w:r>
            <w:r>
              <w:rPr>
                <w:rFonts w:hint="default"/>
              </w:rPr>
              <w:t>居民房屋拆迁，但部分施工作业场地、临时道路等均需</w:t>
            </w:r>
            <w:r>
              <w:rPr>
                <w:rFonts w:hint="default"/>
                <w:lang w:val="en-GB"/>
              </w:rPr>
              <w:t>临时占地。</w:t>
            </w:r>
          </w:p>
          <w:p>
            <w:pPr>
              <w:bidi w:val="0"/>
              <w:rPr>
                <w:rFonts w:hint="default"/>
              </w:rPr>
            </w:pPr>
            <w:r>
              <w:rPr>
                <w:rFonts w:hint="default"/>
                <w:lang w:val="en-GB"/>
              </w:rPr>
              <w:t>施工期满后，按照“谁破坏、谁复垦”的原则，由建设单位在临时占用的土地采取整治措施，使其恢复原貌，恢复生产</w:t>
            </w:r>
            <w:r>
              <w:rPr>
                <w:rFonts w:hint="default"/>
              </w:rPr>
              <w:t>。</w:t>
            </w:r>
          </w:p>
          <w:p>
            <w:pPr>
              <w:bidi w:val="0"/>
              <w:rPr>
                <w:rFonts w:hint="default"/>
              </w:rPr>
            </w:pPr>
            <w:r>
              <w:rPr>
                <w:rFonts w:hint="default"/>
                <w:lang w:val="en-US" w:eastAsia="zh-CN"/>
              </w:rPr>
              <w:t>5</w:t>
            </w:r>
            <w:r>
              <w:rPr>
                <w:rFonts w:hint="default"/>
              </w:rPr>
              <w:t>、施工营地布设</w:t>
            </w:r>
          </w:p>
          <w:p>
            <w:pPr>
              <w:bidi w:val="0"/>
              <w:rPr>
                <w:rFonts w:hint="default"/>
              </w:rPr>
            </w:pPr>
            <w:r>
              <w:rPr>
                <w:rFonts w:hint="default"/>
              </w:rPr>
              <w:t>施工人员均来自当地，办公人员办公地设置在湘阴县燎原水库管理所内，均不在工地食宿，施工不设置施工营地。</w:t>
            </w:r>
          </w:p>
          <w:p>
            <w:pPr>
              <w:bidi w:val="0"/>
              <w:rPr>
                <w:rFonts w:hint="default"/>
              </w:rPr>
            </w:pPr>
            <w:r>
              <w:rPr>
                <w:rFonts w:hint="default"/>
              </w:rPr>
              <w:t>施工尽量避开雨季，如工程施工在雨季，</w:t>
            </w:r>
            <w:r>
              <w:rPr>
                <w:rFonts w:hint="eastAsia"/>
                <w:lang w:eastAsia="zh-CN"/>
              </w:rPr>
              <w:t>做</w:t>
            </w:r>
            <w:r>
              <w:rPr>
                <w:rFonts w:hint="default"/>
              </w:rPr>
              <w:t>好临时排水设施，即时开挖即时回填。另外，为防止雨水下渗对路基产生损坏，应避免基层长时间暴露于自然环境之中。</w:t>
            </w:r>
          </w:p>
          <w:p>
            <w:pPr>
              <w:bidi w:val="0"/>
              <w:rPr>
                <w:rFonts w:hint="eastAsia"/>
                <w:lang w:val="en-US" w:eastAsia="zh-CN"/>
              </w:rPr>
            </w:pPr>
            <w:r>
              <w:rPr>
                <w:rFonts w:hint="eastAsia"/>
                <w:lang w:val="en-US" w:eastAsia="zh-CN"/>
              </w:rPr>
              <w:t>6、土石方平衡规划</w:t>
            </w:r>
          </w:p>
          <w:p>
            <w:pPr>
              <w:bidi w:val="0"/>
            </w:pPr>
            <w:r>
              <w:t>本工程土石方开挖共计80910</w:t>
            </w:r>
            <w:r>
              <w:rPr>
                <w:rFonts w:hint="eastAsia"/>
                <w:lang w:eastAsia="zh-CN"/>
              </w:rPr>
              <w:t>m</w:t>
            </w:r>
            <w:r>
              <w:rPr>
                <w:rFonts w:hint="eastAsia"/>
                <w:vertAlign w:val="superscript"/>
                <w:lang w:eastAsia="zh-CN"/>
              </w:rPr>
              <w:t>3</w:t>
            </w:r>
            <w:r>
              <w:t>。其中土石方开挖料部分用于自身回填和填塘回基，部分弃除，转运弃渣场。经土石方平衡规划，共计利用土石方开挖料为68849</w:t>
            </w:r>
            <w:r>
              <w:rPr>
                <w:rFonts w:hint="eastAsia"/>
                <w:lang w:eastAsia="zh-CN"/>
              </w:rPr>
              <w:t>m</w:t>
            </w:r>
            <w:r>
              <w:rPr>
                <w:rFonts w:hint="eastAsia"/>
                <w:vertAlign w:val="superscript"/>
                <w:lang w:eastAsia="zh-CN"/>
              </w:rPr>
              <w:t>3</w:t>
            </w:r>
            <w:r>
              <w:t>，弃料13902</w:t>
            </w:r>
            <w:r>
              <w:rPr>
                <w:rFonts w:hint="eastAsia"/>
                <w:lang w:eastAsia="zh-CN"/>
              </w:rPr>
              <w:t>m</w:t>
            </w:r>
            <w:r>
              <w:rPr>
                <w:rFonts w:hint="eastAsia"/>
                <w:vertAlign w:val="superscript"/>
                <w:lang w:eastAsia="zh-CN"/>
              </w:rPr>
              <w:t>3</w:t>
            </w:r>
            <w:r>
              <w:t>，料场取土料15862</w:t>
            </w:r>
            <w:r>
              <w:rPr>
                <w:rFonts w:hint="eastAsia"/>
                <w:lang w:eastAsia="zh-CN"/>
              </w:rPr>
              <w:t>m</w:t>
            </w:r>
            <w:r>
              <w:rPr>
                <w:rFonts w:hint="eastAsia"/>
                <w:vertAlign w:val="superscript"/>
                <w:lang w:eastAsia="zh-CN"/>
              </w:rPr>
              <w:t>3</w:t>
            </w:r>
            <w:r>
              <w:t>，外购块石1712</w:t>
            </w:r>
            <w:r>
              <w:rPr>
                <w:rFonts w:hint="eastAsia"/>
                <w:lang w:eastAsia="zh-CN"/>
              </w:rPr>
              <w:t>m</w:t>
            </w:r>
            <w:r>
              <w:rPr>
                <w:rFonts w:hint="eastAsia"/>
                <w:vertAlign w:val="superscript"/>
                <w:lang w:eastAsia="zh-CN"/>
              </w:rPr>
              <w:t>3</w:t>
            </w:r>
            <w:r>
              <w:t>。弃渣全部利用到湖南科凡再生资源综合利用有限公司用作建筑垃圾综合治理及其再生利用材料来源。弃土接受协议见附件。本项目不设置弃渣场。</w:t>
            </w:r>
          </w:p>
          <w:p>
            <w:pPr>
              <w:pStyle w:val="6"/>
              <w:numPr>
                <w:ilvl w:val="2"/>
                <w:numId w:val="0"/>
              </w:numPr>
              <w:ind w:leftChars="0"/>
              <w:jc w:val="center"/>
              <w:rPr>
                <w:rFonts w:hint="default" w:eastAsia="宋体"/>
                <w:lang w:val="en-US" w:eastAsia="zh-CN"/>
              </w:rPr>
            </w:pPr>
            <w:r>
              <w:rPr>
                <w:rFonts w:hint="eastAsia"/>
                <w:lang w:val="en-US" w:eastAsia="zh-CN"/>
              </w:rPr>
              <w:t>表2-5土石方平衡规划表</w:t>
            </w:r>
          </w:p>
          <w:tbl>
            <w:tblPr>
              <w:tblStyle w:val="4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069"/>
              <w:gridCol w:w="1206"/>
              <w:gridCol w:w="952"/>
              <w:gridCol w:w="894"/>
              <w:gridCol w:w="828"/>
              <w:gridCol w:w="864"/>
              <w:gridCol w:w="11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420" w:type="dxa"/>
                  <w:vMerge w:val="restart"/>
                  <w:tcBorders>
                    <w:tl2br w:val="nil"/>
                    <w:tr2bl w:val="nil"/>
                  </w:tcBorders>
                  <w:vAlign w:val="center"/>
                </w:tcPr>
                <w:p>
                  <w:pPr>
                    <w:pStyle w:val="27"/>
                    <w:bidi w:val="0"/>
                    <w:jc w:val="center"/>
                  </w:pPr>
                  <w:r>
                    <w:t>项目名称</w:t>
                  </w:r>
                </w:p>
              </w:tc>
              <w:tc>
                <w:tcPr>
                  <w:tcW w:w="3227" w:type="dxa"/>
                  <w:gridSpan w:val="3"/>
                  <w:tcBorders>
                    <w:tl2br w:val="nil"/>
                    <w:tr2bl w:val="nil"/>
                  </w:tcBorders>
                  <w:vAlign w:val="center"/>
                </w:tcPr>
                <w:p>
                  <w:pPr>
                    <w:pStyle w:val="27"/>
                    <w:bidi w:val="0"/>
                    <w:jc w:val="center"/>
                    <w:rPr>
                      <w:rFonts w:hint="eastAsia" w:eastAsia="宋体"/>
                      <w:lang w:eastAsia="zh-CN"/>
                    </w:rPr>
                  </w:pPr>
                  <w:r>
                    <w:t>开挖及拆除</w:t>
                  </w:r>
                  <w:r>
                    <w:rPr>
                      <w:rFonts w:hint="eastAsia"/>
                      <w:lang w:eastAsia="zh-CN"/>
                    </w:rPr>
                    <w:t>m</w:t>
                  </w:r>
                  <w:r>
                    <w:rPr>
                      <w:rFonts w:hint="eastAsia"/>
                      <w:vertAlign w:val="superscript"/>
                      <w:lang w:eastAsia="zh-CN"/>
                    </w:rPr>
                    <w:t>3</w:t>
                  </w:r>
                </w:p>
              </w:tc>
              <w:tc>
                <w:tcPr>
                  <w:tcW w:w="3689" w:type="dxa"/>
                  <w:gridSpan w:val="4"/>
                  <w:tcBorders>
                    <w:tl2br w:val="nil"/>
                    <w:tr2bl w:val="nil"/>
                  </w:tcBorders>
                  <w:vAlign w:val="center"/>
                </w:tcPr>
                <w:p>
                  <w:pPr>
                    <w:pStyle w:val="27"/>
                    <w:bidi w:val="0"/>
                    <w:jc w:val="center"/>
                    <w:rPr>
                      <w:rFonts w:hint="eastAsia" w:eastAsia="宋体"/>
                      <w:lang w:eastAsia="zh-CN"/>
                    </w:rPr>
                  </w:pPr>
                  <w:r>
                    <w:t>土石方填筑</w:t>
                  </w:r>
                  <w:r>
                    <w:rPr>
                      <w:rFonts w:hint="eastAsia"/>
                      <w:lang w:eastAsia="zh-CN"/>
                    </w:rPr>
                    <w:t>m</w:t>
                  </w:r>
                  <w:r>
                    <w:rPr>
                      <w:rFonts w:hint="eastAsia"/>
                      <w:vertAlign w:val="superscript"/>
                      <w:lang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1420" w:type="dxa"/>
                  <w:vMerge w:val="continue"/>
                  <w:tcBorders>
                    <w:tl2br w:val="nil"/>
                    <w:tr2bl w:val="nil"/>
                  </w:tcBorders>
                  <w:vAlign w:val="center"/>
                </w:tcPr>
                <w:p>
                  <w:pPr>
                    <w:pStyle w:val="27"/>
                    <w:bidi w:val="0"/>
                    <w:jc w:val="center"/>
                  </w:pPr>
                </w:p>
              </w:tc>
              <w:tc>
                <w:tcPr>
                  <w:tcW w:w="1069" w:type="dxa"/>
                  <w:tcBorders>
                    <w:tl2br w:val="nil"/>
                    <w:tr2bl w:val="nil"/>
                  </w:tcBorders>
                  <w:vAlign w:val="center"/>
                </w:tcPr>
                <w:p>
                  <w:pPr>
                    <w:pStyle w:val="27"/>
                    <w:bidi w:val="0"/>
                    <w:jc w:val="center"/>
                  </w:pPr>
                  <w:r>
                    <w:t>土石方</w:t>
                  </w:r>
                </w:p>
                <w:p>
                  <w:pPr>
                    <w:pStyle w:val="27"/>
                    <w:bidi w:val="0"/>
                    <w:jc w:val="center"/>
                  </w:pPr>
                  <w:r>
                    <w:t>开挖</w:t>
                  </w:r>
                </w:p>
              </w:tc>
              <w:tc>
                <w:tcPr>
                  <w:tcW w:w="1206" w:type="dxa"/>
                  <w:tcBorders>
                    <w:tl2br w:val="nil"/>
                    <w:tr2bl w:val="nil"/>
                  </w:tcBorders>
                  <w:vAlign w:val="center"/>
                </w:tcPr>
                <w:p>
                  <w:pPr>
                    <w:pStyle w:val="27"/>
                    <w:bidi w:val="0"/>
                    <w:jc w:val="center"/>
                  </w:pPr>
                  <w:r>
                    <w:t>开挖土方利用</w:t>
                  </w:r>
                </w:p>
              </w:tc>
              <w:tc>
                <w:tcPr>
                  <w:tcW w:w="952" w:type="dxa"/>
                  <w:tcBorders>
                    <w:tl2br w:val="nil"/>
                    <w:tr2bl w:val="nil"/>
                  </w:tcBorders>
                  <w:vAlign w:val="center"/>
                </w:tcPr>
                <w:p>
                  <w:pPr>
                    <w:pStyle w:val="27"/>
                    <w:bidi w:val="0"/>
                    <w:jc w:val="center"/>
                  </w:pPr>
                  <w:r>
                    <w:t>弃料量</w:t>
                  </w:r>
                </w:p>
              </w:tc>
              <w:tc>
                <w:tcPr>
                  <w:tcW w:w="894" w:type="dxa"/>
                  <w:tcBorders>
                    <w:tl2br w:val="nil"/>
                    <w:tr2bl w:val="nil"/>
                  </w:tcBorders>
                  <w:vAlign w:val="center"/>
                </w:tcPr>
                <w:p>
                  <w:pPr>
                    <w:pStyle w:val="27"/>
                    <w:bidi w:val="0"/>
                    <w:jc w:val="center"/>
                  </w:pPr>
                  <w:r>
                    <w:t>土方填筑量</w:t>
                  </w:r>
                </w:p>
              </w:tc>
              <w:tc>
                <w:tcPr>
                  <w:tcW w:w="828" w:type="dxa"/>
                  <w:tcBorders>
                    <w:tl2br w:val="nil"/>
                    <w:tr2bl w:val="nil"/>
                  </w:tcBorders>
                  <w:vAlign w:val="center"/>
                </w:tcPr>
                <w:p>
                  <w:pPr>
                    <w:pStyle w:val="27"/>
                    <w:bidi w:val="0"/>
                    <w:jc w:val="center"/>
                  </w:pPr>
                  <w:r>
                    <w:t>土方利用量</w:t>
                  </w:r>
                </w:p>
              </w:tc>
              <w:tc>
                <w:tcPr>
                  <w:tcW w:w="864" w:type="dxa"/>
                  <w:tcBorders>
                    <w:tl2br w:val="nil"/>
                    <w:tr2bl w:val="nil"/>
                  </w:tcBorders>
                  <w:vAlign w:val="center"/>
                </w:tcPr>
                <w:p>
                  <w:pPr>
                    <w:pStyle w:val="27"/>
                    <w:bidi w:val="0"/>
                    <w:jc w:val="center"/>
                  </w:pPr>
                  <w:r>
                    <w:t>料场</w:t>
                  </w:r>
                </w:p>
                <w:p>
                  <w:pPr>
                    <w:pStyle w:val="27"/>
                    <w:bidi w:val="0"/>
                    <w:jc w:val="center"/>
                  </w:pPr>
                  <w:r>
                    <w:t>取土</w:t>
                  </w:r>
                </w:p>
              </w:tc>
              <w:tc>
                <w:tcPr>
                  <w:tcW w:w="1103" w:type="dxa"/>
                  <w:tcBorders>
                    <w:tl2br w:val="nil"/>
                    <w:tr2bl w:val="nil"/>
                  </w:tcBorders>
                  <w:vAlign w:val="center"/>
                </w:tcPr>
                <w:p>
                  <w:pPr>
                    <w:pStyle w:val="27"/>
                    <w:bidi w:val="0"/>
                    <w:jc w:val="center"/>
                  </w:pPr>
                  <w:r>
                    <w:t>外购石方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420" w:type="dxa"/>
                  <w:tcBorders>
                    <w:tl2br w:val="nil"/>
                    <w:tr2bl w:val="nil"/>
                  </w:tcBorders>
                  <w:vAlign w:val="center"/>
                </w:tcPr>
                <w:p>
                  <w:pPr>
                    <w:pStyle w:val="27"/>
                    <w:bidi w:val="0"/>
                    <w:jc w:val="center"/>
                  </w:pPr>
                  <w:r>
                    <w:t>主坝</w:t>
                  </w:r>
                </w:p>
              </w:tc>
              <w:tc>
                <w:tcPr>
                  <w:tcW w:w="1069" w:type="dxa"/>
                  <w:tcBorders>
                    <w:tl2br w:val="nil"/>
                    <w:tr2bl w:val="nil"/>
                  </w:tcBorders>
                  <w:vAlign w:val="center"/>
                </w:tcPr>
                <w:p>
                  <w:pPr>
                    <w:pStyle w:val="27"/>
                    <w:bidi w:val="0"/>
                    <w:jc w:val="center"/>
                  </w:pPr>
                  <w:r>
                    <w:t>22730</w:t>
                  </w:r>
                </w:p>
              </w:tc>
              <w:tc>
                <w:tcPr>
                  <w:tcW w:w="1206" w:type="dxa"/>
                  <w:tcBorders>
                    <w:tl2br w:val="nil"/>
                    <w:tr2bl w:val="nil"/>
                  </w:tcBorders>
                  <w:vAlign w:val="center"/>
                </w:tcPr>
                <w:p>
                  <w:pPr>
                    <w:pStyle w:val="27"/>
                    <w:bidi w:val="0"/>
                    <w:jc w:val="center"/>
                  </w:pPr>
                  <w:r>
                    <w:t>12755</w:t>
                  </w:r>
                </w:p>
              </w:tc>
              <w:tc>
                <w:tcPr>
                  <w:tcW w:w="952" w:type="dxa"/>
                  <w:tcBorders>
                    <w:tl2br w:val="nil"/>
                    <w:tr2bl w:val="nil"/>
                  </w:tcBorders>
                  <w:vAlign w:val="center"/>
                </w:tcPr>
                <w:p>
                  <w:pPr>
                    <w:pStyle w:val="27"/>
                    <w:bidi w:val="0"/>
                    <w:jc w:val="center"/>
                  </w:pPr>
                  <w:r>
                    <w:t>9975</w:t>
                  </w:r>
                </w:p>
              </w:tc>
              <w:tc>
                <w:tcPr>
                  <w:tcW w:w="894" w:type="dxa"/>
                  <w:tcBorders>
                    <w:tl2br w:val="nil"/>
                    <w:tr2bl w:val="nil"/>
                  </w:tcBorders>
                  <w:vAlign w:val="center"/>
                </w:tcPr>
                <w:p>
                  <w:pPr>
                    <w:pStyle w:val="27"/>
                    <w:bidi w:val="0"/>
                    <w:jc w:val="center"/>
                  </w:pPr>
                  <w:r>
                    <w:t>21105</w:t>
                  </w:r>
                </w:p>
              </w:tc>
              <w:tc>
                <w:tcPr>
                  <w:tcW w:w="828" w:type="dxa"/>
                  <w:tcBorders>
                    <w:tl2br w:val="nil"/>
                    <w:tr2bl w:val="nil"/>
                  </w:tcBorders>
                  <w:vAlign w:val="center"/>
                </w:tcPr>
                <w:p>
                  <w:pPr>
                    <w:pStyle w:val="27"/>
                    <w:bidi w:val="0"/>
                    <w:jc w:val="center"/>
                  </w:pPr>
                  <w:r>
                    <w:t>14257</w:t>
                  </w:r>
                </w:p>
              </w:tc>
              <w:tc>
                <w:tcPr>
                  <w:tcW w:w="864" w:type="dxa"/>
                  <w:tcBorders>
                    <w:tl2br w:val="nil"/>
                    <w:tr2bl w:val="nil"/>
                  </w:tcBorders>
                  <w:vAlign w:val="center"/>
                </w:tcPr>
                <w:p>
                  <w:pPr>
                    <w:pStyle w:val="27"/>
                    <w:bidi w:val="0"/>
                    <w:jc w:val="center"/>
                  </w:pPr>
                  <w:r>
                    <w:t>6848</w:t>
                  </w:r>
                </w:p>
              </w:tc>
              <w:tc>
                <w:tcPr>
                  <w:tcW w:w="1103" w:type="dxa"/>
                  <w:tcBorders>
                    <w:tl2br w:val="nil"/>
                    <w:tr2bl w:val="nil"/>
                  </w:tcBorders>
                  <w:vAlign w:val="center"/>
                </w:tcPr>
                <w:p>
                  <w:pPr>
                    <w:pStyle w:val="27"/>
                    <w:bidi w:val="0"/>
                    <w:jc w:val="center"/>
                  </w:pPr>
                  <w:r>
                    <w:t>1318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1" w:hRule="atLeast"/>
                <w:jc w:val="center"/>
              </w:trPr>
              <w:tc>
                <w:tcPr>
                  <w:tcW w:w="1420" w:type="dxa"/>
                  <w:tcBorders>
                    <w:tl2br w:val="nil"/>
                    <w:tr2bl w:val="nil"/>
                  </w:tcBorders>
                  <w:vAlign w:val="center"/>
                </w:tcPr>
                <w:p>
                  <w:pPr>
                    <w:pStyle w:val="27"/>
                    <w:bidi w:val="0"/>
                    <w:jc w:val="center"/>
                  </w:pPr>
                  <w:r>
                    <w:t>周家湾副坝</w:t>
                  </w:r>
                </w:p>
              </w:tc>
              <w:tc>
                <w:tcPr>
                  <w:tcW w:w="1069" w:type="dxa"/>
                  <w:tcBorders>
                    <w:tl2br w:val="nil"/>
                    <w:tr2bl w:val="nil"/>
                  </w:tcBorders>
                  <w:vAlign w:val="center"/>
                </w:tcPr>
                <w:p>
                  <w:pPr>
                    <w:pStyle w:val="27"/>
                    <w:bidi w:val="0"/>
                    <w:jc w:val="center"/>
                  </w:pPr>
                  <w:r>
                    <w:t>876</w:t>
                  </w:r>
                </w:p>
              </w:tc>
              <w:tc>
                <w:tcPr>
                  <w:tcW w:w="1206" w:type="dxa"/>
                  <w:tcBorders>
                    <w:tl2br w:val="nil"/>
                    <w:tr2bl w:val="nil"/>
                  </w:tcBorders>
                  <w:vAlign w:val="center"/>
                </w:tcPr>
                <w:p>
                  <w:pPr>
                    <w:pStyle w:val="27"/>
                    <w:bidi w:val="0"/>
                    <w:jc w:val="center"/>
                  </w:pPr>
                  <w:r>
                    <w:t>219</w:t>
                  </w:r>
                </w:p>
              </w:tc>
              <w:tc>
                <w:tcPr>
                  <w:tcW w:w="952" w:type="dxa"/>
                  <w:tcBorders>
                    <w:tl2br w:val="nil"/>
                    <w:tr2bl w:val="nil"/>
                  </w:tcBorders>
                  <w:vAlign w:val="center"/>
                </w:tcPr>
                <w:p>
                  <w:pPr>
                    <w:pStyle w:val="27"/>
                    <w:bidi w:val="0"/>
                    <w:jc w:val="center"/>
                  </w:pPr>
                  <w:r>
                    <w:t>658</w:t>
                  </w:r>
                </w:p>
              </w:tc>
              <w:tc>
                <w:tcPr>
                  <w:tcW w:w="894" w:type="dxa"/>
                  <w:tcBorders>
                    <w:tl2br w:val="nil"/>
                    <w:tr2bl w:val="nil"/>
                  </w:tcBorders>
                  <w:vAlign w:val="center"/>
                </w:tcPr>
                <w:p>
                  <w:pPr>
                    <w:pStyle w:val="27"/>
                    <w:bidi w:val="0"/>
                    <w:jc w:val="center"/>
                  </w:pPr>
                  <w:r>
                    <w:t>566</w:t>
                  </w:r>
                </w:p>
              </w:tc>
              <w:tc>
                <w:tcPr>
                  <w:tcW w:w="828" w:type="dxa"/>
                  <w:tcBorders>
                    <w:tl2br w:val="nil"/>
                    <w:tr2bl w:val="nil"/>
                  </w:tcBorders>
                  <w:vAlign w:val="center"/>
                </w:tcPr>
                <w:p>
                  <w:pPr>
                    <w:pStyle w:val="27"/>
                    <w:bidi w:val="0"/>
                    <w:jc w:val="center"/>
                  </w:pPr>
                  <w:r>
                    <w:t>566</w:t>
                  </w:r>
                </w:p>
              </w:tc>
              <w:tc>
                <w:tcPr>
                  <w:tcW w:w="864" w:type="dxa"/>
                  <w:tcBorders>
                    <w:tl2br w:val="nil"/>
                    <w:tr2bl w:val="nil"/>
                  </w:tcBorders>
                  <w:vAlign w:val="center"/>
                </w:tcPr>
                <w:p>
                  <w:pPr>
                    <w:pStyle w:val="27"/>
                    <w:bidi w:val="0"/>
                    <w:jc w:val="center"/>
                  </w:pPr>
                  <w:r>
                    <w:t>0</w:t>
                  </w:r>
                </w:p>
              </w:tc>
              <w:tc>
                <w:tcPr>
                  <w:tcW w:w="1103" w:type="dxa"/>
                  <w:tcBorders>
                    <w:tl2br w:val="nil"/>
                    <w:tr2bl w:val="nil"/>
                  </w:tcBorders>
                  <w:vAlign w:val="center"/>
                </w:tcPr>
                <w:p>
                  <w:pPr>
                    <w:pStyle w:val="27"/>
                    <w:bidi w:val="0"/>
                    <w:jc w:val="center"/>
                  </w:pPr>
                  <w:r>
                    <w:t>199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3" w:hRule="atLeast"/>
                <w:jc w:val="center"/>
              </w:trPr>
              <w:tc>
                <w:tcPr>
                  <w:tcW w:w="1420" w:type="dxa"/>
                  <w:tcBorders>
                    <w:tl2br w:val="nil"/>
                    <w:tr2bl w:val="nil"/>
                  </w:tcBorders>
                  <w:vAlign w:val="center"/>
                </w:tcPr>
                <w:p>
                  <w:pPr>
                    <w:pStyle w:val="27"/>
                    <w:bidi w:val="0"/>
                    <w:jc w:val="center"/>
                  </w:pPr>
                  <w:r>
                    <w:t>陈家冲副坝</w:t>
                  </w:r>
                </w:p>
              </w:tc>
              <w:tc>
                <w:tcPr>
                  <w:tcW w:w="1069" w:type="dxa"/>
                  <w:tcBorders>
                    <w:tl2br w:val="nil"/>
                    <w:tr2bl w:val="nil"/>
                  </w:tcBorders>
                  <w:vAlign w:val="center"/>
                </w:tcPr>
                <w:p>
                  <w:pPr>
                    <w:pStyle w:val="27"/>
                    <w:bidi w:val="0"/>
                    <w:jc w:val="center"/>
                  </w:pPr>
                  <w:r>
                    <w:t>253</w:t>
                  </w:r>
                </w:p>
              </w:tc>
              <w:tc>
                <w:tcPr>
                  <w:tcW w:w="1206" w:type="dxa"/>
                  <w:tcBorders>
                    <w:tl2br w:val="nil"/>
                    <w:tr2bl w:val="nil"/>
                  </w:tcBorders>
                  <w:vAlign w:val="center"/>
                </w:tcPr>
                <w:p>
                  <w:pPr>
                    <w:pStyle w:val="27"/>
                    <w:bidi w:val="0"/>
                    <w:jc w:val="center"/>
                  </w:pPr>
                  <w:r>
                    <w:t>0</w:t>
                  </w:r>
                </w:p>
              </w:tc>
              <w:tc>
                <w:tcPr>
                  <w:tcW w:w="952" w:type="dxa"/>
                  <w:tcBorders>
                    <w:tl2br w:val="nil"/>
                    <w:tr2bl w:val="nil"/>
                  </w:tcBorders>
                  <w:vAlign w:val="center"/>
                </w:tcPr>
                <w:p>
                  <w:pPr>
                    <w:pStyle w:val="27"/>
                    <w:bidi w:val="0"/>
                    <w:jc w:val="center"/>
                  </w:pPr>
                  <w:r>
                    <w:t>253</w:t>
                  </w:r>
                </w:p>
              </w:tc>
              <w:tc>
                <w:tcPr>
                  <w:tcW w:w="894" w:type="dxa"/>
                  <w:tcBorders>
                    <w:tl2br w:val="nil"/>
                    <w:tr2bl w:val="nil"/>
                  </w:tcBorders>
                  <w:vAlign w:val="center"/>
                </w:tcPr>
                <w:p>
                  <w:pPr>
                    <w:pStyle w:val="27"/>
                    <w:bidi w:val="0"/>
                    <w:jc w:val="center"/>
                  </w:pPr>
                  <w:r>
                    <w:t>6304</w:t>
                  </w:r>
                </w:p>
              </w:tc>
              <w:tc>
                <w:tcPr>
                  <w:tcW w:w="828" w:type="dxa"/>
                  <w:tcBorders>
                    <w:tl2br w:val="nil"/>
                    <w:tr2bl w:val="nil"/>
                  </w:tcBorders>
                  <w:vAlign w:val="center"/>
                </w:tcPr>
                <w:p>
                  <w:pPr>
                    <w:pStyle w:val="27"/>
                    <w:bidi w:val="0"/>
                    <w:jc w:val="center"/>
                  </w:pPr>
                  <w:r>
                    <w:t>6304</w:t>
                  </w:r>
                </w:p>
              </w:tc>
              <w:tc>
                <w:tcPr>
                  <w:tcW w:w="864" w:type="dxa"/>
                  <w:tcBorders>
                    <w:tl2br w:val="nil"/>
                    <w:tr2bl w:val="nil"/>
                  </w:tcBorders>
                  <w:vAlign w:val="center"/>
                </w:tcPr>
                <w:p>
                  <w:pPr>
                    <w:pStyle w:val="27"/>
                    <w:bidi w:val="0"/>
                    <w:jc w:val="center"/>
                  </w:pPr>
                  <w:r>
                    <w:t>0</w:t>
                  </w:r>
                </w:p>
              </w:tc>
              <w:tc>
                <w:tcPr>
                  <w:tcW w:w="1103" w:type="dxa"/>
                  <w:tcBorders>
                    <w:tl2br w:val="nil"/>
                    <w:tr2bl w:val="nil"/>
                  </w:tcBorders>
                  <w:vAlign w:val="center"/>
                </w:tcPr>
                <w:p>
                  <w:pPr>
                    <w:pStyle w:val="27"/>
                    <w:bidi w:val="0"/>
                    <w:jc w:val="center"/>
                  </w:pPr>
                  <w:r>
                    <w:t>195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0" w:hRule="atLeast"/>
                <w:jc w:val="center"/>
              </w:trPr>
              <w:tc>
                <w:tcPr>
                  <w:tcW w:w="1420" w:type="dxa"/>
                  <w:tcBorders>
                    <w:tl2br w:val="nil"/>
                    <w:tr2bl w:val="nil"/>
                  </w:tcBorders>
                  <w:vAlign w:val="center"/>
                </w:tcPr>
                <w:p>
                  <w:pPr>
                    <w:pStyle w:val="27"/>
                    <w:bidi w:val="0"/>
                    <w:jc w:val="center"/>
                  </w:pPr>
                  <w:r>
                    <w:t>主坝输水涵洞</w:t>
                  </w:r>
                </w:p>
              </w:tc>
              <w:tc>
                <w:tcPr>
                  <w:tcW w:w="1069" w:type="dxa"/>
                  <w:tcBorders>
                    <w:tl2br w:val="nil"/>
                    <w:tr2bl w:val="nil"/>
                  </w:tcBorders>
                  <w:vAlign w:val="center"/>
                </w:tcPr>
                <w:p>
                  <w:pPr>
                    <w:pStyle w:val="27"/>
                    <w:bidi w:val="0"/>
                    <w:jc w:val="center"/>
                  </w:pPr>
                  <w:r>
                    <w:t>49804</w:t>
                  </w:r>
                </w:p>
              </w:tc>
              <w:tc>
                <w:tcPr>
                  <w:tcW w:w="1206" w:type="dxa"/>
                  <w:tcBorders>
                    <w:tl2br w:val="nil"/>
                    <w:tr2bl w:val="nil"/>
                  </w:tcBorders>
                  <w:vAlign w:val="center"/>
                </w:tcPr>
                <w:p>
                  <w:pPr>
                    <w:pStyle w:val="27"/>
                    <w:bidi w:val="0"/>
                    <w:jc w:val="center"/>
                  </w:pPr>
                  <w:r>
                    <w:t>49417</w:t>
                  </w:r>
                </w:p>
              </w:tc>
              <w:tc>
                <w:tcPr>
                  <w:tcW w:w="952" w:type="dxa"/>
                  <w:tcBorders>
                    <w:tl2br w:val="nil"/>
                    <w:tr2bl w:val="nil"/>
                  </w:tcBorders>
                  <w:vAlign w:val="center"/>
                </w:tcPr>
                <w:p>
                  <w:pPr>
                    <w:pStyle w:val="27"/>
                    <w:bidi w:val="0"/>
                    <w:jc w:val="center"/>
                  </w:pPr>
                  <w:r>
                    <w:t>387</w:t>
                  </w:r>
                </w:p>
              </w:tc>
              <w:tc>
                <w:tcPr>
                  <w:tcW w:w="894" w:type="dxa"/>
                  <w:tcBorders>
                    <w:tl2br w:val="nil"/>
                    <w:tr2bl w:val="nil"/>
                  </w:tcBorders>
                  <w:vAlign w:val="center"/>
                </w:tcPr>
                <w:p>
                  <w:pPr>
                    <w:pStyle w:val="27"/>
                    <w:bidi w:val="0"/>
                    <w:jc w:val="center"/>
                  </w:pPr>
                  <w:r>
                    <w:t>47727</w:t>
                  </w:r>
                </w:p>
              </w:tc>
              <w:tc>
                <w:tcPr>
                  <w:tcW w:w="828" w:type="dxa"/>
                  <w:tcBorders>
                    <w:tl2br w:val="nil"/>
                    <w:tr2bl w:val="nil"/>
                  </w:tcBorders>
                  <w:vAlign w:val="center"/>
                </w:tcPr>
                <w:p>
                  <w:pPr>
                    <w:pStyle w:val="27"/>
                    <w:bidi w:val="0"/>
                    <w:jc w:val="center"/>
                  </w:pPr>
                  <w:r>
                    <w:t>38713</w:t>
                  </w:r>
                </w:p>
              </w:tc>
              <w:tc>
                <w:tcPr>
                  <w:tcW w:w="864" w:type="dxa"/>
                  <w:tcBorders>
                    <w:tl2br w:val="nil"/>
                    <w:tr2bl w:val="nil"/>
                  </w:tcBorders>
                  <w:vAlign w:val="center"/>
                </w:tcPr>
                <w:p>
                  <w:pPr>
                    <w:pStyle w:val="27"/>
                    <w:bidi w:val="0"/>
                    <w:jc w:val="center"/>
                  </w:pPr>
                  <w:r>
                    <w:t>9014</w:t>
                  </w:r>
                </w:p>
              </w:tc>
              <w:tc>
                <w:tcPr>
                  <w:tcW w:w="1103" w:type="dxa"/>
                  <w:tcBorders>
                    <w:tl2br w:val="nil"/>
                    <w:tr2bl w:val="nil"/>
                  </w:tcBorders>
                  <w:vAlign w:val="center"/>
                </w:tcPr>
                <w:p>
                  <w:pPr>
                    <w:pStyle w:val="27"/>
                    <w:bidi w:val="0"/>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1" w:hRule="atLeast"/>
                <w:jc w:val="center"/>
              </w:trPr>
              <w:tc>
                <w:tcPr>
                  <w:tcW w:w="1420" w:type="dxa"/>
                  <w:tcBorders>
                    <w:tl2br w:val="nil"/>
                    <w:tr2bl w:val="nil"/>
                  </w:tcBorders>
                  <w:vAlign w:val="center"/>
                </w:tcPr>
                <w:p>
                  <w:pPr>
                    <w:pStyle w:val="27"/>
                    <w:bidi w:val="0"/>
                    <w:jc w:val="center"/>
                  </w:pPr>
                  <w:r>
                    <w:t>溢洪道</w:t>
                  </w:r>
                </w:p>
              </w:tc>
              <w:tc>
                <w:tcPr>
                  <w:tcW w:w="1069" w:type="dxa"/>
                  <w:tcBorders>
                    <w:tl2br w:val="nil"/>
                    <w:tr2bl w:val="nil"/>
                  </w:tcBorders>
                  <w:vAlign w:val="center"/>
                </w:tcPr>
                <w:p>
                  <w:pPr>
                    <w:pStyle w:val="27"/>
                    <w:bidi w:val="0"/>
                    <w:jc w:val="center"/>
                  </w:pPr>
                  <w:r>
                    <w:t>3996</w:t>
                  </w:r>
                </w:p>
              </w:tc>
              <w:tc>
                <w:tcPr>
                  <w:tcW w:w="1206" w:type="dxa"/>
                  <w:tcBorders>
                    <w:tl2br w:val="nil"/>
                    <w:tr2bl w:val="nil"/>
                  </w:tcBorders>
                  <w:vAlign w:val="center"/>
                </w:tcPr>
                <w:p>
                  <w:pPr>
                    <w:pStyle w:val="27"/>
                    <w:bidi w:val="0"/>
                    <w:jc w:val="center"/>
                  </w:pPr>
                  <w:r>
                    <w:t>3651</w:t>
                  </w:r>
                </w:p>
              </w:tc>
              <w:tc>
                <w:tcPr>
                  <w:tcW w:w="952" w:type="dxa"/>
                  <w:tcBorders>
                    <w:tl2br w:val="nil"/>
                    <w:tr2bl w:val="nil"/>
                  </w:tcBorders>
                  <w:vAlign w:val="center"/>
                </w:tcPr>
                <w:p>
                  <w:pPr>
                    <w:pStyle w:val="27"/>
                    <w:bidi w:val="0"/>
                    <w:jc w:val="center"/>
                  </w:pPr>
                  <w:r>
                    <w:t>345</w:t>
                  </w:r>
                </w:p>
              </w:tc>
              <w:tc>
                <w:tcPr>
                  <w:tcW w:w="894" w:type="dxa"/>
                  <w:tcBorders>
                    <w:tl2br w:val="nil"/>
                    <w:tr2bl w:val="nil"/>
                  </w:tcBorders>
                  <w:vAlign w:val="center"/>
                </w:tcPr>
                <w:p>
                  <w:pPr>
                    <w:pStyle w:val="27"/>
                    <w:bidi w:val="0"/>
                    <w:jc w:val="center"/>
                  </w:pPr>
                  <w:r>
                    <w:t>3651</w:t>
                  </w:r>
                </w:p>
              </w:tc>
              <w:tc>
                <w:tcPr>
                  <w:tcW w:w="828" w:type="dxa"/>
                  <w:tcBorders>
                    <w:tl2br w:val="nil"/>
                    <w:tr2bl w:val="nil"/>
                  </w:tcBorders>
                  <w:vAlign w:val="center"/>
                </w:tcPr>
                <w:p>
                  <w:pPr>
                    <w:pStyle w:val="27"/>
                    <w:bidi w:val="0"/>
                    <w:jc w:val="center"/>
                  </w:pPr>
                  <w:r>
                    <w:t>3651</w:t>
                  </w:r>
                </w:p>
              </w:tc>
              <w:tc>
                <w:tcPr>
                  <w:tcW w:w="864" w:type="dxa"/>
                  <w:tcBorders>
                    <w:tl2br w:val="nil"/>
                    <w:tr2bl w:val="nil"/>
                  </w:tcBorders>
                  <w:vAlign w:val="center"/>
                </w:tcPr>
                <w:p>
                  <w:pPr>
                    <w:pStyle w:val="27"/>
                    <w:bidi w:val="0"/>
                    <w:jc w:val="center"/>
                  </w:pPr>
                  <w:r>
                    <w:t>0</w:t>
                  </w:r>
                </w:p>
              </w:tc>
              <w:tc>
                <w:tcPr>
                  <w:tcW w:w="1103" w:type="dxa"/>
                  <w:tcBorders>
                    <w:tl2br w:val="nil"/>
                    <w:tr2bl w:val="nil"/>
                  </w:tcBorders>
                  <w:vAlign w:val="center"/>
                </w:tcPr>
                <w:p>
                  <w:pPr>
                    <w:pStyle w:val="27"/>
                    <w:bidi w:val="0"/>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3" w:hRule="atLeast"/>
                <w:jc w:val="center"/>
              </w:trPr>
              <w:tc>
                <w:tcPr>
                  <w:tcW w:w="1420" w:type="dxa"/>
                  <w:tcBorders>
                    <w:tl2br w:val="nil"/>
                    <w:tr2bl w:val="nil"/>
                  </w:tcBorders>
                  <w:vAlign w:val="center"/>
                </w:tcPr>
                <w:p>
                  <w:pPr>
                    <w:pStyle w:val="27"/>
                    <w:bidi w:val="0"/>
                    <w:jc w:val="center"/>
                  </w:pPr>
                  <w:r>
                    <w:t>观测设施</w:t>
                  </w:r>
                </w:p>
              </w:tc>
              <w:tc>
                <w:tcPr>
                  <w:tcW w:w="1069" w:type="dxa"/>
                  <w:tcBorders>
                    <w:tl2br w:val="nil"/>
                    <w:tr2bl w:val="nil"/>
                  </w:tcBorders>
                  <w:vAlign w:val="center"/>
                </w:tcPr>
                <w:p>
                  <w:pPr>
                    <w:pStyle w:val="27"/>
                    <w:bidi w:val="0"/>
                    <w:jc w:val="center"/>
                  </w:pPr>
                  <w:r>
                    <w:t>3251</w:t>
                  </w:r>
                </w:p>
              </w:tc>
              <w:tc>
                <w:tcPr>
                  <w:tcW w:w="1206" w:type="dxa"/>
                  <w:tcBorders>
                    <w:tl2br w:val="nil"/>
                    <w:tr2bl w:val="nil"/>
                  </w:tcBorders>
                  <w:vAlign w:val="center"/>
                </w:tcPr>
                <w:p>
                  <w:pPr>
                    <w:pStyle w:val="27"/>
                    <w:bidi w:val="0"/>
                    <w:jc w:val="center"/>
                  </w:pPr>
                  <w:r>
                    <w:t>2808</w:t>
                  </w:r>
                </w:p>
              </w:tc>
              <w:tc>
                <w:tcPr>
                  <w:tcW w:w="952" w:type="dxa"/>
                  <w:tcBorders>
                    <w:tl2br w:val="nil"/>
                    <w:tr2bl w:val="nil"/>
                  </w:tcBorders>
                  <w:vAlign w:val="center"/>
                </w:tcPr>
                <w:p>
                  <w:pPr>
                    <w:pStyle w:val="27"/>
                    <w:bidi w:val="0"/>
                    <w:jc w:val="center"/>
                  </w:pPr>
                  <w:r>
                    <w:t>443</w:t>
                  </w:r>
                </w:p>
              </w:tc>
              <w:tc>
                <w:tcPr>
                  <w:tcW w:w="894" w:type="dxa"/>
                  <w:tcBorders>
                    <w:tl2br w:val="nil"/>
                    <w:tr2bl w:val="nil"/>
                  </w:tcBorders>
                  <w:vAlign w:val="center"/>
                </w:tcPr>
                <w:p>
                  <w:pPr>
                    <w:pStyle w:val="27"/>
                    <w:bidi w:val="0"/>
                    <w:jc w:val="center"/>
                  </w:pPr>
                  <w:r>
                    <w:t>2808</w:t>
                  </w:r>
                </w:p>
              </w:tc>
              <w:tc>
                <w:tcPr>
                  <w:tcW w:w="828" w:type="dxa"/>
                  <w:tcBorders>
                    <w:tl2br w:val="nil"/>
                    <w:tr2bl w:val="nil"/>
                  </w:tcBorders>
                  <w:vAlign w:val="center"/>
                </w:tcPr>
                <w:p>
                  <w:pPr>
                    <w:pStyle w:val="27"/>
                    <w:bidi w:val="0"/>
                    <w:jc w:val="center"/>
                  </w:pPr>
                  <w:r>
                    <w:t>2808</w:t>
                  </w:r>
                </w:p>
              </w:tc>
              <w:tc>
                <w:tcPr>
                  <w:tcW w:w="864" w:type="dxa"/>
                  <w:tcBorders>
                    <w:tl2br w:val="nil"/>
                    <w:tr2bl w:val="nil"/>
                  </w:tcBorders>
                  <w:vAlign w:val="center"/>
                </w:tcPr>
                <w:p>
                  <w:pPr>
                    <w:pStyle w:val="27"/>
                    <w:bidi w:val="0"/>
                    <w:jc w:val="center"/>
                  </w:pPr>
                  <w:r>
                    <w:t>0</w:t>
                  </w:r>
                </w:p>
              </w:tc>
              <w:tc>
                <w:tcPr>
                  <w:tcW w:w="1103" w:type="dxa"/>
                  <w:tcBorders>
                    <w:tl2br w:val="nil"/>
                    <w:tr2bl w:val="nil"/>
                  </w:tcBorders>
                  <w:vAlign w:val="center"/>
                </w:tcPr>
                <w:p>
                  <w:pPr>
                    <w:pStyle w:val="27"/>
                    <w:bidi w:val="0"/>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1420" w:type="dxa"/>
                  <w:tcBorders>
                    <w:tl2br w:val="nil"/>
                    <w:tr2bl w:val="nil"/>
                  </w:tcBorders>
                  <w:vAlign w:val="center"/>
                </w:tcPr>
                <w:p>
                  <w:pPr>
                    <w:pStyle w:val="27"/>
                    <w:bidi w:val="0"/>
                    <w:jc w:val="center"/>
                  </w:pPr>
                  <w:r>
                    <w:t>围堰</w:t>
                  </w:r>
                </w:p>
              </w:tc>
              <w:tc>
                <w:tcPr>
                  <w:tcW w:w="1069" w:type="dxa"/>
                  <w:tcBorders>
                    <w:tl2br w:val="nil"/>
                    <w:tr2bl w:val="nil"/>
                  </w:tcBorders>
                  <w:vAlign w:val="center"/>
                </w:tcPr>
                <w:p>
                  <w:pPr>
                    <w:pStyle w:val="27"/>
                    <w:bidi w:val="0"/>
                    <w:jc w:val="center"/>
                  </w:pPr>
                  <w:r>
                    <w:t>0</w:t>
                  </w:r>
                </w:p>
              </w:tc>
              <w:tc>
                <w:tcPr>
                  <w:tcW w:w="1206" w:type="dxa"/>
                  <w:tcBorders>
                    <w:tl2br w:val="nil"/>
                    <w:tr2bl w:val="nil"/>
                  </w:tcBorders>
                  <w:vAlign w:val="center"/>
                </w:tcPr>
                <w:p>
                  <w:pPr>
                    <w:pStyle w:val="27"/>
                    <w:bidi w:val="0"/>
                    <w:jc w:val="center"/>
                  </w:pPr>
                  <w:r>
                    <w:t>0</w:t>
                  </w:r>
                </w:p>
              </w:tc>
              <w:tc>
                <w:tcPr>
                  <w:tcW w:w="952" w:type="dxa"/>
                  <w:tcBorders>
                    <w:tl2br w:val="nil"/>
                    <w:tr2bl w:val="nil"/>
                  </w:tcBorders>
                  <w:vAlign w:val="center"/>
                </w:tcPr>
                <w:p>
                  <w:pPr>
                    <w:pStyle w:val="27"/>
                    <w:bidi w:val="0"/>
                    <w:jc w:val="center"/>
                  </w:pPr>
                  <w:r>
                    <w:t>0</w:t>
                  </w:r>
                </w:p>
              </w:tc>
              <w:tc>
                <w:tcPr>
                  <w:tcW w:w="894" w:type="dxa"/>
                  <w:tcBorders>
                    <w:tl2br w:val="nil"/>
                    <w:tr2bl w:val="nil"/>
                  </w:tcBorders>
                  <w:vAlign w:val="center"/>
                </w:tcPr>
                <w:p>
                  <w:pPr>
                    <w:pStyle w:val="27"/>
                    <w:bidi w:val="0"/>
                    <w:jc w:val="center"/>
                  </w:pPr>
                  <w:r>
                    <w:t>2549</w:t>
                  </w:r>
                </w:p>
              </w:tc>
              <w:tc>
                <w:tcPr>
                  <w:tcW w:w="828" w:type="dxa"/>
                  <w:tcBorders>
                    <w:tl2br w:val="nil"/>
                    <w:tr2bl w:val="nil"/>
                  </w:tcBorders>
                  <w:vAlign w:val="center"/>
                </w:tcPr>
                <w:p>
                  <w:pPr>
                    <w:pStyle w:val="27"/>
                    <w:bidi w:val="0"/>
                    <w:jc w:val="center"/>
                  </w:pPr>
                  <w:r>
                    <w:t>2549</w:t>
                  </w:r>
                </w:p>
              </w:tc>
              <w:tc>
                <w:tcPr>
                  <w:tcW w:w="864" w:type="dxa"/>
                  <w:tcBorders>
                    <w:tl2br w:val="nil"/>
                    <w:tr2bl w:val="nil"/>
                  </w:tcBorders>
                  <w:vAlign w:val="center"/>
                </w:tcPr>
                <w:p>
                  <w:pPr>
                    <w:pStyle w:val="27"/>
                    <w:bidi w:val="0"/>
                    <w:jc w:val="center"/>
                  </w:pPr>
                  <w:r>
                    <w:t>0</w:t>
                  </w:r>
                </w:p>
              </w:tc>
              <w:tc>
                <w:tcPr>
                  <w:tcW w:w="1103" w:type="dxa"/>
                  <w:tcBorders>
                    <w:tl2br w:val="nil"/>
                    <w:tr2bl w:val="nil"/>
                  </w:tcBorders>
                  <w:vAlign w:val="center"/>
                </w:tcPr>
                <w:p>
                  <w:pPr>
                    <w:pStyle w:val="27"/>
                    <w:bidi w:val="0"/>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420" w:type="dxa"/>
                  <w:tcBorders>
                    <w:tl2br w:val="nil"/>
                    <w:tr2bl w:val="nil"/>
                  </w:tcBorders>
                  <w:vAlign w:val="center"/>
                </w:tcPr>
                <w:p>
                  <w:pPr>
                    <w:pStyle w:val="27"/>
                    <w:bidi w:val="0"/>
                    <w:jc w:val="center"/>
                  </w:pPr>
                  <w:r>
                    <w:t>合计</w:t>
                  </w:r>
                </w:p>
              </w:tc>
              <w:tc>
                <w:tcPr>
                  <w:tcW w:w="1069" w:type="dxa"/>
                  <w:tcBorders>
                    <w:tl2br w:val="nil"/>
                    <w:tr2bl w:val="nil"/>
                  </w:tcBorders>
                  <w:vAlign w:val="center"/>
                </w:tcPr>
                <w:p>
                  <w:pPr>
                    <w:pStyle w:val="27"/>
                    <w:bidi w:val="0"/>
                    <w:jc w:val="center"/>
                  </w:pPr>
                  <w:r>
                    <w:t>80910</w:t>
                  </w:r>
                </w:p>
              </w:tc>
              <w:tc>
                <w:tcPr>
                  <w:tcW w:w="1206" w:type="dxa"/>
                  <w:tcBorders>
                    <w:tl2br w:val="nil"/>
                    <w:tr2bl w:val="nil"/>
                  </w:tcBorders>
                  <w:vAlign w:val="center"/>
                </w:tcPr>
                <w:p>
                  <w:pPr>
                    <w:pStyle w:val="27"/>
                    <w:bidi w:val="0"/>
                    <w:jc w:val="center"/>
                  </w:pPr>
                  <w:r>
                    <w:t>68849</w:t>
                  </w:r>
                </w:p>
              </w:tc>
              <w:tc>
                <w:tcPr>
                  <w:tcW w:w="952" w:type="dxa"/>
                  <w:tcBorders>
                    <w:tl2br w:val="nil"/>
                    <w:tr2bl w:val="nil"/>
                  </w:tcBorders>
                  <w:vAlign w:val="center"/>
                </w:tcPr>
                <w:p>
                  <w:pPr>
                    <w:pStyle w:val="27"/>
                    <w:bidi w:val="0"/>
                    <w:jc w:val="center"/>
                  </w:pPr>
                  <w:r>
                    <w:t>12061</w:t>
                  </w:r>
                </w:p>
              </w:tc>
              <w:tc>
                <w:tcPr>
                  <w:tcW w:w="894" w:type="dxa"/>
                  <w:tcBorders>
                    <w:tl2br w:val="nil"/>
                    <w:tr2bl w:val="nil"/>
                  </w:tcBorders>
                  <w:vAlign w:val="center"/>
                </w:tcPr>
                <w:p>
                  <w:pPr>
                    <w:pStyle w:val="27"/>
                    <w:bidi w:val="0"/>
                    <w:jc w:val="center"/>
                  </w:pPr>
                  <w:r>
                    <w:t>84711</w:t>
                  </w:r>
                </w:p>
              </w:tc>
              <w:tc>
                <w:tcPr>
                  <w:tcW w:w="828" w:type="dxa"/>
                  <w:tcBorders>
                    <w:tl2br w:val="nil"/>
                    <w:tr2bl w:val="nil"/>
                  </w:tcBorders>
                  <w:vAlign w:val="center"/>
                </w:tcPr>
                <w:p>
                  <w:pPr>
                    <w:pStyle w:val="27"/>
                    <w:bidi w:val="0"/>
                    <w:jc w:val="center"/>
                  </w:pPr>
                  <w:r>
                    <w:t>68849</w:t>
                  </w:r>
                </w:p>
              </w:tc>
              <w:tc>
                <w:tcPr>
                  <w:tcW w:w="864" w:type="dxa"/>
                  <w:tcBorders>
                    <w:tl2br w:val="nil"/>
                    <w:tr2bl w:val="nil"/>
                  </w:tcBorders>
                  <w:vAlign w:val="center"/>
                </w:tcPr>
                <w:p>
                  <w:pPr>
                    <w:pStyle w:val="27"/>
                    <w:bidi w:val="0"/>
                    <w:jc w:val="center"/>
                  </w:pPr>
                  <w:r>
                    <w:t>15862</w:t>
                  </w:r>
                </w:p>
              </w:tc>
              <w:tc>
                <w:tcPr>
                  <w:tcW w:w="1103" w:type="dxa"/>
                  <w:tcBorders>
                    <w:tl2br w:val="nil"/>
                    <w:tr2bl w:val="nil"/>
                  </w:tcBorders>
                  <w:vAlign w:val="center"/>
                </w:tcPr>
                <w:p>
                  <w:pPr>
                    <w:pStyle w:val="27"/>
                    <w:bidi w:val="0"/>
                    <w:jc w:val="center"/>
                  </w:pPr>
                  <w:r>
                    <w:t>1712</w:t>
                  </w:r>
                </w:p>
              </w:tc>
            </w:tr>
          </w:tbl>
          <w:p>
            <w:pPr>
              <w:pStyle w:val="6"/>
              <w:numPr>
                <w:ilvl w:val="2"/>
                <w:numId w:val="0"/>
              </w:numPr>
              <w:ind w:leftChars="0"/>
            </w:pPr>
          </w:p>
          <w:p>
            <w:pPr>
              <w:bidi w:val="0"/>
              <w:ind w:left="0" w:leftChars="0" w:firstLine="0" w:firstLineChars="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503" w:type="dxa"/>
            <w:noWrap w:val="0"/>
            <w:vAlign w:val="center"/>
          </w:tcPr>
          <w:p>
            <w:pPr>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总平面及现场布置</w:t>
            </w:r>
          </w:p>
        </w:tc>
        <w:tc>
          <w:tcPr>
            <w:tcW w:w="8582" w:type="dxa"/>
            <w:noWrap w:val="0"/>
            <w:vAlign w:val="center"/>
          </w:tcPr>
          <w:p>
            <w:pPr>
              <w:adjustRightInd w:val="0"/>
              <w:snapToGrid w:val="0"/>
              <w:spacing w:line="360" w:lineRule="auto"/>
              <w:textAlignment w:val="center"/>
              <w:outlineLvl w:val="2"/>
              <w:rPr>
                <w:rFonts w:hint="eastAsia"/>
                <w:lang w:eastAsia="zh-CN"/>
              </w:rPr>
            </w:pPr>
            <w:r>
              <w:rPr>
                <w:rFonts w:hint="eastAsia"/>
                <w:lang w:eastAsia="zh-CN"/>
              </w:rPr>
              <w:t>（</w:t>
            </w:r>
            <w:r>
              <w:rPr>
                <w:rFonts w:hint="eastAsia"/>
                <w:lang w:val="en-US" w:eastAsia="zh-CN"/>
              </w:rPr>
              <w:t>1</w:t>
            </w:r>
            <w:r>
              <w:rPr>
                <w:rFonts w:hint="eastAsia"/>
                <w:lang w:eastAsia="zh-CN"/>
              </w:rPr>
              <w:t>）</w:t>
            </w:r>
            <w:r>
              <w:rPr>
                <w:rFonts w:hint="default"/>
              </w:rPr>
              <w:t>施工场地规划</w:t>
            </w:r>
            <w:r>
              <w:rPr>
                <w:rFonts w:hint="eastAsia"/>
                <w:lang w:eastAsia="zh-CN"/>
              </w:rPr>
              <w:t>：</w:t>
            </w:r>
          </w:p>
          <w:p>
            <w:pPr>
              <w:rPr>
                <w:rFonts w:hint="default"/>
              </w:rPr>
            </w:pPr>
            <w:r>
              <w:rPr>
                <w:rFonts w:hint="eastAsia"/>
                <w:lang w:val="en-US" w:eastAsia="zh-CN"/>
              </w:rPr>
              <w:t>工程临时设施主要包括木材加工厂、钢筋加工厂、砼构件预制场，水泥仓库、灌浆中心站、砂、砂石、块石堆放场、生活物资库、机械维修厂。本工程施工场地集中布置于附近空地。</w:t>
            </w:r>
          </w:p>
          <w:p>
            <w:pPr>
              <w:adjustRightInd w:val="0"/>
              <w:snapToGrid w:val="0"/>
              <w:spacing w:line="360" w:lineRule="auto"/>
              <w:ind w:left="0" w:leftChars="0" w:firstLine="0" w:firstLineChars="0"/>
              <w:jc w:val="center"/>
              <w:textAlignment w:val="center"/>
              <w:rPr>
                <w:rFonts w:hint="eastAsia"/>
                <w:lang w:eastAsia="zh-CN"/>
              </w:rPr>
            </w:pPr>
            <w:r>
              <w:rPr>
                <w:rFonts w:hint="eastAsia"/>
                <w:lang w:eastAsia="zh-CN"/>
              </w:rPr>
              <w:drawing>
                <wp:inline distT="0" distB="0" distL="114300" distR="114300">
                  <wp:extent cx="5308600" cy="3753485"/>
                  <wp:effectExtent l="0" t="0" r="6350" b="18415"/>
                  <wp:docPr id="38" name="图片 38" descr="提取自燎原水库除险加固工程初设图集（审定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取自燎原水库除险加固工程初设图集（审定稿）_00"/>
                          <pic:cNvPicPr>
                            <a:picLocks noChangeAspect="1"/>
                          </pic:cNvPicPr>
                        </pic:nvPicPr>
                        <pic:blipFill>
                          <a:blip r:embed="rId16"/>
                          <a:stretch>
                            <a:fillRect/>
                          </a:stretch>
                        </pic:blipFill>
                        <pic:spPr>
                          <a:xfrm>
                            <a:off x="0" y="0"/>
                            <a:ext cx="5308600" cy="3753485"/>
                          </a:xfrm>
                          <a:prstGeom prst="rect">
                            <a:avLst/>
                          </a:prstGeom>
                        </pic:spPr>
                      </pic:pic>
                    </a:graphicData>
                  </a:graphic>
                </wp:inline>
              </w:drawing>
            </w:r>
          </w:p>
          <w:p>
            <w:pPr>
              <w:adjustRightInd w:val="0"/>
              <w:snapToGrid w:val="0"/>
              <w:spacing w:line="360" w:lineRule="auto"/>
              <w:ind w:firstLine="480"/>
              <w:jc w:val="center"/>
              <w:textAlignment w:val="center"/>
              <w:rPr>
                <w:rFonts w:hint="default"/>
                <w:b/>
                <w:bCs/>
                <w:lang w:val="en-US" w:eastAsia="zh-CN"/>
              </w:rPr>
            </w:pPr>
            <w:r>
              <w:rPr>
                <w:rFonts w:hint="eastAsia"/>
                <w:b/>
                <w:bCs/>
                <w:lang w:val="en-US" w:eastAsia="zh-CN"/>
              </w:rPr>
              <w:t>图2-1施工平面布置图</w:t>
            </w:r>
          </w:p>
          <w:p>
            <w:pPr>
              <w:adjustRightInd w:val="0"/>
              <w:snapToGrid w:val="0"/>
              <w:spacing w:line="360" w:lineRule="auto"/>
              <w:ind w:firstLine="480"/>
              <w:textAlignment w:val="center"/>
              <w:rPr>
                <w:rFonts w:hint="default"/>
              </w:rPr>
            </w:pPr>
            <w:r>
              <w:rPr>
                <w:rFonts w:hint="default"/>
              </w:rPr>
              <w:t>由于工程建筑物分布较集中，场地主要分布在防汛公路的右侧。施工场地总占地面积</w:t>
            </w:r>
            <w:r>
              <w:rPr>
                <w:rFonts w:hint="eastAsia"/>
                <w:lang w:val="en-US" w:eastAsia="zh-CN"/>
              </w:rPr>
              <w:t>2500</w:t>
            </w:r>
            <w:r>
              <w:rPr>
                <w:rFonts w:hint="eastAsia"/>
                <w:lang w:eastAsia="zh-CN"/>
              </w:rPr>
              <w:t>m</w:t>
            </w:r>
            <w:r>
              <w:rPr>
                <w:rFonts w:hint="eastAsia"/>
                <w:vertAlign w:val="superscript"/>
                <w:lang w:eastAsia="zh-CN"/>
              </w:rPr>
              <w:t>2</w:t>
            </w:r>
            <w:r>
              <w:rPr>
                <w:rFonts w:hint="default"/>
              </w:rPr>
              <w:t>。具体布置见表</w:t>
            </w:r>
            <w:r>
              <w:rPr>
                <w:rFonts w:hint="default"/>
                <w:lang w:val="en-US" w:eastAsia="zh-CN"/>
              </w:rPr>
              <w:t>2</w:t>
            </w:r>
            <w:r>
              <w:rPr>
                <w:rFonts w:hint="default"/>
              </w:rPr>
              <w:t>-</w:t>
            </w:r>
            <w:r>
              <w:rPr>
                <w:rFonts w:hint="eastAsia"/>
                <w:lang w:val="en-US" w:eastAsia="zh-CN"/>
              </w:rPr>
              <w:t>6</w:t>
            </w:r>
            <w:r>
              <w:rPr>
                <w:rFonts w:hint="default"/>
              </w:rPr>
              <w:t>。</w:t>
            </w:r>
          </w:p>
          <w:p>
            <w:pPr>
              <w:adjustRightInd w:val="0"/>
              <w:snapToGrid w:val="0"/>
              <w:spacing w:line="360" w:lineRule="auto"/>
              <w:ind w:firstLine="480"/>
              <w:jc w:val="center"/>
              <w:textAlignment w:val="center"/>
              <w:rPr>
                <w:rFonts w:hint="default"/>
                <w:b/>
                <w:bCs/>
              </w:rPr>
            </w:pPr>
            <w:r>
              <w:rPr>
                <w:rFonts w:hint="default"/>
                <w:b/>
                <w:bCs/>
              </w:rPr>
              <w:t>表</w:t>
            </w:r>
            <w:r>
              <w:rPr>
                <w:rFonts w:hint="default"/>
                <w:b/>
                <w:bCs/>
                <w:lang w:val="en-US" w:eastAsia="zh-CN"/>
              </w:rPr>
              <w:t>2</w:t>
            </w:r>
            <w:r>
              <w:rPr>
                <w:rFonts w:hint="default"/>
                <w:b/>
                <w:bCs/>
              </w:rPr>
              <w:t>-</w:t>
            </w:r>
            <w:r>
              <w:rPr>
                <w:rFonts w:hint="eastAsia"/>
                <w:b/>
                <w:bCs/>
                <w:lang w:val="en-US" w:eastAsia="zh-CN"/>
              </w:rPr>
              <w:t>6</w:t>
            </w:r>
            <w:r>
              <w:rPr>
                <w:rFonts w:hint="default"/>
                <w:b/>
                <w:bCs/>
              </w:rPr>
              <w:t>临时设施项目规模面积一览表</w:t>
            </w:r>
          </w:p>
          <w:tbl>
            <w:tblPr>
              <w:tblStyle w:val="18"/>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627"/>
              <w:gridCol w:w="24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rPr>
                  </w:pPr>
                  <w:r>
                    <w:rPr>
                      <w:rFonts w:hint="default"/>
                    </w:rPr>
                    <w:t>项目名称</w:t>
                  </w:r>
                </w:p>
              </w:tc>
              <w:tc>
                <w:tcPr>
                  <w:tcW w:w="2627" w:type="dxa"/>
                  <w:tcBorders>
                    <w:tl2br w:val="nil"/>
                    <w:tr2bl w:val="nil"/>
                  </w:tcBorders>
                  <w:noWrap w:val="0"/>
                  <w:vAlign w:val="center"/>
                </w:tcPr>
                <w:p>
                  <w:pPr>
                    <w:pStyle w:val="45"/>
                    <w:bidi w:val="0"/>
                    <w:rPr>
                      <w:rFonts w:hint="default"/>
                    </w:rPr>
                  </w:pPr>
                  <w:r>
                    <w:rPr>
                      <w:rFonts w:hint="default"/>
                    </w:rPr>
                    <w:t>建筑面积（</w:t>
                  </w:r>
                  <w:r>
                    <w:rPr>
                      <w:rFonts w:hint="eastAsia"/>
                      <w:lang w:eastAsia="zh-CN"/>
                    </w:rPr>
                    <w:t>m</w:t>
                  </w:r>
                  <w:r>
                    <w:rPr>
                      <w:rFonts w:hint="eastAsia"/>
                      <w:vertAlign w:val="superscript"/>
                      <w:lang w:eastAsia="zh-CN"/>
                    </w:rPr>
                    <w:t>2</w:t>
                  </w:r>
                  <w:r>
                    <w:rPr>
                      <w:rFonts w:hint="default"/>
                    </w:rPr>
                    <w:t>）</w:t>
                  </w:r>
                </w:p>
              </w:tc>
              <w:tc>
                <w:tcPr>
                  <w:tcW w:w="2474" w:type="dxa"/>
                  <w:tcBorders>
                    <w:tl2br w:val="nil"/>
                    <w:tr2bl w:val="nil"/>
                  </w:tcBorders>
                  <w:noWrap w:val="0"/>
                  <w:vAlign w:val="center"/>
                </w:tcPr>
                <w:p>
                  <w:pPr>
                    <w:pStyle w:val="45"/>
                    <w:bidi w:val="0"/>
                    <w:rPr>
                      <w:rFonts w:hint="default"/>
                    </w:rPr>
                  </w:pPr>
                  <w:r>
                    <w:rPr>
                      <w:rFonts w:hint="default"/>
                    </w:rPr>
                    <w:t>占地面积（</w:t>
                  </w:r>
                  <w:r>
                    <w:rPr>
                      <w:rFonts w:hint="eastAsia"/>
                      <w:lang w:eastAsia="zh-CN"/>
                    </w:rPr>
                    <w:t>m</w:t>
                  </w:r>
                  <w:r>
                    <w:rPr>
                      <w:rFonts w:hint="eastAsia"/>
                      <w:vertAlign w:val="superscript"/>
                      <w:lang w:eastAsia="zh-CN"/>
                    </w:rPr>
                    <w:t>2</w:t>
                  </w:r>
                  <w:r>
                    <w:rPr>
                      <w:rFonts w:hint="default"/>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木材加工厂</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80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钢筋加工厂</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100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砼构件预制场</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100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水泥仓库</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100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灌浆中心站</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20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砂、砂石、块石堆放场</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生活物资库</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100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9" w:type="dxa"/>
                  <w:tcBorders>
                    <w:tl2br w:val="nil"/>
                    <w:tr2bl w:val="nil"/>
                  </w:tcBorders>
                  <w:noWrap w:val="0"/>
                  <w:vAlign w:val="center"/>
                </w:tcPr>
                <w:p>
                  <w:pPr>
                    <w:pStyle w:val="45"/>
                    <w:bidi w:val="0"/>
                    <w:rPr>
                      <w:rFonts w:hint="default"/>
                      <w:lang w:val="en-US" w:eastAsia="zh-CN"/>
                    </w:rPr>
                  </w:pPr>
                  <w:r>
                    <w:rPr>
                      <w:rFonts w:hint="eastAsia"/>
                      <w:lang w:val="en-US" w:eastAsia="zh-CN"/>
                    </w:rPr>
                    <w:t>机械维修厂</w:t>
                  </w:r>
                </w:p>
              </w:tc>
              <w:tc>
                <w:tcPr>
                  <w:tcW w:w="2627" w:type="dxa"/>
                  <w:tcBorders>
                    <w:tl2br w:val="nil"/>
                    <w:tr2bl w:val="nil"/>
                  </w:tcBorders>
                  <w:noWrap w:val="0"/>
                  <w:vAlign w:val="center"/>
                </w:tcPr>
                <w:p>
                  <w:pPr>
                    <w:pStyle w:val="45"/>
                    <w:bidi w:val="0"/>
                    <w:rPr>
                      <w:rFonts w:hint="default"/>
                      <w:lang w:val="en-US" w:eastAsia="zh-CN"/>
                    </w:rPr>
                  </w:pPr>
                  <w:r>
                    <w:rPr>
                      <w:rFonts w:hint="eastAsia"/>
                      <w:lang w:val="en-US" w:eastAsia="zh-CN"/>
                    </w:rPr>
                    <w:t>50</w:t>
                  </w:r>
                </w:p>
              </w:tc>
              <w:tc>
                <w:tcPr>
                  <w:tcW w:w="2474" w:type="dxa"/>
                  <w:tcBorders>
                    <w:tl2br w:val="nil"/>
                    <w:tr2bl w:val="nil"/>
                  </w:tcBorders>
                  <w:noWrap w:val="0"/>
                  <w:vAlign w:val="center"/>
                </w:tcPr>
                <w:p>
                  <w:pPr>
                    <w:pStyle w:val="45"/>
                    <w:bidi w:val="0"/>
                    <w:rPr>
                      <w:rFonts w:hint="default"/>
                      <w:lang w:val="en-US" w:eastAsia="zh-CN"/>
                    </w:rPr>
                  </w:pPr>
                  <w:r>
                    <w:rPr>
                      <w:rFonts w:hint="eastAsia"/>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45"/>
                    <w:bidi w:val="0"/>
                    <w:ind w:firstLine="0" w:firstLineChars="0"/>
                    <w:rPr>
                      <w:rFonts w:hint="default"/>
                      <w:lang w:val="en-US" w:eastAsia="zh-CN"/>
                    </w:rPr>
                  </w:pPr>
                  <w:r>
                    <w:rPr>
                      <w:rFonts w:hint="default"/>
                    </w:rPr>
                    <w:t>合计</w:t>
                  </w:r>
                </w:p>
              </w:tc>
              <w:tc>
                <w:tcPr>
                  <w:tcW w:w="0" w:type="auto"/>
                  <w:noWrap w:val="0"/>
                  <w:vAlign w:val="center"/>
                </w:tcPr>
                <w:p>
                  <w:pPr>
                    <w:pStyle w:val="45"/>
                    <w:bidi w:val="0"/>
                    <w:ind w:firstLine="0" w:firstLineChars="0"/>
                    <w:rPr>
                      <w:rFonts w:hint="default"/>
                      <w:lang w:val="en-US" w:eastAsia="zh-CN"/>
                    </w:rPr>
                  </w:pPr>
                  <w:r>
                    <w:rPr>
                      <w:rFonts w:hint="eastAsia"/>
                      <w:lang w:val="en-US" w:eastAsia="zh-CN"/>
                    </w:rPr>
                    <w:t>550</w:t>
                  </w:r>
                </w:p>
              </w:tc>
              <w:tc>
                <w:tcPr>
                  <w:tcW w:w="0" w:type="auto"/>
                  <w:noWrap w:val="0"/>
                  <w:vAlign w:val="center"/>
                </w:tcPr>
                <w:p>
                  <w:pPr>
                    <w:pStyle w:val="45"/>
                    <w:bidi w:val="0"/>
                    <w:ind w:firstLine="0" w:firstLineChars="0"/>
                    <w:rPr>
                      <w:rFonts w:hint="default"/>
                      <w:lang w:val="en-US" w:eastAsia="zh-CN"/>
                    </w:rPr>
                  </w:pPr>
                  <w:r>
                    <w:rPr>
                      <w:rFonts w:hint="eastAsia"/>
                      <w:lang w:val="en-US" w:eastAsia="zh-CN"/>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noWrap w:val="0"/>
                  <w:vAlign w:val="center"/>
                </w:tcPr>
                <w:p>
                  <w:pPr>
                    <w:pStyle w:val="45"/>
                    <w:bidi w:val="0"/>
                    <w:ind w:firstLine="0" w:firstLineChars="0"/>
                    <w:rPr>
                      <w:rFonts w:hint="default"/>
                      <w:lang w:val="en-US" w:eastAsia="zh-CN"/>
                    </w:rPr>
                  </w:pPr>
                  <w:r>
                    <w:rPr>
                      <w:rFonts w:hint="eastAsia"/>
                      <w:lang w:val="en-US" w:eastAsia="zh-CN"/>
                    </w:rPr>
                    <w:t>取土场</w:t>
                  </w:r>
                </w:p>
              </w:tc>
              <w:tc>
                <w:tcPr>
                  <w:tcW w:w="0" w:type="auto"/>
                  <w:noWrap w:val="0"/>
                  <w:vAlign w:val="center"/>
                </w:tcPr>
                <w:p>
                  <w:pPr>
                    <w:pStyle w:val="45"/>
                    <w:bidi w:val="0"/>
                    <w:ind w:firstLine="0" w:firstLineChars="0"/>
                    <w:rPr>
                      <w:rFonts w:hint="default"/>
                      <w:lang w:val="en-US" w:eastAsia="zh-CN"/>
                    </w:rPr>
                  </w:pPr>
                  <w:r>
                    <w:rPr>
                      <w:rFonts w:hint="default"/>
                      <w:lang w:val="en-US" w:eastAsia="zh-CN"/>
                    </w:rPr>
                    <w:t>/</w:t>
                  </w:r>
                </w:p>
              </w:tc>
              <w:tc>
                <w:tcPr>
                  <w:tcW w:w="0" w:type="auto"/>
                  <w:noWrap w:val="0"/>
                  <w:vAlign w:val="center"/>
                </w:tcPr>
                <w:p>
                  <w:pPr>
                    <w:pStyle w:val="45"/>
                    <w:bidi w:val="0"/>
                    <w:ind w:firstLine="0" w:firstLineChars="0"/>
                    <w:rPr>
                      <w:rFonts w:hint="default"/>
                      <w:lang w:val="en-US" w:eastAsia="zh-CN"/>
                    </w:rPr>
                  </w:pPr>
                  <w:r>
                    <w:rPr>
                      <w:rFonts w:hint="eastAsia"/>
                      <w:lang w:val="en-US" w:eastAsia="zh-CN"/>
                    </w:rPr>
                    <w:t>3800</w:t>
                  </w:r>
                </w:p>
              </w:tc>
            </w:tr>
          </w:tbl>
          <w:p>
            <w:pPr>
              <w:bidi w:val="0"/>
              <w:rPr>
                <w:rFonts w:hint="eastAsia"/>
                <w:u w:val="single"/>
                <w:lang w:val="en-US" w:eastAsia="zh-CN"/>
              </w:rPr>
            </w:pPr>
            <w:r>
              <w:rPr>
                <w:rFonts w:hint="eastAsia"/>
                <w:u w:val="single"/>
                <w:lang w:val="en-US" w:eastAsia="zh-CN"/>
              </w:rPr>
              <w:t>（2）取土场</w:t>
            </w:r>
          </w:p>
          <w:p>
            <w:pPr>
              <w:bidi w:val="0"/>
              <w:rPr>
                <w:rFonts w:ascii="宋体" w:hAnsi="宋体" w:eastAsia="宋体" w:cs="宋体"/>
                <w:szCs w:val="24"/>
                <w:u w:val="single"/>
              </w:rPr>
            </w:pPr>
            <w:r>
              <w:rPr>
                <w:rFonts w:hint="eastAsia"/>
                <w:u w:val="single"/>
                <w:lang w:val="en-US" w:eastAsia="zh-CN"/>
              </w:rPr>
              <w:t>取土场位于周家湾副坝东端山坡开采，低矮丘岗，稍有起伏，表部植被丰富，以杂树为主，少量经济林。</w:t>
            </w:r>
            <w:r>
              <w:rPr>
                <w:rFonts w:ascii="宋体" w:hAnsi="宋体" w:eastAsia="宋体" w:cs="宋体"/>
                <w:spacing w:val="-2"/>
                <w:szCs w:val="24"/>
                <w:u w:val="single"/>
              </w:rPr>
              <w:t>根据调查，土料孔</w:t>
            </w:r>
            <w:r>
              <w:rPr>
                <w:rFonts w:ascii="宋体" w:hAnsi="宋体" w:eastAsia="宋体" w:cs="宋体"/>
                <w:spacing w:val="-1"/>
                <w:szCs w:val="24"/>
                <w:u w:val="single"/>
              </w:rPr>
              <w:t>隙比</w:t>
            </w:r>
            <w:r>
              <w:rPr>
                <w:rFonts w:ascii="Times New Roman" w:hAnsi="Times New Roman" w:eastAsia="Times New Roman" w:cs="Times New Roman"/>
                <w:spacing w:val="-1"/>
                <w:szCs w:val="24"/>
                <w:u w:val="single"/>
              </w:rPr>
              <w:t>0.691</w:t>
            </w:r>
            <w:r>
              <w:rPr>
                <w:rFonts w:ascii="宋体" w:hAnsi="宋体" w:eastAsia="宋体" w:cs="宋体"/>
                <w:spacing w:val="-1"/>
                <w:szCs w:val="24"/>
                <w:u w:val="single"/>
              </w:rPr>
              <w:t>，干</w:t>
            </w:r>
            <w:r>
              <w:rPr>
                <w:rFonts w:ascii="宋体" w:hAnsi="宋体" w:eastAsia="宋体" w:cs="宋体"/>
                <w:spacing w:val="-10"/>
                <w:szCs w:val="24"/>
                <w:u w:val="single"/>
              </w:rPr>
              <w:t>密</w:t>
            </w:r>
            <w:r>
              <w:rPr>
                <w:rFonts w:ascii="宋体" w:hAnsi="宋体" w:eastAsia="宋体" w:cs="宋体"/>
                <w:spacing w:val="-7"/>
                <w:szCs w:val="24"/>
                <w:u w:val="single"/>
              </w:rPr>
              <w:t>度</w:t>
            </w:r>
            <w:r>
              <w:rPr>
                <w:rFonts w:ascii="Times New Roman" w:hAnsi="Times New Roman" w:eastAsia="Times New Roman" w:cs="Times New Roman"/>
                <w:spacing w:val="-7"/>
                <w:szCs w:val="24"/>
                <w:u w:val="single"/>
              </w:rPr>
              <w:t>1.61g/c</w:t>
            </w:r>
            <w:r>
              <w:rPr>
                <w:rFonts w:hint="eastAsia" w:eastAsia="宋体" w:cs="Times New Roman"/>
                <w:spacing w:val="-7"/>
                <w:szCs w:val="24"/>
                <w:u w:val="single"/>
                <w:lang w:eastAsia="zh-CN"/>
              </w:rPr>
              <w:t>m</w:t>
            </w:r>
            <w:r>
              <w:rPr>
                <w:rFonts w:hint="eastAsia" w:eastAsia="宋体" w:cs="Times New Roman"/>
                <w:spacing w:val="-7"/>
                <w:szCs w:val="24"/>
                <w:u w:val="single"/>
                <w:vertAlign w:val="superscript"/>
                <w:lang w:eastAsia="zh-CN"/>
              </w:rPr>
              <w:t>3</w:t>
            </w:r>
            <w:r>
              <w:rPr>
                <w:rFonts w:ascii="宋体" w:hAnsi="宋体" w:eastAsia="宋体" w:cs="宋体"/>
                <w:spacing w:val="-7"/>
                <w:szCs w:val="24"/>
                <w:u w:val="single"/>
              </w:rPr>
              <w:t>，压缩系数</w:t>
            </w:r>
            <w:r>
              <w:rPr>
                <w:rFonts w:ascii="Times New Roman" w:hAnsi="Times New Roman" w:eastAsia="Times New Roman" w:cs="Times New Roman"/>
                <w:spacing w:val="-7"/>
                <w:szCs w:val="24"/>
                <w:u w:val="single"/>
              </w:rPr>
              <w:t>0.15Mpa</w:t>
            </w:r>
            <w:r>
              <w:rPr>
                <w:rFonts w:ascii="Times New Roman" w:hAnsi="Times New Roman" w:eastAsia="Times New Roman" w:cs="Times New Roman"/>
                <w:spacing w:val="-7"/>
                <w:position w:val="9"/>
                <w:szCs w:val="16"/>
                <w:u w:val="single"/>
              </w:rPr>
              <w:t>-1</w:t>
            </w:r>
            <w:r>
              <w:rPr>
                <w:rFonts w:ascii="宋体" w:hAnsi="宋体" w:eastAsia="宋体" w:cs="宋体"/>
                <w:spacing w:val="-7"/>
                <w:szCs w:val="24"/>
                <w:u w:val="single"/>
              </w:rPr>
              <w:t>，压缩模量</w:t>
            </w:r>
            <w:r>
              <w:rPr>
                <w:rFonts w:ascii="Times New Roman" w:hAnsi="Times New Roman" w:eastAsia="Times New Roman" w:cs="Times New Roman"/>
                <w:spacing w:val="-7"/>
                <w:szCs w:val="24"/>
                <w:u w:val="single"/>
              </w:rPr>
              <w:t>10.99Mpa</w:t>
            </w:r>
            <w:r>
              <w:rPr>
                <w:rFonts w:ascii="宋体" w:hAnsi="宋体" w:eastAsia="宋体" w:cs="宋体"/>
                <w:spacing w:val="-7"/>
                <w:szCs w:val="24"/>
                <w:u w:val="single"/>
              </w:rPr>
              <w:t>，天然含水量</w:t>
            </w:r>
            <w:r>
              <w:rPr>
                <w:rFonts w:ascii="Times New Roman" w:hAnsi="Times New Roman" w:eastAsia="Times New Roman" w:cs="Times New Roman"/>
                <w:spacing w:val="-7"/>
                <w:szCs w:val="24"/>
                <w:u w:val="single"/>
              </w:rPr>
              <w:t>23.3%</w:t>
            </w:r>
            <w:r>
              <w:rPr>
                <w:rFonts w:ascii="宋体" w:hAnsi="宋体" w:eastAsia="宋体" w:cs="宋体"/>
                <w:spacing w:val="-7"/>
                <w:szCs w:val="24"/>
                <w:u w:val="single"/>
              </w:rPr>
              <w:t>，比重</w:t>
            </w:r>
            <w:r>
              <w:rPr>
                <w:rFonts w:ascii="Times New Roman" w:hAnsi="Times New Roman" w:eastAsia="Times New Roman" w:cs="Times New Roman"/>
                <w:spacing w:val="-7"/>
                <w:szCs w:val="24"/>
                <w:u w:val="single"/>
              </w:rPr>
              <w:t>2.73</w:t>
            </w:r>
            <w:r>
              <w:rPr>
                <w:rFonts w:ascii="宋体" w:hAnsi="宋体" w:eastAsia="宋体" w:cs="宋体"/>
                <w:spacing w:val="-7"/>
                <w:szCs w:val="24"/>
                <w:u w:val="single"/>
              </w:rPr>
              <w:t>，</w:t>
            </w:r>
            <w:r>
              <w:rPr>
                <w:rFonts w:ascii="宋体" w:hAnsi="宋体" w:eastAsia="宋体" w:cs="宋体"/>
                <w:spacing w:val="-4"/>
                <w:szCs w:val="24"/>
                <w:u w:val="single"/>
              </w:rPr>
              <w:t>击实</w:t>
            </w:r>
            <w:r>
              <w:rPr>
                <w:rFonts w:ascii="宋体" w:hAnsi="宋体" w:eastAsia="宋体" w:cs="宋体"/>
                <w:spacing w:val="-3"/>
                <w:szCs w:val="24"/>
                <w:u w:val="single"/>
              </w:rPr>
              <w:t>试</w:t>
            </w:r>
            <w:r>
              <w:rPr>
                <w:rFonts w:ascii="宋体" w:hAnsi="宋体" w:eastAsia="宋体" w:cs="宋体"/>
                <w:spacing w:val="-2"/>
                <w:szCs w:val="24"/>
                <w:u w:val="single"/>
              </w:rPr>
              <w:t>验表明：最大干密度</w:t>
            </w:r>
            <w:r>
              <w:rPr>
                <w:rFonts w:ascii="Times New Roman" w:hAnsi="Times New Roman" w:eastAsia="Times New Roman" w:cs="Times New Roman"/>
                <w:spacing w:val="-2"/>
                <w:szCs w:val="24"/>
                <w:u w:val="single"/>
              </w:rPr>
              <w:t>1.58g/c</w:t>
            </w:r>
            <w:r>
              <w:rPr>
                <w:rFonts w:hint="eastAsia" w:eastAsia="宋体" w:cs="Times New Roman"/>
                <w:spacing w:val="-2"/>
                <w:szCs w:val="24"/>
                <w:u w:val="single"/>
                <w:lang w:eastAsia="zh-CN"/>
              </w:rPr>
              <w:t>m</w:t>
            </w:r>
            <w:r>
              <w:rPr>
                <w:rFonts w:hint="eastAsia" w:eastAsia="宋体" w:cs="Times New Roman"/>
                <w:spacing w:val="-2"/>
                <w:szCs w:val="24"/>
                <w:u w:val="single"/>
                <w:vertAlign w:val="superscript"/>
                <w:lang w:eastAsia="zh-CN"/>
              </w:rPr>
              <w:t>3</w:t>
            </w:r>
            <w:r>
              <w:rPr>
                <w:rFonts w:ascii="宋体" w:hAnsi="宋体" w:eastAsia="宋体" w:cs="宋体"/>
                <w:spacing w:val="-2"/>
                <w:szCs w:val="24"/>
                <w:u w:val="single"/>
              </w:rPr>
              <w:t>，最优含水量</w:t>
            </w:r>
            <w:r>
              <w:rPr>
                <w:rFonts w:ascii="Times New Roman" w:hAnsi="Times New Roman" w:eastAsia="Times New Roman" w:cs="Times New Roman"/>
                <w:spacing w:val="-2"/>
                <w:szCs w:val="24"/>
                <w:u w:val="single"/>
              </w:rPr>
              <w:t>20.9%</w:t>
            </w:r>
            <w:r>
              <w:rPr>
                <w:rFonts w:ascii="宋体" w:hAnsi="宋体" w:eastAsia="宋体" w:cs="宋体"/>
                <w:spacing w:val="-2"/>
                <w:szCs w:val="24"/>
                <w:u w:val="single"/>
              </w:rPr>
              <w:t>，土料较丰富且质量较好，土料</w:t>
            </w:r>
            <w:r>
              <w:rPr>
                <w:rFonts w:ascii="宋体" w:hAnsi="宋体" w:eastAsia="宋体" w:cs="宋体"/>
                <w:spacing w:val="-5"/>
                <w:szCs w:val="24"/>
                <w:u w:val="single"/>
              </w:rPr>
              <w:t>丘岗地带长</w:t>
            </w:r>
            <w:r>
              <w:rPr>
                <w:rFonts w:ascii="Times New Roman" w:hAnsi="Times New Roman" w:eastAsia="Times New Roman" w:cs="Times New Roman"/>
                <w:spacing w:val="-5"/>
                <w:szCs w:val="24"/>
                <w:u w:val="single"/>
              </w:rPr>
              <w:t>400m</w:t>
            </w:r>
            <w:r>
              <w:rPr>
                <w:rFonts w:ascii="宋体" w:hAnsi="宋体" w:eastAsia="宋体" w:cs="宋体"/>
                <w:spacing w:val="-5"/>
                <w:szCs w:val="24"/>
                <w:u w:val="single"/>
              </w:rPr>
              <w:t>，宽</w:t>
            </w:r>
            <w:r>
              <w:rPr>
                <w:rFonts w:ascii="Times New Roman" w:hAnsi="Times New Roman" w:eastAsia="Times New Roman" w:cs="Times New Roman"/>
                <w:spacing w:val="-5"/>
                <w:szCs w:val="24"/>
                <w:u w:val="single"/>
              </w:rPr>
              <w:t>250m</w:t>
            </w:r>
            <w:r>
              <w:rPr>
                <w:rFonts w:ascii="宋体" w:hAnsi="宋体" w:eastAsia="宋体" w:cs="宋体"/>
                <w:spacing w:val="-5"/>
                <w:szCs w:val="24"/>
                <w:u w:val="single"/>
              </w:rPr>
              <w:t>，有用层厚度约</w:t>
            </w:r>
            <w:r>
              <w:rPr>
                <w:rFonts w:ascii="Times New Roman" w:hAnsi="Times New Roman" w:eastAsia="Times New Roman" w:cs="Times New Roman"/>
                <w:spacing w:val="-5"/>
                <w:szCs w:val="24"/>
                <w:u w:val="single"/>
              </w:rPr>
              <w:t>3.0m</w:t>
            </w:r>
            <w:r>
              <w:rPr>
                <w:rFonts w:ascii="宋体" w:hAnsi="宋体" w:eastAsia="宋体" w:cs="宋体"/>
                <w:spacing w:val="-5"/>
                <w:szCs w:val="24"/>
                <w:u w:val="single"/>
              </w:rPr>
              <w:t>，储量约</w:t>
            </w:r>
            <w:r>
              <w:rPr>
                <w:rFonts w:ascii="Times New Roman" w:hAnsi="Times New Roman" w:eastAsia="Times New Roman" w:cs="Times New Roman"/>
                <w:spacing w:val="-5"/>
                <w:szCs w:val="24"/>
                <w:u w:val="single"/>
              </w:rPr>
              <w:t>30×</w:t>
            </w:r>
            <w:r>
              <w:rPr>
                <w:rFonts w:hint="eastAsia" w:eastAsia="宋体" w:cs="Times New Roman"/>
                <w:spacing w:val="-5"/>
                <w:szCs w:val="24"/>
                <w:u w:val="single"/>
                <w:lang w:eastAsia="zh-CN"/>
              </w:rPr>
              <w:t>10</w:t>
            </w:r>
            <w:r>
              <w:rPr>
                <w:rFonts w:hint="eastAsia" w:eastAsia="宋体" w:cs="Times New Roman"/>
                <w:spacing w:val="-5"/>
                <w:szCs w:val="24"/>
                <w:u w:val="single"/>
                <w:vertAlign w:val="superscript"/>
                <w:lang w:eastAsia="zh-CN"/>
              </w:rPr>
              <w:t>4</w:t>
            </w:r>
            <w:r>
              <w:rPr>
                <w:rFonts w:hint="eastAsia" w:eastAsia="宋体" w:cs="Times New Roman"/>
                <w:spacing w:val="-5"/>
                <w:szCs w:val="24"/>
                <w:u w:val="single"/>
                <w:lang w:eastAsia="zh-CN"/>
              </w:rPr>
              <w:t>m</w:t>
            </w:r>
            <w:r>
              <w:rPr>
                <w:rFonts w:hint="eastAsia" w:eastAsia="宋体" w:cs="Times New Roman"/>
                <w:spacing w:val="-5"/>
                <w:szCs w:val="24"/>
                <w:u w:val="single"/>
                <w:vertAlign w:val="superscript"/>
                <w:lang w:eastAsia="zh-CN"/>
              </w:rPr>
              <w:t>3</w:t>
            </w:r>
            <w:r>
              <w:rPr>
                <w:rFonts w:ascii="宋体" w:hAnsi="宋体" w:eastAsia="宋体" w:cs="宋体"/>
                <w:spacing w:val="-5"/>
                <w:szCs w:val="24"/>
                <w:u w:val="single"/>
              </w:rPr>
              <w:t>，开采方便，有机耕</w:t>
            </w:r>
            <w:r>
              <w:rPr>
                <w:rFonts w:ascii="宋体" w:hAnsi="宋体" w:eastAsia="宋体" w:cs="宋体"/>
                <w:spacing w:val="-6"/>
                <w:szCs w:val="24"/>
                <w:u w:val="single"/>
              </w:rPr>
              <w:t>路可直达</w:t>
            </w:r>
            <w:r>
              <w:rPr>
                <w:rFonts w:ascii="宋体" w:hAnsi="宋体" w:eastAsia="宋体" w:cs="宋体"/>
                <w:spacing w:val="-5"/>
                <w:szCs w:val="24"/>
                <w:u w:val="single"/>
              </w:rPr>
              <w:t>工</w:t>
            </w:r>
            <w:r>
              <w:rPr>
                <w:rFonts w:ascii="宋体" w:hAnsi="宋体" w:eastAsia="宋体" w:cs="宋体"/>
                <w:spacing w:val="-3"/>
                <w:szCs w:val="24"/>
                <w:u w:val="single"/>
              </w:rPr>
              <w:t>地，平均运距</w:t>
            </w:r>
            <w:r>
              <w:rPr>
                <w:rFonts w:ascii="Times New Roman" w:hAnsi="Times New Roman" w:eastAsia="Times New Roman" w:cs="Times New Roman"/>
                <w:spacing w:val="-3"/>
                <w:szCs w:val="24"/>
                <w:u w:val="single"/>
              </w:rPr>
              <w:t>5.0km</w:t>
            </w:r>
            <w:r>
              <w:rPr>
                <w:rFonts w:ascii="宋体" w:hAnsi="宋体" w:eastAsia="宋体" w:cs="宋体"/>
                <w:spacing w:val="-3"/>
                <w:szCs w:val="24"/>
                <w:u w:val="single"/>
              </w:rPr>
              <w:t>。</w:t>
            </w:r>
          </w:p>
          <w:p>
            <w:pPr>
              <w:adjustRightInd w:val="0"/>
              <w:snapToGrid w:val="0"/>
              <w:spacing w:line="360" w:lineRule="auto"/>
              <w:ind w:firstLine="480"/>
              <w:jc w:val="center"/>
              <w:textAlignment w:val="center"/>
              <w:rPr>
                <w:rFonts w:hint="default"/>
                <w:b/>
                <w:bCs/>
                <w:u w:val="single"/>
              </w:rPr>
            </w:pPr>
            <w:r>
              <w:rPr>
                <w:rFonts w:hint="eastAsia"/>
                <w:b/>
                <w:bCs/>
                <w:u w:val="single"/>
                <w:lang w:val="en-US" w:eastAsia="zh-CN"/>
              </w:rPr>
              <w:t xml:space="preserve">表 </w:t>
            </w:r>
            <w:r>
              <w:rPr>
                <w:rFonts w:hint="default"/>
                <w:b/>
                <w:bCs/>
                <w:u w:val="single"/>
                <w:lang w:val="en-US" w:eastAsia="zh-CN"/>
              </w:rPr>
              <w:t>2-</w:t>
            </w:r>
            <w:r>
              <w:rPr>
                <w:rFonts w:hint="eastAsia"/>
                <w:b/>
                <w:bCs/>
                <w:u w:val="single"/>
                <w:lang w:val="en-US" w:eastAsia="zh-CN"/>
              </w:rPr>
              <w:t>7</w:t>
            </w:r>
            <w:r>
              <w:rPr>
                <w:rFonts w:hint="default"/>
                <w:b/>
                <w:bCs/>
                <w:u w:val="single"/>
                <w:lang w:val="en-US" w:eastAsia="zh-CN"/>
              </w:rPr>
              <w:t xml:space="preserve"> </w:t>
            </w:r>
            <w:r>
              <w:rPr>
                <w:rFonts w:hint="eastAsia"/>
                <w:b/>
                <w:bCs/>
                <w:u w:val="single"/>
                <w:lang w:val="en-US" w:eastAsia="zh-CN"/>
              </w:rPr>
              <w:t xml:space="preserve">取土场工程特性表 </w:t>
            </w:r>
          </w:p>
          <w:tbl>
            <w:tblPr>
              <w:tblStyle w:val="18"/>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1172"/>
              <w:gridCol w:w="1605"/>
              <w:gridCol w:w="1320"/>
              <w:gridCol w:w="915"/>
              <w:gridCol w:w="167"/>
              <w:gridCol w:w="825"/>
              <w:gridCol w:w="233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887" w:hRule="atLeast"/>
                <w:jc w:val="center"/>
              </w:trPr>
              <w:tc>
                <w:tcPr>
                  <w:tcW w:w="1172" w:type="dxa"/>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地理位置</w:t>
                  </w:r>
                </w:p>
              </w:tc>
              <w:tc>
                <w:tcPr>
                  <w:tcW w:w="1605" w:type="dxa"/>
                  <w:tcBorders>
                    <w:tl2br w:val="nil"/>
                    <w:tr2bl w:val="nil"/>
                  </w:tcBorders>
                  <w:shd w:val="clear" w:color="auto" w:fill="FFFFFF"/>
                  <w:vAlign w:val="center"/>
                </w:tcPr>
                <w:p>
                  <w:pPr>
                    <w:pStyle w:val="27"/>
                    <w:bidi w:val="0"/>
                    <w:rPr>
                      <w:rFonts w:hint="eastAsia"/>
                      <w:u w:val="single"/>
                      <w:lang w:val="en-US" w:eastAsia="zh-CN"/>
                    </w:rPr>
                  </w:pPr>
                  <w:r>
                    <w:rPr>
                      <w:rFonts w:hint="eastAsia"/>
                      <w:u w:val="single"/>
                      <w:lang w:val="en-US" w:eastAsia="zh-CN"/>
                    </w:rPr>
                    <w:t>取土场容量</w:t>
                  </w:r>
                </w:p>
                <w:p>
                  <w:pPr>
                    <w:pStyle w:val="27"/>
                    <w:bidi w:val="0"/>
                    <w:rPr>
                      <w:rFonts w:hint="eastAsia"/>
                      <w:u w:val="single"/>
                    </w:rPr>
                  </w:pPr>
                  <w:r>
                    <w:rPr>
                      <w:rFonts w:hint="eastAsia"/>
                      <w:u w:val="single"/>
                      <w:lang w:val="en-US" w:eastAsia="zh-CN"/>
                    </w:rPr>
                    <w:t>（万m</w:t>
                  </w:r>
                  <w:r>
                    <w:rPr>
                      <w:rFonts w:hint="eastAsia"/>
                      <w:u w:val="single"/>
                      <w:vertAlign w:val="superscript"/>
                      <w:lang w:val="en-US" w:eastAsia="zh-CN"/>
                    </w:rPr>
                    <w:t>3</w:t>
                  </w:r>
                  <w:r>
                    <w:rPr>
                      <w:rFonts w:hint="eastAsia"/>
                      <w:u w:val="single"/>
                      <w:lang w:val="en-US" w:eastAsia="zh-CN"/>
                    </w:rPr>
                    <w:t>）</w:t>
                  </w:r>
                </w:p>
              </w:tc>
              <w:tc>
                <w:tcPr>
                  <w:tcW w:w="1320" w:type="dxa"/>
                  <w:tcBorders>
                    <w:tl2br w:val="nil"/>
                    <w:tr2bl w:val="nil"/>
                  </w:tcBorders>
                  <w:shd w:val="clear" w:color="auto" w:fill="FFFFFF"/>
                  <w:vAlign w:val="center"/>
                </w:tcPr>
                <w:p>
                  <w:pPr>
                    <w:pStyle w:val="27"/>
                    <w:bidi w:val="0"/>
                    <w:rPr>
                      <w:rFonts w:hint="eastAsia"/>
                      <w:u w:val="single"/>
                      <w:lang w:val="en-US" w:eastAsia="zh-CN"/>
                    </w:rPr>
                  </w:pPr>
                  <w:r>
                    <w:rPr>
                      <w:rFonts w:hint="eastAsia"/>
                      <w:u w:val="single"/>
                      <w:lang w:val="en-US" w:eastAsia="zh-CN"/>
                    </w:rPr>
                    <w:t>实际开</w:t>
                  </w:r>
                </w:p>
                <w:p>
                  <w:pPr>
                    <w:pStyle w:val="27"/>
                    <w:bidi w:val="0"/>
                    <w:rPr>
                      <w:rFonts w:hint="eastAsia"/>
                      <w:u w:val="single"/>
                    </w:rPr>
                  </w:pPr>
                  <w:r>
                    <w:rPr>
                      <w:rFonts w:hint="eastAsia"/>
                      <w:u w:val="single"/>
                      <w:lang w:val="en-US" w:eastAsia="zh-CN"/>
                    </w:rPr>
                    <w:t>采量（m</w:t>
                  </w:r>
                  <w:r>
                    <w:rPr>
                      <w:rFonts w:hint="eastAsia"/>
                      <w:u w:val="single"/>
                      <w:vertAlign w:val="superscript"/>
                      <w:lang w:val="en-US" w:eastAsia="zh-CN"/>
                    </w:rPr>
                    <w:t>3</w:t>
                  </w:r>
                  <w:r>
                    <w:rPr>
                      <w:rFonts w:hint="eastAsia"/>
                      <w:u w:val="single"/>
                      <w:lang w:val="en-US" w:eastAsia="zh-CN"/>
                    </w:rPr>
                    <w:t>）</w:t>
                  </w:r>
                </w:p>
              </w:tc>
              <w:tc>
                <w:tcPr>
                  <w:tcW w:w="1082" w:type="dxa"/>
                  <w:gridSpan w:val="2"/>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实际开采面积</w:t>
                  </w:r>
                </w:p>
              </w:tc>
              <w:tc>
                <w:tcPr>
                  <w:tcW w:w="825" w:type="dxa"/>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占地类型</w:t>
                  </w:r>
                </w:p>
              </w:tc>
              <w:tc>
                <w:tcPr>
                  <w:tcW w:w="2332" w:type="dxa"/>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敏感点分布（500m内）</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1611" w:hRule="atLeast"/>
                <w:jc w:val="center"/>
              </w:trPr>
              <w:tc>
                <w:tcPr>
                  <w:tcW w:w="1172" w:type="dxa"/>
                  <w:tcBorders>
                    <w:tl2br w:val="nil"/>
                    <w:tr2bl w:val="nil"/>
                  </w:tcBorders>
                  <w:shd w:val="clear" w:color="auto" w:fill="FFFFFF"/>
                  <w:vAlign w:val="center"/>
                </w:tcPr>
                <w:p>
                  <w:pPr>
                    <w:pStyle w:val="27"/>
                    <w:bidi w:val="0"/>
                    <w:rPr>
                      <w:rFonts w:hint="default"/>
                      <w:u w:val="single"/>
                      <w:lang w:val="en-US" w:eastAsia="zh-CN"/>
                    </w:rPr>
                  </w:pPr>
                  <w:r>
                    <w:rPr>
                      <w:rFonts w:hint="default"/>
                      <w:u w:val="single"/>
                      <w:lang w:val="en-US" w:eastAsia="zh-CN"/>
                    </w:rPr>
                    <w:t>E112°6′20.08″,</w:t>
                  </w:r>
                </w:p>
                <w:p>
                  <w:pPr>
                    <w:pStyle w:val="27"/>
                    <w:bidi w:val="0"/>
                    <w:rPr>
                      <w:rFonts w:hint="default"/>
                      <w:u w:val="single"/>
                    </w:rPr>
                  </w:pPr>
                  <w:r>
                    <w:rPr>
                      <w:rFonts w:hint="default"/>
                      <w:u w:val="single"/>
                      <w:lang w:val="en-US" w:eastAsia="zh-CN"/>
                    </w:rPr>
                    <w:t>N28°19′51.09″</w:t>
                  </w:r>
                </w:p>
              </w:tc>
              <w:tc>
                <w:tcPr>
                  <w:tcW w:w="1605" w:type="dxa"/>
                  <w:tcBorders>
                    <w:tl2br w:val="nil"/>
                    <w:tr2bl w:val="nil"/>
                  </w:tcBorders>
                  <w:shd w:val="clear" w:color="auto" w:fill="FFFFFF"/>
                  <w:vAlign w:val="center"/>
                </w:tcPr>
                <w:p>
                  <w:pPr>
                    <w:pStyle w:val="27"/>
                    <w:bidi w:val="0"/>
                    <w:rPr>
                      <w:rFonts w:hint="default"/>
                      <w:u w:val="single"/>
                      <w:lang w:val="en-US"/>
                    </w:rPr>
                  </w:pPr>
                  <w:r>
                    <w:rPr>
                      <w:rFonts w:hint="eastAsia"/>
                      <w:u w:val="single"/>
                      <w:lang w:val="en-US" w:eastAsia="zh-CN"/>
                    </w:rPr>
                    <w:t>30</w:t>
                  </w:r>
                </w:p>
              </w:tc>
              <w:tc>
                <w:tcPr>
                  <w:tcW w:w="1320" w:type="dxa"/>
                  <w:tcBorders>
                    <w:tl2br w:val="nil"/>
                    <w:tr2bl w:val="nil"/>
                  </w:tcBorders>
                  <w:shd w:val="clear" w:color="auto" w:fill="FFFFFF"/>
                  <w:vAlign w:val="center"/>
                </w:tcPr>
                <w:p>
                  <w:pPr>
                    <w:pStyle w:val="27"/>
                    <w:bidi w:val="0"/>
                    <w:rPr>
                      <w:rFonts w:hint="default"/>
                      <w:u w:val="single"/>
                      <w:lang w:val="en-US"/>
                    </w:rPr>
                  </w:pPr>
                  <w:r>
                    <w:rPr>
                      <w:rFonts w:hint="eastAsia"/>
                      <w:u w:val="single"/>
                      <w:lang w:val="en-US" w:eastAsia="zh-CN"/>
                    </w:rPr>
                    <w:t>15862</w:t>
                  </w:r>
                </w:p>
              </w:tc>
              <w:tc>
                <w:tcPr>
                  <w:tcW w:w="1082" w:type="dxa"/>
                  <w:gridSpan w:val="2"/>
                  <w:tcBorders>
                    <w:tl2br w:val="nil"/>
                    <w:tr2bl w:val="nil"/>
                  </w:tcBorders>
                  <w:shd w:val="clear" w:color="auto" w:fill="FFFFFF"/>
                  <w:vAlign w:val="center"/>
                </w:tcPr>
                <w:p>
                  <w:pPr>
                    <w:pStyle w:val="27"/>
                    <w:bidi w:val="0"/>
                    <w:rPr>
                      <w:rFonts w:hint="default"/>
                      <w:u w:val="single"/>
                      <w:lang w:val="en-US"/>
                    </w:rPr>
                  </w:pPr>
                  <w:r>
                    <w:rPr>
                      <w:rFonts w:hint="eastAsia"/>
                      <w:u w:val="single"/>
                      <w:lang w:val="en-US" w:eastAsia="zh-CN"/>
                    </w:rPr>
                    <w:t>3800</w:t>
                  </w:r>
                </w:p>
              </w:tc>
              <w:tc>
                <w:tcPr>
                  <w:tcW w:w="825" w:type="dxa"/>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林地</w:t>
                  </w:r>
                </w:p>
              </w:tc>
              <w:tc>
                <w:tcPr>
                  <w:tcW w:w="2332" w:type="dxa"/>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周边为林地，取土场西面210m处有居民，约20人；均位于取土场的侧风向。</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363" w:hRule="atLeast"/>
                <w:jc w:val="center"/>
              </w:trPr>
              <w:tc>
                <w:tcPr>
                  <w:tcW w:w="5012" w:type="dxa"/>
                  <w:gridSpan w:val="4"/>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取土场</w:t>
                  </w:r>
                </w:p>
              </w:tc>
              <w:tc>
                <w:tcPr>
                  <w:tcW w:w="3324" w:type="dxa"/>
                  <w:gridSpan w:val="3"/>
                  <w:tcBorders>
                    <w:tl2br w:val="nil"/>
                    <w:tr2bl w:val="nil"/>
                  </w:tcBorders>
                  <w:shd w:val="clear" w:color="auto" w:fill="FFFFFF"/>
                  <w:vAlign w:val="center"/>
                </w:tcPr>
                <w:p>
                  <w:pPr>
                    <w:pStyle w:val="27"/>
                    <w:bidi w:val="0"/>
                    <w:rPr>
                      <w:rFonts w:hint="eastAsia"/>
                      <w:u w:val="single"/>
                    </w:rPr>
                  </w:pPr>
                  <w:r>
                    <w:rPr>
                      <w:rFonts w:hint="eastAsia"/>
                      <w:u w:val="single"/>
                      <w:lang w:val="en-US" w:eastAsia="zh-CN"/>
                    </w:rPr>
                    <w:t>取土场现场照片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363" w:hRule="atLeast"/>
                <w:jc w:val="center"/>
              </w:trPr>
              <w:tc>
                <w:tcPr>
                  <w:tcW w:w="5012" w:type="dxa"/>
                  <w:gridSpan w:val="4"/>
                  <w:tcBorders>
                    <w:tl2br w:val="nil"/>
                    <w:tr2bl w:val="nil"/>
                  </w:tcBorders>
                  <w:shd w:val="clear" w:color="auto" w:fill="FFFFFF"/>
                  <w:vAlign w:val="center"/>
                </w:tcPr>
                <w:p>
                  <w:pPr>
                    <w:pStyle w:val="27"/>
                    <w:bidi w:val="0"/>
                    <w:rPr>
                      <w:rFonts w:hint="eastAsia"/>
                      <w:u w:val="single"/>
                      <w:lang w:val="en-US" w:eastAsia="zh-CN"/>
                    </w:rPr>
                  </w:pPr>
                  <w:r>
                    <w:rPr>
                      <w:u w:val="none"/>
                    </w:rPr>
                    <w:drawing>
                      <wp:inline distT="0" distB="0" distL="114300" distR="114300">
                        <wp:extent cx="3098165" cy="2155825"/>
                        <wp:effectExtent l="0" t="0" r="698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098165" cy="2155825"/>
                                </a:xfrm>
                                <a:prstGeom prst="rect">
                                  <a:avLst/>
                                </a:prstGeom>
                                <a:noFill/>
                                <a:ln>
                                  <a:noFill/>
                                </a:ln>
                              </pic:spPr>
                            </pic:pic>
                          </a:graphicData>
                        </a:graphic>
                      </wp:inline>
                    </w:drawing>
                  </w:r>
                </w:p>
              </w:tc>
              <w:tc>
                <w:tcPr>
                  <w:tcW w:w="3324" w:type="dxa"/>
                  <w:gridSpan w:val="3"/>
                  <w:tcBorders>
                    <w:tl2br w:val="nil"/>
                    <w:tr2bl w:val="nil"/>
                  </w:tcBorders>
                  <w:shd w:val="clear" w:color="auto" w:fill="FFFFFF"/>
                  <w:vAlign w:val="center"/>
                </w:tcPr>
                <w:p>
                  <w:pPr>
                    <w:pStyle w:val="27"/>
                    <w:bidi w:val="0"/>
                    <w:rPr>
                      <w:rFonts w:hint="eastAsia"/>
                      <w:u w:val="single"/>
                      <w:lang w:val="en-US" w:eastAsia="zh-CN"/>
                    </w:rPr>
                  </w:pPr>
                  <w:r>
                    <w:rPr>
                      <w:u w:val="none"/>
                    </w:rPr>
                    <w:drawing>
                      <wp:inline distT="0" distB="0" distL="114300" distR="114300">
                        <wp:extent cx="2833370" cy="2125345"/>
                        <wp:effectExtent l="0" t="0" r="508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833370" cy="2125345"/>
                                </a:xfrm>
                                <a:prstGeom prst="rect">
                                  <a:avLst/>
                                </a:prstGeom>
                                <a:noFill/>
                                <a:ln>
                                  <a:noFill/>
                                </a:ln>
                              </pic:spPr>
                            </pic:pic>
                          </a:graphicData>
                        </a:graphic>
                      </wp:inline>
                    </w:drawing>
                  </w:r>
                </w:p>
              </w:tc>
            </w:tr>
          </w:tbl>
          <w:p>
            <w:pPr>
              <w:bidi w:val="0"/>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9" w:hRule="atLeast"/>
          <w:jc w:val="center"/>
        </w:trPr>
        <w:tc>
          <w:tcPr>
            <w:tcW w:w="503" w:type="dxa"/>
            <w:noWrap w:val="0"/>
            <w:vAlign w:val="center"/>
          </w:tcPr>
          <w:p>
            <w:pPr>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施工方案</w:t>
            </w:r>
          </w:p>
        </w:tc>
        <w:tc>
          <w:tcPr>
            <w:tcW w:w="8582" w:type="dxa"/>
            <w:noWrap w:val="0"/>
            <w:vAlign w:val="center"/>
          </w:tcPr>
          <w:p>
            <w:pPr>
              <w:numPr>
                <w:ilvl w:val="0"/>
                <w:numId w:val="0"/>
              </w:numPr>
              <w:adjustRightInd w:val="0"/>
              <w:snapToGrid w:val="0"/>
              <w:spacing w:line="360" w:lineRule="auto"/>
              <w:rPr>
                <w:rFonts w:hint="default"/>
                <w:lang w:val="en-US" w:eastAsia="zh-CN"/>
              </w:rPr>
            </w:pPr>
            <w:r>
              <w:rPr>
                <w:rFonts w:hint="default"/>
                <w:lang w:val="en-US" w:eastAsia="zh-CN"/>
              </w:rPr>
              <w:t>（一）施工期工艺流程简述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lang w:val="en-US" w:eastAsia="zh-CN"/>
              </w:rPr>
            </w:pPr>
            <w:r>
              <w:rPr>
                <w:rFonts w:hint="default"/>
                <w:lang w:val="en-US" w:eastAsia="zh-CN"/>
              </w:rPr>
              <w:t>本项目为</w:t>
            </w:r>
            <w:r>
              <w:rPr>
                <w:rFonts w:hint="eastAsia"/>
                <w:lang w:val="en-US" w:eastAsia="zh-CN"/>
              </w:rPr>
              <w:t>燎原</w:t>
            </w:r>
            <w:r>
              <w:rPr>
                <w:rFonts w:hint="default"/>
                <w:lang w:val="en-US" w:eastAsia="zh-CN"/>
              </w:rPr>
              <w:t>水库除险加固整治项目，主要建设内容为</w:t>
            </w:r>
            <w:r>
              <w:rPr>
                <w:rFonts w:hint="default"/>
                <w:lang w:eastAsia="zh-CN"/>
              </w:rPr>
              <w:t>大坝除险加固，重建溢洪道、</w:t>
            </w:r>
            <w:r>
              <w:rPr>
                <w:rFonts w:hint="default"/>
                <w:lang w:val="en-US" w:eastAsia="zh-CN"/>
              </w:rPr>
              <w:t>防汛公路等，施工总体工艺流程图如下：</w:t>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r>
              <w:rPr>
                <w:rFonts w:hint="default"/>
                <w:lang w:val="en-US" w:eastAsia="zh-CN"/>
              </w:rPr>
              <w:br w:type="textWrapping"/>
            </w:r>
          </w:p>
          <w:p>
            <w:pPr>
              <w:numPr>
                <w:ilvl w:val="0"/>
                <w:numId w:val="0"/>
              </w:numPr>
              <w:adjustRightInd w:val="0"/>
              <w:snapToGrid w:val="0"/>
              <w:rPr>
                <w:rFonts w:hint="eastAsia"/>
                <w:lang w:eastAsia="zh-CN"/>
              </w:rPr>
            </w:pPr>
            <w:r>
              <w:drawing>
                <wp:inline distT="0" distB="0" distL="114300" distR="114300">
                  <wp:extent cx="5307965" cy="2254250"/>
                  <wp:effectExtent l="0" t="0" r="698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9"/>
                          <a:stretch>
                            <a:fillRect/>
                          </a:stretch>
                        </pic:blipFill>
                        <pic:spPr>
                          <a:xfrm>
                            <a:off x="0" y="0"/>
                            <a:ext cx="5307965" cy="2254250"/>
                          </a:xfrm>
                          <a:prstGeom prst="rect">
                            <a:avLst/>
                          </a:prstGeom>
                          <a:noFill/>
                          <a:ln>
                            <a:noFill/>
                          </a:ln>
                        </pic:spPr>
                      </pic:pic>
                    </a:graphicData>
                  </a:graphic>
                </wp:inline>
              </w:drawing>
            </w:r>
          </w:p>
          <w:p>
            <w:pPr>
              <w:bidi w:val="0"/>
              <w:jc w:val="center"/>
              <w:rPr>
                <w:rFonts w:hint="default"/>
                <w:b/>
                <w:bCs/>
                <w:lang w:val="en-US" w:eastAsia="zh-CN"/>
              </w:rPr>
            </w:pPr>
            <w:r>
              <w:rPr>
                <w:rFonts w:hint="default"/>
                <w:b/>
                <w:bCs/>
                <w:lang w:val="en-US" w:eastAsia="zh-CN"/>
              </w:rPr>
              <w:t>图2-</w:t>
            </w:r>
            <w:r>
              <w:rPr>
                <w:rFonts w:hint="eastAsia"/>
                <w:b/>
                <w:bCs/>
                <w:lang w:val="en-US" w:eastAsia="zh-CN"/>
              </w:rPr>
              <w:t>2</w:t>
            </w:r>
            <w:r>
              <w:rPr>
                <w:rFonts w:hint="default"/>
                <w:b/>
                <w:bCs/>
                <w:lang w:val="en-US" w:eastAsia="zh-CN"/>
              </w:rPr>
              <w:t>施工期工艺流程与产污环节图</w:t>
            </w:r>
          </w:p>
          <w:p>
            <w:pPr>
              <w:bidi w:val="0"/>
              <w:rPr>
                <w:rFonts w:hint="eastAsia"/>
              </w:rPr>
            </w:pPr>
            <w:bookmarkStart w:id="7" w:name="_Toc286915526"/>
            <w:bookmarkStart w:id="8" w:name="_Toc258335330"/>
            <w:bookmarkStart w:id="9" w:name="_Toc258369899"/>
            <w:bookmarkStart w:id="10" w:name="_Toc286919697"/>
            <w:bookmarkStart w:id="11" w:name="_Toc3795"/>
            <w:bookmarkStart w:id="12" w:name="_Toc238487457"/>
            <w:bookmarkStart w:id="13" w:name="_Toc63776904"/>
            <w:bookmarkStart w:id="14" w:name="_Toc238487651"/>
            <w:r>
              <w:rPr>
                <w:rFonts w:hint="eastAsia"/>
              </w:rPr>
              <w:t>施工期主要污染工序：</w:t>
            </w:r>
          </w:p>
          <w:p>
            <w:pPr>
              <w:bidi w:val="0"/>
              <w:rPr>
                <w:rFonts w:hint="eastAsia"/>
              </w:rPr>
            </w:pPr>
            <w:r>
              <w:rPr>
                <w:rFonts w:hint="eastAsia"/>
              </w:rPr>
              <w:t>（1）施工过程中产生的扬尘；</w:t>
            </w:r>
          </w:p>
          <w:p>
            <w:pPr>
              <w:bidi w:val="0"/>
              <w:rPr>
                <w:rFonts w:hint="eastAsia"/>
              </w:rPr>
            </w:pPr>
            <w:r>
              <w:rPr>
                <w:rFonts w:hint="eastAsia"/>
              </w:rPr>
              <w:t>（2）各种施工机械产生的噪声；</w:t>
            </w:r>
          </w:p>
          <w:p>
            <w:pPr>
              <w:bidi w:val="0"/>
              <w:rPr>
                <w:rFonts w:hint="eastAsia"/>
              </w:rPr>
            </w:pPr>
            <w:r>
              <w:rPr>
                <w:rFonts w:hint="eastAsia"/>
              </w:rPr>
              <w:t>（3）施工过程、土壤裸露，降雨径流产生的水土流失；</w:t>
            </w:r>
          </w:p>
          <w:p>
            <w:pPr>
              <w:bidi w:val="0"/>
              <w:rPr>
                <w:rFonts w:hint="eastAsia"/>
              </w:rPr>
            </w:pPr>
            <w:r>
              <w:rPr>
                <w:rFonts w:hint="eastAsia"/>
              </w:rPr>
              <w:t>（4）运输车辆、施工机械产生的燃油尾气及扬尘；</w:t>
            </w:r>
          </w:p>
          <w:p>
            <w:pPr>
              <w:bidi w:val="0"/>
              <w:rPr>
                <w:rFonts w:hint="eastAsia"/>
              </w:rPr>
            </w:pPr>
            <w:r>
              <w:rPr>
                <w:rFonts w:hint="eastAsia"/>
              </w:rPr>
              <w:t>（5）</w:t>
            </w:r>
            <w:r>
              <w:rPr>
                <w:rFonts w:hint="eastAsia"/>
                <w:lang w:val="en-US" w:eastAsia="zh-CN"/>
              </w:rPr>
              <w:t>溢洪道重建、</w:t>
            </w:r>
            <w:r>
              <w:rPr>
                <w:rFonts w:ascii="宋体" w:hAnsi="宋体" w:eastAsia="宋体" w:cs="宋体"/>
                <w:spacing w:val="6"/>
                <w:sz w:val="24"/>
                <w:szCs w:val="24"/>
              </w:rPr>
              <w:t>主坝输水涵洞拆除重建</w:t>
            </w:r>
            <w:r>
              <w:rPr>
                <w:rFonts w:hint="eastAsia"/>
              </w:rPr>
              <w:t>。</w:t>
            </w:r>
          </w:p>
          <w:p>
            <w:pPr>
              <w:bidi w:val="0"/>
              <w:rPr>
                <w:rFonts w:hint="eastAsia"/>
              </w:rPr>
            </w:pPr>
            <w:r>
              <w:rPr>
                <w:rFonts w:hint="eastAsia"/>
              </w:rPr>
              <w:t>①沟槽开挖：采用分段施工，直槽开挖，根据不同挖深设置边坡支撑等安全措施</w:t>
            </w:r>
          </w:p>
          <w:p>
            <w:pPr>
              <w:bidi w:val="0"/>
              <w:rPr>
                <w:rFonts w:hint="eastAsia"/>
              </w:rPr>
            </w:pPr>
            <w:r>
              <w:rPr>
                <w:rFonts w:hint="eastAsia"/>
              </w:rPr>
              <w:t>②沟槽硬化：采用混凝土对够草底、壁进行硬化，管道敷设完毕，对沟槽顶进行封闭。沟槽须进行防渗处理，防治漏水。</w:t>
            </w:r>
          </w:p>
          <w:p>
            <w:pPr>
              <w:bidi w:val="0"/>
              <w:rPr>
                <w:rFonts w:hint="eastAsia"/>
              </w:rPr>
            </w:pPr>
            <w:r>
              <w:rPr>
                <w:rFonts w:hint="eastAsia"/>
              </w:rPr>
              <w:t>③沟槽回填：管槽回填时先将槽内积水排除，再进行分层回填并逐层夯实，管道两侧全部管区的回填材料应填满无空隙并分布均匀，管道两侧土壤的夯实方法可根据管道的刚度、埋深、土壤特性等决定，但不允许采用渗水或加高回填土的办法来提高密实度。</w:t>
            </w:r>
          </w:p>
          <w:p>
            <w:pPr>
              <w:ind w:firstLine="720"/>
              <w:rPr>
                <w:rFonts w:hint="default"/>
                <w:lang w:val="en-US" w:eastAsia="zh-CN"/>
              </w:rPr>
            </w:pPr>
            <w:r>
              <w:rPr>
                <w:rFonts w:hint="default"/>
                <w:lang w:val="en-US" w:eastAsia="zh-CN"/>
              </w:rPr>
              <w:t>（二）施工条件</w:t>
            </w:r>
            <w:bookmarkEnd w:id="7"/>
            <w:bookmarkEnd w:id="8"/>
            <w:bookmarkEnd w:id="9"/>
            <w:bookmarkEnd w:id="10"/>
            <w:bookmarkEnd w:id="11"/>
            <w:bookmarkEnd w:id="12"/>
            <w:bookmarkEnd w:id="13"/>
            <w:bookmarkEnd w:id="14"/>
          </w:p>
          <w:p>
            <w:pPr>
              <w:ind w:firstLine="720"/>
              <w:rPr>
                <w:rFonts w:hint="default"/>
                <w:lang w:val="en-US" w:eastAsia="zh-CN"/>
              </w:rPr>
            </w:pPr>
            <w:bookmarkStart w:id="15" w:name="_Toc258369900"/>
            <w:bookmarkStart w:id="16" w:name="_Toc286915527"/>
            <w:bookmarkStart w:id="17" w:name="_Toc258335331"/>
            <w:bookmarkStart w:id="18" w:name="_Toc63776905"/>
            <w:bookmarkStart w:id="19" w:name="_Toc238487458"/>
            <w:bookmarkStart w:id="20" w:name="_Toc286915532"/>
            <w:bookmarkStart w:id="21" w:name="_Toc238487463"/>
            <w:bookmarkStart w:id="22" w:name="_Toc63776910"/>
            <w:bookmarkStart w:id="23" w:name="_Toc286919698"/>
            <w:bookmarkStart w:id="24" w:name="_Toc258369905"/>
            <w:bookmarkStart w:id="25" w:name="_Toc258335336"/>
            <w:bookmarkStart w:id="26" w:name="_Toc238487652"/>
            <w:r>
              <w:rPr>
                <w:rFonts w:hint="default"/>
                <w:lang w:val="en-US" w:eastAsia="zh-CN"/>
              </w:rPr>
              <w:t>1、工程条件</w:t>
            </w:r>
            <w:bookmarkEnd w:id="15"/>
            <w:bookmarkEnd w:id="16"/>
            <w:bookmarkEnd w:id="17"/>
            <w:bookmarkEnd w:id="18"/>
            <w:bookmarkEnd w:id="19"/>
          </w:p>
          <w:p>
            <w:pPr>
              <w:spacing w:before="3" w:line="358" w:lineRule="auto"/>
              <w:ind w:left="37" w:firstLine="480"/>
              <w:rPr>
                <w:rFonts w:ascii="宋体" w:hAnsi="宋体" w:eastAsia="宋体" w:cs="宋体"/>
                <w:sz w:val="24"/>
                <w:szCs w:val="24"/>
              </w:rPr>
            </w:pPr>
            <w:r>
              <w:rPr>
                <w:rFonts w:ascii="宋体" w:hAnsi="宋体" w:eastAsia="宋体" w:cs="宋体"/>
                <w:spacing w:val="-2"/>
                <w:sz w:val="24"/>
                <w:szCs w:val="24"/>
              </w:rPr>
              <w:t>对外交通。燎原水库位于湖南省湘阴县金龙镇金龙村，属洋沙湖流</w:t>
            </w:r>
            <w:r>
              <w:rPr>
                <w:rFonts w:ascii="宋体" w:hAnsi="宋体" w:eastAsia="宋体" w:cs="宋体"/>
                <w:spacing w:val="-1"/>
                <w:sz w:val="24"/>
                <w:szCs w:val="24"/>
              </w:rPr>
              <w:t>域，距长沙</w:t>
            </w:r>
            <w:r>
              <w:rPr>
                <w:rFonts w:ascii="Times New Roman" w:hAnsi="Times New Roman" w:eastAsia="Times New Roman" w:cs="Times New Roman"/>
                <w:spacing w:val="-1"/>
                <w:sz w:val="24"/>
                <w:szCs w:val="24"/>
              </w:rPr>
              <w:t>51 km</w:t>
            </w:r>
            <w:r>
              <w:rPr>
                <w:rFonts w:ascii="宋体" w:hAnsi="宋体" w:eastAsia="宋体" w:cs="宋体"/>
                <w:spacing w:val="-1"/>
                <w:sz w:val="24"/>
                <w:szCs w:val="24"/>
              </w:rPr>
              <w:t>，</w:t>
            </w:r>
            <w:r>
              <w:rPr>
                <w:rFonts w:ascii="宋体" w:hAnsi="宋体" w:eastAsia="宋体" w:cs="宋体"/>
                <w:spacing w:val="1"/>
                <w:sz w:val="24"/>
                <w:szCs w:val="24"/>
              </w:rPr>
              <w:t>距湘阴县城</w:t>
            </w:r>
            <w:r>
              <w:rPr>
                <w:rFonts w:ascii="Times New Roman" w:hAnsi="Times New Roman" w:eastAsia="Times New Roman" w:cs="Times New Roman"/>
                <w:spacing w:val="1"/>
                <w:sz w:val="24"/>
                <w:szCs w:val="24"/>
              </w:rPr>
              <w:t xml:space="preserve">21 </w:t>
            </w:r>
            <w:r>
              <w:rPr>
                <w:rFonts w:ascii="Times New Roman" w:hAnsi="Times New Roman" w:eastAsia="Times New Roman" w:cs="Times New Roman"/>
                <w:sz w:val="24"/>
                <w:szCs w:val="24"/>
              </w:rPr>
              <w:t>km</w:t>
            </w:r>
            <w:r>
              <w:rPr>
                <w:rFonts w:ascii="宋体" w:hAnsi="宋体" w:eastAsia="宋体" w:cs="宋体"/>
                <w:spacing w:val="1"/>
                <w:sz w:val="24"/>
                <w:szCs w:val="24"/>
              </w:rPr>
              <w:t>，</w:t>
            </w:r>
            <w:r>
              <w:rPr>
                <w:rFonts w:ascii="宋体" w:hAnsi="宋体" w:eastAsia="宋体" w:cs="宋体"/>
                <w:sz w:val="24"/>
                <w:szCs w:val="24"/>
              </w:rPr>
              <w:t>主坝下游</w:t>
            </w:r>
            <w:r>
              <w:rPr>
                <w:rFonts w:ascii="Times New Roman" w:hAnsi="Times New Roman" w:eastAsia="Times New Roman" w:cs="Times New Roman"/>
                <w:sz w:val="24"/>
                <w:szCs w:val="24"/>
              </w:rPr>
              <w:t>1km</w:t>
            </w:r>
            <w:r>
              <w:rPr>
                <w:rFonts w:ascii="宋体" w:hAnsi="宋体" w:eastAsia="宋体" w:cs="宋体"/>
                <w:sz w:val="24"/>
                <w:szCs w:val="24"/>
              </w:rPr>
              <w:t>处为芙蓉北路(</w:t>
            </w:r>
            <w:r>
              <w:rPr>
                <w:rFonts w:ascii="Times New Roman" w:hAnsi="Times New Roman" w:eastAsia="Times New Roman" w:cs="Times New Roman"/>
                <w:sz w:val="24"/>
                <w:szCs w:val="24"/>
              </w:rPr>
              <w:t>S102</w:t>
            </w:r>
            <w:r>
              <w:rPr>
                <w:rFonts w:ascii="宋体" w:hAnsi="宋体" w:eastAsia="宋体" w:cs="宋体"/>
                <w:sz w:val="24"/>
                <w:szCs w:val="24"/>
              </w:rPr>
              <w:t>路)，由主坝右端和中部的两条上</w:t>
            </w:r>
            <w:r>
              <w:rPr>
                <w:rFonts w:ascii="宋体" w:hAnsi="宋体" w:eastAsia="宋体" w:cs="宋体"/>
                <w:spacing w:val="-1"/>
                <w:sz w:val="24"/>
                <w:szCs w:val="24"/>
              </w:rPr>
              <w:t>坝防汛公路连接水库</w:t>
            </w:r>
            <w:r>
              <w:rPr>
                <w:rFonts w:ascii="宋体" w:hAnsi="宋体" w:eastAsia="宋体" w:cs="宋体"/>
                <w:sz w:val="24"/>
                <w:szCs w:val="24"/>
              </w:rPr>
              <w:t>与芙蓉北路，对外交通方便。</w:t>
            </w:r>
          </w:p>
          <w:p>
            <w:pPr>
              <w:spacing w:before="3" w:line="359" w:lineRule="auto"/>
              <w:ind w:left="39" w:right="2" w:firstLine="478"/>
              <w:rPr>
                <w:rFonts w:ascii="宋体" w:hAnsi="宋体" w:eastAsia="宋体" w:cs="宋体"/>
                <w:sz w:val="24"/>
                <w:szCs w:val="24"/>
              </w:rPr>
            </w:pPr>
            <w:r>
              <w:rPr>
                <w:rFonts w:ascii="宋体" w:hAnsi="宋体" w:eastAsia="宋体" w:cs="宋体"/>
                <w:spacing w:val="12"/>
                <w:sz w:val="24"/>
                <w:szCs w:val="24"/>
              </w:rPr>
              <w:t>场</w:t>
            </w:r>
            <w:r>
              <w:rPr>
                <w:rFonts w:ascii="宋体" w:hAnsi="宋体" w:eastAsia="宋体" w:cs="宋体"/>
                <w:spacing w:val="10"/>
                <w:sz w:val="24"/>
                <w:szCs w:val="24"/>
              </w:rPr>
              <w:t>内</w:t>
            </w:r>
            <w:r>
              <w:rPr>
                <w:rFonts w:ascii="宋体" w:hAnsi="宋体" w:eastAsia="宋体" w:cs="宋体"/>
                <w:spacing w:val="6"/>
                <w:sz w:val="24"/>
                <w:szCs w:val="24"/>
              </w:rPr>
              <w:t>交通。场内有防汛公路通往大坝、溢洪道、副坝等建筑物，防汛公路通至大坝</w:t>
            </w:r>
            <w:r>
              <w:rPr>
                <w:rFonts w:ascii="宋体" w:hAnsi="宋体" w:eastAsia="宋体" w:cs="宋体"/>
                <w:spacing w:val="-8"/>
                <w:sz w:val="24"/>
                <w:szCs w:val="24"/>
              </w:rPr>
              <w:t>后从大坝左端</w:t>
            </w:r>
            <w:r>
              <w:rPr>
                <w:rFonts w:ascii="宋体" w:hAnsi="宋体" w:eastAsia="宋体" w:cs="宋体"/>
                <w:spacing w:val="-6"/>
                <w:sz w:val="24"/>
                <w:szCs w:val="24"/>
              </w:rPr>
              <w:t>跨</w:t>
            </w:r>
            <w:r>
              <w:rPr>
                <w:rFonts w:ascii="宋体" w:hAnsi="宋体" w:eastAsia="宋体" w:cs="宋体"/>
                <w:spacing w:val="-4"/>
                <w:sz w:val="24"/>
                <w:szCs w:val="24"/>
              </w:rPr>
              <w:t>溢洪道交通桥通往溢洪道下游，场内交通较为方便。但需增加</w:t>
            </w:r>
            <w:r>
              <w:rPr>
                <w:rFonts w:ascii="Times New Roman" w:hAnsi="Times New Roman" w:eastAsia="Times New Roman" w:cs="Times New Roman"/>
                <w:spacing w:val="-4"/>
                <w:sz w:val="24"/>
                <w:szCs w:val="24"/>
              </w:rPr>
              <w:t>3</w:t>
            </w:r>
            <w:r>
              <w:rPr>
                <w:rFonts w:ascii="宋体" w:hAnsi="宋体" w:eastAsia="宋体" w:cs="宋体"/>
                <w:spacing w:val="-4"/>
                <w:sz w:val="24"/>
                <w:szCs w:val="24"/>
              </w:rPr>
              <w:t>处临时施</w:t>
            </w:r>
            <w:r>
              <w:rPr>
                <w:rFonts w:ascii="宋体" w:hAnsi="宋体" w:eastAsia="宋体" w:cs="宋体"/>
                <w:spacing w:val="-6"/>
                <w:sz w:val="24"/>
                <w:szCs w:val="24"/>
              </w:rPr>
              <w:t>工道路</w:t>
            </w:r>
            <w:r>
              <w:rPr>
                <w:rFonts w:ascii="宋体" w:hAnsi="宋体" w:eastAsia="宋体" w:cs="宋体"/>
                <w:spacing w:val="-4"/>
                <w:sz w:val="24"/>
                <w:szCs w:val="24"/>
              </w:rPr>
              <w:t>与</w:t>
            </w:r>
            <w:r>
              <w:rPr>
                <w:rFonts w:ascii="宋体" w:hAnsi="宋体" w:eastAsia="宋体" w:cs="宋体"/>
                <w:spacing w:val="-3"/>
                <w:sz w:val="24"/>
                <w:szCs w:val="24"/>
              </w:rPr>
              <w:t>现有防汛公路相连接，总长约</w:t>
            </w:r>
            <w:r>
              <w:rPr>
                <w:rFonts w:ascii="Times New Roman" w:hAnsi="Times New Roman" w:eastAsia="Times New Roman" w:cs="Times New Roman"/>
                <w:spacing w:val="-3"/>
                <w:sz w:val="24"/>
                <w:szCs w:val="24"/>
              </w:rPr>
              <w:t>650m</w:t>
            </w:r>
            <w:r>
              <w:rPr>
                <w:rFonts w:ascii="宋体" w:hAnsi="宋体" w:eastAsia="宋体" w:cs="宋体"/>
                <w:spacing w:val="-3"/>
                <w:sz w:val="24"/>
                <w:szCs w:val="24"/>
              </w:rPr>
              <w:t>，一条布置在主坝下游坝脚，主要用于主坝</w:t>
            </w:r>
            <w:r>
              <w:rPr>
                <w:rFonts w:ascii="宋体" w:hAnsi="宋体" w:eastAsia="宋体" w:cs="宋体"/>
                <w:spacing w:val="1"/>
                <w:sz w:val="24"/>
                <w:szCs w:val="24"/>
              </w:rPr>
              <w:t>左、右两个坝段坝脚排水棱体施工和填塘固基施工，长度</w:t>
            </w:r>
            <w:r>
              <w:rPr>
                <w:rFonts w:ascii="Times New Roman" w:hAnsi="Times New Roman" w:eastAsia="Times New Roman" w:cs="Times New Roman"/>
                <w:spacing w:val="1"/>
                <w:sz w:val="24"/>
                <w:szCs w:val="24"/>
              </w:rPr>
              <w:t>516</w:t>
            </w:r>
            <w:r>
              <w:rPr>
                <w:rFonts w:ascii="Times New Roman" w:hAnsi="Times New Roman" w:eastAsia="Times New Roman" w:cs="Times New Roman"/>
                <w:sz w:val="24"/>
                <w:szCs w:val="24"/>
              </w:rPr>
              <w:t>m</w:t>
            </w:r>
            <w:r>
              <w:rPr>
                <w:rFonts w:ascii="宋体" w:hAnsi="宋体" w:eastAsia="宋体" w:cs="宋体"/>
                <w:spacing w:val="1"/>
                <w:sz w:val="24"/>
                <w:szCs w:val="24"/>
              </w:rPr>
              <w:t>，一条布置在主坝输大坝</w:t>
            </w:r>
            <w:r>
              <w:rPr>
                <w:rFonts w:ascii="宋体" w:hAnsi="宋体" w:eastAsia="宋体" w:cs="宋体"/>
                <w:spacing w:val="-6"/>
                <w:sz w:val="24"/>
                <w:szCs w:val="24"/>
              </w:rPr>
              <w:t>开挖</w:t>
            </w:r>
            <w:r>
              <w:rPr>
                <w:rFonts w:ascii="宋体" w:hAnsi="宋体" w:eastAsia="宋体" w:cs="宋体"/>
                <w:spacing w:val="-5"/>
                <w:sz w:val="24"/>
                <w:szCs w:val="24"/>
              </w:rPr>
              <w:t>基</w:t>
            </w:r>
            <w:r>
              <w:rPr>
                <w:rFonts w:ascii="宋体" w:hAnsi="宋体" w:eastAsia="宋体" w:cs="宋体"/>
                <w:spacing w:val="-3"/>
                <w:sz w:val="24"/>
                <w:szCs w:val="24"/>
              </w:rPr>
              <w:t>坑右侧坡面，主要用于主坝输水涵洞施工，长度</w:t>
            </w:r>
            <w:r>
              <w:rPr>
                <w:rFonts w:ascii="Times New Roman" w:hAnsi="Times New Roman" w:eastAsia="Times New Roman" w:cs="Times New Roman"/>
                <w:spacing w:val="-3"/>
                <w:sz w:val="24"/>
                <w:szCs w:val="24"/>
              </w:rPr>
              <w:t>62m</w:t>
            </w:r>
            <w:r>
              <w:rPr>
                <w:rFonts w:ascii="宋体" w:hAnsi="宋体" w:eastAsia="宋体" w:cs="宋体"/>
                <w:spacing w:val="-3"/>
                <w:sz w:val="24"/>
                <w:szCs w:val="24"/>
              </w:rPr>
              <w:t>，一条布置在陈家冲副坝坝脚，</w:t>
            </w:r>
            <w:r>
              <w:rPr>
                <w:rFonts w:ascii="宋体" w:hAnsi="宋体" w:eastAsia="宋体" w:cs="宋体"/>
                <w:spacing w:val="-1"/>
                <w:sz w:val="24"/>
                <w:szCs w:val="24"/>
              </w:rPr>
              <w:t>用于填塘固基施工，长度</w:t>
            </w:r>
            <w:r>
              <w:rPr>
                <w:rFonts w:ascii="Times New Roman" w:hAnsi="Times New Roman" w:eastAsia="Times New Roman" w:cs="Times New Roman"/>
                <w:spacing w:val="-1"/>
                <w:sz w:val="24"/>
                <w:szCs w:val="24"/>
              </w:rPr>
              <w:t>72</w:t>
            </w:r>
            <w:r>
              <w:rPr>
                <w:rFonts w:ascii="Times New Roman" w:hAnsi="Times New Roman" w:eastAsia="Times New Roman" w:cs="Times New Roman"/>
                <w:sz w:val="24"/>
                <w:szCs w:val="24"/>
              </w:rPr>
              <w:t>m</w:t>
            </w:r>
            <w:r>
              <w:rPr>
                <w:rFonts w:ascii="宋体" w:hAnsi="宋体" w:eastAsia="宋体" w:cs="宋体"/>
                <w:spacing w:val="-1"/>
                <w:sz w:val="24"/>
                <w:szCs w:val="24"/>
              </w:rPr>
              <w:t>。临时施工道路宽</w:t>
            </w:r>
            <w:r>
              <w:rPr>
                <w:rFonts w:ascii="Times New Roman" w:hAnsi="Times New Roman" w:eastAsia="Times New Roman" w:cs="Times New Roman"/>
                <w:spacing w:val="-1"/>
                <w:sz w:val="24"/>
                <w:szCs w:val="24"/>
              </w:rPr>
              <w:t>4.0</w:t>
            </w:r>
            <w:r>
              <w:rPr>
                <w:rFonts w:ascii="Times New Roman" w:hAnsi="Times New Roman" w:eastAsia="Times New Roman" w:cs="Times New Roman"/>
                <w:sz w:val="24"/>
                <w:szCs w:val="24"/>
              </w:rPr>
              <w:t>m</w:t>
            </w:r>
            <w:r>
              <w:rPr>
                <w:rFonts w:ascii="宋体" w:hAnsi="宋体" w:eastAsia="宋体" w:cs="宋体"/>
                <w:sz w:val="24"/>
                <w:szCs w:val="24"/>
              </w:rPr>
              <w:t>，为泥结石路面。根据《水利水电</w:t>
            </w:r>
            <w:r>
              <w:rPr>
                <w:rFonts w:ascii="宋体" w:hAnsi="宋体" w:eastAsia="宋体" w:cs="宋体"/>
                <w:spacing w:val="-6"/>
                <w:sz w:val="24"/>
                <w:szCs w:val="24"/>
              </w:rPr>
              <w:t>工程施工组</w:t>
            </w:r>
            <w:r>
              <w:rPr>
                <w:rFonts w:ascii="宋体" w:hAnsi="宋体" w:eastAsia="宋体" w:cs="宋体"/>
                <w:spacing w:val="-4"/>
                <w:sz w:val="24"/>
                <w:szCs w:val="24"/>
              </w:rPr>
              <w:t>织</w:t>
            </w:r>
            <w:r>
              <w:rPr>
                <w:rFonts w:ascii="宋体" w:hAnsi="宋体" w:eastAsia="宋体" w:cs="宋体"/>
                <w:spacing w:val="-3"/>
                <w:sz w:val="24"/>
                <w:szCs w:val="24"/>
              </w:rPr>
              <w:t>设计规范》附表</w:t>
            </w:r>
            <w:r>
              <w:rPr>
                <w:rFonts w:ascii="Times New Roman" w:hAnsi="Times New Roman" w:eastAsia="Times New Roman" w:cs="Times New Roman"/>
                <w:spacing w:val="-3"/>
                <w:sz w:val="24"/>
                <w:szCs w:val="24"/>
              </w:rPr>
              <w:t>F.4.1</w:t>
            </w:r>
            <w:r>
              <w:rPr>
                <w:rFonts w:ascii="宋体" w:hAnsi="宋体" w:eastAsia="宋体" w:cs="宋体"/>
                <w:spacing w:val="-3"/>
                <w:sz w:val="24"/>
                <w:szCs w:val="24"/>
              </w:rPr>
              <w:t>，本工程临时施工道路等级为六级。</w:t>
            </w:r>
          </w:p>
          <w:p>
            <w:pPr>
              <w:ind w:firstLine="720"/>
              <w:rPr>
                <w:rFonts w:hint="default"/>
                <w:lang w:val="en-US" w:eastAsia="zh-CN"/>
              </w:rPr>
            </w:pPr>
            <w:bookmarkStart w:id="27" w:name="_Toc286915529"/>
            <w:bookmarkStart w:id="28" w:name="_Toc238487460"/>
            <w:bookmarkStart w:id="29" w:name="_Toc258369902"/>
            <w:bookmarkStart w:id="30" w:name="_Toc258335333"/>
            <w:bookmarkStart w:id="31" w:name="_Toc63776907"/>
            <w:r>
              <w:rPr>
                <w:rFonts w:hint="default"/>
                <w:lang w:val="en-US" w:eastAsia="zh-CN"/>
              </w:rPr>
              <w:t>2、施工场地条件</w:t>
            </w:r>
            <w:bookmarkEnd w:id="27"/>
            <w:bookmarkEnd w:id="28"/>
            <w:bookmarkEnd w:id="29"/>
            <w:bookmarkEnd w:id="30"/>
            <w:bookmarkEnd w:id="31"/>
          </w:p>
          <w:p>
            <w:pPr>
              <w:spacing w:before="1" w:line="359" w:lineRule="auto"/>
              <w:ind w:left="45" w:firstLine="467"/>
              <w:rPr>
                <w:rFonts w:ascii="宋体" w:hAnsi="宋体" w:eastAsia="宋体" w:cs="宋体"/>
                <w:sz w:val="24"/>
                <w:szCs w:val="24"/>
              </w:rPr>
            </w:pPr>
            <w:r>
              <w:rPr>
                <w:rFonts w:ascii="宋体" w:hAnsi="宋体" w:eastAsia="宋体" w:cs="宋体"/>
                <w:spacing w:val="4"/>
                <w:sz w:val="24"/>
                <w:szCs w:val="24"/>
              </w:rPr>
              <w:t>燎原水</w:t>
            </w:r>
            <w:r>
              <w:rPr>
                <w:rFonts w:ascii="宋体" w:hAnsi="宋体" w:eastAsia="宋体" w:cs="宋体"/>
                <w:spacing w:val="2"/>
                <w:sz w:val="24"/>
                <w:szCs w:val="24"/>
              </w:rPr>
              <w:t>库大坝左端水库管理所旁，大坝中部上坝公路沿途有部份</w:t>
            </w:r>
            <w:r>
              <w:rPr>
                <w:rFonts w:ascii="宋体" w:hAnsi="宋体" w:eastAsia="宋体" w:cs="宋体"/>
                <w:spacing w:val="-2"/>
                <w:sz w:val="24"/>
                <w:szCs w:val="24"/>
              </w:rPr>
              <w:t>空闲场地。大坝坝顶下挖0</w:t>
            </w:r>
            <w:r>
              <w:rPr>
                <w:rFonts w:ascii="宋体" w:hAnsi="宋体" w:eastAsia="宋体" w:cs="宋体"/>
                <w:spacing w:val="-1"/>
                <w:sz w:val="24"/>
                <w:szCs w:val="24"/>
              </w:rPr>
              <w:t>.5m形成施工平台，可满足大坝砼防渗墙施工场地布置的要求。</w:t>
            </w:r>
            <w:r>
              <w:rPr>
                <w:rFonts w:ascii="宋体" w:hAnsi="宋体" w:eastAsia="宋体" w:cs="宋体"/>
                <w:spacing w:val="-2"/>
                <w:sz w:val="24"/>
                <w:szCs w:val="24"/>
              </w:rPr>
              <w:t>由于工程规模不大，且大坝下游</w:t>
            </w:r>
            <w:r>
              <w:rPr>
                <w:rFonts w:ascii="宋体" w:hAnsi="宋体" w:eastAsia="宋体" w:cs="宋体"/>
                <w:spacing w:val="-1"/>
                <w:sz w:val="24"/>
                <w:szCs w:val="24"/>
              </w:rPr>
              <w:t>附近有居民空置民房，办公及生活用房可考虑租用。</w:t>
            </w:r>
          </w:p>
          <w:p>
            <w:pPr>
              <w:ind w:firstLine="720"/>
              <w:rPr>
                <w:rFonts w:hint="default"/>
                <w:lang w:val="en-US" w:eastAsia="zh-CN"/>
              </w:rPr>
            </w:pPr>
            <w:r>
              <w:rPr>
                <w:rFonts w:hint="default"/>
                <w:lang w:val="en-US" w:eastAsia="zh-CN"/>
              </w:rPr>
              <w:t>3、建筑材料</w:t>
            </w:r>
          </w:p>
          <w:p>
            <w:pPr>
              <w:ind w:firstLine="720"/>
              <w:rPr>
                <w:rFonts w:hint="default"/>
                <w:lang w:val="en-US" w:eastAsia="zh-CN"/>
              </w:rPr>
            </w:pPr>
            <w:bookmarkStart w:id="32" w:name="_Toc1145"/>
            <w:r>
              <w:rPr>
                <w:rFonts w:hint="default"/>
                <w:lang w:val="en-US" w:eastAsia="zh-CN"/>
              </w:rPr>
              <w:t>(1)土料</w:t>
            </w:r>
          </w:p>
          <w:p>
            <w:pPr>
              <w:ind w:firstLine="720"/>
              <w:rPr>
                <w:rFonts w:hint="default"/>
                <w:lang w:val="en-US" w:eastAsia="zh-CN"/>
              </w:rPr>
            </w:pPr>
            <w:r>
              <w:rPr>
                <w:rFonts w:hint="default"/>
                <w:lang w:val="en-US" w:eastAsia="zh-CN"/>
              </w:rPr>
              <w:t>土料分防渗土料和风化料，燎原水库地处洋沙湖流域上游，属丘陵地貌，地层是第四系中更新统网纹状红色粘土，红色粘土以下是砂砾石，未见出露。区内土料较为丰富，质量较好，网纹状粘土可从周家湾副坝东端山坡开采，根据调查，土料孔隙比0.691，干密度1.61g/c</w:t>
            </w:r>
            <w:r>
              <w:rPr>
                <w:rFonts w:hint="eastAsia"/>
                <w:lang w:val="en-US" w:eastAsia="zh-CN"/>
              </w:rPr>
              <w:t>m</w:t>
            </w:r>
            <w:r>
              <w:rPr>
                <w:rFonts w:hint="eastAsia"/>
                <w:vertAlign w:val="superscript"/>
                <w:lang w:val="en-US" w:eastAsia="zh-CN"/>
              </w:rPr>
              <w:t>3</w:t>
            </w:r>
            <w:r>
              <w:rPr>
                <w:rFonts w:hint="default"/>
                <w:lang w:val="en-US" w:eastAsia="zh-CN"/>
              </w:rPr>
              <w:t>，压缩系数0.15Mpa-1，压缩模量10.99Mpa，天然含水量23.3%，比重2.73，击实试验表明：最大干密度1.58g/c</w:t>
            </w:r>
            <w:r>
              <w:rPr>
                <w:rFonts w:hint="eastAsia"/>
                <w:lang w:val="en-US" w:eastAsia="zh-CN"/>
              </w:rPr>
              <w:t>m</w:t>
            </w:r>
            <w:r>
              <w:rPr>
                <w:rFonts w:hint="eastAsia"/>
                <w:vertAlign w:val="superscript"/>
                <w:lang w:val="en-US" w:eastAsia="zh-CN"/>
              </w:rPr>
              <w:t>3</w:t>
            </w:r>
            <w:r>
              <w:rPr>
                <w:rFonts w:hint="default"/>
                <w:lang w:val="en-US" w:eastAsia="zh-CN"/>
              </w:rPr>
              <w:t>，最优含水量20.9%，土料较丰富且质量较好，土料丘岗地带长400m，宽250m，有用层厚度约3.0m，储量约30×</w:t>
            </w:r>
            <w:r>
              <w:rPr>
                <w:rFonts w:hint="eastAsia"/>
                <w:lang w:val="en-US" w:eastAsia="zh-CN"/>
              </w:rPr>
              <w:t>10</w:t>
            </w:r>
            <w:r>
              <w:rPr>
                <w:rFonts w:hint="eastAsia"/>
                <w:vertAlign w:val="superscript"/>
                <w:lang w:val="en-US" w:eastAsia="zh-CN"/>
              </w:rPr>
              <w:t>4</w:t>
            </w:r>
            <w:r>
              <w:rPr>
                <w:rFonts w:hint="eastAsia"/>
                <w:lang w:val="en-US" w:eastAsia="zh-CN"/>
              </w:rPr>
              <w:t>m</w:t>
            </w:r>
            <w:r>
              <w:rPr>
                <w:rFonts w:hint="eastAsia"/>
                <w:vertAlign w:val="superscript"/>
                <w:lang w:val="en-US" w:eastAsia="zh-CN"/>
              </w:rPr>
              <w:t>3</w:t>
            </w:r>
            <w:r>
              <w:rPr>
                <w:rFonts w:hint="default"/>
                <w:lang w:val="en-US" w:eastAsia="zh-CN"/>
              </w:rPr>
              <w:t>，开采方便，有机耕路可直达工地，平均运距5.0km。</w:t>
            </w:r>
          </w:p>
          <w:p>
            <w:pPr>
              <w:ind w:firstLine="720"/>
              <w:rPr>
                <w:rFonts w:hint="default"/>
                <w:lang w:val="en-US" w:eastAsia="zh-CN"/>
              </w:rPr>
            </w:pPr>
            <w:r>
              <w:rPr>
                <w:rFonts w:hint="default"/>
                <w:lang w:val="en-US" w:eastAsia="zh-CN"/>
              </w:rPr>
              <w:t>风化料可利用主坝输水涵洞拆除重建施工时大坝开挖的含砂砾粉土，适合做大坝坝壳填土料以及坝脚填塘固基土料，运输方便。</w:t>
            </w:r>
          </w:p>
          <w:p>
            <w:pPr>
              <w:ind w:firstLine="720"/>
              <w:rPr>
                <w:rFonts w:hint="default"/>
                <w:lang w:val="en-US" w:eastAsia="zh-CN"/>
              </w:rPr>
            </w:pPr>
            <w:r>
              <w:rPr>
                <w:rFonts w:hint="default"/>
                <w:lang w:val="en-US" w:eastAsia="zh-CN"/>
              </w:rPr>
              <w:t>(2)砂砾石料</w:t>
            </w:r>
          </w:p>
          <w:p>
            <w:pPr>
              <w:ind w:firstLine="720"/>
              <w:rPr>
                <w:rFonts w:hint="default"/>
                <w:lang w:val="en-US" w:eastAsia="zh-CN"/>
              </w:rPr>
            </w:pPr>
            <w:r>
              <w:rPr>
                <w:rFonts w:hint="default"/>
                <w:lang w:val="en-US" w:eastAsia="zh-CN"/>
              </w:rPr>
              <w:t>枢纽区附近砂砾石料缺乏，须从外地购进。根据当地工程建筑所用砂料、卵砾石料均从湘阴县城城关砂石场采买成品料，质量好，细度模数为2.7~3.2，含泥量小于3%，磨圆度较好，质量优良，可供应各种级配的砂砾石料，有公路到达工地，运距25km。</w:t>
            </w:r>
          </w:p>
          <w:p>
            <w:pPr>
              <w:ind w:firstLine="720"/>
              <w:rPr>
                <w:rFonts w:hint="default"/>
                <w:lang w:val="en-US" w:eastAsia="zh-CN"/>
              </w:rPr>
            </w:pPr>
            <w:r>
              <w:rPr>
                <w:rFonts w:hint="default"/>
                <w:lang w:val="en-US" w:eastAsia="zh-CN"/>
              </w:rPr>
              <w:t>(3)块石料</w:t>
            </w:r>
          </w:p>
          <w:p>
            <w:pPr>
              <w:ind w:firstLine="720"/>
              <w:rPr>
                <w:rFonts w:hint="default"/>
                <w:lang w:val="en-US" w:eastAsia="zh-CN"/>
              </w:rPr>
            </w:pPr>
            <w:r>
              <w:rPr>
                <w:rFonts w:hint="default"/>
                <w:lang w:val="en-US" w:eastAsia="zh-CN"/>
              </w:rPr>
              <w:t>经调查，在枢纽工程区块石缺乏，须从外地购进。可采用工程区东端的汨罗市川山坪块石料场，石料为燕山期花岗岩(ηγ53a)，致密坚硬，力学强度高，单轴抗压强度大于60Mpa，抗风化能力强，储量丰富，质量优良，运输方便，运距约30km。</w:t>
            </w:r>
          </w:p>
          <w:p>
            <w:pPr>
              <w:ind w:firstLine="720"/>
              <w:rPr>
                <w:rFonts w:hint="default"/>
                <w:lang w:val="en-US" w:eastAsia="zh-CN"/>
              </w:rPr>
            </w:pPr>
            <w:r>
              <w:rPr>
                <w:rFonts w:hint="default"/>
                <w:lang w:val="en-US" w:eastAsia="zh-CN"/>
              </w:rPr>
              <w:t>土料、砂砾石料、块石的分布位置图详见地质报告。</w:t>
            </w:r>
          </w:p>
          <w:p>
            <w:pPr>
              <w:ind w:firstLine="720"/>
              <w:rPr>
                <w:rFonts w:hint="default"/>
                <w:lang w:val="en-US" w:eastAsia="zh-CN"/>
              </w:rPr>
            </w:pPr>
            <w:r>
              <w:rPr>
                <w:rFonts w:hint="default"/>
                <w:lang w:val="en-US" w:eastAsia="zh-CN"/>
              </w:rPr>
              <w:t>(4)水泥、钢材、木材、油料等</w:t>
            </w:r>
          </w:p>
          <w:p>
            <w:pPr>
              <w:ind w:firstLine="720"/>
              <w:rPr>
                <w:rFonts w:hint="default"/>
                <w:lang w:val="en-US" w:eastAsia="zh-CN"/>
              </w:rPr>
            </w:pPr>
            <w:r>
              <w:rPr>
                <w:rFonts w:hint="default"/>
                <w:lang w:val="en-US" w:eastAsia="zh-CN"/>
              </w:rPr>
              <w:t>本工程施工所需的水泥、钢材、木材、油料等材料均可就近从湘阴城关物资部门采购，运距23km。</w:t>
            </w:r>
          </w:p>
          <w:p>
            <w:pPr>
              <w:ind w:firstLine="720"/>
              <w:rPr>
                <w:rFonts w:hint="default"/>
                <w:lang w:val="en-US" w:eastAsia="zh-CN"/>
              </w:rPr>
            </w:pPr>
            <w:r>
              <w:rPr>
                <w:rFonts w:hint="default"/>
                <w:lang w:val="en-US" w:eastAsia="zh-CN"/>
              </w:rPr>
              <w:t>(5)施工用风、水、电及对外通讯</w:t>
            </w:r>
          </w:p>
          <w:p>
            <w:pPr>
              <w:ind w:firstLine="720"/>
              <w:rPr>
                <w:rFonts w:hint="default"/>
                <w:lang w:val="en-US" w:eastAsia="zh-CN"/>
              </w:rPr>
            </w:pPr>
            <w:r>
              <w:rPr>
                <w:rFonts w:hint="default"/>
                <w:lang w:val="en-US" w:eastAsia="zh-CN"/>
              </w:rPr>
              <w:t>燎原水库本次除险加固施工用风主要为灌浆用风，采用自备移动式空压机供应；工地用水主要为生产、生活及消防用水，采用水泵直接从水库抽取使用，无需采取净化措施；施工期用电采用燎原水库管理所的农网电，并自备电源；施工期间通讯利用枢纽现有通讯设备。</w:t>
            </w:r>
          </w:p>
          <w:bookmarkEnd w:id="20"/>
          <w:bookmarkEnd w:id="21"/>
          <w:bookmarkEnd w:id="22"/>
          <w:bookmarkEnd w:id="23"/>
          <w:bookmarkEnd w:id="24"/>
          <w:bookmarkEnd w:id="25"/>
          <w:bookmarkEnd w:id="26"/>
          <w:bookmarkEnd w:id="32"/>
          <w:p>
            <w:pPr>
              <w:ind w:firstLine="720"/>
              <w:rPr>
                <w:rFonts w:hint="default"/>
                <w:lang w:val="en-US" w:eastAsia="zh-CN"/>
              </w:rPr>
            </w:pPr>
            <w:bookmarkStart w:id="33" w:name="_Toc238487469"/>
            <w:bookmarkStart w:id="34" w:name="_Toc258335342"/>
            <w:bookmarkStart w:id="35" w:name="_Toc238487653"/>
            <w:bookmarkStart w:id="36" w:name="_Toc286919699"/>
            <w:bookmarkStart w:id="37" w:name="_Toc63776916"/>
            <w:bookmarkStart w:id="38" w:name="_Toc258369911"/>
            <w:bookmarkStart w:id="39" w:name="_Toc19366"/>
            <w:bookmarkStart w:id="40" w:name="_Toc286915536"/>
            <w:r>
              <w:rPr>
                <w:rFonts w:hint="default"/>
                <w:lang w:val="en-US" w:eastAsia="zh-CN"/>
              </w:rPr>
              <w:t>（</w:t>
            </w:r>
            <w:r>
              <w:rPr>
                <w:rFonts w:hint="eastAsia"/>
                <w:lang w:val="en-US" w:eastAsia="zh-CN"/>
              </w:rPr>
              <w:t>三</w:t>
            </w:r>
            <w:r>
              <w:rPr>
                <w:rFonts w:hint="default"/>
                <w:lang w:val="en-US" w:eastAsia="zh-CN"/>
              </w:rPr>
              <w:t>）主要除险加固项目施工</w:t>
            </w:r>
            <w:bookmarkEnd w:id="33"/>
            <w:bookmarkEnd w:id="34"/>
            <w:bookmarkEnd w:id="35"/>
            <w:bookmarkEnd w:id="36"/>
            <w:bookmarkEnd w:id="37"/>
            <w:bookmarkEnd w:id="38"/>
            <w:bookmarkEnd w:id="39"/>
            <w:bookmarkEnd w:id="40"/>
          </w:p>
          <w:p>
            <w:pPr>
              <w:ind w:firstLine="720"/>
              <w:rPr>
                <w:rFonts w:hint="default"/>
                <w:lang w:val="en-US" w:eastAsia="zh-CN"/>
              </w:rPr>
            </w:pPr>
            <w:r>
              <w:rPr>
                <w:rFonts w:hint="default"/>
                <w:lang w:val="en-US" w:eastAsia="zh-CN"/>
              </w:rPr>
              <w:t>1、土方工程</w:t>
            </w:r>
          </w:p>
          <w:p>
            <w:pPr>
              <w:ind w:firstLine="720"/>
              <w:rPr>
                <w:rFonts w:hint="default"/>
                <w:lang w:val="en-US" w:eastAsia="zh-CN"/>
              </w:rPr>
            </w:pPr>
            <w:r>
              <w:rPr>
                <w:rFonts w:hint="default"/>
                <w:lang w:val="en-US" w:eastAsia="zh-CN"/>
              </w:rPr>
              <w:t>坝体土方开挖采用机械配合人工开挖、自卸汽车运输；土方回填采用装载机装自卸汽车运、人工回填、凸块碾压、蛙夯或人工夯实。</w:t>
            </w:r>
          </w:p>
          <w:p>
            <w:pPr>
              <w:ind w:firstLine="720"/>
              <w:rPr>
                <w:rFonts w:hint="default"/>
                <w:lang w:val="en-US" w:eastAsia="zh-CN"/>
              </w:rPr>
            </w:pPr>
            <w:r>
              <w:rPr>
                <w:rFonts w:hint="default"/>
                <w:lang w:val="en-US" w:eastAsia="zh-CN"/>
              </w:rPr>
              <w:t>2、混凝土工程</w:t>
            </w:r>
          </w:p>
          <w:p>
            <w:pPr>
              <w:ind w:firstLine="720"/>
              <w:rPr>
                <w:rFonts w:hint="default"/>
                <w:lang w:val="en-US" w:eastAsia="zh-CN"/>
              </w:rPr>
            </w:pPr>
            <w:r>
              <w:rPr>
                <w:rFonts w:hint="default"/>
                <w:lang w:val="en-US" w:eastAsia="zh-CN"/>
              </w:rPr>
              <w:t>本工程所涉及混凝土施工主要为溢洪道及防汛路等项目。其施工方法和要求如下：</w:t>
            </w:r>
          </w:p>
          <w:p>
            <w:pPr>
              <w:ind w:firstLine="720"/>
              <w:rPr>
                <w:rFonts w:hint="default"/>
                <w:lang w:val="en-US" w:eastAsia="zh-CN"/>
              </w:rPr>
            </w:pPr>
            <w:r>
              <w:rPr>
                <w:rFonts w:hint="default"/>
                <w:lang w:val="en-US" w:eastAsia="zh-CN"/>
              </w:rPr>
              <w:t>（1）要求：砂石料级配应符合设计要求，质地坚硬、清洁，堆放良好，不能混杂放置。</w:t>
            </w:r>
          </w:p>
          <w:p>
            <w:pPr>
              <w:ind w:firstLine="720"/>
              <w:rPr>
                <w:rFonts w:hint="default"/>
                <w:lang w:val="en-US" w:eastAsia="zh-CN"/>
              </w:rPr>
            </w:pPr>
            <w:r>
              <w:rPr>
                <w:rFonts w:hint="default"/>
                <w:lang w:val="en-US" w:eastAsia="zh-CN"/>
              </w:rPr>
              <w:t>（2）前准备工作：各项目砼施工前要清好基础，承载力达到设计要求。排干基坑积水。</w:t>
            </w:r>
          </w:p>
          <w:p>
            <w:pPr>
              <w:ind w:firstLine="720"/>
              <w:rPr>
                <w:rFonts w:hint="default"/>
                <w:lang w:val="en-US" w:eastAsia="zh-CN"/>
              </w:rPr>
            </w:pPr>
            <w:r>
              <w:rPr>
                <w:rFonts w:hint="default"/>
                <w:lang w:val="en-US" w:eastAsia="zh-CN"/>
              </w:rPr>
              <w:t>（3）土施工程序：严格控制施工程序，前一道工序验收合格后，才能进入下一道工序。砼拌制—灌筑砼—振捣—光面。</w:t>
            </w:r>
          </w:p>
          <w:p>
            <w:pPr>
              <w:ind w:firstLine="720"/>
              <w:rPr>
                <w:rFonts w:hint="default"/>
                <w:lang w:val="en-US" w:eastAsia="zh-CN"/>
              </w:rPr>
            </w:pPr>
            <w:r>
              <w:rPr>
                <w:rFonts w:hint="default"/>
                <w:lang w:val="en-US" w:eastAsia="zh-CN"/>
              </w:rPr>
              <w:t>（4）要求：砼拌制应充分，振捣要密实，浇入仓内的砼应随浇随平仓不能堆积。砼浇筑后要进行养护，养护时间不低于14天。</w:t>
            </w:r>
          </w:p>
          <w:p>
            <w:pPr>
              <w:ind w:firstLine="720"/>
              <w:rPr>
                <w:rFonts w:hint="default"/>
                <w:lang w:val="en-US" w:eastAsia="zh-CN"/>
              </w:rPr>
            </w:pPr>
            <w:r>
              <w:rPr>
                <w:rFonts w:hint="default"/>
                <w:lang w:val="en-US" w:eastAsia="zh-CN"/>
              </w:rPr>
              <w:t>（5）规范：要求依照《水工混凝土施工规范》（SL677-2014）进行施工。</w:t>
            </w:r>
          </w:p>
          <w:p>
            <w:pPr>
              <w:ind w:firstLine="720"/>
              <w:rPr>
                <w:rFonts w:hint="default"/>
                <w:lang w:val="en-US" w:eastAsia="zh-CN"/>
              </w:rPr>
            </w:pPr>
            <w:r>
              <w:rPr>
                <w:rFonts w:hint="default"/>
                <w:lang w:val="en-US" w:eastAsia="zh-CN"/>
              </w:rPr>
              <w:t>3、模板工程</w:t>
            </w:r>
          </w:p>
          <w:p>
            <w:pPr>
              <w:ind w:firstLine="720"/>
              <w:rPr>
                <w:rFonts w:hint="default"/>
                <w:lang w:val="en-US" w:eastAsia="zh-CN"/>
              </w:rPr>
            </w:pPr>
            <w:r>
              <w:rPr>
                <w:rFonts w:hint="default"/>
                <w:lang w:val="en-US" w:eastAsia="zh-CN"/>
              </w:rPr>
              <w:t>混凝土模板主要采用木模板。木模板由木材加工厂集中制作。模板由汽车运至现场后，人工安装。</w:t>
            </w:r>
          </w:p>
          <w:p>
            <w:pPr>
              <w:ind w:firstLine="720"/>
              <w:rPr>
                <w:rFonts w:hint="default"/>
                <w:lang w:val="en-US" w:eastAsia="zh-CN"/>
              </w:rPr>
            </w:pPr>
            <w:r>
              <w:rPr>
                <w:rFonts w:hint="default"/>
                <w:lang w:val="en-US" w:eastAsia="zh-CN"/>
              </w:rPr>
              <w:t>模板的制作满足施工图纸要求的建筑物结构外形，其制作偏差不超过有关国家规范的规定。模板安装前采用砂浆找平垫实，保证模板稳固及与下层混凝土结合牢固；混凝土浇筑前，清洗模板面，保证模板面湿润、不沾染松散砂浆等污物，同时适当加强平仓振捣，以确保模板与混凝土的可靠结合。</w:t>
            </w:r>
          </w:p>
          <w:p>
            <w:pPr>
              <w:ind w:firstLine="720"/>
              <w:rPr>
                <w:rFonts w:hint="default"/>
                <w:lang w:val="en-US" w:eastAsia="zh-CN"/>
              </w:rPr>
            </w:pPr>
            <w:r>
              <w:rPr>
                <w:rFonts w:hint="default"/>
                <w:lang w:val="en-US" w:eastAsia="zh-CN"/>
              </w:rPr>
              <w:t>混凝土浇筑后及时拆除模板，以提高模板的周转率，为后续工作创造条件。模板拆除时间依据其用途、结构性质及混凝土所具有的强度大小来确定，只有当混凝土强度达到施工图纸要求及规范规定后，方可拆出模板。</w:t>
            </w:r>
          </w:p>
          <w:p>
            <w:pPr>
              <w:ind w:firstLine="720"/>
              <w:rPr>
                <w:rFonts w:hint="default"/>
                <w:lang w:val="en-US" w:eastAsia="zh-CN"/>
              </w:rPr>
            </w:pPr>
            <w:r>
              <w:rPr>
                <w:rFonts w:hint="default"/>
                <w:lang w:val="en-US" w:eastAsia="zh-CN"/>
              </w:rPr>
              <w:t>4、钢筋工程</w:t>
            </w:r>
          </w:p>
          <w:p>
            <w:pPr>
              <w:ind w:firstLine="720"/>
              <w:rPr>
                <w:rFonts w:hint="default"/>
                <w:lang w:val="en-US" w:eastAsia="zh-CN"/>
              </w:rPr>
            </w:pPr>
            <w:r>
              <w:rPr>
                <w:rFonts w:hint="default"/>
                <w:lang w:val="en-US" w:eastAsia="zh-CN"/>
              </w:rPr>
              <w:t>钢筋混凝土结构用的钢筋应符合热轧钢筋主要性能的要求。钢筋在加工厂加工后，采用汽车运至施工现场。钢筋直径小于25mm时，其接头除轴心受拉、小偏心受拉构件和承受振动荷载的构件采用搭接手工电弧焊外，其余主要采用绑扎接头。现场水平向、竖向或斜向钢筋焊接：直径在25mm以下，主要采用搭接手工电弧焊。</w:t>
            </w:r>
          </w:p>
          <w:p>
            <w:pPr>
              <w:bidi w:val="0"/>
              <w:rPr>
                <w:rFonts w:hint="default"/>
                <w:lang w:val="en-US" w:eastAsia="zh-CN"/>
              </w:rPr>
            </w:pPr>
            <w:r>
              <w:rPr>
                <w:rFonts w:hint="default"/>
                <w:lang w:val="en-US" w:eastAsia="zh-CN"/>
              </w:rPr>
              <w:t>5、坝体塑性砼防渗墙</w:t>
            </w:r>
          </w:p>
          <w:p>
            <w:pPr>
              <w:bidi w:val="0"/>
            </w:pPr>
            <w:r>
              <w:t>大坝塑性砼防渗墙布置于主坝坝顶轴线偏上游1.2m，长度819m。主坝塑性砼防渗墙施工前先开挖至高程81.40m构筑施工平台。拆除坝顶路面采用液压挖掘机，人工配合辅助清理，碴料运到弃碴场，坝顶土方采用1</w:t>
            </w:r>
            <w:r>
              <w:rPr>
                <w:rFonts w:hint="eastAsia"/>
                <w:lang w:eastAsia="zh-CN"/>
              </w:rPr>
              <w:t>m</w:t>
            </w:r>
            <w:r>
              <w:rPr>
                <w:rFonts w:hint="eastAsia"/>
                <w:vertAlign w:val="superscript"/>
                <w:lang w:eastAsia="zh-CN"/>
              </w:rPr>
              <w:t>3</w:t>
            </w:r>
            <w:r>
              <w:t>挖掘机开挖，土料就近放到下游一级平台以上。塑性砼防渗墙最大高度为81.40m-39.13m=42.27m，塑性砼防渗墙厚0.4~0.6m，每7.2m一段，分二序施工。根据本工程为坝顶砼防渗墙施工场地狭小的特点，防渗墙的施工设计拟采用三钻两抓法施工(施工中须严格控制偏差)，主要包括以下施工程序：钻机配合液压抓斗机钻孔成槽、槽形验收、清孔及验收、下设接头管(Ⅰ期槽孔)、下设浇筑导管、砼浇筑</w:t>
            </w:r>
          </w:p>
          <w:p>
            <w:pPr>
              <w:numPr>
                <w:ilvl w:val="0"/>
                <w:numId w:val="4"/>
              </w:numPr>
              <w:bidi w:val="0"/>
              <w:rPr>
                <w:rFonts w:hint="eastAsia"/>
                <w:lang w:val="en-US" w:eastAsia="zh-CN"/>
              </w:rPr>
            </w:pPr>
            <w:r>
              <w:rPr>
                <w:rFonts w:hint="eastAsia"/>
                <w:lang w:val="en-US" w:eastAsia="zh-CN"/>
              </w:rPr>
              <w:t>帷幕灌浆</w:t>
            </w:r>
          </w:p>
          <w:p>
            <w:pPr>
              <w:bidi w:val="0"/>
            </w:pPr>
            <w:r>
              <w:rPr>
                <w:rFonts w:ascii="宋体" w:hAnsi="宋体" w:eastAsia="宋体" w:cs="宋体"/>
                <w:spacing w:val="6"/>
                <w:szCs w:val="24"/>
              </w:rPr>
              <w:t>部</w:t>
            </w:r>
            <w:r>
              <w:t>分坝基和右坝肩帷幕灌浆，在灌浆过程中的各种要求必须符合《水工建筑物水泥灌浆施工技术规范》(SL/T62-2020)和《土坝坝体灌浆技术规范》(SL564-2014)及技术设计要求。</w:t>
            </w:r>
          </w:p>
          <w:p>
            <w:pPr>
              <w:bidi w:val="0"/>
            </w:pPr>
            <w:r>
              <w:t>灌浆制浆设备布置在主坝坝顶，在坝顶搭建工作台。设一排灌浆孔，孔距为3.0m，主坝部分坝基帷幕灌浆轴线与砼防渗墙共线。部分坝基及右坝肩帷幕灌浆总孔数169孔。</w:t>
            </w:r>
          </w:p>
          <w:p>
            <w:pPr>
              <w:bidi w:val="0"/>
            </w:pPr>
            <w:r>
              <w:t>灌浆深度的确定：帷幕灌浆段孔深及范围应根据先导孔资料现场确定。一序孔为先导孔，钻入基岩层作压水试验，当吸水率小于或等于10Lu时，再钻5m。单孔灌浆深度拟定为5.18~28.63m。</w:t>
            </w:r>
          </w:p>
          <w:p>
            <w:pPr>
              <w:bidi w:val="0"/>
              <w:rPr>
                <w:rFonts w:hint="eastAsia"/>
                <w:lang w:val="en-US" w:eastAsia="zh-CN"/>
              </w:rPr>
            </w:pPr>
            <w:r>
              <w:rPr>
                <w:rFonts w:hint="eastAsia"/>
                <w:lang w:val="en-US" w:eastAsia="zh-CN"/>
              </w:rPr>
              <w:t>7、排水体施工</w:t>
            </w:r>
          </w:p>
          <w:p>
            <w:pPr>
              <w:bidi w:val="0"/>
              <w:rPr>
                <w:rFonts w:hint="eastAsia"/>
                <w:lang w:val="en-US" w:eastAsia="zh-CN"/>
              </w:rPr>
            </w:pPr>
            <w:r>
              <w:rPr>
                <w:rFonts w:hint="eastAsia"/>
                <w:lang w:val="en-US" w:eastAsia="zh-CN"/>
              </w:rPr>
              <w:t>排水体的施工包括主坝和周家湾副坝堆石排水棱体的局部维修、陈家冲副坝贴坡排水的新建。堆石排水棱体局部维修将堆石体面层块石采用人工拆除，拆除方法为人工用铁撬松动，拆除的块石由自卸汽车运往弃渣场。</w:t>
            </w:r>
          </w:p>
          <w:p>
            <w:pPr>
              <w:bidi w:val="0"/>
              <w:rPr>
                <w:rFonts w:hint="default"/>
                <w:lang w:val="en-US" w:eastAsia="zh-CN"/>
              </w:rPr>
            </w:pPr>
            <w:r>
              <w:rPr>
                <w:rFonts w:hint="eastAsia"/>
                <w:lang w:val="en-US" w:eastAsia="zh-CN"/>
              </w:rPr>
              <w:t>8、</w:t>
            </w:r>
            <w:r>
              <w:rPr>
                <w:rFonts w:hint="default"/>
                <w:lang w:val="en-US" w:eastAsia="zh-CN"/>
              </w:rPr>
              <w:t>堆石排水棱体施工</w:t>
            </w:r>
          </w:p>
          <w:p>
            <w:pPr>
              <w:bidi w:val="0"/>
              <w:rPr>
                <w:rFonts w:hint="default"/>
                <w:lang w:val="en-US" w:eastAsia="zh-CN"/>
              </w:rPr>
            </w:pPr>
            <w:r>
              <w:rPr>
                <w:rFonts w:hint="default"/>
                <w:lang w:val="en-US" w:eastAsia="zh-CN"/>
              </w:rPr>
              <w:t>本次堆石排水棱体局部维修包括部分堆石排水棱体拆除重建以及局部新建堆石排水棱体，原堆石排水棱干砌石采用人工拆除，拆除方法为人工用铁撬松动，可利用块石直接用于重建排水棱体，不可利用的由自卸汽车运往指定地点。</w:t>
            </w:r>
          </w:p>
          <w:p>
            <w:pPr>
              <w:bidi w:val="0"/>
              <w:rPr>
                <w:rFonts w:hint="default"/>
                <w:lang w:val="en-US" w:eastAsia="zh-CN"/>
              </w:rPr>
            </w:pPr>
            <w:r>
              <w:rPr>
                <w:rFonts w:hint="default"/>
                <w:lang w:val="en-US" w:eastAsia="zh-CN"/>
              </w:rPr>
              <w:t>堆石排水棱体砌筑施工可自下而上，人工进行。先人工开挖土方(开挖需严格按设计坡比分级开挖)，后堆石，再人工回填土方，为了安全和节省劳力，施工时须将库水位放至死水位，且分段进行施工，使后一段开挖的土料直接用在前一施工地段的回填，减少运输工作量。排水体与坝体填土之间设置反滤层，反滤层由三层反滤料组成，选用耐风化的粗砂、砾石和卵石构成。</w:t>
            </w:r>
          </w:p>
          <w:p>
            <w:pPr>
              <w:bidi w:val="0"/>
              <w:rPr>
                <w:rFonts w:hint="default"/>
                <w:lang w:val="en-US" w:eastAsia="zh-CN"/>
              </w:rPr>
            </w:pPr>
            <w:r>
              <w:rPr>
                <w:rFonts w:hint="default"/>
                <w:lang w:val="en-US" w:eastAsia="zh-CN"/>
              </w:rPr>
              <w:t>（</w:t>
            </w:r>
            <w:r>
              <w:rPr>
                <w:rFonts w:hint="eastAsia"/>
                <w:lang w:val="en-US" w:eastAsia="zh-CN"/>
              </w:rPr>
              <w:t>四</w:t>
            </w:r>
            <w:r>
              <w:rPr>
                <w:rFonts w:hint="default"/>
                <w:lang w:val="en-US" w:eastAsia="zh-CN"/>
              </w:rPr>
              <w:t>）工期安排</w:t>
            </w:r>
          </w:p>
          <w:p>
            <w:pPr>
              <w:bidi w:val="0"/>
            </w:pPr>
            <w:r>
              <w:t>根据工程实际情况，本工程拟在两个枯水期内安排施工，每个枯水期完成部分工程施工，工程施工总工期19个月(其中准备期为1个月，主体工程工期16个月，工程扫尾期为2个月)，开工日期为</w:t>
            </w:r>
            <w:r>
              <w:rPr>
                <w:rFonts w:hint="eastAsia"/>
                <w:lang w:val="en-US" w:eastAsia="zh-CN"/>
              </w:rPr>
              <w:t>2022年</w:t>
            </w:r>
            <w:r>
              <w:t>11月，完工日期为</w:t>
            </w:r>
            <w:r>
              <w:rPr>
                <w:rFonts w:hint="eastAsia"/>
                <w:lang w:val="en-US" w:eastAsia="zh-CN"/>
              </w:rPr>
              <w:t>2024年</w:t>
            </w:r>
            <w:r>
              <w:t>5月。</w:t>
            </w:r>
          </w:p>
          <w:p>
            <w:pPr>
              <w:bidi w:val="0"/>
            </w:pPr>
            <w:r>
              <w:rPr>
                <w:rFonts w:hint="eastAsia"/>
                <w:lang w:val="en-US" w:eastAsia="zh-CN"/>
              </w:rPr>
              <w:t>2022年</w:t>
            </w:r>
            <w:r>
              <w:t>10月为工程准备期，工程准备期内进行施工临时道路修建，施工工厂、仓库及其它辅助设施的修建等。</w:t>
            </w:r>
          </w:p>
          <w:p>
            <w:pPr>
              <w:bidi w:val="0"/>
            </w:pPr>
            <w:r>
              <w:rPr>
                <w:rFonts w:hint="eastAsia"/>
                <w:lang w:val="en-US" w:eastAsia="zh-CN"/>
              </w:rPr>
              <w:t>2022年</w:t>
            </w:r>
            <w:r>
              <w:t>11月至</w:t>
            </w:r>
            <w:r>
              <w:rPr>
                <w:rFonts w:hint="eastAsia"/>
                <w:lang w:val="en-US" w:eastAsia="zh-CN"/>
              </w:rPr>
              <w:t>2024年</w:t>
            </w:r>
            <w:r>
              <w:t>2月为主体工程施工期，在此期间需完成主坝塑性砼防渗墙和帷幕灌浆、坝面护坡、排水棱体改造，副坝加高培厚、防渗墙施工、排水棱体和坝面护坡施工，主坝输水涵洞拆除重建，溢洪道及出水渠改造等的施工。</w:t>
            </w:r>
          </w:p>
          <w:p>
            <w:pPr>
              <w:bidi w:val="0"/>
            </w:pPr>
            <w:r>
              <w:rPr>
                <w:rFonts w:hint="eastAsia"/>
                <w:lang w:val="en-US" w:eastAsia="zh-CN"/>
              </w:rPr>
              <w:t>2023年</w:t>
            </w:r>
            <w:r>
              <w:t>4~10月安全度汛。扫尾工程工期安排在</w:t>
            </w:r>
            <w:r>
              <w:rPr>
                <w:rFonts w:hint="eastAsia"/>
                <w:lang w:val="en-US" w:eastAsia="zh-CN"/>
              </w:rPr>
              <w:t>2024年</w:t>
            </w:r>
            <w:r>
              <w:t>3~4月，主要完成临建设施拆除、工程移交、人员及设备的撤退和转移等工作。</w:t>
            </w:r>
          </w:p>
          <w:p>
            <w:pPr>
              <w:bidi w:val="0"/>
            </w:pPr>
            <w:r>
              <w:rPr>
                <w:rFonts w:hint="eastAsia"/>
                <w:lang w:val="en-US" w:eastAsia="zh-CN"/>
              </w:rPr>
              <w:t>2024年</w:t>
            </w:r>
            <w:r>
              <w:t>5月工程验收。</w:t>
            </w:r>
          </w:p>
          <w:p>
            <w:pPr>
              <w:numPr>
                <w:ilvl w:val="0"/>
                <w:numId w:val="0"/>
              </w:numPr>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3" w:hRule="atLeast"/>
          <w:jc w:val="center"/>
        </w:trPr>
        <w:tc>
          <w:tcPr>
            <w:tcW w:w="503" w:type="dxa"/>
            <w:noWrap w:val="0"/>
            <w:vAlign w:val="center"/>
          </w:tcPr>
          <w:p>
            <w:pPr>
              <w:adjustRightInd w:val="0"/>
              <w:snapToGrid w:val="0"/>
              <w:ind w:left="0" w:leftChars="0" w:firstLine="0" w:firstLineChars="0"/>
              <w:jc w:val="both"/>
              <w:rPr>
                <w:rFonts w:hint="default" w:ascii="Times New Roman" w:hAnsi="Times New Roman" w:cs="Times New Roman"/>
                <w:kern w:val="0"/>
                <w:szCs w:val="21"/>
              </w:rPr>
            </w:pPr>
            <w:r>
              <w:rPr>
                <w:rFonts w:hint="default" w:ascii="Times New Roman" w:hAnsi="Times New Roman" w:cs="Times New Roman"/>
                <w:kern w:val="0"/>
                <w:szCs w:val="21"/>
              </w:rPr>
              <w:t>其他</w:t>
            </w:r>
          </w:p>
        </w:tc>
        <w:tc>
          <w:tcPr>
            <w:tcW w:w="8582" w:type="dxa"/>
            <w:noWrap w:val="0"/>
            <w:vAlign w:val="center"/>
          </w:tcPr>
          <w:p>
            <w:pPr>
              <w:ind w:firstLine="720"/>
              <w:rPr>
                <w:rFonts w:hint="default"/>
                <w:lang w:val="en-US" w:eastAsia="zh-CN"/>
              </w:rPr>
            </w:pPr>
            <w:r>
              <w:rPr>
                <w:rFonts w:hint="default"/>
                <w:lang w:val="en-US" w:eastAsia="zh-CN"/>
              </w:rPr>
              <w:t>施工导流</w:t>
            </w:r>
          </w:p>
          <w:p>
            <w:pPr>
              <w:ind w:firstLine="720"/>
              <w:rPr>
                <w:rFonts w:hint="default"/>
                <w:lang w:val="en-US" w:eastAsia="zh-CN"/>
              </w:rPr>
            </w:pPr>
            <w:bookmarkStart w:id="41" w:name="_Toc238487466"/>
            <w:bookmarkStart w:id="42" w:name="_Toc258369908"/>
            <w:bookmarkStart w:id="43" w:name="_Toc286915535"/>
            <w:bookmarkStart w:id="44" w:name="_Toc63776913"/>
            <w:bookmarkStart w:id="45" w:name="_Toc258335339"/>
            <w:r>
              <w:rPr>
                <w:rFonts w:hint="default"/>
                <w:lang w:val="en-US" w:eastAsia="zh-CN"/>
              </w:rPr>
              <w:t>1、导流标准</w:t>
            </w:r>
          </w:p>
          <w:p>
            <w:pPr>
              <w:ind w:firstLine="720"/>
              <w:rPr>
                <w:rFonts w:hint="default"/>
                <w:lang w:val="en-US" w:eastAsia="zh-CN"/>
              </w:rPr>
            </w:pPr>
            <w:r>
              <w:rPr>
                <w:rFonts w:hint="default"/>
                <w:lang w:val="en-US" w:eastAsia="zh-CN"/>
              </w:rPr>
              <w:t>根据《水利水电工程施工组织设计规范》(SL303-2017)及《水利水电工程等级划分及洪水标准》(SL252-2017)，本工程为中型水利工程，主要建筑物为3级，次要建筑物级别为4级，临时性建筑物为5级。施工期临时建筑物采用土石结构，临时性建筑物洪水标准重现期为10~5年，本工程取5年。</w:t>
            </w:r>
          </w:p>
          <w:p>
            <w:pPr>
              <w:numPr>
                <w:ilvl w:val="0"/>
                <w:numId w:val="5"/>
              </w:numPr>
              <w:ind w:firstLine="720"/>
              <w:rPr>
                <w:rFonts w:hint="eastAsia"/>
                <w:lang w:val="en-US" w:eastAsia="zh-CN"/>
              </w:rPr>
            </w:pPr>
            <w:r>
              <w:rPr>
                <w:rFonts w:hint="eastAsia"/>
                <w:lang w:val="en-US" w:eastAsia="zh-CN"/>
              </w:rPr>
              <w:t>施工导流</w:t>
            </w:r>
          </w:p>
          <w:bookmarkEnd w:id="41"/>
          <w:bookmarkEnd w:id="42"/>
          <w:bookmarkEnd w:id="43"/>
          <w:bookmarkEnd w:id="44"/>
          <w:bookmarkEnd w:id="45"/>
          <w:p>
            <w:pPr>
              <w:ind w:firstLine="720"/>
              <w:rPr>
                <w:rFonts w:hint="default"/>
                <w:lang w:val="en-US" w:eastAsia="zh-CN"/>
              </w:rPr>
            </w:pPr>
            <w:r>
              <w:rPr>
                <w:rFonts w:hint="default"/>
                <w:lang w:val="en-US" w:eastAsia="zh-CN"/>
              </w:rPr>
              <w:t>本次除险加固工程大坝右岸坝肩帷幕灌浆、下游坝坡整坡和草皮护坡等项目的施工均不受洪水影响；溢洪道除险加固选择在枯水期施工，无需泄洪；大坝坝体、右坝段坝基防渗处理、上游坝坡预制砼六方块护坡、下游坝脚堆石排水棱体局部维修及主坝输水涵洞拆除重建施工，需将库水位降至死水位。</w:t>
            </w:r>
          </w:p>
          <w:p>
            <w:pPr>
              <w:ind w:firstLine="720"/>
              <w:rPr>
                <w:rFonts w:hint="default"/>
                <w:lang w:val="en-US" w:eastAsia="zh-CN"/>
              </w:rPr>
            </w:pPr>
            <w:r>
              <w:rPr>
                <w:rFonts w:hint="default"/>
                <w:lang w:val="en-US" w:eastAsia="zh-CN"/>
              </w:rPr>
              <w:t>为了配合本工程的顺利进行，根据当地实际情况，主体工程选择在枯水期(每年10月~次年3月)施工，主坝输水涵洞拆除重建施工前利用原输水涵洞将库水位降至进水口底板高程(死水位62.70m)，在涵洞进水口前设置临时围堰，并设置一根φ800mmPE管导流，连接库区与大坝下游输水渠，导流管长度150m。</w:t>
            </w:r>
          </w:p>
          <w:p>
            <w:pPr>
              <w:ind w:firstLine="720"/>
              <w:rPr>
                <w:rFonts w:hint="default"/>
                <w:lang w:val="en-US" w:eastAsia="zh-CN"/>
              </w:rPr>
            </w:pPr>
            <w:r>
              <w:rPr>
                <w:rFonts w:hint="default"/>
                <w:lang w:val="en-US" w:eastAsia="zh-CN"/>
              </w:rPr>
              <w:t>根据施工安排，大坝坝体、右坝段坝基防渗处理、上游坝坡预制砼六方块护坡、下游坝脚堆石排水棱体局部维修及主坝输水涵洞拆除重建施工期为第一年11月~第二年3月，为满足施工要求，要求水库在11月份之前利用输水涵洞预降库水位至死水位，并在原输水涵洞进口前设置临时施工围堰和导流管。溢洪道及周家湾副坝和陈家冲副坝加固施工工期为</w:t>
            </w:r>
            <w:r>
              <w:rPr>
                <w:rFonts w:hint="eastAsia"/>
                <w:lang w:val="en-US" w:eastAsia="zh-CN"/>
              </w:rPr>
              <w:t>2022年</w:t>
            </w:r>
            <w:r>
              <w:rPr>
                <w:rFonts w:hint="default"/>
                <w:lang w:val="en-US" w:eastAsia="zh-CN"/>
              </w:rPr>
              <w:t>12月至</w:t>
            </w:r>
            <w:r>
              <w:rPr>
                <w:rFonts w:hint="eastAsia"/>
                <w:lang w:val="en-US" w:eastAsia="zh-CN"/>
              </w:rPr>
              <w:t>2023年</w:t>
            </w:r>
            <w:r>
              <w:rPr>
                <w:rFonts w:hint="default"/>
                <w:lang w:val="en-US" w:eastAsia="zh-CN"/>
              </w:rPr>
              <w:t>3月，周家湾副坝上游坝坡护坡底部高程最低处为74.40m，陈家冲副坝上游坝坡护坡底部高程为75.81m，溢洪道控制段底板高程78.83m，可以考虑在枯水期利用主坝输水涵洞放水将库水位降至死水位，无需围堰。</w:t>
            </w:r>
          </w:p>
          <w:p>
            <w:pPr>
              <w:bidi w:val="0"/>
              <w:rPr>
                <w:rFonts w:hint="default"/>
                <w:lang w:val="en-US" w:eastAsia="zh-CN"/>
              </w:rPr>
            </w:pPr>
            <w:r>
              <w:rPr>
                <w:rFonts w:hint="default"/>
                <w:lang w:val="en-US" w:eastAsia="zh-CN"/>
              </w:rPr>
              <w:t>主坝输水涵洞拆除重建项目的施工顺序为：①利用原输水涵洞将库水降至死水位62.70m；②临时施工围堰的施工，围堰内预埋φ800mmPE导流管，长度20m；③围堰背水侧附近的导流管处设一闸阀，闸阀下部设砼支座，作为一期导流和二期导流期间停止导流的控制措施；④原输水涵洞洞顶大坝开挖；⑤原输水涵洞右侧铺设一根φ800mmPE导流管，与围堰背水侧附近的导流管闸阀连通，进行一期导流；⑥原输水涵洞取水塔和涵身拆除；⑦输水涵洞取水塔和涵身建基面基础处理以及与塑性砼防渗墙相交的箱涵底部截渗槽施工；⑧输水涵洞取水塔和涵身浇筑；⑨取水塔及箱涵建成后，关闭导流管闸阀，将闸阀下游的导流管移入新建成的箱涵内，再打开闸阀进行二期导流；⑩涵身顶部和两侧外包水泥土回填；⑪涵顶大坝坝体填土(涵顶1.8m以下至涵底部分采用人工回填，涵顶1.8m以上部分采用机械回填)；上游坝坡预制砼六方块护坡及砼平台恢复；⑫导流管、闸阀(含砼支座)及围堰拆除。主坝输水涵洞拟在施工期水库来水量较少的11月份开始施工，</w:t>
            </w:r>
            <w:r>
              <w:rPr>
                <w:rFonts w:hint="eastAsia"/>
                <w:lang w:val="en-US" w:eastAsia="zh-CN"/>
              </w:rPr>
              <w:t>2023年</w:t>
            </w:r>
            <w:r>
              <w:rPr>
                <w:rFonts w:hint="default"/>
                <w:lang w:val="en-US" w:eastAsia="zh-CN"/>
              </w:rPr>
              <w:t>1月完工，主坝输水涵洞施工完成后，开闸进行其它施工渡汛。</w:t>
            </w:r>
          </w:p>
          <w:p>
            <w:pPr>
              <w:bidi w:val="0"/>
              <w:rPr>
                <w:rFonts w:hint="eastAsia"/>
                <w:lang w:val="en-US" w:eastAsia="zh-CN"/>
              </w:rPr>
            </w:pPr>
            <w:r>
              <w:rPr>
                <w:rFonts w:hint="eastAsia"/>
                <w:lang w:val="en-US" w:eastAsia="zh-CN"/>
              </w:rPr>
              <w:t>3、围堰</w:t>
            </w:r>
          </w:p>
          <w:p>
            <w:pPr>
              <w:bidi w:val="0"/>
              <w:rPr>
                <w:rFonts w:hint="default"/>
                <w:lang w:val="en-US" w:eastAsia="zh-CN"/>
              </w:rPr>
            </w:pPr>
            <w:r>
              <w:t>本工</w:t>
            </w:r>
            <w:r>
              <w:rPr>
                <w:rFonts w:ascii="宋体" w:hAnsi="宋体" w:eastAsia="宋体" w:cs="宋体"/>
                <w:spacing w:val="6"/>
                <w:szCs w:val="24"/>
              </w:rPr>
              <w:t>程主坝输水涵洞拆除重建施工需设施工围堰。根据施工进度安排，主坝输水涵</w:t>
            </w:r>
            <w:r>
              <w:rPr>
                <w:rFonts w:ascii="宋体" w:hAnsi="宋体" w:eastAsia="宋体" w:cs="宋体"/>
                <w:spacing w:val="-1"/>
                <w:szCs w:val="24"/>
              </w:rPr>
              <w:t>洞拆除重建施工时受上游水位</w:t>
            </w:r>
            <w:r>
              <w:rPr>
                <w:rFonts w:ascii="宋体" w:hAnsi="宋体" w:eastAsia="宋体" w:cs="宋体"/>
                <w:szCs w:val="24"/>
              </w:rPr>
              <w:t>影响，施工安排在第二个枯水期的</w:t>
            </w:r>
            <w:r>
              <w:rPr>
                <w:rFonts w:ascii="Times New Roman" w:hAnsi="Times New Roman" w:eastAsia="Times New Roman" w:cs="Times New Roman"/>
                <w:szCs w:val="24"/>
              </w:rPr>
              <w:t>11</w:t>
            </w:r>
            <w:r>
              <w:rPr>
                <w:rFonts w:ascii="宋体" w:hAnsi="宋体" w:eastAsia="宋体" w:cs="宋体"/>
                <w:szCs w:val="24"/>
              </w:rPr>
              <w:t>月~次年</w:t>
            </w:r>
            <w:r>
              <w:rPr>
                <w:rFonts w:ascii="Times New Roman" w:hAnsi="Times New Roman" w:eastAsia="Times New Roman" w:cs="Times New Roman"/>
                <w:szCs w:val="24"/>
              </w:rPr>
              <w:t>1</w:t>
            </w:r>
            <w:r>
              <w:rPr>
                <w:rFonts w:ascii="宋体" w:hAnsi="宋体" w:eastAsia="宋体" w:cs="宋体"/>
                <w:szCs w:val="24"/>
              </w:rPr>
              <w:t>月，从安</w:t>
            </w:r>
            <w:r>
              <w:rPr>
                <w:rFonts w:ascii="宋体" w:hAnsi="宋体" w:eastAsia="宋体" w:cs="宋体"/>
                <w:spacing w:val="-6"/>
                <w:szCs w:val="24"/>
              </w:rPr>
              <w:t>全角度考虑，本次施工时段取</w:t>
            </w:r>
            <w:r>
              <w:rPr>
                <w:rFonts w:ascii="Times New Roman" w:hAnsi="Times New Roman" w:eastAsia="Times New Roman" w:cs="Times New Roman"/>
                <w:spacing w:val="-6"/>
                <w:szCs w:val="24"/>
              </w:rPr>
              <w:t>11</w:t>
            </w:r>
            <w:r>
              <w:rPr>
                <w:rFonts w:ascii="宋体" w:hAnsi="宋体" w:eastAsia="宋体" w:cs="宋体"/>
                <w:spacing w:val="-6"/>
                <w:szCs w:val="24"/>
              </w:rPr>
              <w:t>月</w:t>
            </w:r>
            <w:r>
              <w:rPr>
                <w:rFonts w:ascii="Times New Roman" w:hAnsi="Times New Roman" w:eastAsia="Times New Roman" w:cs="Times New Roman"/>
                <w:spacing w:val="-6"/>
                <w:szCs w:val="24"/>
              </w:rPr>
              <w:t>~</w:t>
            </w:r>
            <w:r>
              <w:rPr>
                <w:rFonts w:ascii="宋体" w:hAnsi="宋体" w:eastAsia="宋体" w:cs="宋体"/>
                <w:spacing w:val="-6"/>
                <w:szCs w:val="24"/>
              </w:rPr>
              <w:t>次年</w:t>
            </w:r>
            <w:r>
              <w:rPr>
                <w:rFonts w:ascii="Times New Roman" w:hAnsi="Times New Roman" w:eastAsia="Times New Roman" w:cs="Times New Roman"/>
                <w:spacing w:val="-6"/>
                <w:szCs w:val="24"/>
              </w:rPr>
              <w:t>3</w:t>
            </w:r>
            <w:r>
              <w:rPr>
                <w:rFonts w:ascii="宋体" w:hAnsi="宋体" w:eastAsia="宋体" w:cs="宋体"/>
                <w:spacing w:val="-6"/>
                <w:szCs w:val="24"/>
              </w:rPr>
              <w:t>月，需在输涵洞进水口前加设围堰保护方可</w:t>
            </w:r>
            <w:r>
              <w:rPr>
                <w:rFonts w:ascii="宋体" w:hAnsi="宋体" w:eastAsia="宋体" w:cs="宋体"/>
                <w:szCs w:val="24"/>
              </w:rPr>
              <w:t>施</w:t>
            </w:r>
            <w:r>
              <w:rPr>
                <w:rFonts w:ascii="宋体" w:hAnsi="宋体" w:eastAsia="宋体" w:cs="宋体"/>
                <w:spacing w:val="-2"/>
                <w:szCs w:val="24"/>
              </w:rPr>
              <w:t>工，根据《水利水电工程施工组织设计规范》(</w:t>
            </w:r>
            <w:r>
              <w:rPr>
                <w:rFonts w:ascii="Times New Roman" w:hAnsi="Times New Roman" w:eastAsia="Times New Roman" w:cs="Times New Roman"/>
                <w:spacing w:val="-1"/>
                <w:szCs w:val="24"/>
              </w:rPr>
              <w:t>SL</w:t>
            </w:r>
            <w:r>
              <w:rPr>
                <w:rFonts w:ascii="Times New Roman" w:hAnsi="Times New Roman" w:eastAsia="Times New Roman" w:cs="Times New Roman"/>
                <w:spacing w:val="-2"/>
                <w:szCs w:val="24"/>
              </w:rPr>
              <w:t>303-2</w:t>
            </w:r>
            <w:r>
              <w:rPr>
                <w:rFonts w:ascii="Times New Roman" w:hAnsi="Times New Roman" w:eastAsia="Times New Roman" w:cs="Times New Roman"/>
                <w:spacing w:val="-1"/>
                <w:szCs w:val="24"/>
              </w:rPr>
              <w:t>017</w:t>
            </w:r>
            <w:r>
              <w:rPr>
                <w:rFonts w:ascii="宋体" w:hAnsi="宋体" w:eastAsia="宋体" w:cs="宋体"/>
                <w:spacing w:val="-1"/>
                <w:szCs w:val="24"/>
              </w:rPr>
              <w:t>)，导流建筑物级别为</w:t>
            </w:r>
            <w:r>
              <w:rPr>
                <w:rFonts w:ascii="Times New Roman" w:hAnsi="Times New Roman" w:eastAsia="Times New Roman" w:cs="Times New Roman"/>
                <w:spacing w:val="-1"/>
                <w:szCs w:val="24"/>
              </w:rPr>
              <w:t>5</w:t>
            </w:r>
            <w:r>
              <w:rPr>
                <w:rFonts w:ascii="宋体" w:hAnsi="宋体" w:eastAsia="宋体" w:cs="宋体"/>
                <w:spacing w:val="-1"/>
                <w:szCs w:val="24"/>
              </w:rPr>
              <w:t>级，施工围堰安全加高为</w:t>
            </w:r>
            <w:r>
              <w:rPr>
                <w:rFonts w:ascii="Times New Roman" w:hAnsi="Times New Roman" w:eastAsia="Times New Roman" w:cs="Times New Roman"/>
                <w:spacing w:val="-1"/>
                <w:szCs w:val="24"/>
              </w:rPr>
              <w:t>0.5</w:t>
            </w:r>
            <w:r>
              <w:rPr>
                <w:rFonts w:ascii="Times New Roman" w:hAnsi="Times New Roman" w:eastAsia="Times New Roman" w:cs="Times New Roman"/>
                <w:szCs w:val="24"/>
              </w:rPr>
              <w:t>m</w:t>
            </w:r>
            <w:r>
              <w:rPr>
                <w:rFonts w:ascii="宋体" w:hAnsi="宋体" w:eastAsia="宋体" w:cs="宋体"/>
                <w:spacing w:val="-1"/>
                <w:szCs w:val="24"/>
              </w:rPr>
              <w:t>，根据水文计算成果，施工期水位为</w:t>
            </w:r>
            <w:r>
              <w:rPr>
                <w:rFonts w:ascii="Times New Roman" w:hAnsi="Times New Roman" w:eastAsia="Times New Roman" w:cs="Times New Roman"/>
                <w:spacing w:val="-1"/>
                <w:szCs w:val="24"/>
              </w:rPr>
              <w:t>63.46</w:t>
            </w:r>
            <w:r>
              <w:rPr>
                <w:rFonts w:ascii="Times New Roman" w:hAnsi="Times New Roman" w:eastAsia="Times New Roman" w:cs="Times New Roman"/>
                <w:szCs w:val="24"/>
              </w:rPr>
              <w:t>m</w:t>
            </w:r>
            <w:r>
              <w:rPr>
                <w:rFonts w:ascii="宋体" w:hAnsi="宋体" w:eastAsia="宋体" w:cs="宋体"/>
                <w:spacing w:val="-1"/>
                <w:szCs w:val="24"/>
              </w:rPr>
              <w:t>，施工围</w:t>
            </w:r>
            <w:r>
              <w:rPr>
                <w:rFonts w:ascii="宋体" w:hAnsi="宋体" w:eastAsia="宋体" w:cs="宋体"/>
                <w:szCs w:val="24"/>
              </w:rPr>
              <w:t>堰选用粘土</w:t>
            </w:r>
            <w:r>
              <w:rPr>
                <w:rFonts w:ascii="宋体" w:hAnsi="宋体" w:eastAsia="宋体" w:cs="宋体"/>
                <w:spacing w:val="-10"/>
                <w:szCs w:val="24"/>
              </w:rPr>
              <w:t>均质土坝，围堰轴</w:t>
            </w:r>
            <w:r>
              <w:rPr>
                <w:rFonts w:ascii="宋体" w:hAnsi="宋体" w:eastAsia="宋体" w:cs="宋体"/>
                <w:spacing w:val="-5"/>
                <w:szCs w:val="24"/>
              </w:rPr>
              <w:t>线长</w:t>
            </w:r>
            <w:r>
              <w:rPr>
                <w:rFonts w:ascii="Times New Roman" w:hAnsi="Times New Roman" w:eastAsia="Times New Roman" w:cs="Times New Roman"/>
                <w:spacing w:val="-5"/>
                <w:szCs w:val="24"/>
              </w:rPr>
              <w:t>86m</w:t>
            </w:r>
            <w:r>
              <w:rPr>
                <w:rFonts w:ascii="宋体" w:hAnsi="宋体" w:eastAsia="宋体" w:cs="宋体"/>
                <w:spacing w:val="-5"/>
                <w:szCs w:val="24"/>
              </w:rPr>
              <w:t>，顶宽</w:t>
            </w:r>
            <w:r>
              <w:rPr>
                <w:rFonts w:ascii="Times New Roman" w:hAnsi="Times New Roman" w:eastAsia="Times New Roman" w:cs="Times New Roman"/>
                <w:spacing w:val="-5"/>
                <w:szCs w:val="24"/>
              </w:rPr>
              <w:t>2m</w:t>
            </w:r>
            <w:r>
              <w:rPr>
                <w:rFonts w:ascii="宋体" w:hAnsi="宋体" w:eastAsia="宋体" w:cs="宋体"/>
                <w:spacing w:val="-5"/>
                <w:szCs w:val="24"/>
              </w:rPr>
              <w:t>，堰顶高程</w:t>
            </w:r>
            <w:r>
              <w:rPr>
                <w:rFonts w:ascii="Times New Roman" w:hAnsi="Times New Roman" w:eastAsia="Times New Roman" w:cs="Times New Roman"/>
                <w:spacing w:val="-5"/>
                <w:szCs w:val="24"/>
              </w:rPr>
              <w:t>63.96m</w:t>
            </w:r>
            <w:r>
              <w:rPr>
                <w:rFonts w:ascii="宋体" w:hAnsi="宋体" w:eastAsia="宋体" w:cs="宋体"/>
                <w:spacing w:val="-5"/>
                <w:szCs w:val="24"/>
              </w:rPr>
              <w:t>，内、外坡坡比均为</w:t>
            </w:r>
            <w:r>
              <w:rPr>
                <w:rFonts w:ascii="Times New Roman" w:hAnsi="Times New Roman" w:eastAsia="Times New Roman" w:cs="Times New Roman"/>
                <w:spacing w:val="-5"/>
                <w:szCs w:val="24"/>
              </w:rPr>
              <w:t>1:2.0</w:t>
            </w:r>
            <w:r>
              <w:rPr>
                <w:rFonts w:ascii="宋体" w:hAnsi="宋体" w:eastAsia="宋体" w:cs="宋体"/>
                <w:spacing w:val="-5"/>
                <w:szCs w:val="24"/>
              </w:rPr>
              <w:t>，施工围堰总土方量</w:t>
            </w:r>
            <w:r>
              <w:rPr>
                <w:rFonts w:ascii="Times New Roman" w:hAnsi="Times New Roman" w:eastAsia="Times New Roman" w:cs="Times New Roman"/>
                <w:spacing w:val="-5"/>
                <w:szCs w:val="24"/>
              </w:rPr>
              <w:t>2549</w:t>
            </w:r>
            <w:r>
              <w:rPr>
                <w:rFonts w:hint="eastAsia" w:eastAsia="宋体" w:cs="Times New Roman"/>
                <w:spacing w:val="-3"/>
                <w:szCs w:val="24"/>
                <w:lang w:eastAsia="zh-CN"/>
              </w:rPr>
              <w:t>m</w:t>
            </w:r>
            <w:r>
              <w:rPr>
                <w:rFonts w:hint="eastAsia" w:eastAsia="宋体" w:cs="Times New Roman"/>
                <w:spacing w:val="-3"/>
                <w:szCs w:val="24"/>
                <w:vertAlign w:val="superscript"/>
                <w:lang w:eastAsia="zh-CN"/>
              </w:rPr>
              <w:t>3</w:t>
            </w:r>
            <w:r>
              <w:rPr>
                <w:rFonts w:ascii="宋体" w:hAnsi="宋体" w:eastAsia="宋体" w:cs="宋体"/>
                <w:spacing w:val="-5"/>
                <w:szCs w:val="24"/>
              </w:rPr>
              <w:t>。</w:t>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r>
              <w:rPr>
                <w:rFonts w:ascii="宋体" w:hAnsi="宋体" w:eastAsia="宋体" w:cs="宋体"/>
                <w:spacing w:val="-5"/>
                <w:szCs w:val="24"/>
              </w:rPr>
              <w:br w:type="textWrapping"/>
            </w:r>
          </w:p>
        </w:tc>
      </w:tr>
    </w:tbl>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outlineLvl w:val="0"/>
        <w:rPr>
          <w:rFonts w:ascii="黑体" w:hAnsi="黑体" w:eastAsia="黑体"/>
          <w:snapToGrid w:val="0"/>
          <w:sz w:val="30"/>
          <w:szCs w:val="30"/>
        </w:rPr>
      </w:pPr>
      <w:r>
        <w:rPr>
          <w:rFonts w:eastAsia="仿宋_GB2312"/>
          <w:b/>
          <w:bCs/>
        </w:rPr>
        <w:br w:type="page"/>
      </w:r>
      <w:bookmarkStart w:id="46" w:name="_Toc9130"/>
      <w:r>
        <w:rPr>
          <w:rFonts w:hint="eastAsia" w:ascii="黑体" w:hAnsi="黑体" w:eastAsia="黑体"/>
          <w:snapToGrid w:val="0"/>
          <w:sz w:val="30"/>
          <w:szCs w:val="30"/>
        </w:rPr>
        <w:t>三、生态环境现状、保护目标及评价标准</w:t>
      </w:r>
      <w:bookmarkEnd w:id="46"/>
    </w:p>
    <w:tbl>
      <w:tblPr>
        <w:tblStyle w:val="18"/>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6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492" w:type="dxa"/>
            <w:noWrap w:val="0"/>
            <w:vAlign w:val="center"/>
          </w:tcPr>
          <w:p>
            <w:pPr>
              <w:adjustRightInd w:val="0"/>
              <w:snapToGrid w:val="0"/>
              <w:ind w:left="0" w:leftChars="0" w:firstLine="0" w:firstLineChars="0"/>
              <w:jc w:val="both"/>
              <w:rPr>
                <w:rFonts w:ascii="宋体" w:hAnsi="宋体" w:cs="宋体"/>
                <w:kern w:val="0"/>
                <w:szCs w:val="21"/>
              </w:rPr>
            </w:pPr>
            <w:r>
              <w:rPr>
                <w:rFonts w:hint="eastAsia" w:ascii="宋体" w:hAnsi="宋体" w:cs="宋体"/>
                <w:kern w:val="0"/>
                <w:szCs w:val="21"/>
              </w:rPr>
              <w:t>生态环境现状</w:t>
            </w:r>
          </w:p>
        </w:tc>
        <w:tc>
          <w:tcPr>
            <w:tcW w:w="8665" w:type="dxa"/>
            <w:noWrap w:val="0"/>
            <w:vAlign w:val="center"/>
          </w:tcPr>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w:t>
            </w:r>
            <w:r>
              <w:rPr>
                <w:rFonts w:hint="eastAsia" w:cs="Times New Roman"/>
                <w:b/>
                <w:sz w:val="24"/>
                <w:szCs w:val="24"/>
                <w:lang w:eastAsia="zh-CN"/>
              </w:rPr>
              <w:t>、</w:t>
            </w:r>
            <w:r>
              <w:rPr>
                <w:rFonts w:hint="default" w:ascii="Times New Roman" w:hAnsi="Times New Roman" w:cs="Times New Roman"/>
                <w:b/>
                <w:sz w:val="24"/>
                <w:szCs w:val="24"/>
              </w:rPr>
              <w:t>环境质量现状</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1.1 大气环境质量现状</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①常规监测</w:t>
            </w:r>
          </w:p>
          <w:p>
            <w:pPr>
              <w:widowControl/>
              <w:spacing w:line="360" w:lineRule="auto"/>
              <w:ind w:firstLine="480" w:firstLineChars="200"/>
              <w:rPr>
                <w:rFonts w:hint="default" w:ascii="Times New Roman" w:hAnsi="Times New Roman" w:eastAsia="宋体" w:cs="Times New Roman"/>
                <w:color w:val="000000"/>
                <w:sz w:val="24"/>
                <w:highlight w:val="none"/>
                <w:u w:val="none" w:color="auto"/>
                <w:lang w:val="en-US" w:eastAsia="zh-CN"/>
              </w:rPr>
            </w:pPr>
            <w:r>
              <w:rPr>
                <w:rFonts w:hint="default" w:ascii="Times New Roman" w:hAnsi="Times New Roman" w:eastAsia="宋体" w:cs="Times New Roman"/>
                <w:sz w:val="24"/>
                <w:szCs w:val="24"/>
              </w:rPr>
              <w:t>项目所在区域达标情况判定优先采用国家或地方生态环境主管部门公开发布的环境质量公告或环境质量报告中的数据或结论。本次评价</w:t>
            </w:r>
            <w:r>
              <w:rPr>
                <w:rFonts w:hint="eastAsia" w:cs="Times New Roman"/>
                <w:sz w:val="24"/>
                <w:szCs w:val="24"/>
                <w:lang w:val="en-US" w:eastAsia="zh-CN"/>
              </w:rPr>
              <w:t>引用</w:t>
            </w:r>
            <w:r>
              <w:rPr>
                <w:rFonts w:hint="eastAsia" w:cs="Times New Roman"/>
                <w:color w:val="000000"/>
                <w:sz w:val="24"/>
                <w:highlight w:val="none"/>
                <w:u w:val="none" w:color="auto"/>
                <w:lang w:val="en-US" w:eastAsia="zh-CN"/>
              </w:rPr>
              <w:t>岳阳市生态环境局湘阴分局</w:t>
            </w:r>
            <w:r>
              <w:rPr>
                <w:rFonts w:hint="default" w:ascii="Times New Roman" w:hAnsi="Times New Roman" w:eastAsia="宋体" w:cs="Times New Roman"/>
                <w:color w:val="000000"/>
                <w:sz w:val="24"/>
                <w:highlight w:val="none"/>
                <w:u w:val="none" w:color="auto"/>
                <w:lang w:val="en-US" w:eastAsia="zh-CN"/>
              </w:rPr>
              <w:t>发布的《湘阴县环境空气质量指数统计表</w:t>
            </w:r>
            <w:r>
              <w:rPr>
                <w:rFonts w:hint="eastAsia" w:cs="Times New Roman"/>
                <w:color w:val="000000"/>
                <w:sz w:val="24"/>
                <w:highlight w:val="none"/>
                <w:u w:val="none" w:color="auto"/>
                <w:lang w:val="en-US" w:eastAsia="zh-CN"/>
              </w:rPr>
              <w:t>（</w:t>
            </w:r>
            <w:r>
              <w:rPr>
                <w:rFonts w:hint="default" w:ascii="Times New Roman" w:hAnsi="Times New Roman" w:eastAsia="宋体" w:cs="Times New Roman"/>
                <w:color w:val="000000"/>
                <w:sz w:val="24"/>
                <w:highlight w:val="none"/>
                <w:u w:val="none" w:color="auto"/>
                <w:lang w:val="en-US" w:eastAsia="zh-CN"/>
              </w:rPr>
              <w:t>20</w:t>
            </w:r>
            <w:r>
              <w:rPr>
                <w:rFonts w:hint="eastAsia" w:cs="Times New Roman"/>
                <w:color w:val="000000"/>
                <w:sz w:val="24"/>
                <w:highlight w:val="none"/>
                <w:u w:val="none" w:color="auto"/>
                <w:lang w:val="en-US" w:eastAsia="zh-CN"/>
              </w:rPr>
              <w:t>21</w:t>
            </w:r>
            <w:r>
              <w:rPr>
                <w:rFonts w:hint="default" w:ascii="Times New Roman" w:hAnsi="Times New Roman" w:eastAsia="宋体" w:cs="Times New Roman"/>
                <w:color w:val="000000"/>
                <w:sz w:val="24"/>
                <w:highlight w:val="none"/>
                <w:u w:val="none" w:color="auto"/>
                <w:lang w:val="en-US" w:eastAsia="zh-CN"/>
              </w:rPr>
              <w:t>年</w:t>
            </w:r>
            <w:r>
              <w:rPr>
                <w:rFonts w:hint="eastAsia" w:cs="Times New Roman"/>
                <w:color w:val="000000"/>
                <w:sz w:val="24"/>
                <w:highlight w:val="none"/>
                <w:u w:val="none" w:color="auto"/>
                <w:lang w:val="en-US" w:eastAsia="zh-CN"/>
              </w:rPr>
              <w:t>）</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数据见表3-1~3-2。</w:t>
            </w:r>
          </w:p>
          <w:p>
            <w:pPr>
              <w:widowControl/>
              <w:spacing w:line="360" w:lineRule="auto"/>
              <w:jc w:val="center"/>
              <w:rPr>
                <w:rFonts w:hint="default" w:cs="Times New Roman"/>
                <w:b/>
                <w:bCs/>
                <w:color w:val="000000"/>
                <w:sz w:val="24"/>
                <w:szCs w:val="24"/>
                <w:highlight w:val="none"/>
                <w:u w:val="none" w:color="auto"/>
                <w:lang w:val="en-US" w:eastAsia="zh-CN"/>
              </w:rPr>
            </w:pPr>
            <w:r>
              <w:rPr>
                <w:rFonts w:hint="eastAsia" w:cs="Times New Roman"/>
                <w:b/>
                <w:bCs/>
                <w:color w:val="000000"/>
                <w:sz w:val="24"/>
                <w:szCs w:val="24"/>
                <w:highlight w:val="none"/>
                <w:u w:val="none" w:color="auto"/>
                <w:lang w:val="en-US" w:eastAsia="zh-CN"/>
              </w:rPr>
              <w:t>表3-1  湘阴县2021年空气质量指数统计表</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978"/>
              <w:gridCol w:w="565"/>
              <w:gridCol w:w="619"/>
              <w:gridCol w:w="622"/>
              <w:gridCol w:w="733"/>
              <w:gridCol w:w="514"/>
              <w:gridCol w:w="771"/>
              <w:gridCol w:w="622"/>
              <w:gridCol w:w="556"/>
              <w:gridCol w:w="1117"/>
              <w:gridCol w:w="577"/>
              <w:gridCol w:w="7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92"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统计</w:t>
                  </w:r>
                </w:p>
              </w:tc>
              <w:tc>
                <w:tcPr>
                  <w:tcW w:w="565"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实测天数</w:t>
                  </w:r>
                </w:p>
              </w:tc>
              <w:tc>
                <w:tcPr>
                  <w:tcW w:w="3881" w:type="dxa"/>
                  <w:gridSpan w:val="6"/>
                  <w:tcBorders>
                    <w:tl2br w:val="nil"/>
                    <w:tr2bl w:val="nil"/>
                  </w:tcBorders>
                  <w:noWrap w:val="0"/>
                  <w:vAlign w:val="center"/>
                </w:tcPr>
                <w:p>
                  <w:pPr>
                    <w:pStyle w:val="27"/>
                    <w:bidi w:val="0"/>
                    <w:rPr>
                      <w:rFonts w:hint="eastAsia"/>
                      <w:lang w:val="en-US" w:eastAsia="zh-CN"/>
                    </w:rPr>
                  </w:pPr>
                  <w:r>
                    <w:rPr>
                      <w:rFonts w:hint="eastAsia"/>
                      <w:lang w:val="en-US" w:eastAsia="zh-CN"/>
                    </w:rPr>
                    <w:t>污染物日均值浓度（月平均数据）（</w:t>
                  </w:r>
                  <w:r>
                    <w:rPr>
                      <w:rFonts w:hint="default"/>
                      <w:lang w:val="en-US" w:eastAsia="zh-CN"/>
                    </w:rPr>
                    <w:t>μ</w:t>
                  </w:r>
                  <w:r>
                    <w:rPr>
                      <w:rFonts w:hint="eastAsia"/>
                      <w:lang w:val="en-US" w:eastAsia="zh-CN"/>
                    </w:rPr>
                    <w:t>g/m</w:t>
                  </w:r>
                  <w:r>
                    <w:rPr>
                      <w:rFonts w:hint="eastAsia"/>
                      <w:vertAlign w:val="superscript"/>
                      <w:lang w:val="en-US" w:eastAsia="zh-CN"/>
                    </w:rPr>
                    <w:t>3</w:t>
                  </w:r>
                  <w:r>
                    <w:rPr>
                      <w:rFonts w:hint="eastAsia"/>
                      <w:lang w:val="en-US" w:eastAsia="zh-CN"/>
                    </w:rPr>
                    <w:t>）</w:t>
                  </w:r>
                </w:p>
              </w:tc>
              <w:tc>
                <w:tcPr>
                  <w:tcW w:w="556"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AQI</w:t>
                  </w:r>
                </w:p>
              </w:tc>
              <w:tc>
                <w:tcPr>
                  <w:tcW w:w="1117"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首要污染物</w:t>
                  </w:r>
                </w:p>
              </w:tc>
              <w:tc>
                <w:tcPr>
                  <w:tcW w:w="577"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优良天数</w:t>
                  </w:r>
                </w:p>
              </w:tc>
              <w:tc>
                <w:tcPr>
                  <w:tcW w:w="745" w:type="dxa"/>
                  <w:vMerge w:val="restart"/>
                  <w:tcBorders>
                    <w:tl2br w:val="nil"/>
                    <w:tr2bl w:val="nil"/>
                  </w:tcBorders>
                  <w:noWrap w:val="0"/>
                  <w:vAlign w:val="center"/>
                </w:tcPr>
                <w:p>
                  <w:pPr>
                    <w:pStyle w:val="27"/>
                    <w:bidi w:val="0"/>
                    <w:rPr>
                      <w:rFonts w:hint="eastAsia"/>
                      <w:lang w:val="en-US" w:eastAsia="zh-CN"/>
                    </w:rPr>
                  </w:pPr>
                  <w:r>
                    <w:rPr>
                      <w:rFonts w:hint="eastAsia"/>
                      <w:lang w:val="en-US" w:eastAsia="zh-CN"/>
                    </w:rPr>
                    <w:t>优良率</w:t>
                  </w:r>
                </w:p>
                <w:p>
                  <w:pPr>
                    <w:pStyle w:val="27"/>
                    <w:bidi w:val="0"/>
                    <w:rPr>
                      <w:rFonts w:hint="default"/>
                      <w:lang w:val="en-US" w:eastAsia="zh-CN"/>
                    </w:rPr>
                  </w:pPr>
                  <w:r>
                    <w:rPr>
                      <w:rFonts w:hint="eastAsia"/>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时间</w:t>
                  </w:r>
                </w:p>
              </w:tc>
              <w:tc>
                <w:tcPr>
                  <w:tcW w:w="565" w:type="dxa"/>
                  <w:vMerge w:val="continue"/>
                  <w:tcBorders>
                    <w:tl2br w:val="nil"/>
                    <w:tr2bl w:val="nil"/>
                  </w:tcBorders>
                  <w:noWrap w:val="0"/>
                  <w:vAlign w:val="center"/>
                </w:tcPr>
                <w:p>
                  <w:pPr>
                    <w:pStyle w:val="27"/>
                    <w:bidi w:val="0"/>
                    <w:rPr>
                      <w:rFonts w:hint="eastAsia"/>
                      <w:lang w:val="en-US" w:eastAsia="zh-CN"/>
                    </w:rPr>
                  </w:pPr>
                </w:p>
              </w:tc>
              <w:tc>
                <w:tcPr>
                  <w:tcW w:w="619" w:type="dxa"/>
                  <w:tcBorders>
                    <w:tl2br w:val="nil"/>
                    <w:tr2bl w:val="nil"/>
                  </w:tcBorders>
                  <w:noWrap w:val="0"/>
                  <w:vAlign w:val="center"/>
                </w:tcPr>
                <w:p>
                  <w:pPr>
                    <w:pStyle w:val="27"/>
                    <w:bidi w:val="0"/>
                    <w:rPr>
                      <w:rFonts w:hint="eastAsia"/>
                      <w:lang w:val="en-US" w:eastAsia="zh-CN"/>
                    </w:rPr>
                  </w:pPr>
                  <w:r>
                    <w:rPr>
                      <w:rFonts w:hint="eastAsia"/>
                      <w:lang w:val="en-US" w:eastAsia="zh-CN"/>
                    </w:rPr>
                    <w:t>SO</w:t>
                  </w:r>
                  <w:r>
                    <w:rPr>
                      <w:rFonts w:hint="eastAsia"/>
                      <w:vertAlign w:val="subscript"/>
                      <w:lang w:val="en-US" w:eastAsia="zh-CN"/>
                    </w:rPr>
                    <w:t>2</w:t>
                  </w:r>
                </w:p>
              </w:tc>
              <w:tc>
                <w:tcPr>
                  <w:tcW w:w="622" w:type="dxa"/>
                  <w:tcBorders>
                    <w:tl2br w:val="nil"/>
                    <w:tr2bl w:val="nil"/>
                  </w:tcBorders>
                  <w:noWrap w:val="0"/>
                  <w:vAlign w:val="center"/>
                </w:tcPr>
                <w:p>
                  <w:pPr>
                    <w:pStyle w:val="27"/>
                    <w:bidi w:val="0"/>
                    <w:rPr>
                      <w:rFonts w:hint="eastAsia"/>
                      <w:lang w:val="en-US" w:eastAsia="zh-CN"/>
                    </w:rPr>
                  </w:pPr>
                  <w:r>
                    <w:rPr>
                      <w:rFonts w:hint="eastAsia"/>
                      <w:lang w:val="en-US" w:eastAsia="zh-CN"/>
                    </w:rPr>
                    <w:t>PM</w:t>
                  </w:r>
                  <w:r>
                    <w:rPr>
                      <w:rFonts w:hint="eastAsia"/>
                      <w:vertAlign w:val="subscript"/>
                      <w:lang w:val="en-US" w:eastAsia="zh-CN"/>
                    </w:rPr>
                    <w:t>2.5</w:t>
                  </w:r>
                </w:p>
              </w:tc>
              <w:tc>
                <w:tcPr>
                  <w:tcW w:w="733" w:type="dxa"/>
                  <w:tcBorders>
                    <w:tl2br w:val="nil"/>
                    <w:tr2bl w:val="nil"/>
                  </w:tcBorders>
                  <w:noWrap w:val="0"/>
                  <w:vAlign w:val="center"/>
                </w:tcPr>
                <w:p>
                  <w:pPr>
                    <w:pStyle w:val="27"/>
                    <w:bidi w:val="0"/>
                    <w:rPr>
                      <w:rFonts w:hint="eastAsia"/>
                      <w:lang w:val="en-US" w:eastAsia="zh-CN"/>
                    </w:rPr>
                  </w:pPr>
                  <w:r>
                    <w:rPr>
                      <w:rFonts w:hint="eastAsia"/>
                      <w:lang w:val="en-US" w:eastAsia="zh-CN"/>
                    </w:rPr>
                    <w:t>PM</w:t>
                  </w:r>
                  <w:r>
                    <w:rPr>
                      <w:rFonts w:hint="eastAsia"/>
                      <w:vertAlign w:val="subscript"/>
                      <w:lang w:val="en-US" w:eastAsia="zh-CN"/>
                    </w:rPr>
                    <w:t>10</w:t>
                  </w:r>
                </w:p>
              </w:tc>
              <w:tc>
                <w:tcPr>
                  <w:tcW w:w="514" w:type="dxa"/>
                  <w:tcBorders>
                    <w:tl2br w:val="nil"/>
                    <w:tr2bl w:val="nil"/>
                  </w:tcBorders>
                  <w:noWrap w:val="0"/>
                  <w:vAlign w:val="center"/>
                </w:tcPr>
                <w:p>
                  <w:pPr>
                    <w:pStyle w:val="27"/>
                    <w:bidi w:val="0"/>
                    <w:rPr>
                      <w:rFonts w:hint="eastAsia"/>
                      <w:lang w:val="en-US" w:eastAsia="zh-CN"/>
                    </w:rPr>
                  </w:pPr>
                  <w:r>
                    <w:rPr>
                      <w:rFonts w:hint="eastAsia"/>
                      <w:lang w:val="en-US" w:eastAsia="zh-CN"/>
                    </w:rPr>
                    <w:t>O</w:t>
                  </w:r>
                  <w:r>
                    <w:rPr>
                      <w:rFonts w:hint="eastAsia"/>
                      <w:vertAlign w:val="subscript"/>
                      <w:lang w:val="en-US" w:eastAsia="zh-CN"/>
                    </w:rPr>
                    <w:t>3</w:t>
                  </w:r>
                </w:p>
              </w:tc>
              <w:tc>
                <w:tcPr>
                  <w:tcW w:w="771" w:type="dxa"/>
                  <w:tcBorders>
                    <w:tl2br w:val="nil"/>
                    <w:tr2bl w:val="nil"/>
                  </w:tcBorders>
                  <w:noWrap w:val="0"/>
                  <w:vAlign w:val="center"/>
                </w:tcPr>
                <w:p>
                  <w:pPr>
                    <w:pStyle w:val="27"/>
                    <w:bidi w:val="0"/>
                    <w:rPr>
                      <w:rFonts w:hint="eastAsia"/>
                      <w:lang w:val="en-US" w:eastAsia="zh-CN"/>
                    </w:rPr>
                  </w:pPr>
                  <w:r>
                    <w:rPr>
                      <w:rFonts w:hint="eastAsia"/>
                      <w:lang w:val="en-US" w:eastAsia="zh-CN"/>
                    </w:rPr>
                    <w:t>NO</w:t>
                  </w:r>
                  <w:r>
                    <w:rPr>
                      <w:rFonts w:hint="eastAsia"/>
                      <w:vertAlign w:val="subscript"/>
                      <w:lang w:val="en-US" w:eastAsia="zh-CN"/>
                    </w:rPr>
                    <w:t>2</w:t>
                  </w:r>
                </w:p>
              </w:tc>
              <w:tc>
                <w:tcPr>
                  <w:tcW w:w="622" w:type="dxa"/>
                  <w:tcBorders>
                    <w:tl2br w:val="nil"/>
                    <w:tr2bl w:val="nil"/>
                  </w:tcBorders>
                  <w:noWrap w:val="0"/>
                  <w:vAlign w:val="center"/>
                </w:tcPr>
                <w:p>
                  <w:pPr>
                    <w:pStyle w:val="27"/>
                    <w:bidi w:val="0"/>
                    <w:rPr>
                      <w:rFonts w:hint="eastAsia"/>
                      <w:lang w:val="en-US" w:eastAsia="zh-CN"/>
                    </w:rPr>
                  </w:pPr>
                  <w:r>
                    <w:rPr>
                      <w:rFonts w:hint="eastAsia"/>
                      <w:lang w:val="en-US" w:eastAsia="zh-CN"/>
                    </w:rPr>
                    <w:t>CO</w:t>
                  </w:r>
                </w:p>
              </w:tc>
              <w:tc>
                <w:tcPr>
                  <w:tcW w:w="556" w:type="dxa"/>
                  <w:vMerge w:val="continue"/>
                  <w:tcBorders>
                    <w:tl2br w:val="nil"/>
                    <w:tr2bl w:val="nil"/>
                  </w:tcBorders>
                  <w:noWrap w:val="0"/>
                  <w:vAlign w:val="center"/>
                </w:tcPr>
                <w:p>
                  <w:pPr>
                    <w:pStyle w:val="27"/>
                    <w:bidi w:val="0"/>
                    <w:rPr>
                      <w:rFonts w:hint="eastAsia"/>
                      <w:lang w:val="en-US" w:eastAsia="zh-CN"/>
                    </w:rPr>
                  </w:pPr>
                </w:p>
              </w:tc>
              <w:tc>
                <w:tcPr>
                  <w:tcW w:w="1117" w:type="dxa"/>
                  <w:vMerge w:val="continue"/>
                  <w:tcBorders>
                    <w:tl2br w:val="nil"/>
                    <w:tr2bl w:val="nil"/>
                  </w:tcBorders>
                  <w:noWrap w:val="0"/>
                  <w:vAlign w:val="center"/>
                </w:tcPr>
                <w:p>
                  <w:pPr>
                    <w:pStyle w:val="27"/>
                    <w:bidi w:val="0"/>
                    <w:rPr>
                      <w:rFonts w:hint="eastAsia"/>
                      <w:lang w:val="en-US" w:eastAsia="zh-CN"/>
                    </w:rPr>
                  </w:pPr>
                </w:p>
              </w:tc>
              <w:tc>
                <w:tcPr>
                  <w:tcW w:w="577" w:type="dxa"/>
                  <w:vMerge w:val="continue"/>
                  <w:tcBorders>
                    <w:tl2br w:val="nil"/>
                    <w:tr2bl w:val="nil"/>
                  </w:tcBorders>
                  <w:noWrap w:val="0"/>
                  <w:vAlign w:val="center"/>
                </w:tcPr>
                <w:p>
                  <w:pPr>
                    <w:pStyle w:val="27"/>
                    <w:bidi w:val="0"/>
                    <w:rPr>
                      <w:rFonts w:hint="eastAsia"/>
                      <w:lang w:val="en-US" w:eastAsia="zh-CN"/>
                    </w:rPr>
                  </w:pPr>
                </w:p>
              </w:tc>
              <w:tc>
                <w:tcPr>
                  <w:tcW w:w="745" w:type="dxa"/>
                  <w:vMerge w:val="continue"/>
                  <w:tcBorders>
                    <w:tl2br w:val="nil"/>
                    <w:tr2bl w:val="nil"/>
                  </w:tcBorders>
                  <w:noWrap w:val="0"/>
                  <w:vAlign w:val="center"/>
                </w:tcPr>
                <w:p>
                  <w:pPr>
                    <w:pStyle w:val="27"/>
                    <w:bidi w:val="0"/>
                    <w:rPr>
                      <w:rFonts w:hint="eastAsia"/>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30"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1月</w:t>
                  </w:r>
                </w:p>
              </w:tc>
              <w:tc>
                <w:tcPr>
                  <w:tcW w:w="565" w:type="dxa"/>
                  <w:tcBorders>
                    <w:tl2br w:val="nil"/>
                    <w:tr2bl w:val="nil"/>
                  </w:tcBorders>
                  <w:noWrap w:val="0"/>
                  <w:vAlign w:val="center"/>
                </w:tcPr>
                <w:p>
                  <w:pPr>
                    <w:pStyle w:val="27"/>
                    <w:bidi w:val="0"/>
                    <w:rPr>
                      <w:rFonts w:hint="eastAsia"/>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7</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63</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92</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64</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36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1.1</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85</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w:t>
                  </w:r>
                </w:p>
                <w:p>
                  <w:pPr>
                    <w:pStyle w:val="27"/>
                    <w:bidi w:val="0"/>
                    <w:rPr>
                      <w:rFonts w:hint="default"/>
                      <w:lang w:val="en-US" w:eastAsia="zh-CN"/>
                    </w:rPr>
                  </w:pPr>
                  <w:r>
                    <w:rPr>
                      <w:rFonts w:hint="eastAsia"/>
                      <w:lang w:val="en-US" w:eastAsia="zh-CN"/>
                    </w:rPr>
                    <w:t>PM</w:t>
                  </w:r>
                  <w:r>
                    <w:rPr>
                      <w:rFonts w:hint="eastAsia"/>
                      <w:vertAlign w:val="subscript"/>
                      <w:lang w:val="en-US" w:eastAsia="zh-CN"/>
                    </w:rPr>
                    <w:t>2.5</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20</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64.5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2月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4</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51</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64</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92</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18</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1.0</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70</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PM</w:t>
                  </w:r>
                  <w:r>
                    <w:rPr>
                      <w:rFonts w:hint="eastAsia"/>
                      <w:vertAlign w:val="subscript"/>
                      <w:lang w:val="en-US" w:eastAsia="zh-CN"/>
                    </w:rPr>
                    <w:t>2.5</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25</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89.3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3月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4</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27</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43</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86</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24</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1.0</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43</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PM</w:t>
                  </w:r>
                  <w:r>
                    <w:rPr>
                      <w:rFonts w:hint="eastAsia"/>
                      <w:vertAlign w:val="subscript"/>
                      <w:lang w:val="en-US" w:eastAsia="zh-CN"/>
                    </w:rPr>
                    <w:t>10</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4月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5</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25</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39</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120</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13</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0.7</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67</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5月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7</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22</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42</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141</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15</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0.8</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85</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6月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22</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177</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12</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0.9</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116</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24</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7月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18</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146</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13</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0.6</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89</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8月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5</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16</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133</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12</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0.8</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78</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9月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24</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41</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150</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14</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1.0</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92</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10月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33</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54</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130</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15</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1.0</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75</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O</w:t>
                  </w:r>
                  <w:r>
                    <w:rPr>
                      <w:rFonts w:hint="eastAsia"/>
                      <w:vertAlign w:val="subscript"/>
                      <w:lang w:val="en-US" w:eastAsia="zh-CN"/>
                    </w:rPr>
                    <w:t>3</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29</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11月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43</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71</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103</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30</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1.0</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61</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PM</w:t>
                  </w:r>
                  <w:r>
                    <w:rPr>
                      <w:rFonts w:hint="eastAsia"/>
                      <w:vertAlign w:val="subscript"/>
                      <w:lang w:val="en-US" w:eastAsia="zh-CN"/>
                    </w:rPr>
                    <w:t>2.5</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27</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4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12月</w:t>
                  </w:r>
                </w:p>
              </w:tc>
              <w:tc>
                <w:tcPr>
                  <w:tcW w:w="565" w:type="dxa"/>
                  <w:tcBorders>
                    <w:tl2br w:val="nil"/>
                    <w:tr2bl w:val="nil"/>
                  </w:tcBorders>
                  <w:noWrap w:val="0"/>
                  <w:vAlign w:val="center"/>
                </w:tcPr>
                <w:p>
                  <w:pPr>
                    <w:pStyle w:val="27"/>
                    <w:bidi w:val="0"/>
                    <w:rPr>
                      <w:rFonts w:hint="default"/>
                      <w:lang w:val="en-US" w:eastAsia="zh-CN"/>
                    </w:rPr>
                  </w:pPr>
                  <w:r>
                    <w:rPr>
                      <w:rFonts w:hint="eastAsia"/>
                      <w:lang w:val="en-US" w:eastAsia="zh-CN"/>
                    </w:rPr>
                    <w:t>31</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8</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67</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77</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98</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36</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1.2</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90</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PM</w:t>
                  </w:r>
                  <w:r>
                    <w:rPr>
                      <w:rFonts w:hint="eastAsia"/>
                      <w:vertAlign w:val="subscript"/>
                      <w:lang w:val="en-US" w:eastAsia="zh-CN"/>
                    </w:rPr>
                    <w:t>2.5</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23</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74.2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530"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年均值</w:t>
                  </w:r>
                </w:p>
              </w:tc>
              <w:tc>
                <w:tcPr>
                  <w:tcW w:w="565"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619" w:type="dxa"/>
                  <w:tcBorders>
                    <w:tl2br w:val="nil"/>
                    <w:tr2bl w:val="nil"/>
                  </w:tcBorders>
                  <w:noWrap w:val="0"/>
                  <w:vAlign w:val="center"/>
                </w:tcPr>
                <w:p>
                  <w:pPr>
                    <w:pStyle w:val="27"/>
                    <w:bidi w:val="0"/>
                    <w:rPr>
                      <w:rFonts w:hint="default"/>
                      <w:lang w:val="en-US" w:eastAsia="zh-CN"/>
                    </w:rPr>
                  </w:pPr>
                  <w:r>
                    <w:rPr>
                      <w:rFonts w:hint="eastAsia"/>
                      <w:lang w:val="en-US" w:eastAsia="zh-CN"/>
                    </w:rPr>
                    <w:t>5.833</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34.25</w:t>
                  </w:r>
                </w:p>
              </w:tc>
              <w:tc>
                <w:tcPr>
                  <w:tcW w:w="733" w:type="dxa"/>
                  <w:tcBorders>
                    <w:tl2br w:val="nil"/>
                    <w:tr2bl w:val="nil"/>
                  </w:tcBorders>
                  <w:noWrap w:val="0"/>
                  <w:vAlign w:val="center"/>
                </w:tcPr>
                <w:p>
                  <w:pPr>
                    <w:pStyle w:val="27"/>
                    <w:bidi w:val="0"/>
                    <w:rPr>
                      <w:rFonts w:hint="default"/>
                      <w:lang w:val="en-US" w:eastAsia="zh-CN"/>
                    </w:rPr>
                  </w:pPr>
                  <w:r>
                    <w:rPr>
                      <w:rFonts w:hint="eastAsia"/>
                      <w:lang w:val="en-US" w:eastAsia="zh-CN"/>
                    </w:rPr>
                    <w:t>51.083</w:t>
                  </w:r>
                </w:p>
              </w:tc>
              <w:tc>
                <w:tcPr>
                  <w:tcW w:w="514" w:type="dxa"/>
                  <w:tcBorders>
                    <w:tl2br w:val="nil"/>
                    <w:tr2bl w:val="nil"/>
                  </w:tcBorders>
                  <w:noWrap w:val="0"/>
                  <w:vAlign w:val="center"/>
                </w:tcPr>
                <w:p>
                  <w:pPr>
                    <w:pStyle w:val="27"/>
                    <w:bidi w:val="0"/>
                    <w:rPr>
                      <w:rFonts w:hint="default"/>
                      <w:lang w:val="en-US" w:eastAsia="zh-CN"/>
                    </w:rPr>
                  </w:pPr>
                  <w:r>
                    <w:rPr>
                      <w:rFonts w:hint="eastAsia"/>
                      <w:lang w:val="en-US" w:eastAsia="zh-CN"/>
                    </w:rPr>
                    <w:t>120</w:t>
                  </w:r>
                </w:p>
              </w:tc>
              <w:tc>
                <w:tcPr>
                  <w:tcW w:w="771" w:type="dxa"/>
                  <w:tcBorders>
                    <w:tl2br w:val="nil"/>
                    <w:tr2bl w:val="nil"/>
                  </w:tcBorders>
                  <w:noWrap w:val="0"/>
                  <w:vAlign w:val="center"/>
                </w:tcPr>
                <w:p>
                  <w:pPr>
                    <w:pStyle w:val="27"/>
                    <w:bidi w:val="0"/>
                    <w:rPr>
                      <w:rFonts w:hint="default"/>
                      <w:lang w:val="en-US" w:eastAsia="zh-CN"/>
                    </w:rPr>
                  </w:pPr>
                  <w:r>
                    <w:rPr>
                      <w:rFonts w:hint="eastAsia"/>
                      <w:lang w:val="en-US" w:eastAsia="zh-CN"/>
                    </w:rPr>
                    <w:t>19.833</w:t>
                  </w:r>
                </w:p>
              </w:tc>
              <w:tc>
                <w:tcPr>
                  <w:tcW w:w="622" w:type="dxa"/>
                  <w:tcBorders>
                    <w:tl2br w:val="nil"/>
                    <w:tr2bl w:val="nil"/>
                  </w:tcBorders>
                  <w:noWrap w:val="0"/>
                  <w:vAlign w:val="center"/>
                </w:tcPr>
                <w:p>
                  <w:pPr>
                    <w:pStyle w:val="27"/>
                    <w:bidi w:val="0"/>
                    <w:rPr>
                      <w:rFonts w:hint="default"/>
                      <w:lang w:val="en-US" w:eastAsia="zh-CN"/>
                    </w:rPr>
                  </w:pPr>
                  <w:r>
                    <w:rPr>
                      <w:rFonts w:hint="eastAsia"/>
                      <w:lang w:val="en-US" w:eastAsia="zh-CN"/>
                    </w:rPr>
                    <w:t>0.925</w:t>
                  </w:r>
                </w:p>
              </w:tc>
              <w:tc>
                <w:tcPr>
                  <w:tcW w:w="556" w:type="dxa"/>
                  <w:tcBorders>
                    <w:tl2br w:val="nil"/>
                    <w:tr2bl w:val="nil"/>
                  </w:tcBorders>
                  <w:noWrap w:val="0"/>
                  <w:vAlign w:val="center"/>
                </w:tcPr>
                <w:p>
                  <w:pPr>
                    <w:pStyle w:val="27"/>
                    <w:bidi w:val="0"/>
                    <w:rPr>
                      <w:rFonts w:hint="default"/>
                      <w:lang w:val="en-US" w:eastAsia="zh-CN"/>
                    </w:rPr>
                  </w:pPr>
                  <w:r>
                    <w:rPr>
                      <w:rFonts w:hint="eastAsia"/>
                      <w:lang w:val="en-US" w:eastAsia="zh-CN"/>
                    </w:rPr>
                    <w:t>/</w:t>
                  </w:r>
                </w:p>
              </w:tc>
              <w:tc>
                <w:tcPr>
                  <w:tcW w:w="1117" w:type="dxa"/>
                  <w:tcBorders>
                    <w:tl2br w:val="nil"/>
                    <w:tr2bl w:val="nil"/>
                  </w:tcBorders>
                  <w:noWrap w:val="0"/>
                  <w:vAlign w:val="center"/>
                </w:tcPr>
                <w:p>
                  <w:pPr>
                    <w:pStyle w:val="27"/>
                    <w:bidi w:val="0"/>
                    <w:rPr>
                      <w:rFonts w:hint="default"/>
                      <w:lang w:val="en-US" w:eastAsia="zh-CN"/>
                    </w:rPr>
                  </w:pPr>
                  <w:r>
                    <w:rPr>
                      <w:rFonts w:hint="eastAsia"/>
                      <w:lang w:val="en-US" w:eastAsia="zh-CN"/>
                    </w:rPr>
                    <w:t>/</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66" w:hRule="atLeast"/>
                <w:jc w:val="center"/>
              </w:trPr>
              <w:tc>
                <w:tcPr>
                  <w:tcW w:w="978" w:type="dxa"/>
                  <w:tcBorders>
                    <w:tl2br w:val="nil"/>
                    <w:tr2bl w:val="nil"/>
                  </w:tcBorders>
                  <w:noWrap w:val="0"/>
                  <w:vAlign w:val="center"/>
                </w:tcPr>
                <w:p>
                  <w:pPr>
                    <w:pStyle w:val="27"/>
                    <w:bidi w:val="0"/>
                    <w:rPr>
                      <w:rFonts w:hint="eastAsia"/>
                      <w:lang w:val="en-US" w:eastAsia="zh-CN"/>
                    </w:rPr>
                  </w:pPr>
                  <w:r>
                    <w:rPr>
                      <w:rFonts w:hint="eastAsia"/>
                      <w:lang w:val="en-US" w:eastAsia="zh-CN"/>
                    </w:rPr>
                    <w:t>合计</w:t>
                  </w:r>
                </w:p>
              </w:tc>
              <w:tc>
                <w:tcPr>
                  <w:tcW w:w="565" w:type="dxa"/>
                  <w:tcBorders>
                    <w:tl2br w:val="nil"/>
                    <w:tr2bl w:val="nil"/>
                  </w:tcBorders>
                  <w:noWrap w:val="0"/>
                  <w:vAlign w:val="center"/>
                </w:tcPr>
                <w:p>
                  <w:pPr>
                    <w:pStyle w:val="27"/>
                    <w:bidi w:val="0"/>
                    <w:rPr>
                      <w:rFonts w:hint="eastAsia"/>
                      <w:lang w:val="en-US" w:eastAsia="zh-CN"/>
                    </w:rPr>
                  </w:pPr>
                  <w:r>
                    <w:rPr>
                      <w:rFonts w:hint="eastAsia"/>
                      <w:lang w:val="en-US" w:eastAsia="zh-CN"/>
                    </w:rPr>
                    <w:t>366</w:t>
                  </w:r>
                </w:p>
              </w:tc>
              <w:tc>
                <w:tcPr>
                  <w:tcW w:w="619"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622"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733"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514"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771"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622"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556"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1117" w:type="dxa"/>
                  <w:tcBorders>
                    <w:tl2br w:val="nil"/>
                    <w:tr2bl w:val="nil"/>
                  </w:tcBorders>
                  <w:noWrap w:val="0"/>
                  <w:vAlign w:val="center"/>
                </w:tcPr>
                <w:p>
                  <w:pPr>
                    <w:pStyle w:val="27"/>
                    <w:bidi w:val="0"/>
                    <w:rPr>
                      <w:rFonts w:hint="eastAsia"/>
                      <w:lang w:val="en-US" w:eastAsia="zh-CN"/>
                    </w:rPr>
                  </w:pPr>
                  <w:r>
                    <w:rPr>
                      <w:rFonts w:hint="eastAsia"/>
                      <w:lang w:val="en-US" w:eastAsia="zh-CN"/>
                    </w:rPr>
                    <w:t>/</w:t>
                  </w:r>
                </w:p>
              </w:tc>
              <w:tc>
                <w:tcPr>
                  <w:tcW w:w="577" w:type="dxa"/>
                  <w:tcBorders>
                    <w:tl2br w:val="nil"/>
                    <w:tr2bl w:val="nil"/>
                  </w:tcBorders>
                  <w:noWrap w:val="0"/>
                  <w:vAlign w:val="center"/>
                </w:tcPr>
                <w:p>
                  <w:pPr>
                    <w:pStyle w:val="27"/>
                    <w:bidi w:val="0"/>
                    <w:rPr>
                      <w:rFonts w:hint="default"/>
                      <w:lang w:val="en-US" w:eastAsia="zh-CN"/>
                    </w:rPr>
                  </w:pPr>
                  <w:r>
                    <w:rPr>
                      <w:rFonts w:hint="eastAsia"/>
                      <w:lang w:val="en-US" w:eastAsia="zh-CN"/>
                    </w:rPr>
                    <w:t>358</w:t>
                  </w:r>
                </w:p>
              </w:tc>
              <w:tc>
                <w:tcPr>
                  <w:tcW w:w="745" w:type="dxa"/>
                  <w:tcBorders>
                    <w:tl2br w:val="nil"/>
                    <w:tr2bl w:val="nil"/>
                  </w:tcBorders>
                  <w:noWrap w:val="0"/>
                  <w:vAlign w:val="center"/>
                </w:tcPr>
                <w:p>
                  <w:pPr>
                    <w:pStyle w:val="27"/>
                    <w:bidi w:val="0"/>
                    <w:rPr>
                      <w:rFonts w:hint="default"/>
                      <w:lang w:val="en-US" w:eastAsia="zh-CN"/>
                    </w:rPr>
                  </w:pPr>
                  <w:r>
                    <w:rPr>
                      <w:rFonts w:hint="eastAsia"/>
                      <w:lang w:val="en-US" w:eastAsia="zh-CN"/>
                    </w:rPr>
                    <w:t>97.81</w:t>
                  </w:r>
                </w:p>
              </w:tc>
            </w:tr>
          </w:tbl>
          <w:p>
            <w:pPr>
              <w:widowControl/>
              <w:spacing w:line="360" w:lineRule="auto"/>
              <w:jc w:val="center"/>
              <w:rPr>
                <w:rFonts w:hint="eastAsia" w:ascii="Times New Roman" w:hAnsi="Times New Roman" w:eastAsia="宋体" w:cs="Times New Roman"/>
                <w:b/>
                <w:bCs/>
                <w:color w:val="000000"/>
                <w:sz w:val="24"/>
                <w:szCs w:val="24"/>
                <w:highlight w:val="none"/>
                <w:u w:val="none" w:color="auto"/>
                <w:lang w:val="en-US" w:eastAsia="zh-CN"/>
              </w:rPr>
            </w:pPr>
          </w:p>
          <w:p>
            <w:pPr>
              <w:widowControl/>
              <w:spacing w:line="360" w:lineRule="auto"/>
              <w:jc w:val="center"/>
              <w:rPr>
                <w:rFonts w:hint="eastAsia" w:ascii="Times New Roman" w:hAnsi="Times New Roman" w:eastAsia="宋体" w:cs="Times New Roman"/>
                <w:b/>
                <w:bCs/>
                <w:color w:val="000000"/>
                <w:sz w:val="24"/>
                <w:szCs w:val="24"/>
                <w:highlight w:val="none"/>
                <w:u w:val="none" w:color="auto"/>
                <w:lang w:val="en-US" w:eastAsia="zh-CN"/>
              </w:rPr>
            </w:pPr>
          </w:p>
          <w:p>
            <w:pPr>
              <w:widowControl/>
              <w:spacing w:line="360" w:lineRule="auto"/>
              <w:jc w:val="center"/>
              <w:rPr>
                <w:rFonts w:hint="eastAsia" w:ascii="Times New Roman" w:hAnsi="Times New Roman" w:eastAsia="宋体" w:cs="Times New Roman"/>
                <w:b/>
                <w:bCs/>
                <w:color w:val="000000"/>
                <w:sz w:val="24"/>
                <w:szCs w:val="24"/>
                <w:highlight w:val="none"/>
                <w:u w:val="none" w:color="auto"/>
                <w:lang w:val="en-US" w:eastAsia="zh-CN"/>
              </w:rPr>
            </w:pPr>
          </w:p>
          <w:p>
            <w:pPr>
              <w:widowControl/>
              <w:spacing w:line="360" w:lineRule="auto"/>
              <w:jc w:val="center"/>
              <w:rPr>
                <w:rFonts w:hint="default" w:ascii="Times New Roman" w:hAnsi="Times New Roman" w:eastAsia="宋体" w:cs="Times New Roman"/>
                <w:b/>
                <w:bCs/>
                <w:color w:val="000000"/>
                <w:sz w:val="24"/>
                <w:szCs w:val="24"/>
                <w:highlight w:val="none"/>
                <w:u w:val="none" w:color="auto"/>
                <w:lang w:val="en-US" w:eastAsia="zh-CN"/>
              </w:rPr>
            </w:pPr>
            <w:r>
              <w:rPr>
                <w:rFonts w:hint="eastAsia" w:ascii="Times New Roman" w:hAnsi="Times New Roman" w:eastAsia="宋体" w:cs="Times New Roman"/>
                <w:b/>
                <w:bCs/>
                <w:color w:val="000000"/>
                <w:sz w:val="24"/>
                <w:szCs w:val="24"/>
                <w:highlight w:val="none"/>
                <w:u w:val="none" w:color="auto"/>
                <w:lang w:val="en-US" w:eastAsia="zh-CN"/>
              </w:rPr>
              <w:t>表3-2  湘阴县2021年环境空气质量评价表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220"/>
              <w:gridCol w:w="1455"/>
              <w:gridCol w:w="1455"/>
              <w:gridCol w:w="1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污染物</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评价指标</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现状浓度</w:t>
                  </w:r>
                </w:p>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μ</w:t>
                  </w:r>
                  <w:r>
                    <w:rPr>
                      <w:rFonts w:hint="eastAsia" w:ascii="Times New Roman" w:hAnsi="Times New Roman" w:eastAsia="宋体" w:cs="Times New Roman"/>
                      <w:lang w:val="en-US" w:eastAsia="zh-CN"/>
                    </w:rPr>
                    <w:t>g/</w:t>
                  </w:r>
                  <w:r>
                    <w:rPr>
                      <w:rFonts w:hint="eastAsia" w:cs="Times New Roman"/>
                      <w:lang w:val="en-US" w:eastAsia="zh-CN"/>
                    </w:rPr>
                    <w:t>m</w:t>
                  </w:r>
                  <w:r>
                    <w:rPr>
                      <w:rFonts w:hint="eastAsia" w:cs="Times New Roman"/>
                      <w:vertAlign w:val="superscript"/>
                      <w:lang w:val="en-US" w:eastAsia="zh-CN"/>
                    </w:rPr>
                    <w:t>3</w:t>
                  </w:r>
                  <w:r>
                    <w:rPr>
                      <w:rFonts w:hint="eastAsia" w:ascii="Times New Roman" w:hAnsi="Times New Roman" w:eastAsia="宋体" w:cs="Times New Roman"/>
                      <w:lang w:val="en-US" w:eastAsia="zh-CN"/>
                    </w:rPr>
                    <w:t>）</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标准值</w:t>
                  </w:r>
                </w:p>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μ</w:t>
                  </w:r>
                  <w:r>
                    <w:rPr>
                      <w:rFonts w:hint="eastAsia" w:ascii="Times New Roman" w:hAnsi="Times New Roman" w:eastAsia="宋体" w:cs="Times New Roman"/>
                      <w:lang w:val="en-US" w:eastAsia="zh-CN"/>
                    </w:rPr>
                    <w:t>g/</w:t>
                  </w:r>
                  <w:r>
                    <w:rPr>
                      <w:rFonts w:hint="eastAsia" w:cs="Times New Roman"/>
                      <w:lang w:val="en-US" w:eastAsia="zh-CN"/>
                    </w:rPr>
                    <w:t>m</w:t>
                  </w:r>
                  <w:r>
                    <w:rPr>
                      <w:rFonts w:hint="eastAsia" w:cs="Times New Roman"/>
                      <w:vertAlign w:val="superscript"/>
                      <w:lang w:val="en-US" w:eastAsia="zh-CN"/>
                    </w:rPr>
                    <w:t>3</w:t>
                  </w:r>
                  <w:r>
                    <w:rPr>
                      <w:rFonts w:hint="eastAsia" w:ascii="Times New Roman" w:hAnsi="Times New Roman" w:eastAsia="宋体" w:cs="Times New Roman"/>
                      <w:lang w:val="en-US" w:eastAsia="zh-CN"/>
                    </w:rPr>
                    <w:t>）</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cs="Times New Roman"/>
                      <w:lang w:val="en-US" w:eastAsia="zh-CN"/>
                    </w:rPr>
                    <w:t>PM</w:t>
                  </w:r>
                  <w:r>
                    <w:rPr>
                      <w:rFonts w:hint="eastAsia" w:cs="Times New Roman"/>
                      <w:vertAlign w:val="subscript"/>
                      <w:lang w:val="en-US" w:eastAsia="zh-CN"/>
                    </w:rPr>
                    <w:t>10</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年平均</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51.083</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70</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cs="Times New Roman"/>
                      <w:lang w:val="en-US" w:eastAsia="zh-CN"/>
                    </w:rPr>
                    <w:t>PM</w:t>
                  </w:r>
                  <w:r>
                    <w:rPr>
                      <w:rFonts w:hint="eastAsia" w:cs="Times New Roman"/>
                      <w:vertAlign w:val="subscript"/>
                      <w:lang w:val="en-US" w:eastAsia="zh-CN"/>
                    </w:rPr>
                    <w:t>2.5</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年平均</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34.25</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35 </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cs="Times New Roman"/>
                      <w:lang w:val="en-US" w:eastAsia="zh-CN"/>
                    </w:rPr>
                    <w:t>SO</w:t>
                  </w:r>
                  <w:r>
                    <w:rPr>
                      <w:rFonts w:hint="eastAsia" w:cs="Times New Roman"/>
                      <w:vertAlign w:val="subscript"/>
                      <w:lang w:val="en-US" w:eastAsia="zh-CN"/>
                    </w:rPr>
                    <w:t>2</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年平均</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5.833</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cs="Times New Roman"/>
                      <w:lang w:val="en-US" w:eastAsia="zh-CN"/>
                    </w:rPr>
                    <w:t>NO</w:t>
                  </w:r>
                  <w:r>
                    <w:rPr>
                      <w:rFonts w:hint="eastAsia" w:cs="Times New Roman"/>
                      <w:vertAlign w:val="subscript"/>
                      <w:lang w:val="en-US" w:eastAsia="zh-CN"/>
                    </w:rPr>
                    <w:t>2</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年平均</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19.833</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CO</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24小时平均（第95位百分位数）</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0.925</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4000</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O3</w:t>
                  </w:r>
                </w:p>
              </w:tc>
              <w:tc>
                <w:tcPr>
                  <w:tcW w:w="3071"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日最大8h平均（第90位百分位数）</w:t>
                  </w:r>
                </w:p>
              </w:tc>
              <w:tc>
                <w:tcPr>
                  <w:tcW w:w="1388" w:type="dxa"/>
                  <w:tcBorders>
                    <w:tl2br w:val="nil"/>
                    <w:tr2bl w:val="nil"/>
                  </w:tcBorders>
                  <w:noWrap w:val="0"/>
                  <w:vAlign w:val="center"/>
                </w:tcPr>
                <w:p>
                  <w:pPr>
                    <w:pStyle w:val="27"/>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120</w:t>
                  </w:r>
                </w:p>
              </w:tc>
              <w:tc>
                <w:tcPr>
                  <w:tcW w:w="1388"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160</w:t>
                  </w:r>
                </w:p>
              </w:tc>
              <w:tc>
                <w:tcPr>
                  <w:tcW w:w="1222" w:type="dxa"/>
                  <w:tcBorders>
                    <w:tl2br w:val="nil"/>
                    <w:tr2bl w:val="nil"/>
                  </w:tcBorders>
                  <w:noWrap w:val="0"/>
                  <w:vAlign w:val="center"/>
                </w:tcPr>
                <w:p>
                  <w:pPr>
                    <w:pStyle w:val="27"/>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highlight w:val="none"/>
                <w:u w:val="none" w:color="auto"/>
              </w:rPr>
            </w:pPr>
            <w:r>
              <w:rPr>
                <w:rFonts w:hint="eastAsia" w:eastAsia="宋体" w:cs="Times New Roman"/>
                <w:color w:val="000000"/>
                <w:sz w:val="24"/>
                <w:highlight w:val="none"/>
                <w:u w:val="none" w:color="auto"/>
                <w:lang w:val="en-US" w:eastAsia="zh-CN"/>
              </w:rPr>
              <w:t>根据表3-1~3-2可知，</w:t>
            </w:r>
            <w:r>
              <w:rPr>
                <w:rFonts w:hint="default" w:ascii="Times New Roman" w:hAnsi="Times New Roman" w:eastAsia="宋体" w:cs="Times New Roman"/>
                <w:color w:val="000000"/>
                <w:sz w:val="24"/>
                <w:highlight w:val="none"/>
                <w:u w:val="none" w:color="auto"/>
                <w:lang w:val="en-US" w:eastAsia="zh-CN"/>
              </w:rPr>
              <w:t>20</w:t>
            </w:r>
            <w:r>
              <w:rPr>
                <w:rFonts w:hint="eastAsia" w:cs="Times New Roman"/>
                <w:color w:val="000000"/>
                <w:sz w:val="24"/>
                <w:highlight w:val="none"/>
                <w:u w:val="none" w:color="auto"/>
                <w:lang w:val="en-US" w:eastAsia="zh-CN"/>
              </w:rPr>
              <w:t>21</w:t>
            </w:r>
            <w:r>
              <w:rPr>
                <w:rFonts w:hint="default" w:ascii="Times New Roman" w:hAnsi="Times New Roman" w:eastAsia="宋体" w:cs="Times New Roman"/>
                <w:color w:val="000000"/>
                <w:sz w:val="24"/>
                <w:highlight w:val="none"/>
                <w:u w:val="none" w:color="auto"/>
                <w:lang w:val="en-US" w:eastAsia="zh-CN"/>
              </w:rPr>
              <w:t>年</w:t>
            </w:r>
            <w:r>
              <w:rPr>
                <w:rFonts w:hint="eastAsia" w:cs="Times New Roman"/>
                <w:color w:val="000000"/>
                <w:sz w:val="24"/>
                <w:highlight w:val="none"/>
                <w:u w:val="none" w:color="auto"/>
                <w:lang w:val="en-US" w:eastAsia="zh-CN"/>
              </w:rPr>
              <w:t>湘阴县</w:t>
            </w:r>
            <w:r>
              <w:rPr>
                <w:rFonts w:hint="default" w:ascii="Times New Roman" w:hAnsi="Times New Roman" w:eastAsia="宋体" w:cs="Times New Roman"/>
                <w:color w:val="000000"/>
                <w:sz w:val="24"/>
                <w:highlight w:val="none"/>
                <w:u w:val="none" w:color="auto"/>
                <w:lang w:val="en-US" w:eastAsia="zh-CN"/>
              </w:rPr>
              <w:t>环境空气中</w:t>
            </w:r>
            <w:r>
              <w:rPr>
                <w:rFonts w:hint="eastAsia" w:cs="Times New Roman"/>
                <w:color w:val="000000"/>
                <w:sz w:val="24"/>
                <w:highlight w:val="none"/>
                <w:u w:val="none" w:color="auto"/>
                <w:lang w:val="en-US" w:eastAsia="zh-CN"/>
              </w:rPr>
              <w:t>SO</w:t>
            </w:r>
            <w:r>
              <w:rPr>
                <w:rFonts w:hint="eastAsia" w:cs="Times New Roman"/>
                <w:color w:val="000000"/>
                <w:sz w:val="24"/>
                <w:highlight w:val="none"/>
                <w:u w:val="none" w:color="auto"/>
                <w:vertAlign w:val="subscript"/>
                <w:lang w:val="en-US" w:eastAsia="zh-CN"/>
              </w:rPr>
              <w:t>2</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NO</w:t>
            </w:r>
            <w:r>
              <w:rPr>
                <w:rFonts w:hint="eastAsia" w:cs="Times New Roman"/>
                <w:color w:val="000000"/>
                <w:sz w:val="24"/>
                <w:highlight w:val="none"/>
                <w:u w:val="none" w:color="auto"/>
                <w:vertAlign w:val="subscript"/>
                <w:lang w:val="en-US" w:eastAsia="zh-CN"/>
              </w:rPr>
              <w:t>2</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PM</w:t>
            </w:r>
            <w:r>
              <w:rPr>
                <w:rFonts w:hint="eastAsia" w:cs="Times New Roman"/>
                <w:color w:val="000000"/>
                <w:sz w:val="24"/>
                <w:highlight w:val="none"/>
                <w:u w:val="none" w:color="auto"/>
                <w:vertAlign w:val="subscript"/>
                <w:lang w:val="en-US" w:eastAsia="zh-CN"/>
              </w:rPr>
              <w:t>10</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PM</w:t>
            </w:r>
            <w:r>
              <w:rPr>
                <w:rFonts w:hint="eastAsia" w:cs="Times New Roman"/>
                <w:color w:val="000000"/>
                <w:sz w:val="24"/>
                <w:highlight w:val="none"/>
                <w:u w:val="none" w:color="auto"/>
                <w:vertAlign w:val="subscript"/>
                <w:lang w:val="en-US" w:eastAsia="zh-CN"/>
              </w:rPr>
              <w:t>2.5</w:t>
            </w:r>
            <w:r>
              <w:rPr>
                <w:rFonts w:hint="default" w:ascii="Times New Roman" w:hAnsi="Times New Roman" w:eastAsia="宋体" w:cs="Times New Roman"/>
                <w:color w:val="000000"/>
                <w:sz w:val="24"/>
                <w:highlight w:val="none"/>
                <w:u w:val="none" w:color="auto"/>
                <w:lang w:val="en-US" w:eastAsia="zh-CN"/>
              </w:rPr>
              <w:t>年均浓度分别为</w:t>
            </w:r>
            <w:r>
              <w:rPr>
                <w:rFonts w:hint="eastAsia" w:cs="Times New Roman"/>
                <w:color w:val="000000"/>
                <w:sz w:val="24"/>
                <w:highlight w:val="none"/>
                <w:u w:val="none" w:color="auto"/>
                <w:lang w:val="en-US" w:eastAsia="zh-CN"/>
              </w:rPr>
              <w:t>5.833</w:t>
            </w:r>
            <w:r>
              <w:rPr>
                <w:rFonts w:hint="default" w:ascii="Times New Roman" w:hAnsi="Times New Roman" w:eastAsia="宋体" w:cs="Times New Roman"/>
                <w:color w:val="000000"/>
                <w:sz w:val="24"/>
                <w:highlight w:val="none"/>
                <w:u w:val="none" w:color="auto"/>
                <w:lang w:val="en-US" w:eastAsia="zh-CN"/>
              </w:rPr>
              <w:t>μg/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19.833</w:t>
            </w:r>
            <w:r>
              <w:rPr>
                <w:rFonts w:hint="default" w:ascii="Times New Roman" w:hAnsi="Times New Roman" w:eastAsia="宋体" w:cs="Times New Roman"/>
                <w:color w:val="000000"/>
                <w:sz w:val="24"/>
                <w:highlight w:val="none"/>
                <w:u w:val="none" w:color="auto"/>
                <w:lang w:val="en-US" w:eastAsia="zh-CN"/>
              </w:rPr>
              <w:t>μg/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51.083</w:t>
            </w:r>
            <w:r>
              <w:rPr>
                <w:rFonts w:hint="default" w:ascii="Times New Roman" w:hAnsi="Times New Roman" w:eastAsia="宋体" w:cs="Times New Roman"/>
                <w:color w:val="000000"/>
                <w:sz w:val="24"/>
                <w:highlight w:val="none"/>
                <w:u w:val="none" w:color="auto"/>
                <w:lang w:val="en-US" w:eastAsia="zh-CN"/>
              </w:rPr>
              <w:t>μg/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w:t>
            </w:r>
            <w:r>
              <w:rPr>
                <w:rFonts w:hint="eastAsia" w:cs="Times New Roman"/>
                <w:color w:val="000000"/>
                <w:sz w:val="24"/>
                <w:highlight w:val="none"/>
                <w:u w:val="none" w:color="auto"/>
                <w:lang w:val="en-US" w:eastAsia="zh-CN"/>
              </w:rPr>
              <w:t>34.25</w:t>
            </w:r>
            <w:r>
              <w:rPr>
                <w:rFonts w:hint="default" w:ascii="Times New Roman" w:hAnsi="Times New Roman" w:eastAsia="宋体" w:cs="Times New Roman"/>
                <w:color w:val="000000"/>
                <w:sz w:val="24"/>
                <w:highlight w:val="none"/>
                <w:u w:val="none" w:color="auto"/>
                <w:lang w:val="en-US" w:eastAsia="zh-CN"/>
              </w:rPr>
              <w:t>μg/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，CO日均值第95百分位浓度为</w:t>
            </w:r>
            <w:r>
              <w:rPr>
                <w:rFonts w:hint="eastAsia" w:cs="Times New Roman"/>
                <w:color w:val="000000"/>
                <w:sz w:val="24"/>
                <w:highlight w:val="none"/>
                <w:u w:val="none" w:color="auto"/>
                <w:lang w:val="en-US" w:eastAsia="zh-CN"/>
              </w:rPr>
              <w:t>0.925</w:t>
            </w:r>
            <w:r>
              <w:rPr>
                <w:rFonts w:hint="default" w:ascii="Times New Roman" w:hAnsi="Times New Roman" w:eastAsia="宋体" w:cs="Times New Roman"/>
                <w:color w:val="000000"/>
                <w:sz w:val="24"/>
                <w:highlight w:val="none"/>
                <w:u w:val="none" w:color="auto"/>
                <w:lang w:val="en-US" w:eastAsia="zh-CN"/>
              </w:rPr>
              <w:t>mg/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；O</w:t>
            </w:r>
            <w:r>
              <w:rPr>
                <w:rFonts w:hint="default" w:ascii="Times New Roman" w:hAnsi="Times New Roman" w:eastAsia="宋体" w:cs="Times New Roman"/>
                <w:color w:val="000000"/>
                <w:sz w:val="24"/>
                <w:highlight w:val="none"/>
                <w:u w:val="none" w:color="auto"/>
                <w:vertAlign w:val="subscript"/>
                <w:lang w:val="en-US" w:eastAsia="zh-CN"/>
              </w:rPr>
              <w:t>3</w:t>
            </w:r>
            <w:r>
              <w:rPr>
                <w:rFonts w:hint="default" w:ascii="Times New Roman" w:hAnsi="Times New Roman" w:eastAsia="宋体" w:cs="Times New Roman"/>
                <w:color w:val="000000"/>
                <w:sz w:val="24"/>
                <w:highlight w:val="none"/>
                <w:u w:val="none" w:color="auto"/>
                <w:lang w:val="en-US" w:eastAsia="zh-CN"/>
              </w:rPr>
              <w:t>日最大8小时平均值第90百分位浓度为</w:t>
            </w:r>
            <w:r>
              <w:rPr>
                <w:rFonts w:hint="eastAsia" w:cs="Times New Roman"/>
                <w:color w:val="000000"/>
                <w:sz w:val="24"/>
                <w:highlight w:val="none"/>
                <w:u w:val="none" w:color="auto"/>
                <w:lang w:val="en-US" w:eastAsia="zh-CN"/>
              </w:rPr>
              <w:t>120</w:t>
            </w:r>
            <w:r>
              <w:rPr>
                <w:rFonts w:hint="default" w:ascii="Times New Roman" w:hAnsi="Times New Roman" w:eastAsia="宋体" w:cs="Times New Roman"/>
                <w:color w:val="000000"/>
                <w:sz w:val="24"/>
                <w:highlight w:val="none"/>
                <w:u w:val="none" w:color="auto"/>
                <w:lang w:val="en-US" w:eastAsia="zh-CN"/>
              </w:rPr>
              <w:t>ug/</w:t>
            </w:r>
            <w:r>
              <w:rPr>
                <w:rFonts w:hint="eastAsia" w:cs="Times New Roman"/>
                <w:color w:val="000000"/>
                <w:sz w:val="24"/>
                <w:highlight w:val="none"/>
                <w:u w:val="none" w:color="auto"/>
                <w:lang w:val="en-US" w:eastAsia="zh-CN"/>
              </w:rPr>
              <w:t>m</w:t>
            </w:r>
            <w:r>
              <w:rPr>
                <w:rFonts w:hint="eastAsia" w:cs="Times New Roman"/>
                <w:color w:val="000000"/>
                <w:sz w:val="24"/>
                <w:highlight w:val="none"/>
                <w:u w:val="none" w:color="auto"/>
                <w:vertAlign w:val="superscript"/>
                <w:lang w:val="en-US" w:eastAsia="zh-CN"/>
              </w:rPr>
              <w:t>3</w:t>
            </w:r>
            <w:r>
              <w:rPr>
                <w:rFonts w:hint="default" w:ascii="Times New Roman" w:hAnsi="Times New Roman" w:eastAsia="宋体" w:cs="Times New Roman"/>
                <w:color w:val="000000"/>
                <w:sz w:val="24"/>
                <w:highlight w:val="none"/>
                <w:u w:val="none" w:color="auto"/>
                <w:lang w:val="en-US" w:eastAsia="zh-CN"/>
              </w:rPr>
              <w:t>，</w:t>
            </w:r>
            <w:r>
              <w:rPr>
                <w:rFonts w:hint="eastAsia" w:ascii="Times New Roman" w:hAnsi="Times New Roman" w:eastAsia="宋体" w:cs="Times New Roman"/>
                <w:color w:val="000000"/>
                <w:sz w:val="24"/>
                <w:highlight w:val="none"/>
                <w:u w:val="none" w:color="auto"/>
                <w:lang w:val="en-US" w:eastAsia="zh-CN"/>
              </w:rPr>
              <w:t>符合</w:t>
            </w:r>
            <w:r>
              <w:rPr>
                <w:rFonts w:hint="default" w:ascii="Times New Roman" w:hAnsi="Times New Roman" w:eastAsia="宋体" w:cs="Times New Roman"/>
                <w:color w:val="000000"/>
                <w:sz w:val="24"/>
                <w:highlight w:val="none"/>
                <w:u w:val="none" w:color="auto"/>
                <w:lang w:val="en-US" w:eastAsia="zh-CN"/>
              </w:rPr>
              <w:t>《环境空气质量标准》（GB</w:t>
            </w:r>
            <w:r>
              <w:rPr>
                <w:rFonts w:hint="eastAsia" w:ascii="Times New Roman" w:hAnsi="Times New Roman" w:eastAsia="宋体" w:cs="Times New Roman"/>
                <w:color w:val="000000"/>
                <w:sz w:val="24"/>
                <w:highlight w:val="none"/>
                <w:u w:val="none" w:color="auto"/>
                <w:lang w:val="en-US" w:eastAsia="zh-CN"/>
              </w:rPr>
              <w:t xml:space="preserve"> </w:t>
            </w:r>
            <w:r>
              <w:rPr>
                <w:rFonts w:hint="default" w:ascii="Times New Roman" w:hAnsi="Times New Roman" w:eastAsia="宋体" w:cs="Times New Roman"/>
                <w:color w:val="000000"/>
                <w:sz w:val="24"/>
                <w:highlight w:val="none"/>
                <w:u w:val="none" w:color="auto"/>
                <w:lang w:val="en-US" w:eastAsia="zh-CN"/>
              </w:rPr>
              <w:t>3095-2012）二级标准要求。因此</w:t>
            </w:r>
            <w:r>
              <w:rPr>
                <w:rFonts w:hint="eastAsia" w:ascii="Times New Roman" w:hAnsi="Times New Roman" w:eastAsia="宋体" w:cs="Times New Roman"/>
                <w:color w:val="000000"/>
                <w:sz w:val="24"/>
                <w:szCs w:val="24"/>
                <w:highlight w:val="none"/>
                <w:u w:val="none" w:color="auto"/>
                <w:lang w:eastAsia="zh-CN"/>
              </w:rPr>
              <w:t>湘阴县</w:t>
            </w:r>
            <w:r>
              <w:rPr>
                <w:rFonts w:hint="default" w:ascii="Times New Roman" w:hAnsi="Times New Roman" w:eastAsia="宋体" w:cs="Times New Roman"/>
                <w:color w:val="000000"/>
                <w:sz w:val="24"/>
                <w:szCs w:val="24"/>
                <w:highlight w:val="none"/>
                <w:u w:val="none" w:color="auto"/>
              </w:rPr>
              <w:t>属于环境空气达标区</w:t>
            </w:r>
            <w:r>
              <w:rPr>
                <w:rFonts w:hint="default" w:ascii="Times New Roman" w:hAnsi="Times New Roman" w:eastAsia="宋体" w:cs="Times New Roman"/>
                <w:color w:val="000000"/>
                <w:sz w:val="24"/>
                <w:szCs w:val="24"/>
                <w:highlight w:val="none"/>
                <w:u w:val="none" w:color="auto"/>
                <w:lang w:eastAsia="zh-CN"/>
              </w:rPr>
              <w:t>。</w:t>
            </w:r>
          </w:p>
          <w:p>
            <w:pPr>
              <w:pStyle w:val="8"/>
              <w:rPr>
                <w:rFonts w:hint="eastAsia" w:cs="Times New Roman"/>
                <w:b/>
                <w:bCs/>
                <w:sz w:val="24"/>
                <w:lang w:val="en-US" w:eastAsia="zh-CN"/>
              </w:rPr>
            </w:pPr>
            <w:r>
              <w:rPr>
                <w:rFonts w:hint="eastAsia" w:cs="Times New Roman"/>
                <w:b/>
                <w:bCs/>
                <w:sz w:val="24"/>
                <w:lang w:val="en-US" w:eastAsia="zh-CN"/>
              </w:rPr>
              <w:t>1.2水环境现状</w:t>
            </w:r>
          </w:p>
          <w:p>
            <w:pPr>
              <w:snapToGrid w:val="0"/>
              <w:spacing w:line="360" w:lineRule="auto"/>
              <w:ind w:firstLine="480"/>
              <w:jc w:val="left"/>
              <w:rPr>
                <w:rFonts w:hint="default" w:ascii="Times New Roman" w:hAnsi="Times New Roman" w:eastAsia="宋体" w:cs="Times New Roman"/>
                <w:color w:val="auto"/>
                <w:sz w:val="24"/>
                <w:szCs w:val="24"/>
                <w:u w:val="none"/>
              </w:rPr>
            </w:pPr>
            <w:bookmarkStart w:id="47" w:name="_Toc507148266"/>
            <w:bookmarkStart w:id="48" w:name="_Toc496266913"/>
            <w:bookmarkStart w:id="49" w:name="_Toc496264100"/>
            <w:r>
              <w:rPr>
                <w:rFonts w:hint="default" w:ascii="Times New Roman" w:hAnsi="Times New Roman" w:eastAsia="宋体" w:cs="Times New Roman"/>
                <w:color w:val="auto"/>
                <w:sz w:val="24"/>
                <w:szCs w:val="24"/>
                <w:u w:val="none"/>
              </w:rPr>
              <w:t>本项目</w:t>
            </w:r>
            <w:r>
              <w:rPr>
                <w:rFonts w:hint="eastAsia" w:cs="Times New Roman"/>
                <w:color w:val="auto"/>
                <w:sz w:val="24"/>
                <w:szCs w:val="24"/>
                <w:u w:val="none"/>
                <w:lang w:val="en-US" w:eastAsia="zh-CN"/>
              </w:rPr>
              <w:t>燎原</w:t>
            </w:r>
            <w:r>
              <w:rPr>
                <w:rFonts w:hint="eastAsia" w:eastAsia="宋体" w:cs="Times New Roman"/>
                <w:color w:val="auto"/>
                <w:sz w:val="24"/>
                <w:szCs w:val="24"/>
                <w:u w:val="none"/>
                <w:lang w:val="en-US" w:eastAsia="zh-CN"/>
              </w:rPr>
              <w:t>水库以及</w:t>
            </w:r>
            <w:r>
              <w:rPr>
                <w:rFonts w:hint="default" w:ascii="Times New Roman" w:hAnsi="Times New Roman" w:eastAsia="宋体" w:cs="Times New Roman"/>
                <w:color w:val="auto"/>
                <w:sz w:val="24"/>
                <w:szCs w:val="24"/>
                <w:u w:val="none"/>
              </w:rPr>
              <w:t>的输水涵洞后的农灌渠水环境功能为农</w:t>
            </w:r>
            <w:r>
              <w:rPr>
                <w:rFonts w:hint="default" w:ascii="Times New Roman" w:hAnsi="Times New Roman" w:eastAsia="宋体" w:cs="Times New Roman"/>
                <w:color w:val="auto"/>
                <w:sz w:val="24"/>
                <w:szCs w:val="24"/>
                <w:u w:val="none"/>
                <w:lang w:eastAsia="zh-CN"/>
              </w:rPr>
              <w:t>业</w:t>
            </w:r>
            <w:r>
              <w:rPr>
                <w:rFonts w:hint="default" w:ascii="Times New Roman" w:hAnsi="Times New Roman" w:eastAsia="宋体" w:cs="Times New Roman"/>
                <w:color w:val="auto"/>
                <w:sz w:val="24"/>
                <w:szCs w:val="24"/>
                <w:u w:val="none"/>
              </w:rPr>
              <w:t>用水区，其水质均执行《地表水环境质量标准》（GB3838-2002）中Ⅲ类标准。</w:t>
            </w:r>
          </w:p>
          <w:p>
            <w:pPr>
              <w:snapToGrid w:val="0"/>
              <w:spacing w:line="360" w:lineRule="auto"/>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u w:val="none"/>
              </w:rPr>
              <w:t>（1）监测布</w:t>
            </w:r>
            <w:r>
              <w:rPr>
                <w:rFonts w:hint="default" w:ascii="Times New Roman" w:hAnsi="Times New Roman" w:eastAsia="宋体" w:cs="Times New Roman"/>
                <w:color w:val="auto"/>
                <w:sz w:val="24"/>
                <w:szCs w:val="24"/>
                <w:highlight w:val="none"/>
                <w:u w:val="none"/>
              </w:rPr>
              <w:t>点</w:t>
            </w:r>
          </w:p>
          <w:p>
            <w:pPr>
              <w:snapToGrid w:val="0"/>
              <w:spacing w:line="360" w:lineRule="auto"/>
              <w:ind w:firstLine="480" w:firstLineChars="200"/>
              <w:rPr>
                <w:rFonts w:hint="default" w:ascii="Times New Roman" w:hAnsi="Times New Roman" w:eastAsia="宋体" w:cs="Times New Roman"/>
                <w:color w:val="auto"/>
                <w:sz w:val="24"/>
                <w:szCs w:val="24"/>
                <w:highlight w:val="none"/>
                <w:u w:val="none"/>
              </w:rPr>
            </w:pPr>
            <w:bookmarkStart w:id="50" w:name="OLE_LINK16"/>
            <w:r>
              <w:rPr>
                <w:rFonts w:hint="default" w:ascii="Times New Roman" w:hAnsi="Times New Roman" w:eastAsia="宋体" w:cs="Times New Roman"/>
                <w:color w:val="auto"/>
                <w:sz w:val="24"/>
                <w:szCs w:val="24"/>
                <w:highlight w:val="none"/>
                <w:u w:val="none"/>
              </w:rPr>
              <w:t>W1</w:t>
            </w:r>
            <w:r>
              <w:rPr>
                <w:rFonts w:hint="eastAsia"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燎原</w:t>
            </w:r>
            <w:r>
              <w:rPr>
                <w:rFonts w:hint="eastAsia" w:eastAsia="宋体" w:cs="Times New Roman"/>
                <w:color w:val="auto"/>
                <w:sz w:val="24"/>
                <w:szCs w:val="24"/>
                <w:highlight w:val="none"/>
                <w:u w:val="none"/>
                <w:lang w:val="en-US" w:eastAsia="zh-CN"/>
              </w:rPr>
              <w:t>水库</w:t>
            </w:r>
            <w:r>
              <w:rPr>
                <w:rFonts w:hint="default" w:ascii="Times New Roman" w:hAnsi="Times New Roman" w:eastAsia="宋体" w:cs="Times New Roman"/>
                <w:color w:val="auto"/>
                <w:sz w:val="24"/>
                <w:szCs w:val="24"/>
                <w:highlight w:val="none"/>
                <w:u w:val="none"/>
              </w:rPr>
              <w:t>；</w:t>
            </w:r>
          </w:p>
          <w:p>
            <w:pPr>
              <w:snapToGrid w:val="0"/>
              <w:spacing w:line="360" w:lineRule="auto"/>
              <w:ind w:firstLine="480" w:firstLineChars="200"/>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W2：输水涵洞后的农灌渠；</w:t>
            </w:r>
          </w:p>
          <w:bookmarkEnd w:id="50"/>
          <w:p>
            <w:pPr>
              <w:widowControl/>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（2）监测因子</w:t>
            </w:r>
          </w:p>
          <w:p>
            <w:pPr>
              <w:bidi w:val="0"/>
              <w:rPr>
                <w:rFonts w:hint="default"/>
                <w:highlight w:val="none"/>
                <w:lang w:val="en-US" w:eastAsia="zh-CN"/>
              </w:rPr>
            </w:pPr>
            <w:r>
              <w:rPr>
                <w:rFonts w:hint="default"/>
                <w:highlight w:val="none"/>
                <w:lang w:val="en-US" w:eastAsia="zh-CN"/>
              </w:rPr>
              <w:t>pH、</w:t>
            </w:r>
            <w:r>
              <w:rPr>
                <w:rFonts w:hint="eastAsia"/>
                <w:highlight w:val="none"/>
                <w:lang w:val="en-US" w:eastAsia="zh-CN"/>
              </w:rPr>
              <w:t>水温、DO、</w:t>
            </w:r>
            <w:r>
              <w:rPr>
                <w:rFonts w:hint="default"/>
                <w:highlight w:val="none"/>
                <w:lang w:val="en-US" w:eastAsia="zh-CN"/>
              </w:rPr>
              <w:t>COD</w:t>
            </w:r>
            <w:r>
              <w:rPr>
                <w:rFonts w:hint="eastAsia"/>
                <w:highlight w:val="none"/>
                <w:lang w:val="en-US" w:eastAsia="zh-CN"/>
              </w:rPr>
              <w:t>Mn</w:t>
            </w:r>
            <w:r>
              <w:rPr>
                <w:rFonts w:hint="default"/>
                <w:highlight w:val="none"/>
                <w:lang w:val="en-US" w:eastAsia="zh-CN"/>
              </w:rPr>
              <w:t>、</w:t>
            </w:r>
            <w:r>
              <w:rPr>
                <w:rFonts w:hint="eastAsia"/>
                <w:highlight w:val="none"/>
                <w:lang w:val="en-US" w:eastAsia="zh-CN"/>
              </w:rPr>
              <w:t>BOD</w:t>
            </w:r>
            <w:r>
              <w:rPr>
                <w:rFonts w:hint="eastAsia"/>
                <w:highlight w:val="none"/>
                <w:vertAlign w:val="subscript"/>
                <w:lang w:val="en-US" w:eastAsia="zh-CN"/>
              </w:rPr>
              <w:t>5</w:t>
            </w:r>
            <w:r>
              <w:rPr>
                <w:rFonts w:hint="default"/>
                <w:highlight w:val="none"/>
                <w:lang w:val="en-US" w:eastAsia="zh-CN"/>
              </w:rPr>
              <w:t>、</w:t>
            </w:r>
            <w:r>
              <w:rPr>
                <w:rFonts w:hint="eastAsia"/>
                <w:highlight w:val="none"/>
                <w:lang w:val="en-US" w:eastAsia="zh-CN"/>
              </w:rPr>
              <w:t>NH</w:t>
            </w:r>
            <w:r>
              <w:rPr>
                <w:rFonts w:hint="eastAsia"/>
                <w:highlight w:val="none"/>
                <w:vertAlign w:val="subscript"/>
                <w:lang w:val="en-US" w:eastAsia="zh-CN"/>
              </w:rPr>
              <w:t>3</w:t>
            </w:r>
            <w:r>
              <w:rPr>
                <w:rFonts w:hint="default"/>
                <w:highlight w:val="none"/>
                <w:lang w:val="en-US" w:eastAsia="zh-CN"/>
              </w:rPr>
              <w:t>-N、TP、TN、粪大肠菌群</w:t>
            </w:r>
            <w:r>
              <w:rPr>
                <w:rFonts w:hint="eastAsia"/>
                <w:highlight w:val="none"/>
                <w:lang w:val="en-US" w:eastAsia="zh-CN"/>
              </w:rPr>
              <w:t>、COD</w:t>
            </w:r>
            <w:r>
              <w:rPr>
                <w:rFonts w:hint="eastAsia"/>
                <w:highlight w:val="none"/>
                <w:vertAlign w:val="subscript"/>
                <w:lang w:val="en-US" w:eastAsia="zh-CN"/>
              </w:rPr>
              <w:t>cr</w:t>
            </w:r>
            <w:r>
              <w:rPr>
                <w:rFonts w:hint="eastAsia"/>
                <w:highlight w:val="none"/>
                <w:lang w:val="en-US" w:eastAsia="zh-CN"/>
              </w:rPr>
              <w:t>、阴离子表面活性剂、石油类、动植物油类、叶绿素a</w:t>
            </w:r>
          </w:p>
          <w:p>
            <w:pPr>
              <w:snapToGrid w:val="0"/>
              <w:spacing w:line="360" w:lineRule="auto"/>
              <w:ind w:firstLine="480" w:firstLineChars="200"/>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（3）具体监测结果如下表3-</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rPr>
              <w:t xml:space="preserve">：  </w:t>
            </w:r>
          </w:p>
          <w:p>
            <w:pPr>
              <w:jc w:val="center"/>
              <w:rPr>
                <w:rFonts w:hint="default" w:ascii="Times New Roman" w:hAnsi="Times New Roman" w:eastAsia="宋体" w:cs="Times New Roman"/>
                <w:b/>
                <w:bCs/>
                <w:color w:val="auto"/>
                <w:sz w:val="24"/>
                <w:highlight w:val="none"/>
                <w:u w:val="none"/>
              </w:rPr>
            </w:pPr>
            <w:r>
              <w:rPr>
                <w:rFonts w:hint="default" w:ascii="Times New Roman" w:hAnsi="Times New Roman" w:eastAsia="宋体" w:cs="Times New Roman"/>
                <w:b/>
                <w:bCs/>
                <w:color w:val="auto"/>
                <w:sz w:val="24"/>
                <w:highlight w:val="none"/>
                <w:u w:val="none"/>
              </w:rPr>
              <w:t>表3-</w:t>
            </w:r>
            <w:r>
              <w:rPr>
                <w:rFonts w:hint="eastAsia" w:cs="Times New Roman"/>
                <w:b/>
                <w:bCs/>
                <w:color w:val="auto"/>
                <w:sz w:val="24"/>
                <w:highlight w:val="none"/>
                <w:u w:val="none"/>
                <w:lang w:val="en-US" w:eastAsia="zh-CN"/>
              </w:rPr>
              <w:t>3</w:t>
            </w:r>
            <w:r>
              <w:rPr>
                <w:rFonts w:hint="default" w:ascii="Times New Roman" w:hAnsi="Times New Roman" w:eastAsia="宋体" w:cs="Times New Roman"/>
                <w:b/>
                <w:bCs/>
                <w:color w:val="auto"/>
                <w:sz w:val="24"/>
                <w:highlight w:val="none"/>
                <w:u w:val="none"/>
              </w:rPr>
              <w:t xml:space="preserve">   </w:t>
            </w:r>
            <w:r>
              <w:rPr>
                <w:rFonts w:hint="eastAsia" w:cs="Times New Roman"/>
                <w:b/>
                <w:bCs/>
                <w:color w:val="auto"/>
                <w:sz w:val="24"/>
                <w:highlight w:val="none"/>
                <w:u w:val="none"/>
                <w:lang w:val="en-US" w:eastAsia="zh-CN"/>
              </w:rPr>
              <w:t>水质</w:t>
            </w:r>
            <w:r>
              <w:rPr>
                <w:rFonts w:hint="default" w:ascii="Times New Roman" w:hAnsi="Times New Roman" w:eastAsia="宋体" w:cs="Times New Roman"/>
                <w:b/>
                <w:bCs/>
                <w:color w:val="auto"/>
                <w:sz w:val="24"/>
                <w:highlight w:val="none"/>
                <w:u w:val="none"/>
              </w:rPr>
              <w:t>监测数据统计（单位：mg/L）</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448"/>
              <w:gridCol w:w="923"/>
              <w:gridCol w:w="804"/>
              <w:gridCol w:w="804"/>
              <w:gridCol w:w="856"/>
              <w:gridCol w:w="1015"/>
              <w:gridCol w:w="881"/>
              <w:gridCol w:w="9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6" w:type="dxa"/>
                  <w:vMerge w:val="restart"/>
                  <w:noWrap w:val="0"/>
                  <w:vAlign w:val="center"/>
                </w:tcPr>
                <w:p>
                  <w:pPr>
                    <w:pStyle w:val="27"/>
                    <w:bidi w:val="0"/>
                    <w:rPr>
                      <w:rFonts w:hint="default"/>
                      <w:lang w:val="en-US" w:eastAsia="zh-CN"/>
                    </w:rPr>
                  </w:pPr>
                  <w:r>
                    <w:rPr>
                      <w:rFonts w:hint="default"/>
                      <w:lang w:val="en-US" w:eastAsia="zh-CN"/>
                    </w:rPr>
                    <w:t>监测断面</w:t>
                  </w:r>
                </w:p>
              </w:tc>
              <w:tc>
                <w:tcPr>
                  <w:tcW w:w="1464" w:type="dxa"/>
                  <w:vMerge w:val="restart"/>
                  <w:noWrap w:val="0"/>
                  <w:vAlign w:val="center"/>
                </w:tcPr>
                <w:p>
                  <w:pPr>
                    <w:pStyle w:val="27"/>
                    <w:bidi w:val="0"/>
                    <w:rPr>
                      <w:rFonts w:hint="default"/>
                      <w:lang w:val="en-US" w:eastAsia="zh-CN"/>
                    </w:rPr>
                  </w:pPr>
                  <w:r>
                    <w:rPr>
                      <w:rFonts w:hint="default"/>
                      <w:lang w:val="en-US" w:eastAsia="zh-CN"/>
                    </w:rPr>
                    <w:t>监测项目</w:t>
                  </w:r>
                </w:p>
              </w:tc>
              <w:tc>
                <w:tcPr>
                  <w:tcW w:w="932" w:type="dxa"/>
                  <w:vMerge w:val="restart"/>
                  <w:noWrap w:val="0"/>
                  <w:vAlign w:val="center"/>
                </w:tcPr>
                <w:p>
                  <w:pPr>
                    <w:pStyle w:val="27"/>
                    <w:bidi w:val="0"/>
                    <w:rPr>
                      <w:rFonts w:hint="default"/>
                      <w:lang w:val="en-US" w:eastAsia="zh-CN"/>
                    </w:rPr>
                  </w:pPr>
                  <w:r>
                    <w:rPr>
                      <w:rFonts w:hint="default"/>
                      <w:lang w:val="en-US" w:eastAsia="zh-CN"/>
                    </w:rPr>
                    <w:t>单位</w:t>
                  </w:r>
                </w:p>
              </w:tc>
              <w:tc>
                <w:tcPr>
                  <w:tcW w:w="2488" w:type="dxa"/>
                  <w:gridSpan w:val="3"/>
                  <w:noWrap w:val="0"/>
                  <w:vAlign w:val="center"/>
                </w:tcPr>
                <w:p>
                  <w:pPr>
                    <w:pStyle w:val="27"/>
                    <w:bidi w:val="0"/>
                    <w:rPr>
                      <w:rFonts w:hint="default"/>
                      <w:lang w:val="en-US" w:eastAsia="zh-CN"/>
                    </w:rPr>
                  </w:pPr>
                  <w:r>
                    <w:rPr>
                      <w:rFonts w:hint="default"/>
                      <w:lang w:val="en-US" w:eastAsia="zh-CN"/>
                    </w:rPr>
                    <w:t>监测时间</w:t>
                  </w:r>
                </w:p>
              </w:tc>
              <w:tc>
                <w:tcPr>
                  <w:tcW w:w="1025" w:type="dxa"/>
                  <w:vMerge w:val="restart"/>
                  <w:noWrap w:val="0"/>
                  <w:vAlign w:val="center"/>
                </w:tcPr>
                <w:p>
                  <w:pPr>
                    <w:pStyle w:val="27"/>
                    <w:bidi w:val="0"/>
                    <w:rPr>
                      <w:rFonts w:hint="default"/>
                      <w:lang w:val="en-US" w:eastAsia="zh-CN"/>
                    </w:rPr>
                  </w:pPr>
                  <w:r>
                    <w:rPr>
                      <w:rFonts w:hint="default"/>
                      <w:lang w:val="en-US" w:eastAsia="zh-CN"/>
                    </w:rPr>
                    <w:t>超标率（%）</w:t>
                  </w:r>
                </w:p>
              </w:tc>
              <w:tc>
                <w:tcPr>
                  <w:tcW w:w="890" w:type="dxa"/>
                  <w:vMerge w:val="restart"/>
                  <w:noWrap w:val="0"/>
                  <w:vAlign w:val="center"/>
                </w:tcPr>
                <w:p>
                  <w:pPr>
                    <w:pStyle w:val="27"/>
                    <w:bidi w:val="0"/>
                    <w:rPr>
                      <w:rFonts w:hint="default"/>
                      <w:lang w:val="en-US" w:eastAsia="zh-CN"/>
                    </w:rPr>
                  </w:pPr>
                  <w:r>
                    <w:rPr>
                      <w:rFonts w:hint="default"/>
                      <w:lang w:val="en-US" w:eastAsia="zh-CN"/>
                    </w:rPr>
                    <w:t>最大超标倍数</w:t>
                  </w:r>
                </w:p>
              </w:tc>
              <w:tc>
                <w:tcPr>
                  <w:tcW w:w="949" w:type="dxa"/>
                  <w:vMerge w:val="restart"/>
                  <w:noWrap w:val="0"/>
                  <w:vAlign w:val="center"/>
                </w:tcPr>
                <w:p>
                  <w:pPr>
                    <w:pStyle w:val="27"/>
                    <w:bidi w:val="0"/>
                    <w:rPr>
                      <w:rFonts w:hint="default"/>
                      <w:lang w:val="en-US" w:eastAsia="zh-CN"/>
                    </w:rPr>
                  </w:pPr>
                  <w:r>
                    <w:rPr>
                      <w:rFonts w:hint="default"/>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6" w:type="dxa"/>
                  <w:vMerge w:val="continue"/>
                  <w:noWrap w:val="0"/>
                  <w:vAlign w:val="center"/>
                </w:tcPr>
                <w:p>
                  <w:pPr>
                    <w:pStyle w:val="27"/>
                    <w:bidi w:val="0"/>
                    <w:rPr>
                      <w:rFonts w:hint="default"/>
                      <w:lang w:val="en-US" w:eastAsia="zh-CN"/>
                    </w:rPr>
                  </w:pPr>
                </w:p>
              </w:tc>
              <w:tc>
                <w:tcPr>
                  <w:tcW w:w="1464" w:type="dxa"/>
                  <w:vMerge w:val="continue"/>
                  <w:noWrap w:val="0"/>
                  <w:vAlign w:val="center"/>
                </w:tcPr>
                <w:p>
                  <w:pPr>
                    <w:pStyle w:val="27"/>
                    <w:bidi w:val="0"/>
                    <w:rPr>
                      <w:rFonts w:hint="default"/>
                      <w:lang w:val="en-US" w:eastAsia="zh-CN"/>
                    </w:rPr>
                  </w:pPr>
                </w:p>
              </w:tc>
              <w:tc>
                <w:tcPr>
                  <w:tcW w:w="932" w:type="dxa"/>
                  <w:vMerge w:val="continue"/>
                  <w:noWrap w:val="0"/>
                  <w:vAlign w:val="center"/>
                </w:tcPr>
                <w:p>
                  <w:pPr>
                    <w:pStyle w:val="27"/>
                    <w:bidi w:val="0"/>
                    <w:rPr>
                      <w:rFonts w:hint="default"/>
                      <w:lang w:val="en-US" w:eastAsia="zh-CN"/>
                    </w:rPr>
                  </w:pPr>
                </w:p>
              </w:tc>
              <w:tc>
                <w:tcPr>
                  <w:tcW w:w="812" w:type="dxa"/>
                  <w:noWrap w:val="0"/>
                  <w:vAlign w:val="center"/>
                </w:tcPr>
                <w:p>
                  <w:pPr>
                    <w:pStyle w:val="27"/>
                    <w:bidi w:val="0"/>
                    <w:rPr>
                      <w:rFonts w:hint="default"/>
                      <w:lang w:val="en-US" w:eastAsia="zh-CN"/>
                    </w:rPr>
                  </w:pPr>
                  <w:r>
                    <w:rPr>
                      <w:rFonts w:hint="default"/>
                      <w:lang w:val="en-US" w:eastAsia="zh-CN"/>
                    </w:rPr>
                    <w:t>第1天</w:t>
                  </w:r>
                </w:p>
              </w:tc>
              <w:tc>
                <w:tcPr>
                  <w:tcW w:w="812" w:type="dxa"/>
                  <w:noWrap w:val="0"/>
                  <w:vAlign w:val="center"/>
                </w:tcPr>
                <w:p>
                  <w:pPr>
                    <w:pStyle w:val="27"/>
                    <w:bidi w:val="0"/>
                    <w:rPr>
                      <w:rFonts w:hint="default"/>
                      <w:lang w:val="en-US" w:eastAsia="zh-CN"/>
                    </w:rPr>
                  </w:pPr>
                  <w:r>
                    <w:rPr>
                      <w:rFonts w:hint="default"/>
                      <w:lang w:val="en-US" w:eastAsia="zh-CN"/>
                    </w:rPr>
                    <w:t>第2天</w:t>
                  </w:r>
                </w:p>
              </w:tc>
              <w:tc>
                <w:tcPr>
                  <w:tcW w:w="864" w:type="dxa"/>
                  <w:noWrap w:val="0"/>
                  <w:vAlign w:val="center"/>
                </w:tcPr>
                <w:p>
                  <w:pPr>
                    <w:pStyle w:val="27"/>
                    <w:bidi w:val="0"/>
                    <w:rPr>
                      <w:rFonts w:hint="default"/>
                      <w:lang w:val="en-US" w:eastAsia="zh-CN"/>
                    </w:rPr>
                  </w:pPr>
                  <w:r>
                    <w:rPr>
                      <w:rFonts w:hint="default"/>
                      <w:lang w:val="en-US" w:eastAsia="zh-CN"/>
                    </w:rPr>
                    <w:t>第3天</w:t>
                  </w:r>
                </w:p>
              </w:tc>
              <w:tc>
                <w:tcPr>
                  <w:tcW w:w="1025" w:type="dxa"/>
                  <w:vMerge w:val="continue"/>
                  <w:noWrap w:val="0"/>
                  <w:vAlign w:val="center"/>
                </w:tcPr>
                <w:p>
                  <w:pPr>
                    <w:pStyle w:val="27"/>
                    <w:bidi w:val="0"/>
                    <w:rPr>
                      <w:rFonts w:hint="default"/>
                      <w:lang w:val="en-US" w:eastAsia="zh-CN"/>
                    </w:rPr>
                  </w:pPr>
                </w:p>
              </w:tc>
              <w:tc>
                <w:tcPr>
                  <w:tcW w:w="890" w:type="dxa"/>
                  <w:vMerge w:val="continue"/>
                  <w:noWrap w:val="0"/>
                  <w:vAlign w:val="center"/>
                </w:tcPr>
                <w:p>
                  <w:pPr>
                    <w:pStyle w:val="27"/>
                    <w:bidi w:val="0"/>
                    <w:rPr>
                      <w:rFonts w:hint="default"/>
                      <w:lang w:val="en-US" w:eastAsia="zh-CN"/>
                    </w:rPr>
                  </w:pPr>
                </w:p>
              </w:tc>
              <w:tc>
                <w:tcPr>
                  <w:tcW w:w="949" w:type="dxa"/>
                  <w:vMerge w:val="continue"/>
                  <w:noWrap w:val="0"/>
                  <w:vAlign w:val="center"/>
                </w:tcPr>
                <w:p>
                  <w:pPr>
                    <w:pStyle w:val="27"/>
                    <w:bidi w:val="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restart"/>
                  <w:noWrap w:val="0"/>
                  <w:vAlign w:val="center"/>
                </w:tcPr>
                <w:p>
                  <w:pPr>
                    <w:pStyle w:val="27"/>
                    <w:bidi w:val="0"/>
                    <w:rPr>
                      <w:rFonts w:hint="default"/>
                      <w:lang w:val="en-US" w:eastAsia="zh-CN"/>
                    </w:rPr>
                  </w:pPr>
                  <w:r>
                    <w:rPr>
                      <w:rFonts w:hint="default"/>
                      <w:lang w:val="en-US" w:eastAsia="zh-CN"/>
                    </w:rPr>
                    <w:t>W1</w:t>
                  </w:r>
                </w:p>
              </w:tc>
              <w:tc>
                <w:tcPr>
                  <w:tcW w:w="1464" w:type="dxa"/>
                  <w:noWrap w:val="0"/>
                  <w:vAlign w:val="center"/>
                </w:tcPr>
                <w:p>
                  <w:pPr>
                    <w:pStyle w:val="27"/>
                    <w:bidi w:val="0"/>
                    <w:rPr>
                      <w:rFonts w:hint="default"/>
                      <w:lang w:val="en-US" w:eastAsia="zh-CN"/>
                    </w:rPr>
                  </w:pPr>
                  <w:r>
                    <w:rPr>
                      <w:rFonts w:hint="default"/>
                      <w:lang w:val="en-US" w:eastAsia="zh-CN"/>
                    </w:rPr>
                    <w:t>pH</w:t>
                  </w:r>
                </w:p>
              </w:tc>
              <w:tc>
                <w:tcPr>
                  <w:tcW w:w="932" w:type="dxa"/>
                  <w:noWrap w:val="0"/>
                  <w:vAlign w:val="center"/>
                </w:tcPr>
                <w:p>
                  <w:pPr>
                    <w:pStyle w:val="27"/>
                    <w:bidi w:val="0"/>
                    <w:rPr>
                      <w:rFonts w:hint="default"/>
                      <w:lang w:val="en-US" w:eastAsia="zh-CN"/>
                    </w:rPr>
                  </w:pPr>
                  <w:r>
                    <w:rPr>
                      <w:rFonts w:hint="default"/>
                      <w:lang w:val="en-US" w:eastAsia="zh-CN"/>
                    </w:rPr>
                    <w:t>无量纲</w:t>
                  </w:r>
                </w:p>
              </w:tc>
              <w:tc>
                <w:tcPr>
                  <w:tcW w:w="812" w:type="dxa"/>
                  <w:noWrap w:val="0"/>
                  <w:vAlign w:val="center"/>
                </w:tcPr>
                <w:p>
                  <w:pPr>
                    <w:pStyle w:val="27"/>
                    <w:bidi w:val="0"/>
                    <w:rPr>
                      <w:rFonts w:hint="default"/>
                      <w:lang w:val="en-US" w:eastAsia="zh-CN"/>
                    </w:rPr>
                  </w:pPr>
                  <w:r>
                    <w:t>7.1</w:t>
                  </w:r>
                </w:p>
              </w:tc>
              <w:tc>
                <w:tcPr>
                  <w:tcW w:w="812" w:type="dxa"/>
                  <w:noWrap w:val="0"/>
                  <w:vAlign w:val="center"/>
                </w:tcPr>
                <w:p>
                  <w:pPr>
                    <w:pStyle w:val="27"/>
                    <w:bidi w:val="0"/>
                    <w:rPr>
                      <w:rFonts w:hint="default"/>
                      <w:lang w:val="en-US" w:eastAsia="zh-CN"/>
                    </w:rPr>
                  </w:pPr>
                  <w:r>
                    <w:t>7.0</w:t>
                  </w:r>
                </w:p>
              </w:tc>
              <w:tc>
                <w:tcPr>
                  <w:tcW w:w="864" w:type="dxa"/>
                  <w:noWrap w:val="0"/>
                  <w:vAlign w:val="center"/>
                </w:tcPr>
                <w:p>
                  <w:pPr>
                    <w:pStyle w:val="27"/>
                    <w:bidi w:val="0"/>
                    <w:rPr>
                      <w:rFonts w:hint="default"/>
                      <w:lang w:val="en-US" w:eastAsia="zh-CN"/>
                    </w:rPr>
                  </w:pPr>
                  <w:r>
                    <w:t>7.3</w:t>
                  </w:r>
                </w:p>
              </w:tc>
              <w:tc>
                <w:tcPr>
                  <w:tcW w:w="1025" w:type="dxa"/>
                  <w:noWrap w:val="0"/>
                  <w:vAlign w:val="center"/>
                </w:tcPr>
                <w:p>
                  <w:pPr>
                    <w:pStyle w:val="27"/>
                    <w:bidi w:val="0"/>
                    <w:rPr>
                      <w:rFonts w:hint="default"/>
                      <w:lang w:val="en-US" w:eastAsia="zh-CN"/>
                    </w:rPr>
                  </w:pPr>
                  <w:r>
                    <w:rPr>
                      <w:rFonts w:hint="eastAsia"/>
                      <w:lang w:val="en-US" w:eastAsia="zh-CN"/>
                    </w:rPr>
                    <w:t>/</w:t>
                  </w:r>
                </w:p>
              </w:tc>
              <w:tc>
                <w:tcPr>
                  <w:tcW w:w="890" w:type="dxa"/>
                  <w:noWrap w:val="0"/>
                  <w:vAlign w:val="center"/>
                </w:tcPr>
                <w:p>
                  <w:pPr>
                    <w:pStyle w:val="27"/>
                    <w:bidi w:val="0"/>
                    <w:rPr>
                      <w:rFonts w:hint="default"/>
                      <w:lang w:val="en-US" w:eastAsia="zh-CN"/>
                    </w:rPr>
                  </w:pPr>
                  <w:r>
                    <w:rPr>
                      <w:rFonts w:hint="eastAsia"/>
                      <w:lang w:val="en-US" w:eastAsia="zh-CN"/>
                    </w:rPr>
                    <w:t>/</w:t>
                  </w:r>
                </w:p>
              </w:tc>
              <w:tc>
                <w:tcPr>
                  <w:tcW w:w="949" w:type="dxa"/>
                  <w:noWrap w:val="0"/>
                  <w:vAlign w:val="center"/>
                </w:tcPr>
                <w:p>
                  <w:pPr>
                    <w:pStyle w:val="27"/>
                    <w:bidi w:val="0"/>
                    <w:rPr>
                      <w:rFonts w:hint="default"/>
                      <w:lang w:val="en-US" w:eastAsia="zh-CN"/>
                    </w:rPr>
                  </w:pPr>
                  <w:r>
                    <w:rPr>
                      <w:rFonts w:hint="default"/>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rPr>
                      <w:rFonts w:hint="eastAsia"/>
                      <w:lang w:val="en-US" w:eastAsia="zh-CN"/>
                    </w:rPr>
                    <w:t>水温</w:t>
                  </w:r>
                </w:p>
              </w:tc>
              <w:tc>
                <w:tcPr>
                  <w:tcW w:w="932" w:type="dxa"/>
                  <w:noWrap w:val="0"/>
                  <w:vAlign w:val="center"/>
                </w:tcPr>
                <w:p>
                  <w:pPr>
                    <w:pStyle w:val="27"/>
                    <w:bidi w:val="0"/>
                    <w:rPr>
                      <w:rFonts w:hint="default"/>
                      <w:lang w:val="en-US" w:eastAsia="zh-CN"/>
                    </w:rPr>
                  </w:pPr>
                  <w:r>
                    <w:rPr>
                      <w:rFonts w:hint="eastAsia"/>
                      <w:lang w:val="en-US" w:eastAsia="zh-CN"/>
                    </w:rPr>
                    <w:t>℃</w:t>
                  </w:r>
                </w:p>
              </w:tc>
              <w:tc>
                <w:tcPr>
                  <w:tcW w:w="812" w:type="dxa"/>
                  <w:noWrap w:val="0"/>
                  <w:vAlign w:val="center"/>
                </w:tcPr>
                <w:p>
                  <w:pPr>
                    <w:pStyle w:val="27"/>
                    <w:bidi w:val="0"/>
                    <w:rPr>
                      <w:rFonts w:hint="default"/>
                      <w:lang w:val="en-US" w:eastAsia="zh-CN"/>
                    </w:rPr>
                  </w:pPr>
                  <w:r>
                    <w:rPr>
                      <w:rFonts w:hint="eastAsia"/>
                      <w:lang w:val="en-US" w:eastAsia="zh-CN"/>
                    </w:rPr>
                    <w:t>26.8</w:t>
                  </w:r>
                </w:p>
              </w:tc>
              <w:tc>
                <w:tcPr>
                  <w:tcW w:w="812" w:type="dxa"/>
                  <w:noWrap w:val="0"/>
                  <w:vAlign w:val="center"/>
                </w:tcPr>
                <w:p>
                  <w:pPr>
                    <w:pStyle w:val="27"/>
                    <w:bidi w:val="0"/>
                    <w:rPr>
                      <w:rFonts w:hint="default"/>
                      <w:lang w:val="en-US" w:eastAsia="zh-CN"/>
                    </w:rPr>
                  </w:pPr>
                  <w:r>
                    <w:rPr>
                      <w:rFonts w:hint="eastAsia"/>
                      <w:lang w:val="en-US" w:eastAsia="zh-CN"/>
                    </w:rPr>
                    <w:t>26.8</w:t>
                  </w:r>
                </w:p>
              </w:tc>
              <w:tc>
                <w:tcPr>
                  <w:tcW w:w="864" w:type="dxa"/>
                  <w:noWrap w:val="0"/>
                  <w:vAlign w:val="center"/>
                </w:tcPr>
                <w:p>
                  <w:pPr>
                    <w:pStyle w:val="27"/>
                    <w:bidi w:val="0"/>
                    <w:rPr>
                      <w:rFonts w:hint="default"/>
                      <w:lang w:val="en-US" w:eastAsia="zh-CN"/>
                    </w:rPr>
                  </w:pPr>
                  <w:r>
                    <w:rPr>
                      <w:rFonts w:hint="eastAsia"/>
                      <w:lang w:val="en-US" w:eastAsia="zh-CN"/>
                    </w:rPr>
                    <w:t>26.8</w:t>
                  </w:r>
                </w:p>
              </w:tc>
              <w:tc>
                <w:tcPr>
                  <w:tcW w:w="1025" w:type="dxa"/>
                  <w:noWrap w:val="0"/>
                  <w:vAlign w:val="center"/>
                </w:tcPr>
                <w:p>
                  <w:pPr>
                    <w:pStyle w:val="27"/>
                    <w:bidi w:val="0"/>
                    <w:rPr>
                      <w:rFonts w:hint="default"/>
                      <w:lang w:val="en-US" w:eastAsia="zh-CN"/>
                    </w:rPr>
                  </w:pPr>
                  <w:r>
                    <w:rPr>
                      <w:rFonts w:hint="eastAsia"/>
                      <w:lang w:val="en-US" w:eastAsia="zh-CN"/>
                    </w:rPr>
                    <w:t>/</w:t>
                  </w:r>
                </w:p>
              </w:tc>
              <w:tc>
                <w:tcPr>
                  <w:tcW w:w="890" w:type="dxa"/>
                  <w:noWrap w:val="0"/>
                  <w:vAlign w:val="center"/>
                </w:tcPr>
                <w:p>
                  <w:pPr>
                    <w:pStyle w:val="27"/>
                    <w:bidi w:val="0"/>
                    <w:rPr>
                      <w:rFonts w:hint="default"/>
                      <w:lang w:val="en-US" w:eastAsia="zh-CN"/>
                    </w:rPr>
                  </w:pPr>
                  <w:r>
                    <w:rPr>
                      <w:rFonts w:hint="eastAsia"/>
                      <w:lang w:val="en-US" w:eastAsia="zh-CN"/>
                    </w:rPr>
                    <w:t>/</w:t>
                  </w:r>
                </w:p>
              </w:tc>
              <w:tc>
                <w:tcPr>
                  <w:tcW w:w="949" w:type="dxa"/>
                  <w:noWrap w:val="0"/>
                  <w:vAlign w:val="center"/>
                </w:tcPr>
                <w:p>
                  <w:pPr>
                    <w:pStyle w:val="27"/>
                    <w:bidi w:val="0"/>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溶解氧</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6.3</w:t>
                  </w:r>
                </w:p>
              </w:tc>
              <w:tc>
                <w:tcPr>
                  <w:tcW w:w="812" w:type="dxa"/>
                  <w:noWrap w:val="0"/>
                  <w:vAlign w:val="center"/>
                </w:tcPr>
                <w:p>
                  <w:pPr>
                    <w:pStyle w:val="27"/>
                    <w:bidi w:val="0"/>
                    <w:rPr>
                      <w:rFonts w:hint="default"/>
                      <w:lang w:val="en-US" w:eastAsia="zh-CN"/>
                    </w:rPr>
                  </w:pPr>
                  <w:r>
                    <w:t>6.5</w:t>
                  </w:r>
                </w:p>
              </w:tc>
              <w:tc>
                <w:tcPr>
                  <w:tcW w:w="864" w:type="dxa"/>
                  <w:noWrap w:val="0"/>
                  <w:vAlign w:val="center"/>
                </w:tcPr>
                <w:p>
                  <w:pPr>
                    <w:pStyle w:val="27"/>
                    <w:bidi w:val="0"/>
                    <w:rPr>
                      <w:rFonts w:hint="default"/>
                      <w:lang w:val="en-US" w:eastAsia="zh-CN"/>
                    </w:rPr>
                  </w:pPr>
                  <w:r>
                    <w:t>6.2</w:t>
                  </w:r>
                </w:p>
              </w:tc>
              <w:tc>
                <w:tcPr>
                  <w:tcW w:w="1025" w:type="dxa"/>
                  <w:noWrap w:val="0"/>
                  <w:vAlign w:val="center"/>
                </w:tcPr>
                <w:p>
                  <w:pPr>
                    <w:pStyle w:val="27"/>
                    <w:bidi w:val="0"/>
                    <w:rPr>
                      <w:rFonts w:hint="default"/>
                      <w:lang w:val="en-US" w:eastAsia="zh-CN"/>
                    </w:rPr>
                  </w:pPr>
                  <w:r>
                    <w:rPr>
                      <w:rFonts w:hint="default"/>
                      <w:lang w:val="en-US" w:eastAsia="zh-CN"/>
                    </w:rPr>
                    <w:t>0.0</w:t>
                  </w:r>
                </w:p>
              </w:tc>
              <w:tc>
                <w:tcPr>
                  <w:tcW w:w="890" w:type="dxa"/>
                  <w:noWrap w:val="0"/>
                  <w:vAlign w:val="center"/>
                </w:tcPr>
                <w:p>
                  <w:pPr>
                    <w:pStyle w:val="27"/>
                    <w:bidi w:val="0"/>
                    <w:rPr>
                      <w:rFonts w:hint="default"/>
                      <w:lang w:val="en-US" w:eastAsia="zh-CN"/>
                    </w:rPr>
                  </w:pPr>
                  <w:r>
                    <w:rPr>
                      <w:rFonts w:hint="default"/>
                      <w:lang w:val="en-US" w:eastAsia="zh-CN"/>
                    </w:rPr>
                    <w:t>0.0</w:t>
                  </w:r>
                </w:p>
              </w:tc>
              <w:tc>
                <w:tcPr>
                  <w:tcW w:w="949" w:type="dxa"/>
                  <w:noWrap w:val="0"/>
                  <w:vAlign w:val="center"/>
                </w:tcPr>
                <w:p>
                  <w:pPr>
                    <w:pStyle w:val="27"/>
                    <w:bidi w:val="0"/>
                    <w:ind w:right="113" w:rightChars="0" w:firstLine="0" w:firstLineChars="0"/>
                    <w:rPr>
                      <w:rFonts w:hint="default"/>
                      <w:lang w:val="en-US" w:eastAsia="zh-CN"/>
                    </w:rPr>
                  </w:pPr>
                  <w: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高锰酸盐指数</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1.03</w:t>
                  </w:r>
                </w:p>
              </w:tc>
              <w:tc>
                <w:tcPr>
                  <w:tcW w:w="812" w:type="dxa"/>
                  <w:noWrap w:val="0"/>
                  <w:vAlign w:val="center"/>
                </w:tcPr>
                <w:p>
                  <w:pPr>
                    <w:pStyle w:val="27"/>
                    <w:bidi w:val="0"/>
                    <w:rPr>
                      <w:rFonts w:hint="default"/>
                      <w:lang w:val="en-US" w:eastAsia="zh-CN"/>
                    </w:rPr>
                  </w:pPr>
                  <w:r>
                    <w:t>1.04</w:t>
                  </w:r>
                </w:p>
              </w:tc>
              <w:tc>
                <w:tcPr>
                  <w:tcW w:w="864" w:type="dxa"/>
                  <w:noWrap w:val="0"/>
                  <w:vAlign w:val="center"/>
                </w:tcPr>
                <w:p>
                  <w:pPr>
                    <w:pStyle w:val="27"/>
                    <w:bidi w:val="0"/>
                    <w:rPr>
                      <w:rFonts w:hint="default"/>
                      <w:lang w:val="en-US" w:eastAsia="zh-CN"/>
                    </w:rPr>
                  </w:pPr>
                  <w:r>
                    <w:t>1.01</w:t>
                  </w:r>
                </w:p>
              </w:tc>
              <w:tc>
                <w:tcPr>
                  <w:tcW w:w="1025" w:type="dxa"/>
                  <w:noWrap w:val="0"/>
                  <w:vAlign w:val="center"/>
                </w:tcPr>
                <w:p>
                  <w:pPr>
                    <w:pStyle w:val="27"/>
                    <w:bidi w:val="0"/>
                    <w:rPr>
                      <w:rFonts w:hint="default"/>
                      <w:lang w:val="en-US" w:eastAsia="zh-CN"/>
                    </w:rPr>
                  </w:pPr>
                  <w:r>
                    <w:rPr>
                      <w:rFonts w:hint="default"/>
                      <w:lang w:val="en-US" w:eastAsia="zh-CN"/>
                    </w:rPr>
                    <w:t>0.0</w:t>
                  </w:r>
                </w:p>
              </w:tc>
              <w:tc>
                <w:tcPr>
                  <w:tcW w:w="890" w:type="dxa"/>
                  <w:noWrap w:val="0"/>
                  <w:vAlign w:val="center"/>
                </w:tcPr>
                <w:p>
                  <w:pPr>
                    <w:pStyle w:val="27"/>
                    <w:bidi w:val="0"/>
                    <w:rPr>
                      <w:rFonts w:hint="default"/>
                      <w:lang w:val="en-US" w:eastAsia="zh-CN"/>
                    </w:rPr>
                  </w:pPr>
                  <w:r>
                    <w:rPr>
                      <w:rFonts w:hint="default"/>
                      <w:lang w:val="en-US" w:eastAsia="zh-CN"/>
                    </w:rPr>
                    <w:t>0.0</w:t>
                  </w:r>
                </w:p>
              </w:tc>
              <w:tc>
                <w:tcPr>
                  <w:tcW w:w="949" w:type="dxa"/>
                  <w:noWrap w:val="0"/>
                  <w:vAlign w:val="center"/>
                </w:tcPr>
                <w:p>
                  <w:pPr>
                    <w:pStyle w:val="27"/>
                    <w:bidi w:val="0"/>
                    <w:ind w:right="113" w:rightChars="0" w:firstLine="0" w:firstLineChars="0"/>
                    <w:rPr>
                      <w:rFonts w:hint="default"/>
                      <w:lang w:val="en-US" w:eastAsia="zh-CN"/>
                    </w:rPr>
                  </w:pPr>
                  <w: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eastAsia" w:eastAsia="宋体"/>
                      <w:lang w:val="en-US" w:eastAsia="zh-CN"/>
                    </w:rPr>
                  </w:pPr>
                  <w:r>
                    <w:rPr>
                      <w:rFonts w:hint="eastAsia"/>
                      <w:lang w:eastAsia="zh-CN"/>
                    </w:rPr>
                    <w:t>BOD</w:t>
                  </w:r>
                  <w:r>
                    <w:rPr>
                      <w:rFonts w:hint="eastAsia"/>
                      <w:vertAlign w:val="subscript"/>
                      <w:lang w:eastAsia="zh-CN"/>
                    </w:rPr>
                    <w:t>5</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1.0</w:t>
                  </w:r>
                </w:p>
              </w:tc>
              <w:tc>
                <w:tcPr>
                  <w:tcW w:w="812" w:type="dxa"/>
                  <w:noWrap w:val="0"/>
                  <w:vAlign w:val="center"/>
                </w:tcPr>
                <w:p>
                  <w:pPr>
                    <w:pStyle w:val="27"/>
                    <w:bidi w:val="0"/>
                    <w:rPr>
                      <w:rFonts w:hint="default"/>
                      <w:lang w:val="en-US" w:eastAsia="zh-CN"/>
                    </w:rPr>
                  </w:pPr>
                  <w:r>
                    <w:t>0.9</w:t>
                  </w:r>
                </w:p>
              </w:tc>
              <w:tc>
                <w:tcPr>
                  <w:tcW w:w="864" w:type="dxa"/>
                  <w:noWrap w:val="0"/>
                  <w:vAlign w:val="center"/>
                </w:tcPr>
                <w:p>
                  <w:pPr>
                    <w:pStyle w:val="27"/>
                    <w:bidi w:val="0"/>
                    <w:rPr>
                      <w:rFonts w:hint="default"/>
                      <w:lang w:val="en-US" w:eastAsia="zh-CN"/>
                    </w:rPr>
                  </w:pPr>
                  <w:r>
                    <w:t>1.0</w:t>
                  </w:r>
                </w:p>
              </w:tc>
              <w:tc>
                <w:tcPr>
                  <w:tcW w:w="1025" w:type="dxa"/>
                  <w:noWrap w:val="0"/>
                  <w:vAlign w:val="center"/>
                </w:tcPr>
                <w:p>
                  <w:pPr>
                    <w:pStyle w:val="27"/>
                    <w:bidi w:val="0"/>
                    <w:rPr>
                      <w:rFonts w:hint="default"/>
                      <w:lang w:val="en-US" w:eastAsia="zh-CN"/>
                    </w:rPr>
                  </w:pPr>
                  <w:r>
                    <w:rPr>
                      <w:rFonts w:hint="default"/>
                      <w:lang w:val="en-US" w:eastAsia="zh-CN"/>
                    </w:rPr>
                    <w:t>0.0</w:t>
                  </w:r>
                </w:p>
              </w:tc>
              <w:tc>
                <w:tcPr>
                  <w:tcW w:w="890" w:type="dxa"/>
                  <w:noWrap w:val="0"/>
                  <w:vAlign w:val="center"/>
                </w:tcPr>
                <w:p>
                  <w:pPr>
                    <w:pStyle w:val="27"/>
                    <w:bidi w:val="0"/>
                    <w:rPr>
                      <w:rFonts w:hint="default"/>
                      <w:lang w:val="en-US" w:eastAsia="zh-CN"/>
                    </w:rPr>
                  </w:pPr>
                  <w:r>
                    <w:rPr>
                      <w:rFonts w:hint="default"/>
                      <w:lang w:val="en-US" w:eastAsia="zh-CN"/>
                    </w:rPr>
                    <w:t>0.0</w:t>
                  </w:r>
                </w:p>
              </w:tc>
              <w:tc>
                <w:tcPr>
                  <w:tcW w:w="949" w:type="dxa"/>
                  <w:noWrap w:val="0"/>
                  <w:vAlign w:val="center"/>
                </w:tcPr>
                <w:p>
                  <w:pPr>
                    <w:pStyle w:val="27"/>
                    <w:bidi w:val="0"/>
                    <w:ind w:right="113" w:rightChars="0" w:firstLine="0" w:firstLineChars="0"/>
                    <w:rPr>
                      <w:rFonts w:hint="default"/>
                      <w:lang w:val="en-US" w:eastAsia="zh-CN"/>
                    </w:rPr>
                  </w:pPr>
                  <w: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氨氮</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0.089</w:t>
                  </w:r>
                </w:p>
              </w:tc>
              <w:tc>
                <w:tcPr>
                  <w:tcW w:w="812" w:type="dxa"/>
                  <w:noWrap w:val="0"/>
                  <w:vAlign w:val="center"/>
                </w:tcPr>
                <w:p>
                  <w:pPr>
                    <w:pStyle w:val="27"/>
                    <w:bidi w:val="0"/>
                    <w:rPr>
                      <w:rFonts w:hint="default"/>
                      <w:lang w:val="en-US" w:eastAsia="zh-CN"/>
                    </w:rPr>
                  </w:pPr>
                  <w:r>
                    <w:t>0.103</w:t>
                  </w:r>
                </w:p>
              </w:tc>
              <w:tc>
                <w:tcPr>
                  <w:tcW w:w="864" w:type="dxa"/>
                  <w:noWrap w:val="0"/>
                  <w:vAlign w:val="center"/>
                </w:tcPr>
                <w:p>
                  <w:pPr>
                    <w:pStyle w:val="27"/>
                    <w:bidi w:val="0"/>
                    <w:rPr>
                      <w:rFonts w:hint="default"/>
                      <w:lang w:val="en-US" w:eastAsia="zh-CN"/>
                    </w:rPr>
                  </w:pPr>
                  <w:r>
                    <w:t>0.099</w:t>
                  </w:r>
                </w:p>
              </w:tc>
              <w:tc>
                <w:tcPr>
                  <w:tcW w:w="1025" w:type="dxa"/>
                  <w:noWrap w:val="0"/>
                  <w:vAlign w:val="center"/>
                </w:tcPr>
                <w:p>
                  <w:pPr>
                    <w:pStyle w:val="27"/>
                    <w:bidi w:val="0"/>
                    <w:rPr>
                      <w:rFonts w:hint="default"/>
                      <w:lang w:val="en-US" w:eastAsia="zh-CN"/>
                    </w:rPr>
                  </w:pPr>
                  <w:r>
                    <w:rPr>
                      <w:rFonts w:hint="default"/>
                      <w:lang w:val="en-US" w:eastAsia="zh-CN"/>
                    </w:rPr>
                    <w:t>0.0</w:t>
                  </w:r>
                </w:p>
              </w:tc>
              <w:tc>
                <w:tcPr>
                  <w:tcW w:w="890" w:type="dxa"/>
                  <w:noWrap w:val="0"/>
                  <w:vAlign w:val="center"/>
                </w:tcPr>
                <w:p>
                  <w:pPr>
                    <w:pStyle w:val="27"/>
                    <w:bidi w:val="0"/>
                    <w:rPr>
                      <w:rFonts w:hint="default"/>
                      <w:lang w:val="en-US" w:eastAsia="zh-CN"/>
                    </w:rPr>
                  </w:pPr>
                  <w:r>
                    <w:rPr>
                      <w:rFonts w:hint="default"/>
                      <w:lang w:val="en-US" w:eastAsia="zh-CN"/>
                    </w:rPr>
                    <w:t>0.0</w:t>
                  </w:r>
                </w:p>
              </w:tc>
              <w:tc>
                <w:tcPr>
                  <w:tcW w:w="949" w:type="dxa"/>
                  <w:noWrap w:val="0"/>
                  <w:vAlign w:val="center"/>
                </w:tcPr>
                <w:p>
                  <w:pPr>
                    <w:pStyle w:val="27"/>
                    <w:bidi w:val="0"/>
                    <w:ind w:right="113" w:rightChars="0" w:firstLine="0" w:firstLineChars="0"/>
                    <w:rPr>
                      <w:rFonts w:hint="default"/>
                      <w:lang w:val="en-US" w:eastAsia="zh-CN"/>
                    </w:rPr>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总磷</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0.13</w:t>
                  </w:r>
                </w:p>
              </w:tc>
              <w:tc>
                <w:tcPr>
                  <w:tcW w:w="812" w:type="dxa"/>
                  <w:noWrap w:val="0"/>
                  <w:vAlign w:val="center"/>
                </w:tcPr>
                <w:p>
                  <w:pPr>
                    <w:pStyle w:val="27"/>
                    <w:bidi w:val="0"/>
                    <w:rPr>
                      <w:rFonts w:hint="default"/>
                      <w:lang w:val="en-US" w:eastAsia="zh-CN"/>
                    </w:rPr>
                  </w:pPr>
                  <w:r>
                    <w:t>0.14</w:t>
                  </w:r>
                </w:p>
              </w:tc>
              <w:tc>
                <w:tcPr>
                  <w:tcW w:w="864" w:type="dxa"/>
                  <w:noWrap w:val="0"/>
                  <w:vAlign w:val="center"/>
                </w:tcPr>
                <w:p>
                  <w:pPr>
                    <w:pStyle w:val="27"/>
                    <w:bidi w:val="0"/>
                    <w:rPr>
                      <w:rFonts w:hint="default"/>
                      <w:lang w:val="en-US" w:eastAsia="zh-CN"/>
                    </w:rPr>
                  </w:pPr>
                  <w:r>
                    <w:t>0.13</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总氮</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0.47</w:t>
                  </w:r>
                </w:p>
              </w:tc>
              <w:tc>
                <w:tcPr>
                  <w:tcW w:w="812" w:type="dxa"/>
                  <w:noWrap w:val="0"/>
                  <w:vAlign w:val="center"/>
                </w:tcPr>
                <w:p>
                  <w:pPr>
                    <w:pStyle w:val="27"/>
                    <w:bidi w:val="0"/>
                    <w:rPr>
                      <w:rFonts w:hint="default"/>
                      <w:lang w:val="en-US" w:eastAsia="zh-CN"/>
                    </w:rPr>
                  </w:pPr>
                  <w:r>
                    <w:t>0.44</w:t>
                  </w:r>
                </w:p>
              </w:tc>
              <w:tc>
                <w:tcPr>
                  <w:tcW w:w="864" w:type="dxa"/>
                  <w:noWrap w:val="0"/>
                  <w:vAlign w:val="center"/>
                </w:tcPr>
                <w:p>
                  <w:pPr>
                    <w:pStyle w:val="27"/>
                    <w:bidi w:val="0"/>
                    <w:rPr>
                      <w:rFonts w:hint="default"/>
                      <w:lang w:val="en-US" w:eastAsia="zh-CN"/>
                    </w:rPr>
                  </w:pPr>
                  <w:r>
                    <w:t>0.40</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default"/>
                      <w:lang w:val="en-US" w:eastAsia="zh-CN"/>
                    </w:rPr>
                  </w:pPr>
                  <w:r>
                    <w:t>粪大肠菌群</w:t>
                  </w:r>
                </w:p>
              </w:tc>
              <w:tc>
                <w:tcPr>
                  <w:tcW w:w="932" w:type="dxa"/>
                  <w:noWrap w:val="0"/>
                  <w:vAlign w:val="center"/>
                </w:tcPr>
                <w:p>
                  <w:pPr>
                    <w:pStyle w:val="27"/>
                    <w:bidi w:val="0"/>
                    <w:rPr>
                      <w:rFonts w:hint="default"/>
                      <w:lang w:val="en-US" w:eastAsia="zh-CN"/>
                    </w:rPr>
                  </w:pPr>
                  <w:r>
                    <w:t>MPN/L</w:t>
                  </w:r>
                </w:p>
              </w:tc>
              <w:tc>
                <w:tcPr>
                  <w:tcW w:w="812" w:type="dxa"/>
                  <w:noWrap w:val="0"/>
                  <w:vAlign w:val="center"/>
                </w:tcPr>
                <w:p>
                  <w:pPr>
                    <w:pStyle w:val="27"/>
                    <w:bidi w:val="0"/>
                    <w:rPr>
                      <w:rFonts w:hint="default"/>
                      <w:lang w:val="en-US" w:eastAsia="zh-CN"/>
                    </w:rPr>
                  </w:pPr>
                  <w:r>
                    <w:t>3.2×103</w:t>
                  </w:r>
                </w:p>
              </w:tc>
              <w:tc>
                <w:tcPr>
                  <w:tcW w:w="812" w:type="dxa"/>
                  <w:noWrap w:val="0"/>
                  <w:vAlign w:val="center"/>
                </w:tcPr>
                <w:p>
                  <w:pPr>
                    <w:pStyle w:val="27"/>
                    <w:bidi w:val="0"/>
                    <w:rPr>
                      <w:rFonts w:hint="default"/>
                      <w:lang w:val="en-US" w:eastAsia="zh-CN"/>
                    </w:rPr>
                  </w:pPr>
                  <w:r>
                    <w:t>2.2×103</w:t>
                  </w:r>
                </w:p>
              </w:tc>
              <w:tc>
                <w:tcPr>
                  <w:tcW w:w="864" w:type="dxa"/>
                  <w:noWrap w:val="0"/>
                  <w:vAlign w:val="center"/>
                </w:tcPr>
                <w:p>
                  <w:pPr>
                    <w:pStyle w:val="27"/>
                    <w:bidi w:val="0"/>
                    <w:rPr>
                      <w:rFonts w:hint="default"/>
                      <w:lang w:val="en-US" w:eastAsia="zh-CN"/>
                    </w:rPr>
                  </w:pPr>
                  <w:r>
                    <w:t>1.4×103</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eastAsia" w:eastAsia="宋体"/>
                      <w:lang w:val="en-US" w:eastAsia="zh-CN"/>
                    </w:rPr>
                  </w:pPr>
                  <w:r>
                    <w:rPr>
                      <w:rFonts w:hint="eastAsia"/>
                      <w:lang w:eastAsia="zh-CN"/>
                    </w:rPr>
                    <w:t>COD</w:t>
                  </w:r>
                  <w:r>
                    <w:rPr>
                      <w:rFonts w:hint="eastAsia"/>
                      <w:vertAlign w:val="subscript"/>
                      <w:lang w:eastAsia="zh-CN"/>
                    </w:rPr>
                    <w:t>cr</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default"/>
                      <w:lang w:val="en-US" w:eastAsia="zh-CN"/>
                    </w:rPr>
                  </w:pPr>
                  <w:r>
                    <w:t>7</w:t>
                  </w:r>
                </w:p>
              </w:tc>
              <w:tc>
                <w:tcPr>
                  <w:tcW w:w="812" w:type="dxa"/>
                  <w:noWrap w:val="0"/>
                  <w:vAlign w:val="center"/>
                </w:tcPr>
                <w:p>
                  <w:pPr>
                    <w:pStyle w:val="27"/>
                    <w:bidi w:val="0"/>
                    <w:rPr>
                      <w:rFonts w:hint="default"/>
                      <w:lang w:val="en-US" w:eastAsia="zh-CN"/>
                    </w:rPr>
                  </w:pPr>
                  <w:r>
                    <w:t>6</w:t>
                  </w:r>
                </w:p>
              </w:tc>
              <w:tc>
                <w:tcPr>
                  <w:tcW w:w="864" w:type="dxa"/>
                  <w:noWrap w:val="0"/>
                  <w:vAlign w:val="center"/>
                </w:tcPr>
                <w:p>
                  <w:pPr>
                    <w:pStyle w:val="27"/>
                    <w:bidi w:val="0"/>
                    <w:rPr>
                      <w:rFonts w:hint="default"/>
                      <w:lang w:val="en-US" w:eastAsia="zh-CN"/>
                    </w:rPr>
                  </w:pPr>
                  <w:r>
                    <w:t>7</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eastAsia"/>
                      <w:lang w:val="en-US" w:eastAsia="zh-CN"/>
                    </w:rPr>
                  </w:pPr>
                  <w:r>
                    <w:t>LAS</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eastAsia"/>
                      <w:lang w:val="en-US" w:eastAsia="zh-CN"/>
                    </w:rPr>
                  </w:pPr>
                  <w:r>
                    <w:t>0.05L</w:t>
                  </w:r>
                </w:p>
              </w:tc>
              <w:tc>
                <w:tcPr>
                  <w:tcW w:w="812" w:type="dxa"/>
                  <w:noWrap w:val="0"/>
                  <w:vAlign w:val="center"/>
                </w:tcPr>
                <w:p>
                  <w:pPr>
                    <w:pStyle w:val="27"/>
                    <w:bidi w:val="0"/>
                    <w:rPr>
                      <w:rFonts w:hint="eastAsia"/>
                      <w:lang w:val="en-US" w:eastAsia="zh-CN"/>
                    </w:rPr>
                  </w:pPr>
                  <w:r>
                    <w:t>0.05L</w:t>
                  </w:r>
                </w:p>
              </w:tc>
              <w:tc>
                <w:tcPr>
                  <w:tcW w:w="864" w:type="dxa"/>
                  <w:noWrap w:val="0"/>
                  <w:vAlign w:val="center"/>
                </w:tcPr>
                <w:p>
                  <w:pPr>
                    <w:pStyle w:val="27"/>
                    <w:bidi w:val="0"/>
                    <w:rPr>
                      <w:rFonts w:hint="eastAsia"/>
                      <w:lang w:val="en-US" w:eastAsia="zh-CN"/>
                    </w:rPr>
                  </w:pPr>
                  <w:r>
                    <w:t>0.05L</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lang w:val="en-US" w:eastAsia="zh-CN"/>
                    </w:rPr>
                  </w:pPr>
                </w:p>
              </w:tc>
              <w:tc>
                <w:tcPr>
                  <w:tcW w:w="1464" w:type="dxa"/>
                  <w:noWrap w:val="0"/>
                  <w:vAlign w:val="center"/>
                </w:tcPr>
                <w:p>
                  <w:pPr>
                    <w:pStyle w:val="27"/>
                    <w:bidi w:val="0"/>
                    <w:rPr>
                      <w:rFonts w:hint="eastAsia"/>
                      <w:lang w:val="en-US" w:eastAsia="zh-CN"/>
                    </w:rPr>
                  </w:pPr>
                  <w:r>
                    <w:t>石油类</w:t>
                  </w:r>
                </w:p>
              </w:tc>
              <w:tc>
                <w:tcPr>
                  <w:tcW w:w="932" w:type="dxa"/>
                  <w:noWrap w:val="0"/>
                  <w:vAlign w:val="center"/>
                </w:tcPr>
                <w:p>
                  <w:pPr>
                    <w:pStyle w:val="27"/>
                    <w:bidi w:val="0"/>
                    <w:rPr>
                      <w:rFonts w:hint="default"/>
                      <w:lang w:val="en-US" w:eastAsia="zh-CN"/>
                    </w:rPr>
                  </w:pPr>
                  <w:r>
                    <w:rPr>
                      <w:rFonts w:hint="default"/>
                      <w:lang w:val="en-US" w:eastAsia="zh-CN"/>
                    </w:rPr>
                    <w:t>mg/L</w:t>
                  </w:r>
                </w:p>
              </w:tc>
              <w:tc>
                <w:tcPr>
                  <w:tcW w:w="812" w:type="dxa"/>
                  <w:noWrap w:val="0"/>
                  <w:vAlign w:val="center"/>
                </w:tcPr>
                <w:p>
                  <w:pPr>
                    <w:pStyle w:val="27"/>
                    <w:bidi w:val="0"/>
                    <w:rPr>
                      <w:rFonts w:hint="eastAsia"/>
                      <w:lang w:val="en-US" w:eastAsia="zh-CN"/>
                    </w:rPr>
                  </w:pPr>
                  <w:r>
                    <w:t>0.01L</w:t>
                  </w:r>
                </w:p>
              </w:tc>
              <w:tc>
                <w:tcPr>
                  <w:tcW w:w="812" w:type="dxa"/>
                  <w:noWrap w:val="0"/>
                  <w:vAlign w:val="center"/>
                </w:tcPr>
                <w:p>
                  <w:pPr>
                    <w:pStyle w:val="27"/>
                    <w:bidi w:val="0"/>
                    <w:rPr>
                      <w:rFonts w:hint="eastAsia"/>
                      <w:lang w:val="en-US" w:eastAsia="zh-CN"/>
                    </w:rPr>
                  </w:pPr>
                  <w:r>
                    <w:t>0.01L</w:t>
                  </w:r>
                </w:p>
              </w:tc>
              <w:tc>
                <w:tcPr>
                  <w:tcW w:w="864" w:type="dxa"/>
                  <w:noWrap w:val="0"/>
                  <w:vAlign w:val="center"/>
                </w:tcPr>
                <w:p>
                  <w:pPr>
                    <w:pStyle w:val="27"/>
                    <w:bidi w:val="0"/>
                    <w:rPr>
                      <w:rFonts w:hint="eastAsia"/>
                      <w:lang w:val="en-US" w:eastAsia="zh-CN"/>
                    </w:rPr>
                  </w:pPr>
                  <w:r>
                    <w:t>0.01L</w:t>
                  </w:r>
                </w:p>
              </w:tc>
              <w:tc>
                <w:tcPr>
                  <w:tcW w:w="1025"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0.0</w:t>
                  </w:r>
                </w:p>
              </w:tc>
              <w:tc>
                <w:tcPr>
                  <w:tcW w:w="890" w:type="dxa"/>
                  <w:noWrap w:val="0"/>
                  <w:vAlign w:val="center"/>
                </w:tcPr>
                <w:p>
                  <w:pPr>
                    <w:pStyle w:val="27"/>
                    <w:bidi w:val="0"/>
                    <w:ind w:right="113" w:rightChars="0" w:firstLine="0" w:firstLineChars="0"/>
                    <w:rPr>
                      <w:rFonts w:hint="default"/>
                      <w:lang w:val="en-US" w:eastAsia="zh-CN"/>
                    </w:rPr>
                  </w:pPr>
                  <w:r>
                    <w:rPr>
                      <w:rFonts w:hint="default" w:ascii="Times New Roman" w:hAnsi="Times New Roman" w:eastAsia="宋体" w:cs="Times New Roman"/>
                      <w:lang w:val="en-US" w:eastAsia="zh-CN"/>
                    </w:rPr>
                    <w:t>0</w:t>
                  </w:r>
                </w:p>
              </w:tc>
              <w:tc>
                <w:tcPr>
                  <w:tcW w:w="949" w:type="dxa"/>
                  <w:noWrap w:val="0"/>
                  <w:vAlign w:val="center"/>
                </w:tcPr>
                <w:p>
                  <w:pPr>
                    <w:pStyle w:val="27"/>
                    <w:bidi w:val="0"/>
                    <w:ind w:right="113" w:rightChars="0" w:firstLine="0" w:firstLineChars="0"/>
                    <w:rPr>
                      <w:rFonts w:hint="default"/>
                      <w:lang w:val="en-US" w:eastAsia="zh-CN"/>
                    </w:rPr>
                  </w:pPr>
                  <w: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lang w:val="en-US" w:eastAsia="zh-CN"/>
                    </w:rPr>
                  </w:pPr>
                </w:p>
              </w:tc>
              <w:tc>
                <w:tcPr>
                  <w:tcW w:w="1464" w:type="dxa"/>
                  <w:noWrap w:val="0"/>
                  <w:vAlign w:val="center"/>
                </w:tcPr>
                <w:p>
                  <w:pPr>
                    <w:pStyle w:val="27"/>
                    <w:bidi w:val="0"/>
                    <w:rPr>
                      <w:rFonts w:hint="eastAsia"/>
                      <w:highlight w:val="none"/>
                      <w:lang w:val="en-US" w:eastAsia="zh-CN"/>
                    </w:rPr>
                  </w:pPr>
                  <w:r>
                    <w:rPr>
                      <w:highlight w:val="none"/>
                    </w:rPr>
                    <w:t>动植物类</w:t>
                  </w:r>
                </w:p>
              </w:tc>
              <w:tc>
                <w:tcPr>
                  <w:tcW w:w="932" w:type="dxa"/>
                  <w:noWrap w:val="0"/>
                  <w:vAlign w:val="center"/>
                </w:tcPr>
                <w:p>
                  <w:pPr>
                    <w:pStyle w:val="27"/>
                    <w:bidi w:val="0"/>
                    <w:rPr>
                      <w:rFonts w:hint="default"/>
                      <w:highlight w:val="none"/>
                      <w:lang w:val="en-US" w:eastAsia="zh-CN"/>
                    </w:rPr>
                  </w:pPr>
                  <w:r>
                    <w:rPr>
                      <w:rFonts w:hint="default"/>
                      <w:highlight w:val="none"/>
                      <w:lang w:val="en-US" w:eastAsia="zh-CN"/>
                    </w:rPr>
                    <w:t>mg/L</w:t>
                  </w:r>
                </w:p>
              </w:tc>
              <w:tc>
                <w:tcPr>
                  <w:tcW w:w="812" w:type="dxa"/>
                  <w:noWrap w:val="0"/>
                  <w:vAlign w:val="center"/>
                </w:tcPr>
                <w:p>
                  <w:pPr>
                    <w:pStyle w:val="27"/>
                    <w:bidi w:val="0"/>
                    <w:rPr>
                      <w:rFonts w:hint="eastAsia"/>
                      <w:highlight w:val="none"/>
                      <w:lang w:val="en-US" w:eastAsia="zh-CN"/>
                    </w:rPr>
                  </w:pPr>
                  <w:r>
                    <w:rPr>
                      <w:highlight w:val="none"/>
                    </w:rPr>
                    <w:t>0.06L</w:t>
                  </w:r>
                </w:p>
              </w:tc>
              <w:tc>
                <w:tcPr>
                  <w:tcW w:w="812" w:type="dxa"/>
                  <w:noWrap w:val="0"/>
                  <w:vAlign w:val="center"/>
                </w:tcPr>
                <w:p>
                  <w:pPr>
                    <w:pStyle w:val="27"/>
                    <w:bidi w:val="0"/>
                    <w:rPr>
                      <w:rFonts w:hint="eastAsia"/>
                      <w:highlight w:val="none"/>
                      <w:lang w:val="en-US" w:eastAsia="zh-CN"/>
                    </w:rPr>
                  </w:pPr>
                  <w:r>
                    <w:rPr>
                      <w:highlight w:val="none"/>
                    </w:rPr>
                    <w:t>0.06L</w:t>
                  </w:r>
                </w:p>
              </w:tc>
              <w:tc>
                <w:tcPr>
                  <w:tcW w:w="864" w:type="dxa"/>
                  <w:noWrap w:val="0"/>
                  <w:vAlign w:val="center"/>
                </w:tcPr>
                <w:p>
                  <w:pPr>
                    <w:pStyle w:val="27"/>
                    <w:bidi w:val="0"/>
                    <w:rPr>
                      <w:rFonts w:hint="eastAsia"/>
                      <w:highlight w:val="none"/>
                      <w:lang w:val="en-US" w:eastAsia="zh-CN"/>
                    </w:rPr>
                  </w:pPr>
                  <w:r>
                    <w:rPr>
                      <w:highlight w:val="none"/>
                    </w:rPr>
                    <w:t>0.06L</w:t>
                  </w:r>
                </w:p>
              </w:tc>
              <w:tc>
                <w:tcPr>
                  <w:tcW w:w="1025" w:type="dxa"/>
                  <w:noWrap w:val="0"/>
                  <w:vAlign w:val="center"/>
                </w:tcPr>
                <w:p>
                  <w:pPr>
                    <w:pStyle w:val="27"/>
                    <w:bidi w:val="0"/>
                    <w:ind w:right="113" w:rightChars="0" w:firstLine="0" w:firstLineChars="0"/>
                    <w:rPr>
                      <w:rFonts w:hint="default"/>
                      <w:highlight w:val="none"/>
                      <w:lang w:val="en-US" w:eastAsia="zh-CN"/>
                    </w:rPr>
                  </w:pPr>
                  <w:r>
                    <w:rPr>
                      <w:rFonts w:hint="default" w:ascii="Times New Roman" w:hAnsi="Times New Roman" w:eastAsia="宋体" w:cs="Times New Roman"/>
                      <w:highlight w:val="none"/>
                      <w:lang w:val="en-US" w:eastAsia="zh-CN"/>
                    </w:rPr>
                    <w:t>0.0</w:t>
                  </w:r>
                </w:p>
              </w:tc>
              <w:tc>
                <w:tcPr>
                  <w:tcW w:w="890" w:type="dxa"/>
                  <w:noWrap w:val="0"/>
                  <w:vAlign w:val="center"/>
                </w:tcPr>
                <w:p>
                  <w:pPr>
                    <w:pStyle w:val="27"/>
                    <w:bidi w:val="0"/>
                    <w:ind w:right="113" w:rightChars="0" w:firstLine="0" w:firstLineChars="0"/>
                    <w:rPr>
                      <w:rFonts w:hint="default"/>
                      <w:highlight w:val="none"/>
                      <w:lang w:val="en-US" w:eastAsia="zh-CN"/>
                    </w:rPr>
                  </w:pPr>
                  <w:r>
                    <w:rPr>
                      <w:rFonts w:hint="default" w:ascii="Times New Roman" w:hAnsi="Times New Roman" w:eastAsia="宋体" w:cs="Times New Roman"/>
                      <w:highlight w:val="none"/>
                      <w:lang w:val="en-US" w:eastAsia="zh-CN"/>
                    </w:rPr>
                    <w:t>0</w:t>
                  </w:r>
                </w:p>
              </w:tc>
              <w:tc>
                <w:tcPr>
                  <w:tcW w:w="949" w:type="dxa"/>
                  <w:noWrap w:val="0"/>
                  <w:vAlign w:val="center"/>
                </w:tcPr>
                <w:p>
                  <w:pPr>
                    <w:pStyle w:val="27"/>
                    <w:bidi w:val="0"/>
                    <w:ind w:right="113" w:rightChars="0" w:firstLine="0" w:firstLineChars="0"/>
                    <w:rPr>
                      <w:rFonts w:hint="default"/>
                      <w:highlight w:val="none"/>
                      <w:lang w:val="en-US" w:eastAsia="zh-CN"/>
                    </w:rPr>
                  </w:pPr>
                  <w:r>
                    <w:rPr>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lang w:val="en-US" w:eastAsia="zh-CN"/>
                    </w:rPr>
                  </w:pPr>
                </w:p>
              </w:tc>
              <w:tc>
                <w:tcPr>
                  <w:tcW w:w="1464" w:type="dxa"/>
                  <w:noWrap w:val="0"/>
                  <w:vAlign w:val="center"/>
                </w:tcPr>
                <w:p>
                  <w:pPr>
                    <w:pStyle w:val="27"/>
                    <w:bidi w:val="0"/>
                    <w:rPr>
                      <w:rFonts w:hint="default"/>
                      <w:highlight w:val="none"/>
                      <w:lang w:val="en-US" w:eastAsia="zh-CN"/>
                    </w:rPr>
                  </w:pPr>
                  <w:r>
                    <w:rPr>
                      <w:highlight w:val="none"/>
                    </w:rPr>
                    <w:t>叶绿素a</w:t>
                  </w:r>
                </w:p>
              </w:tc>
              <w:tc>
                <w:tcPr>
                  <w:tcW w:w="932" w:type="dxa"/>
                  <w:noWrap w:val="0"/>
                  <w:vAlign w:val="center"/>
                </w:tcPr>
                <w:p>
                  <w:pPr>
                    <w:pStyle w:val="27"/>
                    <w:bidi w:val="0"/>
                    <w:rPr>
                      <w:rFonts w:hint="default"/>
                      <w:highlight w:val="none"/>
                      <w:lang w:val="en-US" w:eastAsia="zh-CN"/>
                    </w:rPr>
                  </w:pPr>
                  <w:r>
                    <w:rPr>
                      <w:rFonts w:hint="default"/>
                      <w:highlight w:val="none"/>
                      <w:lang w:val="en-US" w:eastAsia="zh-CN"/>
                    </w:rPr>
                    <w:t>mg/L</w:t>
                  </w:r>
                </w:p>
              </w:tc>
              <w:tc>
                <w:tcPr>
                  <w:tcW w:w="812" w:type="dxa"/>
                  <w:noWrap w:val="0"/>
                  <w:vAlign w:val="center"/>
                </w:tcPr>
                <w:p>
                  <w:pPr>
                    <w:pStyle w:val="27"/>
                    <w:bidi w:val="0"/>
                    <w:rPr>
                      <w:rFonts w:hint="default"/>
                      <w:highlight w:val="none"/>
                      <w:lang w:val="en-US" w:eastAsia="zh-CN"/>
                    </w:rPr>
                  </w:pPr>
                  <w:r>
                    <w:rPr>
                      <w:highlight w:val="none"/>
                    </w:rPr>
                    <w:t>0.004</w:t>
                  </w:r>
                </w:p>
              </w:tc>
              <w:tc>
                <w:tcPr>
                  <w:tcW w:w="812" w:type="dxa"/>
                  <w:noWrap w:val="0"/>
                  <w:vAlign w:val="center"/>
                </w:tcPr>
                <w:p>
                  <w:pPr>
                    <w:pStyle w:val="27"/>
                    <w:bidi w:val="0"/>
                    <w:rPr>
                      <w:rFonts w:hint="default"/>
                      <w:highlight w:val="none"/>
                      <w:lang w:val="en-US" w:eastAsia="zh-CN"/>
                    </w:rPr>
                  </w:pPr>
                  <w:r>
                    <w:rPr>
                      <w:highlight w:val="none"/>
                    </w:rPr>
                    <w:t>0.004</w:t>
                  </w:r>
                </w:p>
              </w:tc>
              <w:tc>
                <w:tcPr>
                  <w:tcW w:w="864" w:type="dxa"/>
                  <w:noWrap w:val="0"/>
                  <w:vAlign w:val="center"/>
                </w:tcPr>
                <w:p>
                  <w:pPr>
                    <w:pStyle w:val="27"/>
                    <w:bidi w:val="0"/>
                    <w:rPr>
                      <w:rFonts w:hint="default"/>
                      <w:highlight w:val="none"/>
                      <w:lang w:val="en-US" w:eastAsia="zh-CN"/>
                    </w:rPr>
                  </w:pPr>
                  <w:r>
                    <w:rPr>
                      <w:highlight w:val="none"/>
                    </w:rPr>
                    <w:t>0.004</w:t>
                  </w:r>
                </w:p>
              </w:tc>
              <w:tc>
                <w:tcPr>
                  <w:tcW w:w="1025" w:type="dxa"/>
                  <w:noWrap w:val="0"/>
                  <w:vAlign w:val="center"/>
                </w:tcPr>
                <w:p>
                  <w:pPr>
                    <w:pStyle w:val="27"/>
                    <w:bidi w:val="0"/>
                    <w:ind w:right="113" w:rightChars="0" w:firstLine="0" w:firstLineChars="0"/>
                    <w:rPr>
                      <w:rFonts w:hint="default"/>
                      <w:highlight w:val="none"/>
                      <w:lang w:val="en-US" w:eastAsia="zh-CN"/>
                    </w:rPr>
                  </w:pPr>
                  <w:r>
                    <w:rPr>
                      <w:rFonts w:hint="default" w:ascii="Times New Roman" w:hAnsi="Times New Roman" w:eastAsia="宋体" w:cs="Times New Roman"/>
                      <w:highlight w:val="none"/>
                      <w:lang w:val="en-US" w:eastAsia="zh-CN"/>
                    </w:rPr>
                    <w:t>0.0</w:t>
                  </w:r>
                </w:p>
              </w:tc>
              <w:tc>
                <w:tcPr>
                  <w:tcW w:w="890" w:type="dxa"/>
                  <w:noWrap w:val="0"/>
                  <w:vAlign w:val="center"/>
                </w:tcPr>
                <w:p>
                  <w:pPr>
                    <w:pStyle w:val="27"/>
                    <w:bidi w:val="0"/>
                    <w:ind w:right="113" w:rightChars="0" w:firstLine="0" w:firstLineChars="0"/>
                    <w:rPr>
                      <w:rFonts w:hint="default"/>
                      <w:highlight w:val="none"/>
                      <w:lang w:val="en-US" w:eastAsia="zh-CN"/>
                    </w:rPr>
                  </w:pPr>
                  <w:r>
                    <w:rPr>
                      <w:rFonts w:hint="default" w:ascii="Times New Roman" w:hAnsi="Times New Roman" w:eastAsia="宋体" w:cs="Times New Roman"/>
                      <w:highlight w:val="none"/>
                      <w:lang w:val="en-US" w:eastAsia="zh-CN"/>
                    </w:rPr>
                    <w:t>0</w:t>
                  </w:r>
                </w:p>
              </w:tc>
              <w:tc>
                <w:tcPr>
                  <w:tcW w:w="949" w:type="dxa"/>
                  <w:noWrap w:val="0"/>
                  <w:vAlign w:val="center"/>
                </w:tcPr>
                <w:p>
                  <w:pPr>
                    <w:pStyle w:val="27"/>
                    <w:bidi w:val="0"/>
                    <w:ind w:right="113" w:rightChars="0" w:firstLine="0" w:firstLineChars="0"/>
                    <w:rPr>
                      <w:rFonts w:hint="default"/>
                      <w:highlight w:val="none"/>
                      <w:lang w:val="en-US" w:eastAsia="zh-CN"/>
                    </w:rPr>
                  </w:pPr>
                  <w:r>
                    <w:rPr>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restart"/>
                  <w:noWrap w:val="0"/>
                  <w:vAlign w:val="center"/>
                </w:tcPr>
                <w:p>
                  <w:pPr>
                    <w:pStyle w:val="27"/>
                    <w:bidi w:val="0"/>
                    <w:rPr>
                      <w:rFonts w:hint="default"/>
                      <w:highlight w:val="none"/>
                      <w:u w:val="single"/>
                      <w:lang w:val="en-US" w:eastAsia="zh-CN"/>
                    </w:rPr>
                  </w:pPr>
                  <w:r>
                    <w:rPr>
                      <w:rFonts w:hint="default"/>
                      <w:highlight w:val="none"/>
                      <w:u w:val="single"/>
                      <w:lang w:val="en-US" w:eastAsia="zh-CN"/>
                    </w:rPr>
                    <w:t>W2</w:t>
                  </w: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pH</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无量纲</w:t>
                  </w:r>
                </w:p>
              </w:tc>
              <w:tc>
                <w:tcPr>
                  <w:tcW w:w="81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7.2</w:t>
                  </w:r>
                </w:p>
              </w:tc>
              <w:tc>
                <w:tcPr>
                  <w:tcW w:w="81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7.1</w:t>
                  </w:r>
                </w:p>
              </w:tc>
              <w:tc>
                <w:tcPr>
                  <w:tcW w:w="8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7.2</w:t>
                  </w:r>
                </w:p>
              </w:tc>
              <w:tc>
                <w:tcPr>
                  <w:tcW w:w="1025" w:type="dxa"/>
                  <w:noWrap w:val="0"/>
                  <w:vAlign w:val="center"/>
                </w:tcPr>
                <w:p>
                  <w:pPr>
                    <w:pStyle w:val="27"/>
                    <w:bidi w:val="0"/>
                    <w:ind w:right="113" w:rightChars="0" w:firstLine="0" w:firstLineChars="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ind w:right="113" w:rightChars="0" w:firstLine="0" w:firstLineChars="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eastAsia" w:ascii="Times New Roman" w:hAnsi="Times New Roman" w:eastAsia="宋体" w:cs="Times New Roman"/>
                      <w:highlight w:val="none"/>
                      <w:u w:val="single"/>
                      <w:lang w:val="en-US" w:eastAsia="zh-CN"/>
                    </w:rPr>
                    <w:t>水温</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eastAsia" w:ascii="Times New Roman" w:hAnsi="Times New Roman" w:eastAsia="宋体" w:cs="Times New Roman"/>
                      <w:highlight w:val="none"/>
                      <w:u w:val="single"/>
                      <w:lang w:val="en-US" w:eastAsia="zh-CN"/>
                    </w:rPr>
                    <w:t>℃</w:t>
                  </w:r>
                </w:p>
              </w:tc>
              <w:tc>
                <w:tcPr>
                  <w:tcW w:w="2488" w:type="dxa"/>
                  <w:gridSpan w:val="3"/>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27.3</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eastAsia" w:ascii="Times New Roman" w:hAnsi="Times New Roman" w:eastAsia="宋体" w:cs="Times New Roman"/>
                      <w:highlight w:val="none"/>
                      <w:u w:val="single"/>
                      <w:lang w:val="en-US" w:eastAsia="zh-CN"/>
                    </w:rPr>
                    <w:t>/</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eastAsia" w:ascii="Times New Roman" w:hAnsi="Times New Roman" w:eastAsia="宋体" w:cs="Times New Roman"/>
                      <w:highlight w:val="none"/>
                      <w:u w:val="single"/>
                      <w:lang w:val="en-US" w:eastAsia="zh-CN"/>
                    </w:rPr>
                    <w:t>/</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eastAsia" w:ascii="Times New Roman" w:hAnsi="Times New Roman" w:eastAsia="宋体" w:cs="Times New Roman"/>
                      <w:highlight w:val="none"/>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溶解氧</w:t>
                  </w:r>
                </w:p>
              </w:tc>
              <w:tc>
                <w:tcPr>
                  <w:tcW w:w="932"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eastAsia"/>
                      <w:highlight w:val="none"/>
                      <w:u w:val="single"/>
                      <w:lang w:val="en-US" w:eastAsia="zh-CN"/>
                    </w:rPr>
                  </w:pPr>
                  <w:r>
                    <w:rPr>
                      <w:highlight w:val="none"/>
                      <w:u w:val="single"/>
                    </w:rPr>
                    <w:t>6.2</w:t>
                  </w:r>
                </w:p>
              </w:tc>
              <w:tc>
                <w:tcPr>
                  <w:tcW w:w="812" w:type="dxa"/>
                  <w:noWrap w:val="0"/>
                  <w:vAlign w:val="center"/>
                </w:tcPr>
                <w:p>
                  <w:pPr>
                    <w:pStyle w:val="27"/>
                    <w:bidi w:val="0"/>
                    <w:rPr>
                      <w:rFonts w:hint="eastAsia"/>
                      <w:highlight w:val="none"/>
                      <w:u w:val="single"/>
                      <w:lang w:val="en-US" w:eastAsia="zh-CN"/>
                    </w:rPr>
                  </w:pPr>
                  <w:r>
                    <w:rPr>
                      <w:highlight w:val="none"/>
                      <w:u w:val="single"/>
                    </w:rPr>
                    <w:t>6.4</w:t>
                  </w:r>
                </w:p>
              </w:tc>
              <w:tc>
                <w:tcPr>
                  <w:tcW w:w="864" w:type="dxa"/>
                  <w:noWrap w:val="0"/>
                  <w:vAlign w:val="center"/>
                </w:tcPr>
                <w:p>
                  <w:pPr>
                    <w:pStyle w:val="27"/>
                    <w:bidi w:val="0"/>
                    <w:rPr>
                      <w:rFonts w:hint="eastAsia"/>
                      <w:highlight w:val="none"/>
                      <w:u w:val="single"/>
                      <w:lang w:val="en-US" w:eastAsia="zh-CN"/>
                    </w:rPr>
                  </w:pPr>
                  <w:r>
                    <w:rPr>
                      <w:highlight w:val="none"/>
                      <w:u w:val="single"/>
                    </w:rPr>
                    <w:t>6.1</w:t>
                  </w:r>
                </w:p>
              </w:tc>
              <w:tc>
                <w:tcPr>
                  <w:tcW w:w="1025" w:type="dxa"/>
                  <w:noWrap w:val="0"/>
                  <w:vAlign w:val="center"/>
                </w:tcPr>
                <w:p>
                  <w:pPr>
                    <w:pStyle w:val="27"/>
                    <w:bidi w:val="0"/>
                    <w:ind w:right="113" w:rightChars="0" w:firstLine="0" w:firstLineChars="0"/>
                    <w:rPr>
                      <w:rFonts w:hint="eastAsia"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ind w:right="113" w:rightChars="0" w:firstLine="0" w:firstLineChars="0"/>
                    <w:rPr>
                      <w:rFonts w:hint="eastAsia"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高锰酸盐指数</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2.54</w:t>
                  </w:r>
                </w:p>
              </w:tc>
              <w:tc>
                <w:tcPr>
                  <w:tcW w:w="812" w:type="dxa"/>
                  <w:noWrap w:val="0"/>
                  <w:vAlign w:val="center"/>
                </w:tcPr>
                <w:p>
                  <w:pPr>
                    <w:pStyle w:val="27"/>
                    <w:bidi w:val="0"/>
                    <w:rPr>
                      <w:rFonts w:hint="default"/>
                      <w:highlight w:val="none"/>
                      <w:u w:val="single"/>
                      <w:lang w:val="en-US" w:eastAsia="zh-CN"/>
                    </w:rPr>
                  </w:pPr>
                  <w:r>
                    <w:rPr>
                      <w:highlight w:val="none"/>
                      <w:u w:val="single"/>
                    </w:rPr>
                    <w:t>2.56</w:t>
                  </w:r>
                </w:p>
              </w:tc>
              <w:tc>
                <w:tcPr>
                  <w:tcW w:w="864" w:type="dxa"/>
                  <w:noWrap w:val="0"/>
                  <w:vAlign w:val="center"/>
                </w:tcPr>
                <w:p>
                  <w:pPr>
                    <w:pStyle w:val="27"/>
                    <w:bidi w:val="0"/>
                    <w:rPr>
                      <w:rFonts w:hint="default"/>
                      <w:highlight w:val="none"/>
                      <w:u w:val="single"/>
                      <w:lang w:val="en-US" w:eastAsia="zh-CN"/>
                    </w:rPr>
                  </w:pPr>
                  <w:r>
                    <w:rPr>
                      <w:highlight w:val="none"/>
                      <w:u w:val="single"/>
                    </w:rPr>
                    <w:t>2.55</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hint="eastAsia" w:cs="Times New Roman"/>
                      <w:highlight w:val="none"/>
                      <w:u w:val="single"/>
                      <w:lang w:eastAsia="zh-CN"/>
                    </w:rPr>
                    <w:t>BOD</w:t>
                  </w:r>
                  <w:r>
                    <w:rPr>
                      <w:rFonts w:hint="eastAsia" w:cs="Times New Roman"/>
                      <w:highlight w:val="none"/>
                      <w:u w:val="single"/>
                      <w:vertAlign w:val="subscript"/>
                      <w:lang w:eastAsia="zh-CN"/>
                    </w:rPr>
                    <w:t>5</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1.5</w:t>
                  </w:r>
                </w:p>
              </w:tc>
              <w:tc>
                <w:tcPr>
                  <w:tcW w:w="812" w:type="dxa"/>
                  <w:noWrap w:val="0"/>
                  <w:vAlign w:val="center"/>
                </w:tcPr>
                <w:p>
                  <w:pPr>
                    <w:pStyle w:val="27"/>
                    <w:bidi w:val="0"/>
                    <w:rPr>
                      <w:rFonts w:hint="default"/>
                      <w:highlight w:val="none"/>
                      <w:u w:val="single"/>
                      <w:lang w:val="en-US" w:eastAsia="zh-CN"/>
                    </w:rPr>
                  </w:pPr>
                  <w:r>
                    <w:rPr>
                      <w:highlight w:val="none"/>
                      <w:u w:val="single"/>
                    </w:rPr>
                    <w:t>1.5</w:t>
                  </w:r>
                </w:p>
              </w:tc>
              <w:tc>
                <w:tcPr>
                  <w:tcW w:w="864" w:type="dxa"/>
                  <w:noWrap w:val="0"/>
                  <w:vAlign w:val="center"/>
                </w:tcPr>
                <w:p>
                  <w:pPr>
                    <w:pStyle w:val="27"/>
                    <w:bidi w:val="0"/>
                    <w:rPr>
                      <w:rFonts w:hint="default"/>
                      <w:highlight w:val="none"/>
                      <w:u w:val="single"/>
                      <w:lang w:val="en-US" w:eastAsia="zh-CN"/>
                    </w:rPr>
                  </w:pPr>
                  <w:r>
                    <w:rPr>
                      <w:highlight w:val="none"/>
                      <w:u w:val="single"/>
                    </w:rPr>
                    <w:t>1.6</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氨氮</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eastAsia"/>
                      <w:highlight w:val="none"/>
                      <w:u w:val="single"/>
                      <w:lang w:val="en-US" w:eastAsia="zh-CN"/>
                    </w:rPr>
                  </w:pPr>
                  <w:r>
                    <w:rPr>
                      <w:highlight w:val="none"/>
                      <w:u w:val="single"/>
                    </w:rPr>
                    <w:t>0.414</w:t>
                  </w:r>
                </w:p>
              </w:tc>
              <w:tc>
                <w:tcPr>
                  <w:tcW w:w="812" w:type="dxa"/>
                  <w:noWrap w:val="0"/>
                  <w:vAlign w:val="center"/>
                </w:tcPr>
                <w:p>
                  <w:pPr>
                    <w:pStyle w:val="27"/>
                    <w:bidi w:val="0"/>
                    <w:rPr>
                      <w:rFonts w:hint="eastAsia"/>
                      <w:highlight w:val="none"/>
                      <w:u w:val="single"/>
                      <w:lang w:val="en-US" w:eastAsia="zh-CN"/>
                    </w:rPr>
                  </w:pPr>
                  <w:r>
                    <w:rPr>
                      <w:highlight w:val="none"/>
                      <w:u w:val="single"/>
                    </w:rPr>
                    <w:t>0.445</w:t>
                  </w:r>
                </w:p>
              </w:tc>
              <w:tc>
                <w:tcPr>
                  <w:tcW w:w="864" w:type="dxa"/>
                  <w:noWrap w:val="0"/>
                  <w:vAlign w:val="center"/>
                </w:tcPr>
                <w:p>
                  <w:pPr>
                    <w:pStyle w:val="27"/>
                    <w:bidi w:val="0"/>
                    <w:rPr>
                      <w:rFonts w:hint="eastAsia"/>
                      <w:highlight w:val="none"/>
                      <w:u w:val="single"/>
                      <w:lang w:val="en-US" w:eastAsia="zh-CN"/>
                    </w:rPr>
                  </w:pPr>
                  <w:r>
                    <w:rPr>
                      <w:highlight w:val="none"/>
                      <w:u w:val="single"/>
                    </w:rPr>
                    <w:t>0.428</w:t>
                  </w:r>
                </w:p>
              </w:tc>
              <w:tc>
                <w:tcPr>
                  <w:tcW w:w="1025"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总磷</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0.18</w:t>
                  </w:r>
                </w:p>
              </w:tc>
              <w:tc>
                <w:tcPr>
                  <w:tcW w:w="812" w:type="dxa"/>
                  <w:noWrap w:val="0"/>
                  <w:vAlign w:val="center"/>
                </w:tcPr>
                <w:p>
                  <w:pPr>
                    <w:pStyle w:val="27"/>
                    <w:bidi w:val="0"/>
                    <w:rPr>
                      <w:rFonts w:hint="default"/>
                      <w:highlight w:val="none"/>
                      <w:u w:val="single"/>
                      <w:lang w:val="en-US" w:eastAsia="zh-CN"/>
                    </w:rPr>
                  </w:pPr>
                  <w:r>
                    <w:rPr>
                      <w:highlight w:val="none"/>
                      <w:u w:val="single"/>
                    </w:rPr>
                    <w:t>0.18</w:t>
                  </w:r>
                </w:p>
              </w:tc>
              <w:tc>
                <w:tcPr>
                  <w:tcW w:w="864" w:type="dxa"/>
                  <w:noWrap w:val="0"/>
                  <w:vAlign w:val="center"/>
                </w:tcPr>
                <w:p>
                  <w:pPr>
                    <w:pStyle w:val="27"/>
                    <w:bidi w:val="0"/>
                    <w:rPr>
                      <w:rFonts w:hint="default"/>
                      <w:highlight w:val="none"/>
                      <w:u w:val="single"/>
                      <w:lang w:val="en-US" w:eastAsia="zh-CN"/>
                    </w:rPr>
                  </w:pPr>
                  <w:r>
                    <w:rPr>
                      <w:highlight w:val="none"/>
                      <w:u w:val="single"/>
                    </w:rPr>
                    <w:t>0.17</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总氮</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0.64</w:t>
                  </w:r>
                </w:p>
              </w:tc>
              <w:tc>
                <w:tcPr>
                  <w:tcW w:w="812" w:type="dxa"/>
                  <w:noWrap w:val="0"/>
                  <w:vAlign w:val="center"/>
                </w:tcPr>
                <w:p>
                  <w:pPr>
                    <w:pStyle w:val="27"/>
                    <w:bidi w:val="0"/>
                    <w:rPr>
                      <w:rFonts w:hint="default"/>
                      <w:highlight w:val="none"/>
                      <w:u w:val="single"/>
                      <w:lang w:val="en-US" w:eastAsia="zh-CN"/>
                    </w:rPr>
                  </w:pPr>
                  <w:r>
                    <w:rPr>
                      <w:highlight w:val="none"/>
                      <w:u w:val="single"/>
                    </w:rPr>
                    <w:t>0.68</w:t>
                  </w:r>
                </w:p>
              </w:tc>
              <w:tc>
                <w:tcPr>
                  <w:tcW w:w="864" w:type="dxa"/>
                  <w:noWrap w:val="0"/>
                  <w:vAlign w:val="center"/>
                </w:tcPr>
                <w:p>
                  <w:pPr>
                    <w:pStyle w:val="27"/>
                    <w:bidi w:val="0"/>
                    <w:rPr>
                      <w:rFonts w:hint="default"/>
                      <w:highlight w:val="none"/>
                      <w:u w:val="single"/>
                      <w:lang w:val="en-US" w:eastAsia="zh-CN"/>
                    </w:rPr>
                  </w:pPr>
                  <w:r>
                    <w:rPr>
                      <w:highlight w:val="none"/>
                      <w:u w:val="single"/>
                    </w:rPr>
                    <w:t>0.66</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粪大肠菌群</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highlight w:val="none"/>
                      <w:u w:val="single"/>
                    </w:rPr>
                    <w:t>MPN/L</w:t>
                  </w:r>
                </w:p>
              </w:tc>
              <w:tc>
                <w:tcPr>
                  <w:tcW w:w="812" w:type="dxa"/>
                  <w:noWrap w:val="0"/>
                  <w:vAlign w:val="center"/>
                </w:tcPr>
                <w:p>
                  <w:pPr>
                    <w:pStyle w:val="27"/>
                    <w:bidi w:val="0"/>
                    <w:rPr>
                      <w:rFonts w:hint="default"/>
                      <w:highlight w:val="none"/>
                      <w:u w:val="single"/>
                      <w:lang w:val="en-US" w:eastAsia="zh-CN"/>
                    </w:rPr>
                  </w:pPr>
                  <w:r>
                    <w:rPr>
                      <w:highlight w:val="none"/>
                      <w:u w:val="single"/>
                    </w:rPr>
                    <w:t>3.8×103</w:t>
                  </w:r>
                </w:p>
              </w:tc>
              <w:tc>
                <w:tcPr>
                  <w:tcW w:w="812" w:type="dxa"/>
                  <w:noWrap w:val="0"/>
                  <w:vAlign w:val="center"/>
                </w:tcPr>
                <w:p>
                  <w:pPr>
                    <w:pStyle w:val="27"/>
                    <w:bidi w:val="0"/>
                    <w:rPr>
                      <w:rFonts w:hint="default"/>
                      <w:highlight w:val="none"/>
                      <w:u w:val="single"/>
                      <w:lang w:val="en-US" w:eastAsia="zh-CN"/>
                    </w:rPr>
                  </w:pPr>
                  <w:r>
                    <w:rPr>
                      <w:highlight w:val="none"/>
                      <w:u w:val="single"/>
                    </w:rPr>
                    <w:t>2.6×103</w:t>
                  </w:r>
                </w:p>
              </w:tc>
              <w:tc>
                <w:tcPr>
                  <w:tcW w:w="864" w:type="dxa"/>
                  <w:noWrap w:val="0"/>
                  <w:vAlign w:val="center"/>
                </w:tcPr>
                <w:p>
                  <w:pPr>
                    <w:pStyle w:val="27"/>
                    <w:bidi w:val="0"/>
                    <w:rPr>
                      <w:rFonts w:hint="default"/>
                      <w:highlight w:val="none"/>
                      <w:u w:val="single"/>
                      <w:lang w:val="en-US" w:eastAsia="zh-CN"/>
                    </w:rPr>
                  </w:pPr>
                  <w:r>
                    <w:rPr>
                      <w:highlight w:val="none"/>
                      <w:u w:val="single"/>
                    </w:rPr>
                    <w:t>1.7×103</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hint="eastAsia" w:cs="Times New Roman"/>
                      <w:highlight w:val="none"/>
                      <w:u w:val="single"/>
                      <w:lang w:eastAsia="zh-CN"/>
                    </w:rPr>
                    <w:t>COD</w:t>
                  </w:r>
                  <w:r>
                    <w:rPr>
                      <w:rFonts w:hint="eastAsia" w:cs="Times New Roman"/>
                      <w:highlight w:val="none"/>
                      <w:u w:val="single"/>
                      <w:vertAlign w:val="subscript"/>
                      <w:lang w:eastAsia="zh-CN"/>
                    </w:rPr>
                    <w:t>cr</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eastAsia"/>
                      <w:highlight w:val="none"/>
                      <w:u w:val="single"/>
                      <w:lang w:val="en-US" w:eastAsia="zh-CN"/>
                    </w:rPr>
                  </w:pPr>
                  <w:r>
                    <w:rPr>
                      <w:highlight w:val="none"/>
                      <w:u w:val="single"/>
                    </w:rPr>
                    <w:t>11</w:t>
                  </w:r>
                </w:p>
              </w:tc>
              <w:tc>
                <w:tcPr>
                  <w:tcW w:w="812" w:type="dxa"/>
                  <w:noWrap w:val="0"/>
                  <w:vAlign w:val="center"/>
                </w:tcPr>
                <w:p>
                  <w:pPr>
                    <w:pStyle w:val="27"/>
                    <w:bidi w:val="0"/>
                    <w:rPr>
                      <w:rFonts w:hint="eastAsia"/>
                      <w:highlight w:val="none"/>
                      <w:u w:val="single"/>
                      <w:lang w:val="en-US" w:eastAsia="zh-CN"/>
                    </w:rPr>
                  </w:pPr>
                  <w:r>
                    <w:rPr>
                      <w:highlight w:val="none"/>
                      <w:u w:val="single"/>
                    </w:rPr>
                    <w:t>10</w:t>
                  </w:r>
                </w:p>
              </w:tc>
              <w:tc>
                <w:tcPr>
                  <w:tcW w:w="864" w:type="dxa"/>
                  <w:noWrap w:val="0"/>
                  <w:vAlign w:val="center"/>
                </w:tcPr>
                <w:p>
                  <w:pPr>
                    <w:pStyle w:val="27"/>
                    <w:bidi w:val="0"/>
                    <w:rPr>
                      <w:rFonts w:hint="eastAsia"/>
                      <w:highlight w:val="none"/>
                      <w:u w:val="single"/>
                      <w:lang w:val="en-US" w:eastAsia="zh-CN"/>
                    </w:rPr>
                  </w:pPr>
                  <w:r>
                    <w:rPr>
                      <w:highlight w:val="none"/>
                      <w:u w:val="single"/>
                    </w:rPr>
                    <w:t>10</w:t>
                  </w:r>
                </w:p>
              </w:tc>
              <w:tc>
                <w:tcPr>
                  <w:tcW w:w="1025"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LAS</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eastAsia"/>
                      <w:highlight w:val="none"/>
                      <w:u w:val="single"/>
                      <w:lang w:val="en-US" w:eastAsia="zh-CN"/>
                    </w:rPr>
                  </w:pPr>
                  <w:r>
                    <w:rPr>
                      <w:highlight w:val="none"/>
                      <w:u w:val="single"/>
                    </w:rPr>
                    <w:t>0.05L</w:t>
                  </w:r>
                </w:p>
              </w:tc>
              <w:tc>
                <w:tcPr>
                  <w:tcW w:w="812" w:type="dxa"/>
                  <w:noWrap w:val="0"/>
                  <w:vAlign w:val="center"/>
                </w:tcPr>
                <w:p>
                  <w:pPr>
                    <w:pStyle w:val="27"/>
                    <w:bidi w:val="0"/>
                    <w:rPr>
                      <w:rFonts w:hint="eastAsia"/>
                      <w:highlight w:val="none"/>
                      <w:u w:val="single"/>
                      <w:lang w:val="en-US" w:eastAsia="zh-CN"/>
                    </w:rPr>
                  </w:pPr>
                  <w:r>
                    <w:rPr>
                      <w:highlight w:val="none"/>
                      <w:u w:val="single"/>
                    </w:rPr>
                    <w:t>0.05L</w:t>
                  </w:r>
                </w:p>
              </w:tc>
              <w:tc>
                <w:tcPr>
                  <w:tcW w:w="864" w:type="dxa"/>
                  <w:noWrap w:val="0"/>
                  <w:vAlign w:val="center"/>
                </w:tcPr>
                <w:p>
                  <w:pPr>
                    <w:pStyle w:val="27"/>
                    <w:bidi w:val="0"/>
                    <w:rPr>
                      <w:rFonts w:hint="eastAsia"/>
                      <w:highlight w:val="none"/>
                      <w:u w:val="single"/>
                      <w:lang w:val="en-US" w:eastAsia="zh-CN"/>
                    </w:rPr>
                  </w:pPr>
                  <w:r>
                    <w:rPr>
                      <w:highlight w:val="none"/>
                      <w:u w:val="single"/>
                    </w:rPr>
                    <w:t>0.05L</w:t>
                  </w:r>
                </w:p>
              </w:tc>
              <w:tc>
                <w:tcPr>
                  <w:tcW w:w="1025"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ind w:right="113" w:rightChars="0" w:firstLine="0" w:firstLineChars="0"/>
                    <w:rPr>
                      <w:rFonts w:hint="default" w:ascii="Times New Roman" w:hAnsi="Times New Roman" w:eastAsia="宋体" w:cs="Times New Roman"/>
                      <w:kern w:val="0"/>
                      <w:sz w:val="21"/>
                      <w:szCs w:val="18"/>
                      <w:highlight w:val="none"/>
                      <w:u w:val="single"/>
                      <w:lang w:val="en-US" w:eastAsia="zh-CN" w:bidi="ar-SA"/>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石油类</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0.01L</w:t>
                  </w:r>
                </w:p>
              </w:tc>
              <w:tc>
                <w:tcPr>
                  <w:tcW w:w="812" w:type="dxa"/>
                  <w:noWrap w:val="0"/>
                  <w:vAlign w:val="center"/>
                </w:tcPr>
                <w:p>
                  <w:pPr>
                    <w:pStyle w:val="27"/>
                    <w:bidi w:val="0"/>
                    <w:rPr>
                      <w:rFonts w:hint="default"/>
                      <w:highlight w:val="none"/>
                      <w:u w:val="single"/>
                      <w:lang w:val="en-US" w:eastAsia="zh-CN"/>
                    </w:rPr>
                  </w:pPr>
                  <w:r>
                    <w:rPr>
                      <w:highlight w:val="none"/>
                      <w:u w:val="single"/>
                    </w:rPr>
                    <w:t>0.01L</w:t>
                  </w:r>
                </w:p>
              </w:tc>
              <w:tc>
                <w:tcPr>
                  <w:tcW w:w="864" w:type="dxa"/>
                  <w:noWrap w:val="0"/>
                  <w:vAlign w:val="center"/>
                </w:tcPr>
                <w:p>
                  <w:pPr>
                    <w:pStyle w:val="27"/>
                    <w:bidi w:val="0"/>
                    <w:rPr>
                      <w:rFonts w:hint="default"/>
                      <w:highlight w:val="none"/>
                      <w:u w:val="single"/>
                      <w:lang w:val="en-US" w:eastAsia="zh-CN"/>
                    </w:rPr>
                  </w:pPr>
                  <w:r>
                    <w:rPr>
                      <w:highlight w:val="none"/>
                      <w:u w:val="single"/>
                    </w:rPr>
                    <w:t>0.01L</w:t>
                  </w:r>
                </w:p>
              </w:tc>
              <w:tc>
                <w:tcPr>
                  <w:tcW w:w="1025"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eastAsia"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动植物类</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0.06L</w:t>
                  </w:r>
                </w:p>
              </w:tc>
              <w:tc>
                <w:tcPr>
                  <w:tcW w:w="812" w:type="dxa"/>
                  <w:noWrap w:val="0"/>
                  <w:vAlign w:val="center"/>
                </w:tcPr>
                <w:p>
                  <w:pPr>
                    <w:pStyle w:val="27"/>
                    <w:bidi w:val="0"/>
                    <w:rPr>
                      <w:rFonts w:hint="default"/>
                      <w:highlight w:val="none"/>
                      <w:u w:val="single"/>
                      <w:lang w:val="en-US" w:eastAsia="zh-CN"/>
                    </w:rPr>
                  </w:pPr>
                  <w:r>
                    <w:rPr>
                      <w:highlight w:val="none"/>
                      <w:u w:val="single"/>
                    </w:rPr>
                    <w:t>0.06L</w:t>
                  </w:r>
                </w:p>
              </w:tc>
              <w:tc>
                <w:tcPr>
                  <w:tcW w:w="864" w:type="dxa"/>
                  <w:noWrap w:val="0"/>
                  <w:vAlign w:val="center"/>
                </w:tcPr>
                <w:p>
                  <w:pPr>
                    <w:pStyle w:val="27"/>
                    <w:bidi w:val="0"/>
                    <w:rPr>
                      <w:rFonts w:hint="default"/>
                      <w:highlight w:val="none"/>
                      <w:u w:val="single"/>
                      <w:lang w:val="en-US" w:eastAsia="zh-CN"/>
                    </w:rPr>
                  </w:pPr>
                  <w:r>
                    <w:rPr>
                      <w:highlight w:val="none"/>
                      <w:u w:val="single"/>
                    </w:rPr>
                    <w:t>0.06L</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756" w:type="dxa"/>
                  <w:vMerge w:val="continue"/>
                  <w:noWrap w:val="0"/>
                  <w:vAlign w:val="center"/>
                </w:tcPr>
                <w:p>
                  <w:pPr>
                    <w:pStyle w:val="27"/>
                    <w:bidi w:val="0"/>
                    <w:rPr>
                      <w:rFonts w:hint="default"/>
                      <w:highlight w:val="none"/>
                      <w:u w:val="single"/>
                      <w:lang w:val="en-US" w:eastAsia="zh-CN"/>
                    </w:rPr>
                  </w:pPr>
                </w:p>
              </w:tc>
              <w:tc>
                <w:tcPr>
                  <w:tcW w:w="1464"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叶绿素a</w:t>
                  </w:r>
                </w:p>
              </w:tc>
              <w:tc>
                <w:tcPr>
                  <w:tcW w:w="932"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mg/L</w:t>
                  </w:r>
                </w:p>
              </w:tc>
              <w:tc>
                <w:tcPr>
                  <w:tcW w:w="812" w:type="dxa"/>
                  <w:noWrap w:val="0"/>
                  <w:vAlign w:val="center"/>
                </w:tcPr>
                <w:p>
                  <w:pPr>
                    <w:pStyle w:val="27"/>
                    <w:bidi w:val="0"/>
                    <w:rPr>
                      <w:rFonts w:hint="default"/>
                      <w:highlight w:val="none"/>
                      <w:u w:val="single"/>
                      <w:lang w:val="en-US" w:eastAsia="zh-CN"/>
                    </w:rPr>
                  </w:pPr>
                  <w:r>
                    <w:rPr>
                      <w:highlight w:val="none"/>
                      <w:u w:val="single"/>
                    </w:rPr>
                    <w:t>0.008</w:t>
                  </w:r>
                </w:p>
              </w:tc>
              <w:tc>
                <w:tcPr>
                  <w:tcW w:w="812" w:type="dxa"/>
                  <w:noWrap w:val="0"/>
                  <w:vAlign w:val="center"/>
                </w:tcPr>
                <w:p>
                  <w:pPr>
                    <w:pStyle w:val="27"/>
                    <w:bidi w:val="0"/>
                    <w:rPr>
                      <w:rFonts w:hint="default"/>
                      <w:highlight w:val="none"/>
                      <w:u w:val="single"/>
                      <w:lang w:val="en-US" w:eastAsia="zh-CN"/>
                    </w:rPr>
                  </w:pPr>
                  <w:r>
                    <w:rPr>
                      <w:highlight w:val="none"/>
                      <w:u w:val="single"/>
                    </w:rPr>
                    <w:t>0.008</w:t>
                  </w:r>
                </w:p>
              </w:tc>
              <w:tc>
                <w:tcPr>
                  <w:tcW w:w="864" w:type="dxa"/>
                  <w:noWrap w:val="0"/>
                  <w:vAlign w:val="center"/>
                </w:tcPr>
                <w:p>
                  <w:pPr>
                    <w:pStyle w:val="27"/>
                    <w:bidi w:val="0"/>
                    <w:rPr>
                      <w:rFonts w:hint="default"/>
                      <w:highlight w:val="none"/>
                      <w:u w:val="single"/>
                      <w:lang w:val="en-US" w:eastAsia="zh-CN"/>
                    </w:rPr>
                  </w:pPr>
                  <w:r>
                    <w:rPr>
                      <w:highlight w:val="none"/>
                      <w:u w:val="single"/>
                    </w:rPr>
                    <w:t>0.008</w:t>
                  </w:r>
                </w:p>
              </w:tc>
              <w:tc>
                <w:tcPr>
                  <w:tcW w:w="1025"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0.0</w:t>
                  </w:r>
                </w:p>
              </w:tc>
              <w:tc>
                <w:tcPr>
                  <w:tcW w:w="890" w:type="dxa"/>
                  <w:noWrap w:val="0"/>
                  <w:vAlign w:val="center"/>
                </w:tcPr>
                <w:p>
                  <w:pPr>
                    <w:pStyle w:val="27"/>
                    <w:bidi w:val="0"/>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0</w:t>
                  </w:r>
                </w:p>
              </w:tc>
              <w:tc>
                <w:tcPr>
                  <w:tcW w:w="949" w:type="dxa"/>
                  <w:noWrap w:val="0"/>
                  <w:vAlign w:val="center"/>
                </w:tcPr>
                <w:p>
                  <w:pPr>
                    <w:pStyle w:val="27"/>
                    <w:bidi w:val="0"/>
                    <w:rPr>
                      <w:rFonts w:hint="default" w:ascii="Times New Roman" w:hAnsi="Times New Roman" w:eastAsia="宋体" w:cs="Times New Roman"/>
                      <w:highlight w:val="none"/>
                      <w:u w:val="single"/>
                      <w:lang w:val="en-US" w:eastAsia="zh-CN"/>
                    </w:rPr>
                  </w:pPr>
                  <w:r>
                    <w:rPr>
                      <w:rFonts w:ascii="Times New Roman" w:hAnsi="Times New Roman" w:eastAsia="宋体" w:cs="Times New Roman"/>
                      <w:highlight w:val="none"/>
                      <w:u w:val="single"/>
                    </w:rPr>
                    <w:t>/</w:t>
                  </w:r>
                </w:p>
              </w:tc>
            </w:tr>
            <w:bookmarkEnd w:id="47"/>
            <w:bookmarkEnd w:id="48"/>
            <w:bookmarkEnd w:id="49"/>
          </w:tbl>
          <w:p>
            <w:pPr>
              <w:bidi w:val="0"/>
              <w:rPr>
                <w:rFonts w:hint="default"/>
                <w:highlight w:val="none"/>
                <w:lang w:val="en-US" w:eastAsia="zh-CN"/>
              </w:rPr>
            </w:pPr>
            <w:r>
              <w:rPr>
                <w:rFonts w:hint="default"/>
                <w:highlight w:val="none"/>
                <w:lang w:val="en-US" w:eastAsia="zh-CN"/>
              </w:rPr>
              <w:t>表3-</w:t>
            </w:r>
            <w:r>
              <w:rPr>
                <w:rFonts w:hint="eastAsia"/>
                <w:highlight w:val="none"/>
                <w:lang w:val="en-US" w:eastAsia="zh-CN"/>
              </w:rPr>
              <w:t>2</w:t>
            </w:r>
            <w:r>
              <w:rPr>
                <w:rFonts w:hint="default"/>
                <w:highlight w:val="none"/>
                <w:lang w:val="en-US" w:eastAsia="zh-CN"/>
              </w:rPr>
              <w:t>中监测数据表明：</w:t>
            </w:r>
            <w:r>
              <w:rPr>
                <w:rFonts w:hint="eastAsia"/>
                <w:highlight w:val="none"/>
                <w:lang w:val="en-US" w:eastAsia="zh-CN"/>
              </w:rPr>
              <w:t>燎原水库，农灌渠</w:t>
            </w:r>
            <w:r>
              <w:rPr>
                <w:rFonts w:hint="default"/>
                <w:highlight w:val="none"/>
                <w:lang w:val="en-US" w:eastAsia="zh-CN"/>
              </w:rPr>
              <w:t>监测因子监测值均能满足《地表水环境质量标准》（GB3838-2002）Ⅲ类水质标准。</w:t>
            </w:r>
          </w:p>
          <w:p>
            <w:pPr>
              <w:bidi w:val="0"/>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1.</w:t>
            </w:r>
            <w:r>
              <w:rPr>
                <w:rFonts w:hint="default" w:ascii="Times New Roman" w:hAnsi="Times New Roman" w:eastAsia="宋体" w:cs="Times New Roman"/>
                <w:b/>
                <w:bCs/>
                <w:color w:val="auto"/>
                <w:highlight w:val="none"/>
                <w:lang w:val="en-US" w:eastAsia="zh-CN"/>
              </w:rPr>
              <w:t>3声环境质量现状</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为了解建设项目所在区域声环境质量现状，于202</w:t>
            </w: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年</w:t>
            </w:r>
            <w:r>
              <w:rPr>
                <w:rFonts w:hint="eastAsia" w:cs="Times New Roman"/>
                <w:color w:val="auto"/>
                <w:highlight w:val="none"/>
                <w:lang w:val="en-US" w:eastAsia="zh-CN"/>
              </w:rPr>
              <w:t>7</w:t>
            </w:r>
            <w:r>
              <w:rPr>
                <w:rFonts w:hint="default" w:ascii="Times New Roman" w:hAnsi="Times New Roman" w:eastAsia="宋体" w:cs="Times New Roman"/>
                <w:color w:val="auto"/>
                <w:highlight w:val="none"/>
                <w:lang w:val="en-US" w:eastAsia="zh-CN"/>
              </w:rPr>
              <w:t>月</w:t>
            </w:r>
            <w:r>
              <w:rPr>
                <w:rFonts w:hint="eastAsia" w:cs="Times New Roman"/>
                <w:color w:val="auto"/>
                <w:highlight w:val="none"/>
                <w:lang w:val="en-US" w:eastAsia="zh-CN"/>
              </w:rPr>
              <w:t>18</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19</w:t>
            </w:r>
            <w:r>
              <w:rPr>
                <w:rFonts w:hint="default" w:ascii="Times New Roman" w:hAnsi="Times New Roman" w:eastAsia="宋体" w:cs="Times New Roman"/>
                <w:color w:val="auto"/>
                <w:highlight w:val="none"/>
                <w:lang w:val="en-US" w:eastAsia="zh-CN"/>
              </w:rPr>
              <w:t>日对项目所在区域进行了为期两天的声环境现状监测。</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监测点位：根据场地特征及敏感目标，共设置</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个监测点位，见表3-</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监测因子：等效连续A声级Leq(A)。</w:t>
            </w:r>
          </w:p>
          <w:p>
            <w:pPr>
              <w:bidi w:val="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highlight w:val="none"/>
                <w:lang w:val="en-US" w:eastAsia="zh-CN"/>
              </w:rPr>
              <w:t>评</w:t>
            </w:r>
            <w:r>
              <w:rPr>
                <w:rFonts w:hint="default" w:ascii="Times New Roman" w:hAnsi="Times New Roman" w:eastAsia="宋体" w:cs="Times New Roman"/>
                <w:color w:val="auto"/>
                <w:szCs w:val="22"/>
                <w:highlight w:val="none"/>
                <w:lang w:val="en-US" w:eastAsia="zh-CN"/>
              </w:rPr>
              <w:t>价方法：采用实测值与评价标准比较。</w:t>
            </w:r>
          </w:p>
          <w:p>
            <w:pPr>
              <w:bidi w:val="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评价标准：厂界及敏感目标执行《声环境质量标准》（GB3096-2008）2类标准。</w:t>
            </w:r>
          </w:p>
          <w:p>
            <w:pPr>
              <w:pStyle w:val="28"/>
              <w:bidi w:val="0"/>
              <w:rPr>
                <w:rFonts w:hint="default" w:ascii="Times New Roman" w:hAnsi="Times New Roman" w:eastAsia="宋体" w:cs="Times New Roman"/>
                <w:color w:val="auto"/>
                <w:highlight w:val="none"/>
              </w:rPr>
            </w:pPr>
            <w:bookmarkStart w:id="51" w:name="_Ref340763147"/>
            <w:r>
              <w:rPr>
                <w:rFonts w:hint="default" w:ascii="Times New Roman" w:hAnsi="Times New Roman" w:eastAsia="宋体" w:cs="Times New Roman"/>
                <w:b/>
                <w:bCs/>
                <w:color w:val="auto"/>
                <w:highlight w:val="none"/>
              </w:rPr>
              <w:t>表</w:t>
            </w:r>
            <w:bookmarkEnd w:id="51"/>
            <w:r>
              <w:rPr>
                <w:rFonts w:hint="default" w:ascii="Times New Roman" w:hAnsi="Times New Roman" w:eastAsia="宋体" w:cs="Times New Roman"/>
                <w:b/>
                <w:bCs/>
                <w:color w:val="auto"/>
                <w:highlight w:val="none"/>
              </w:rPr>
              <w:t>3-</w:t>
            </w:r>
            <w:r>
              <w:rPr>
                <w:rFonts w:hint="default" w:eastAsia="宋体" w:cs="Times New Roman"/>
                <w:b/>
                <w:bCs/>
                <w:color w:val="auto"/>
                <w:highlight w:val="none"/>
              </w:rPr>
              <w:t>4</w:t>
            </w:r>
            <w:r>
              <w:rPr>
                <w:rFonts w:hint="default" w:ascii="Times New Roman" w:hAnsi="Times New Roman" w:eastAsia="宋体" w:cs="Times New Roman"/>
                <w:b/>
                <w:bCs/>
                <w:color w:val="auto"/>
                <w:highlight w:val="none"/>
              </w:rPr>
              <w:t>声环境监测点位表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73"/>
              <w:gridCol w:w="61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1350"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编号</w:t>
                  </w:r>
                </w:p>
              </w:tc>
              <w:tc>
                <w:tcPr>
                  <w:tcW w:w="3649"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监测点名称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1350" w:type="pct"/>
                  <w:vMerge w:val="continue"/>
                  <w:tcBorders>
                    <w:tl2br w:val="nil"/>
                    <w:tr2bl w:val="nil"/>
                  </w:tcBorders>
                  <w:shd w:val="clear" w:color="auto" w:fill="FFFFFF"/>
                  <w:noWrap w:val="0"/>
                  <w:vAlign w:val="center"/>
                </w:tcPr>
                <w:p>
                  <w:pPr>
                    <w:pStyle w:val="27"/>
                    <w:bidi w:val="0"/>
                    <w:rPr>
                      <w:rFonts w:hint="default"/>
                      <w:highlight w:val="none"/>
                    </w:rPr>
                  </w:pPr>
                </w:p>
              </w:tc>
              <w:tc>
                <w:tcPr>
                  <w:tcW w:w="3649" w:type="pct"/>
                  <w:vMerge w:val="continue"/>
                  <w:tcBorders>
                    <w:tl2br w:val="nil"/>
                    <w:tr2bl w:val="nil"/>
                  </w:tcBorders>
                  <w:shd w:val="clear" w:color="auto" w:fill="FFFFFF"/>
                  <w:noWrap w:val="0"/>
                  <w:vAlign w:val="center"/>
                </w:tcPr>
                <w:p>
                  <w:pPr>
                    <w:pStyle w:val="27"/>
                    <w:bidi w:val="0"/>
                    <w:rPr>
                      <w:rFonts w:hint="default"/>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50" w:type="pct"/>
                  <w:tcBorders>
                    <w:tl2br w:val="nil"/>
                    <w:tr2bl w:val="nil"/>
                  </w:tcBorders>
                  <w:shd w:val="clear" w:color="auto" w:fill="FFFFFF"/>
                  <w:noWrap w:val="0"/>
                  <w:vAlign w:val="center"/>
                </w:tcPr>
                <w:p>
                  <w:pPr>
                    <w:pStyle w:val="27"/>
                    <w:bidi w:val="0"/>
                    <w:rPr>
                      <w:rFonts w:hint="default"/>
                      <w:highlight w:val="none"/>
                    </w:rPr>
                  </w:pPr>
                  <w:r>
                    <w:rPr>
                      <w:rFonts w:hint="default"/>
                      <w:highlight w:val="none"/>
                    </w:rPr>
                    <w:t>N1</w:t>
                  </w:r>
                </w:p>
              </w:tc>
              <w:tc>
                <w:tcPr>
                  <w:tcW w:w="6143" w:type="dxa"/>
                  <w:tcBorders>
                    <w:tl2br w:val="nil"/>
                    <w:tr2bl w:val="nil"/>
                  </w:tcBorders>
                  <w:shd w:val="clear" w:color="auto" w:fill="FFFFFF"/>
                  <w:noWrap w:val="0"/>
                  <w:vAlign w:val="top"/>
                </w:tcPr>
                <w:p>
                  <w:pPr>
                    <w:pStyle w:val="27"/>
                    <w:bidi w:val="0"/>
                    <w:rPr>
                      <w:rFonts w:hint="default"/>
                      <w:highlight w:val="none"/>
                    </w:rPr>
                  </w:pPr>
                  <w:r>
                    <w:rPr>
                      <w:highlight w:val="none"/>
                    </w:rPr>
                    <w:t>燎原水库施工区域 1 西边 50m 居民△N1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50" w:type="pct"/>
                  <w:tcBorders>
                    <w:tl2br w:val="nil"/>
                    <w:tr2bl w:val="nil"/>
                  </w:tcBorders>
                  <w:shd w:val="clear" w:color="auto" w:fill="FFFFFF"/>
                  <w:noWrap w:val="0"/>
                  <w:vAlign w:val="center"/>
                </w:tcPr>
                <w:p>
                  <w:pPr>
                    <w:pStyle w:val="27"/>
                    <w:bidi w:val="0"/>
                    <w:rPr>
                      <w:rFonts w:hint="default"/>
                      <w:highlight w:val="none"/>
                    </w:rPr>
                  </w:pPr>
                  <w:r>
                    <w:rPr>
                      <w:rFonts w:hint="default"/>
                      <w:highlight w:val="none"/>
                    </w:rPr>
                    <w:t>N2</w:t>
                  </w:r>
                </w:p>
              </w:tc>
              <w:tc>
                <w:tcPr>
                  <w:tcW w:w="6143" w:type="dxa"/>
                  <w:tcBorders>
                    <w:tl2br w:val="nil"/>
                    <w:tr2bl w:val="nil"/>
                  </w:tcBorders>
                  <w:shd w:val="clear" w:color="auto" w:fill="FFFFFF"/>
                  <w:noWrap w:val="0"/>
                  <w:vAlign w:val="top"/>
                </w:tcPr>
                <w:p>
                  <w:pPr>
                    <w:pStyle w:val="27"/>
                    <w:bidi w:val="0"/>
                    <w:rPr>
                      <w:rFonts w:hint="default"/>
                      <w:highlight w:val="none"/>
                    </w:rPr>
                  </w:pPr>
                  <w:r>
                    <w:rPr>
                      <w:highlight w:val="none"/>
                    </w:rPr>
                    <w:t>燎原水库施工区域 2 西边 40m 居民△N2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50" w:type="pct"/>
                  <w:tcBorders>
                    <w:tl2br w:val="nil"/>
                    <w:tr2bl w:val="nil"/>
                  </w:tcBorders>
                  <w:shd w:val="clear" w:color="auto" w:fill="FFFFFF"/>
                  <w:noWrap w:val="0"/>
                  <w:vAlign w:val="center"/>
                </w:tcPr>
                <w:p>
                  <w:pPr>
                    <w:pStyle w:val="27"/>
                    <w:bidi w:val="0"/>
                    <w:rPr>
                      <w:rFonts w:hint="default"/>
                      <w:highlight w:val="none"/>
                    </w:rPr>
                  </w:pPr>
                  <w:r>
                    <w:rPr>
                      <w:rFonts w:hint="default"/>
                      <w:highlight w:val="none"/>
                    </w:rPr>
                    <w:t>N3</w:t>
                  </w:r>
                </w:p>
              </w:tc>
              <w:tc>
                <w:tcPr>
                  <w:tcW w:w="6143" w:type="dxa"/>
                  <w:tcBorders>
                    <w:tl2br w:val="nil"/>
                    <w:tr2bl w:val="nil"/>
                  </w:tcBorders>
                  <w:shd w:val="clear" w:color="auto" w:fill="FFFFFF"/>
                  <w:noWrap w:val="0"/>
                  <w:vAlign w:val="top"/>
                </w:tcPr>
                <w:p>
                  <w:pPr>
                    <w:pStyle w:val="27"/>
                    <w:bidi w:val="0"/>
                    <w:rPr>
                      <w:rFonts w:hint="default"/>
                      <w:highlight w:val="none"/>
                    </w:rPr>
                  </w:pPr>
                  <w:r>
                    <w:rPr>
                      <w:highlight w:val="none"/>
                    </w:rPr>
                    <w:t>燎原水库施工区域 3 西北 40m 居民△N3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350" w:type="pct"/>
                  <w:tcBorders>
                    <w:tl2br w:val="nil"/>
                    <w:tr2bl w:val="nil"/>
                  </w:tcBorders>
                  <w:shd w:val="clear" w:color="auto" w:fill="FFFFFF"/>
                  <w:noWrap w:val="0"/>
                  <w:vAlign w:val="center"/>
                </w:tcPr>
                <w:p>
                  <w:pPr>
                    <w:pStyle w:val="27"/>
                    <w:bidi w:val="0"/>
                    <w:rPr>
                      <w:rFonts w:hint="eastAsia"/>
                      <w:highlight w:val="none"/>
                      <w:lang w:eastAsia="zh-CN"/>
                    </w:rPr>
                  </w:pPr>
                  <w:r>
                    <w:rPr>
                      <w:rFonts w:hint="default"/>
                      <w:highlight w:val="none"/>
                    </w:rPr>
                    <w:t>N</w:t>
                  </w:r>
                  <w:r>
                    <w:rPr>
                      <w:rFonts w:hint="eastAsia"/>
                      <w:highlight w:val="none"/>
                      <w:lang w:val="en-US" w:eastAsia="zh-CN"/>
                    </w:rPr>
                    <w:t>4</w:t>
                  </w:r>
                </w:p>
              </w:tc>
              <w:tc>
                <w:tcPr>
                  <w:tcW w:w="6143" w:type="dxa"/>
                  <w:tcBorders>
                    <w:tl2br w:val="nil"/>
                    <w:tr2bl w:val="nil"/>
                  </w:tcBorders>
                  <w:shd w:val="clear" w:color="auto" w:fill="FFFFFF"/>
                  <w:noWrap w:val="0"/>
                  <w:vAlign w:val="top"/>
                </w:tcPr>
                <w:p>
                  <w:pPr>
                    <w:pStyle w:val="27"/>
                    <w:bidi w:val="0"/>
                    <w:rPr>
                      <w:rFonts w:hint="eastAsia"/>
                      <w:highlight w:val="none"/>
                      <w:lang w:val="en-US" w:eastAsia="zh-CN"/>
                    </w:rPr>
                  </w:pPr>
                  <w:r>
                    <w:rPr>
                      <w:highlight w:val="none"/>
                    </w:rPr>
                    <w:t>施工区域 1 监测点△N4</w:t>
                  </w:r>
                </w:p>
              </w:tc>
            </w:tr>
          </w:tbl>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声环境现状监测结果统计与评价分析见表3-</w:t>
            </w:r>
            <w:r>
              <w:rPr>
                <w:rFonts w:hint="default" w:cs="Times New Roman"/>
                <w:color w:val="auto"/>
                <w:highlight w:val="none"/>
                <w:lang w:eastAsia="zh-CN"/>
              </w:rPr>
              <w:t>5</w:t>
            </w:r>
            <w:r>
              <w:rPr>
                <w:rFonts w:hint="default" w:ascii="Times New Roman" w:hAnsi="Times New Roman" w:eastAsia="宋体" w:cs="Times New Roman"/>
                <w:color w:val="auto"/>
                <w:highlight w:val="none"/>
                <w:lang w:val="en-US" w:eastAsia="zh-CN"/>
              </w:rPr>
              <w:t>。</w:t>
            </w:r>
          </w:p>
          <w:p>
            <w:pPr>
              <w:pStyle w:val="28"/>
              <w:bidi w:val="0"/>
              <w:rPr>
                <w:rFonts w:hint="default" w:ascii="Times New Roman" w:hAnsi="Times New Roman" w:eastAsia="宋体" w:cs="Times New Roman"/>
                <w:color w:val="auto"/>
                <w:highlight w:val="none"/>
              </w:rPr>
            </w:pPr>
            <w:bookmarkStart w:id="52" w:name="_Ref340763213"/>
            <w:r>
              <w:rPr>
                <w:rFonts w:hint="default" w:ascii="Times New Roman" w:hAnsi="Times New Roman" w:eastAsia="宋体" w:cs="Times New Roman"/>
                <w:b/>
                <w:bCs/>
                <w:color w:val="auto"/>
                <w:highlight w:val="none"/>
              </w:rPr>
              <w:t>表</w:t>
            </w:r>
            <w:bookmarkEnd w:id="52"/>
            <w:r>
              <w:rPr>
                <w:rFonts w:hint="default" w:ascii="Times New Roman" w:hAnsi="Times New Roman" w:eastAsia="宋体" w:cs="Times New Roman"/>
                <w:b/>
                <w:bCs/>
                <w:color w:val="auto"/>
                <w:highlight w:val="none"/>
              </w:rPr>
              <w:t>3-</w:t>
            </w:r>
            <w:r>
              <w:rPr>
                <w:rFonts w:hint="default" w:eastAsia="宋体" w:cs="Times New Roman"/>
                <w:b/>
                <w:bCs/>
                <w:color w:val="auto"/>
                <w:highlight w:val="none"/>
                <w:lang w:eastAsia="zh-CN"/>
              </w:rPr>
              <w:t>5</w:t>
            </w:r>
            <w:r>
              <w:rPr>
                <w:rFonts w:hint="default" w:ascii="Times New Roman" w:hAnsi="Times New Roman" w:eastAsia="宋体" w:cs="Times New Roman"/>
                <w:b/>
                <w:bCs/>
                <w:color w:val="auto"/>
                <w:highlight w:val="none"/>
              </w:rPr>
              <w:t xml:space="preserve">  声环境现状质量监测结果统计与分析  （单位：LeqdB(A)</w:t>
            </w:r>
            <w:r>
              <w:rPr>
                <w:rFonts w:hint="default" w:ascii="Times New Roman" w:hAnsi="Times New Roman" w:eastAsia="宋体" w:cs="Times New Roman"/>
                <w:color w:val="auto"/>
                <w:highlight w:val="none"/>
              </w:rPr>
              <w:t>）</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88"/>
              <w:gridCol w:w="2173"/>
              <w:gridCol w:w="1686"/>
              <w:gridCol w:w="33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06"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点位序号</w:t>
                  </w:r>
                </w:p>
              </w:tc>
              <w:tc>
                <w:tcPr>
                  <w:tcW w:w="1290"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采样位置</w:t>
                  </w:r>
                </w:p>
              </w:tc>
              <w:tc>
                <w:tcPr>
                  <w:tcW w:w="1000"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采样时间</w:t>
                  </w:r>
                </w:p>
              </w:tc>
              <w:tc>
                <w:tcPr>
                  <w:tcW w:w="2002" w:type="pct"/>
                  <w:tcBorders>
                    <w:tl2br w:val="nil"/>
                    <w:tr2bl w:val="nil"/>
                  </w:tcBorders>
                  <w:shd w:val="clear" w:color="auto" w:fill="FFFFFF"/>
                  <w:noWrap w:val="0"/>
                  <w:vAlign w:val="center"/>
                </w:tcPr>
                <w:p>
                  <w:pPr>
                    <w:pStyle w:val="27"/>
                    <w:bidi w:val="0"/>
                    <w:rPr>
                      <w:rFonts w:hint="default"/>
                      <w:highlight w:val="none"/>
                    </w:rPr>
                  </w:pPr>
                  <w:r>
                    <w:rPr>
                      <w:rFonts w:hint="default"/>
                      <w:highlight w:val="none"/>
                    </w:rPr>
                    <w:t>检测结果    LeqdB(A)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06" w:type="pct"/>
                  <w:vMerge w:val="continue"/>
                  <w:tcBorders>
                    <w:tl2br w:val="nil"/>
                    <w:tr2bl w:val="nil"/>
                  </w:tcBorders>
                  <w:shd w:val="clear" w:color="auto" w:fill="FFFFFF"/>
                  <w:noWrap w:val="0"/>
                  <w:vAlign w:val="center"/>
                </w:tcPr>
                <w:p>
                  <w:pPr>
                    <w:pStyle w:val="27"/>
                    <w:bidi w:val="0"/>
                    <w:rPr>
                      <w:rFonts w:hint="default"/>
                      <w:highlight w:val="none"/>
                    </w:rPr>
                  </w:pPr>
                </w:p>
              </w:tc>
              <w:tc>
                <w:tcPr>
                  <w:tcW w:w="1290" w:type="pct"/>
                  <w:vMerge w:val="continue"/>
                  <w:tcBorders>
                    <w:tl2br w:val="nil"/>
                    <w:tr2bl w:val="nil"/>
                  </w:tcBorders>
                  <w:shd w:val="clear" w:color="auto" w:fill="FFFFFF"/>
                  <w:noWrap w:val="0"/>
                  <w:vAlign w:val="center"/>
                </w:tcPr>
                <w:p>
                  <w:pPr>
                    <w:pStyle w:val="27"/>
                    <w:bidi w:val="0"/>
                    <w:rPr>
                      <w:rFonts w:hint="default"/>
                      <w:highlight w:val="none"/>
                    </w:rPr>
                  </w:pPr>
                </w:p>
              </w:tc>
              <w:tc>
                <w:tcPr>
                  <w:tcW w:w="1000" w:type="pct"/>
                  <w:vMerge w:val="continue"/>
                  <w:tcBorders>
                    <w:tl2br w:val="nil"/>
                    <w:tr2bl w:val="nil"/>
                  </w:tcBorders>
                  <w:shd w:val="clear" w:color="auto" w:fill="FFFFFF"/>
                  <w:noWrap w:val="0"/>
                  <w:vAlign w:val="center"/>
                </w:tcPr>
                <w:p>
                  <w:pPr>
                    <w:pStyle w:val="27"/>
                    <w:bidi w:val="0"/>
                    <w:rPr>
                      <w:rFonts w:hint="default"/>
                      <w:highlight w:val="none"/>
                    </w:rPr>
                  </w:pPr>
                </w:p>
              </w:tc>
              <w:tc>
                <w:tcPr>
                  <w:tcW w:w="2002" w:type="pct"/>
                  <w:tcBorders>
                    <w:tl2br w:val="nil"/>
                    <w:tr2bl w:val="nil"/>
                  </w:tcBorders>
                  <w:shd w:val="clear" w:color="auto" w:fill="FFFFFF"/>
                  <w:noWrap w:val="0"/>
                  <w:vAlign w:val="center"/>
                </w:tcPr>
                <w:p>
                  <w:pPr>
                    <w:pStyle w:val="27"/>
                    <w:bidi w:val="0"/>
                    <w:rPr>
                      <w:rFonts w:hint="default"/>
                      <w:highlight w:val="none"/>
                    </w:rPr>
                  </w:pPr>
                  <w:r>
                    <w:rPr>
                      <w:rFonts w:hint="default"/>
                      <w:highlight w:val="none"/>
                    </w:rPr>
                    <w:t>昼间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N1</w:t>
                  </w:r>
                </w:p>
              </w:tc>
              <w:tc>
                <w:tcPr>
                  <w:tcW w:w="1290" w:type="pct"/>
                  <w:vMerge w:val="restart"/>
                  <w:tcBorders>
                    <w:tl2br w:val="nil"/>
                    <w:tr2bl w:val="nil"/>
                  </w:tcBorders>
                  <w:shd w:val="clear" w:color="auto" w:fill="FFFFFF"/>
                  <w:noWrap w:val="0"/>
                  <w:vAlign w:val="center"/>
                </w:tcPr>
                <w:p>
                  <w:pPr>
                    <w:pStyle w:val="27"/>
                    <w:bidi w:val="0"/>
                    <w:rPr>
                      <w:rFonts w:hint="default"/>
                      <w:highlight w:val="none"/>
                      <w:lang w:val="en-US" w:eastAsia="zh-CN"/>
                    </w:rPr>
                  </w:pPr>
                  <w:r>
                    <w:rPr>
                      <w:rFonts w:hint="default"/>
                      <w:highlight w:val="none"/>
                    </w:rPr>
                    <w:t>燎原水库施工区域 1 西边 50m 居民</w:t>
                  </w: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18</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continue"/>
                  <w:tcBorders>
                    <w:tl2br w:val="nil"/>
                    <w:tr2bl w:val="nil"/>
                  </w:tcBorders>
                  <w:shd w:val="clear" w:color="auto" w:fill="FFFFFF"/>
                  <w:noWrap w:val="0"/>
                  <w:vAlign w:val="center"/>
                </w:tcPr>
                <w:p>
                  <w:pPr>
                    <w:pStyle w:val="27"/>
                    <w:bidi w:val="0"/>
                    <w:rPr>
                      <w:rFonts w:hint="default"/>
                      <w:highlight w:val="none"/>
                    </w:rPr>
                  </w:pPr>
                </w:p>
              </w:tc>
              <w:tc>
                <w:tcPr>
                  <w:tcW w:w="1290" w:type="pct"/>
                  <w:vMerge w:val="continue"/>
                  <w:tcBorders>
                    <w:tl2br w:val="nil"/>
                    <w:tr2bl w:val="nil"/>
                  </w:tcBorders>
                  <w:shd w:val="clear" w:color="auto" w:fill="FFFFFF"/>
                  <w:noWrap w:val="0"/>
                  <w:vAlign w:val="center"/>
                </w:tcPr>
                <w:p>
                  <w:pPr>
                    <w:pStyle w:val="27"/>
                    <w:bidi w:val="0"/>
                    <w:rPr>
                      <w:rFonts w:hint="default"/>
                      <w:highlight w:val="none"/>
                    </w:rPr>
                  </w:pP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19</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N2</w:t>
                  </w:r>
                </w:p>
              </w:tc>
              <w:tc>
                <w:tcPr>
                  <w:tcW w:w="1290" w:type="pct"/>
                  <w:vMerge w:val="restart"/>
                  <w:tcBorders>
                    <w:tl2br w:val="nil"/>
                    <w:tr2bl w:val="nil"/>
                  </w:tcBorders>
                  <w:shd w:val="clear" w:color="auto" w:fill="FFFFFF"/>
                  <w:noWrap w:val="0"/>
                  <w:vAlign w:val="center"/>
                </w:tcPr>
                <w:p>
                  <w:pPr>
                    <w:pStyle w:val="27"/>
                    <w:bidi w:val="0"/>
                    <w:rPr>
                      <w:rFonts w:hint="default"/>
                      <w:highlight w:val="none"/>
                      <w:lang w:eastAsia="zh-CN"/>
                    </w:rPr>
                  </w:pPr>
                  <w:r>
                    <w:rPr>
                      <w:rFonts w:hint="default"/>
                      <w:highlight w:val="none"/>
                    </w:rPr>
                    <w:t>燎原水库施工区域 2 西边 40m 居民</w:t>
                  </w: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18</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continue"/>
                  <w:tcBorders>
                    <w:tl2br w:val="nil"/>
                    <w:tr2bl w:val="nil"/>
                  </w:tcBorders>
                  <w:shd w:val="clear" w:color="auto" w:fill="FFFFFF"/>
                  <w:noWrap w:val="0"/>
                  <w:vAlign w:val="center"/>
                </w:tcPr>
                <w:p>
                  <w:pPr>
                    <w:pStyle w:val="27"/>
                    <w:bidi w:val="0"/>
                    <w:rPr>
                      <w:rFonts w:hint="default"/>
                      <w:highlight w:val="none"/>
                    </w:rPr>
                  </w:pPr>
                </w:p>
              </w:tc>
              <w:tc>
                <w:tcPr>
                  <w:tcW w:w="1290" w:type="pct"/>
                  <w:vMerge w:val="continue"/>
                  <w:tcBorders>
                    <w:tl2br w:val="nil"/>
                    <w:tr2bl w:val="nil"/>
                  </w:tcBorders>
                  <w:shd w:val="clear" w:color="auto" w:fill="FFFFFF"/>
                  <w:noWrap w:val="0"/>
                  <w:vAlign w:val="center"/>
                </w:tcPr>
                <w:p>
                  <w:pPr>
                    <w:pStyle w:val="27"/>
                    <w:bidi w:val="0"/>
                    <w:rPr>
                      <w:rFonts w:hint="default"/>
                      <w:highlight w:val="none"/>
                    </w:rPr>
                  </w:pP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19</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N3</w:t>
                  </w:r>
                </w:p>
              </w:tc>
              <w:tc>
                <w:tcPr>
                  <w:tcW w:w="1290" w:type="pct"/>
                  <w:vMerge w:val="restart"/>
                  <w:tcBorders>
                    <w:tl2br w:val="nil"/>
                    <w:tr2bl w:val="nil"/>
                  </w:tcBorders>
                  <w:shd w:val="clear" w:color="auto" w:fill="FFFFFF"/>
                  <w:noWrap w:val="0"/>
                  <w:vAlign w:val="center"/>
                </w:tcPr>
                <w:p>
                  <w:pPr>
                    <w:pStyle w:val="27"/>
                    <w:bidi w:val="0"/>
                    <w:rPr>
                      <w:rFonts w:hint="default"/>
                      <w:highlight w:val="none"/>
                      <w:lang w:eastAsia="zh-CN"/>
                    </w:rPr>
                  </w:pPr>
                  <w:r>
                    <w:rPr>
                      <w:rFonts w:hint="default"/>
                      <w:highlight w:val="none"/>
                    </w:rPr>
                    <w:t>燎原水库施工区域 3 西北 40m 居民</w:t>
                  </w: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18</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continue"/>
                  <w:tcBorders>
                    <w:tl2br w:val="nil"/>
                    <w:tr2bl w:val="nil"/>
                  </w:tcBorders>
                  <w:shd w:val="clear" w:color="auto" w:fill="FFFFFF"/>
                  <w:noWrap w:val="0"/>
                  <w:vAlign w:val="center"/>
                </w:tcPr>
                <w:p>
                  <w:pPr>
                    <w:pStyle w:val="27"/>
                    <w:bidi w:val="0"/>
                    <w:rPr>
                      <w:rFonts w:hint="default"/>
                      <w:highlight w:val="none"/>
                    </w:rPr>
                  </w:pPr>
                </w:p>
              </w:tc>
              <w:tc>
                <w:tcPr>
                  <w:tcW w:w="1290" w:type="pct"/>
                  <w:vMerge w:val="continue"/>
                  <w:tcBorders>
                    <w:tl2br w:val="nil"/>
                    <w:tr2bl w:val="nil"/>
                  </w:tcBorders>
                  <w:shd w:val="clear" w:color="auto" w:fill="FFFFFF"/>
                  <w:noWrap w:val="0"/>
                  <w:vAlign w:val="center"/>
                </w:tcPr>
                <w:p>
                  <w:pPr>
                    <w:pStyle w:val="27"/>
                    <w:bidi w:val="0"/>
                    <w:rPr>
                      <w:rFonts w:hint="default"/>
                      <w:highlight w:val="none"/>
                    </w:rPr>
                  </w:pPr>
                </w:p>
              </w:tc>
              <w:tc>
                <w:tcPr>
                  <w:tcW w:w="1000" w:type="pct"/>
                  <w:tcBorders>
                    <w:tl2br w:val="nil"/>
                    <w:tr2bl w:val="nil"/>
                  </w:tcBorders>
                  <w:shd w:val="clear" w:color="auto" w:fill="FFFFFF"/>
                  <w:noWrap w:val="0"/>
                  <w:vAlign w:val="center"/>
                </w:tcPr>
                <w:p>
                  <w:pPr>
                    <w:pStyle w:val="27"/>
                    <w:bidi w:val="0"/>
                    <w:rPr>
                      <w:rFonts w:hint="default"/>
                      <w:highlight w:val="none"/>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19</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N</w:t>
                  </w:r>
                  <w:r>
                    <w:rPr>
                      <w:rFonts w:hint="eastAsia"/>
                      <w:highlight w:val="none"/>
                      <w:lang w:val="en-US" w:eastAsia="zh-CN"/>
                    </w:rPr>
                    <w:t>4</w:t>
                  </w:r>
                </w:p>
              </w:tc>
              <w:tc>
                <w:tcPr>
                  <w:tcW w:w="1290" w:type="pct"/>
                  <w:vMerge w:val="restart"/>
                  <w:tcBorders>
                    <w:tl2br w:val="nil"/>
                    <w:tr2bl w:val="nil"/>
                  </w:tcBorders>
                  <w:shd w:val="clear" w:color="auto" w:fill="FFFFFF"/>
                  <w:noWrap w:val="0"/>
                  <w:vAlign w:val="center"/>
                </w:tcPr>
                <w:p>
                  <w:pPr>
                    <w:pStyle w:val="27"/>
                    <w:bidi w:val="0"/>
                    <w:rPr>
                      <w:rFonts w:hint="default"/>
                      <w:highlight w:val="none"/>
                    </w:rPr>
                  </w:pPr>
                  <w:r>
                    <w:rPr>
                      <w:rFonts w:hint="default"/>
                      <w:highlight w:val="none"/>
                    </w:rPr>
                    <w:t>施工区域 1 监测点</w:t>
                  </w:r>
                </w:p>
              </w:tc>
              <w:tc>
                <w:tcPr>
                  <w:tcW w:w="1000" w:type="pct"/>
                  <w:tcBorders>
                    <w:tl2br w:val="nil"/>
                    <w:tr2bl w:val="nil"/>
                  </w:tcBorders>
                  <w:shd w:val="clear" w:color="auto" w:fill="FFFFFF"/>
                  <w:noWrap w:val="0"/>
                  <w:vAlign w:val="center"/>
                </w:tcPr>
                <w:p>
                  <w:pPr>
                    <w:pStyle w:val="27"/>
                    <w:bidi w:val="0"/>
                    <w:rPr>
                      <w:rFonts w:hint="eastAsia"/>
                      <w:highlight w:val="none"/>
                      <w:lang w:val="en-US" w:eastAsia="zh-CN"/>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18</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6" w:type="pct"/>
                  <w:vMerge w:val="continue"/>
                  <w:tcBorders>
                    <w:tl2br w:val="nil"/>
                    <w:tr2bl w:val="nil"/>
                  </w:tcBorders>
                  <w:shd w:val="clear" w:color="auto" w:fill="FFFFFF"/>
                  <w:noWrap w:val="0"/>
                  <w:vAlign w:val="center"/>
                </w:tcPr>
                <w:p>
                  <w:pPr>
                    <w:pStyle w:val="27"/>
                    <w:bidi w:val="0"/>
                    <w:rPr>
                      <w:rFonts w:hint="default"/>
                      <w:highlight w:val="none"/>
                    </w:rPr>
                  </w:pPr>
                </w:p>
              </w:tc>
              <w:tc>
                <w:tcPr>
                  <w:tcW w:w="1290" w:type="pct"/>
                  <w:vMerge w:val="continue"/>
                  <w:tcBorders>
                    <w:tl2br w:val="nil"/>
                    <w:tr2bl w:val="nil"/>
                  </w:tcBorders>
                  <w:shd w:val="clear" w:color="auto" w:fill="FFFFFF"/>
                  <w:noWrap w:val="0"/>
                  <w:vAlign w:val="center"/>
                </w:tcPr>
                <w:p>
                  <w:pPr>
                    <w:pStyle w:val="27"/>
                    <w:bidi w:val="0"/>
                    <w:rPr>
                      <w:rFonts w:hint="default"/>
                      <w:highlight w:val="none"/>
                    </w:rPr>
                  </w:pPr>
                </w:p>
              </w:tc>
              <w:tc>
                <w:tcPr>
                  <w:tcW w:w="1000" w:type="pct"/>
                  <w:tcBorders>
                    <w:tl2br w:val="nil"/>
                    <w:tr2bl w:val="nil"/>
                  </w:tcBorders>
                  <w:shd w:val="clear" w:color="auto" w:fill="FFFFFF"/>
                  <w:noWrap w:val="0"/>
                  <w:vAlign w:val="center"/>
                </w:tcPr>
                <w:p>
                  <w:pPr>
                    <w:pStyle w:val="27"/>
                    <w:bidi w:val="0"/>
                    <w:rPr>
                      <w:rFonts w:hint="eastAsia"/>
                      <w:highlight w:val="none"/>
                      <w:lang w:val="en-US" w:eastAsia="zh-CN"/>
                    </w:rPr>
                  </w:pPr>
                  <w:r>
                    <w:rPr>
                      <w:rFonts w:hint="eastAsia"/>
                      <w:highlight w:val="none"/>
                      <w:lang w:val="en-US" w:eastAsia="zh-CN"/>
                    </w:rPr>
                    <w:t>7</w:t>
                  </w:r>
                  <w:r>
                    <w:rPr>
                      <w:rFonts w:hint="default"/>
                      <w:highlight w:val="none"/>
                      <w:lang w:val="en-US" w:eastAsia="zh-CN"/>
                    </w:rPr>
                    <w:t>月</w:t>
                  </w:r>
                  <w:r>
                    <w:rPr>
                      <w:rFonts w:hint="eastAsia"/>
                      <w:highlight w:val="none"/>
                      <w:lang w:val="en-US" w:eastAsia="zh-CN"/>
                    </w:rPr>
                    <w:t>19</w:t>
                  </w:r>
                  <w:r>
                    <w:rPr>
                      <w:rFonts w:hint="default"/>
                      <w:highlight w:val="none"/>
                      <w:lang w:val="en-US" w:eastAsia="zh-CN"/>
                    </w:rPr>
                    <w:t>日</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997" w:type="pct"/>
                  <w:gridSpan w:val="3"/>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评价标准</w:t>
                  </w:r>
                </w:p>
              </w:tc>
              <w:tc>
                <w:tcPr>
                  <w:tcW w:w="2002" w:type="pct"/>
                  <w:tcBorders>
                    <w:tl2br w:val="nil"/>
                    <w:tr2bl w:val="nil"/>
                  </w:tcBorders>
                  <w:shd w:val="clear" w:color="auto" w:fill="FFFFFF"/>
                  <w:noWrap w:val="0"/>
                  <w:vAlign w:val="center"/>
                </w:tcPr>
                <w:p>
                  <w:pPr>
                    <w:pStyle w:val="27"/>
                    <w:bidi w:val="0"/>
                    <w:rPr>
                      <w:rFonts w:hint="default"/>
                      <w:highlight w:val="none"/>
                      <w:lang w:val="en-US" w:eastAsia="zh-CN"/>
                    </w:rPr>
                  </w:pPr>
                  <w:r>
                    <w:rPr>
                      <w:rFonts w:hint="eastAsia"/>
                      <w:highlight w:val="none"/>
                      <w:lang w:val="en-US" w:eastAsia="zh-CN"/>
                    </w:rPr>
                    <w:t>60.0</w:t>
                  </w:r>
                </w:p>
              </w:tc>
            </w:tr>
          </w:tbl>
          <w:p>
            <w:pPr>
              <w:spacing w:line="360" w:lineRule="auto"/>
              <w:ind w:firstLine="480" w:firstLineChars="200"/>
              <w:rPr>
                <w:rFonts w:hint="eastAsia" w:cs="Times New Roman"/>
                <w:b/>
                <w:sz w:val="24"/>
                <w:szCs w:val="24"/>
                <w:highlight w:val="none"/>
                <w:lang w:val="en-US" w:eastAsia="zh-CN"/>
              </w:rPr>
            </w:pPr>
            <w:r>
              <w:rPr>
                <w:rFonts w:hint="default" w:ascii="Times New Roman" w:hAnsi="Times New Roman" w:eastAsia="宋体" w:cs="Times New Roman"/>
                <w:color w:val="auto"/>
                <w:highlight w:val="none"/>
                <w:lang w:val="en-US" w:eastAsia="zh-CN"/>
              </w:rPr>
              <w:t>由上表可知：</w:t>
            </w:r>
            <w:r>
              <w:rPr>
                <w:rFonts w:hint="default" w:ascii="Times New Roman" w:hAnsi="Times New Roman" w:eastAsia="宋体" w:cs="Times New Roman"/>
                <w:color w:val="auto"/>
                <w:sz w:val="24"/>
                <w:highlight w:val="none"/>
              </w:rPr>
              <w:t>项目</w:t>
            </w:r>
            <w:r>
              <w:rPr>
                <w:rFonts w:hint="eastAsia" w:eastAsia="宋体" w:cs="Times New Roman"/>
                <w:color w:val="auto"/>
                <w:sz w:val="24"/>
                <w:highlight w:val="none"/>
                <w:lang w:val="en-US" w:eastAsia="zh-CN"/>
              </w:rPr>
              <w:t>施工区域</w:t>
            </w:r>
            <w:r>
              <w:rPr>
                <w:rFonts w:hint="default" w:ascii="Times New Roman" w:hAnsi="Times New Roman" w:eastAsia="宋体" w:cs="Times New Roman"/>
                <w:color w:val="auto"/>
                <w:sz w:val="24"/>
                <w:highlight w:val="none"/>
              </w:rPr>
              <w:t>和</w:t>
            </w:r>
            <w:r>
              <w:rPr>
                <w:rFonts w:hint="default" w:ascii="Times New Roman" w:hAnsi="Times New Roman" w:eastAsia="宋体" w:cs="Times New Roman"/>
                <w:color w:val="auto"/>
                <w:sz w:val="24"/>
                <w:highlight w:val="none"/>
                <w:lang w:val="en-US" w:eastAsia="zh-CN"/>
              </w:rPr>
              <w:t>周边敏感点</w:t>
            </w:r>
            <w:r>
              <w:rPr>
                <w:rFonts w:hint="default" w:ascii="Times New Roman" w:hAnsi="Times New Roman" w:eastAsia="宋体" w:cs="Times New Roman"/>
                <w:color w:val="auto"/>
                <w:sz w:val="24"/>
                <w:highlight w:val="none"/>
              </w:rPr>
              <w:t>均满足《声环境质量标准》（GB3096-2008）中的2类标准</w:t>
            </w:r>
            <w:r>
              <w:rPr>
                <w:rFonts w:hint="default" w:ascii="Times New Roman" w:hAnsi="Times New Roman" w:eastAsia="宋体" w:cs="Times New Roman"/>
                <w:color w:val="auto"/>
                <w:highlight w:val="none"/>
                <w:lang w:val="en-US" w:eastAsia="zh-CN"/>
              </w:rPr>
              <w:t>。</w:t>
            </w:r>
          </w:p>
          <w:p>
            <w:pPr>
              <w:spacing w:line="360" w:lineRule="auto"/>
              <w:ind w:firstLine="482" w:firstLineChars="200"/>
              <w:rPr>
                <w:rFonts w:hint="default" w:ascii="Times New Roman" w:hAnsi="Times New Roman" w:cs="Times New Roman"/>
                <w:b/>
                <w:sz w:val="24"/>
                <w:szCs w:val="24"/>
              </w:rPr>
            </w:pPr>
            <w:r>
              <w:rPr>
                <w:rFonts w:hint="eastAsia" w:cs="Times New Roman"/>
                <w:b/>
                <w:sz w:val="24"/>
                <w:szCs w:val="24"/>
                <w:lang w:val="en-US" w:eastAsia="zh-CN"/>
              </w:rPr>
              <w:t>2、</w:t>
            </w:r>
            <w:r>
              <w:rPr>
                <w:rFonts w:hint="default" w:ascii="Times New Roman" w:hAnsi="Times New Roman" w:cs="Times New Roman"/>
                <w:b/>
                <w:sz w:val="24"/>
                <w:szCs w:val="24"/>
              </w:rPr>
              <w:t>生态环境现状</w:t>
            </w:r>
          </w:p>
          <w:p>
            <w:pPr>
              <w:bidi w:val="0"/>
              <w:rPr>
                <w:rFonts w:hint="default"/>
                <w:b/>
                <w:bCs/>
                <w:u w:val="single"/>
                <w:lang w:val="en-US" w:eastAsia="zh-CN"/>
              </w:rPr>
            </w:pPr>
            <w:r>
              <w:rPr>
                <w:rFonts w:hint="eastAsia"/>
                <w:b/>
                <w:bCs/>
                <w:u w:val="single"/>
                <w:lang w:val="en-US" w:eastAsia="zh-CN"/>
              </w:rPr>
              <w:t>2.1陆域</w:t>
            </w:r>
            <w:r>
              <w:rPr>
                <w:rFonts w:hint="default"/>
                <w:b/>
                <w:bCs/>
                <w:u w:val="single"/>
                <w:lang w:val="en-US" w:eastAsia="zh-CN"/>
              </w:rPr>
              <w:t>植被现状调查</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000000"/>
                <w:sz w:val="24"/>
                <w:szCs w:val="24"/>
                <w:u w:val="single"/>
                <w:lang w:val="en-US" w:eastAsia="zh-CN"/>
              </w:rPr>
            </w:pPr>
            <w:r>
              <w:rPr>
                <w:rFonts w:hint="eastAsia" w:ascii="Times New Roman" w:hAnsi="Times New Roman" w:cs="Times New Roman"/>
                <w:color w:val="000000"/>
                <w:sz w:val="24"/>
                <w:szCs w:val="24"/>
                <w:u w:val="single"/>
                <w:lang w:val="en-US" w:eastAsia="zh-CN"/>
              </w:rPr>
              <w:t>本次拟施工区域</w:t>
            </w:r>
            <w:r>
              <w:rPr>
                <w:rFonts w:hint="eastAsia" w:cs="Times New Roman"/>
                <w:color w:val="000000"/>
                <w:sz w:val="24"/>
                <w:szCs w:val="24"/>
                <w:u w:val="single"/>
                <w:lang w:val="en-US" w:eastAsia="zh-CN"/>
              </w:rPr>
              <w:t>以及取土场</w:t>
            </w:r>
            <w:r>
              <w:rPr>
                <w:rFonts w:hint="eastAsia" w:ascii="Times New Roman" w:hAnsi="Times New Roman" w:cs="Times New Roman"/>
                <w:color w:val="000000"/>
                <w:sz w:val="24"/>
                <w:szCs w:val="24"/>
                <w:u w:val="single"/>
                <w:lang w:val="en-US" w:eastAsia="zh-CN"/>
              </w:rPr>
              <w:t>内，用地现状以人工林和荒地为主。人工林和荒地受人为干扰均较为严重。植被多表现为人工栽培种以及各类杂草。荒地中则为各类杂草（水蓼、愉悦蓼、滇南芋和苍耳等）。评级区域内乔木层优势种为马尾松、杉木和毛竹，灌木层优势种为水麻、小梾木、蜡连绣球、盐麸木，草本植物优势种为水蓼、愉悦蓼及长滇南芋等；施工区域未涉及国家保护植物。</w:t>
            </w:r>
          </w:p>
          <w:p>
            <w:pPr>
              <w:bidi w:val="0"/>
              <w:rPr>
                <w:rFonts w:hint="default"/>
                <w:b/>
                <w:bCs/>
                <w:u w:val="single"/>
                <w:lang w:val="en-US" w:eastAsia="zh-CN"/>
              </w:rPr>
            </w:pPr>
            <w:r>
              <w:rPr>
                <w:rFonts w:hint="eastAsia"/>
                <w:b/>
                <w:bCs/>
                <w:u w:val="single"/>
                <w:lang w:val="en-US" w:eastAsia="zh-CN"/>
              </w:rPr>
              <w:t>2.2</w:t>
            </w:r>
            <w:r>
              <w:rPr>
                <w:rFonts w:hint="default"/>
                <w:b/>
                <w:bCs/>
                <w:u w:val="single"/>
                <w:lang w:val="en-US" w:eastAsia="zh-CN"/>
              </w:rPr>
              <w:t>陆生动物现状调查</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sz w:val="24"/>
                <w:szCs w:val="24"/>
                <w:u w:val="single"/>
                <w:lang w:val="en-US" w:eastAsia="zh-CN"/>
              </w:rPr>
            </w:pPr>
            <w:r>
              <w:rPr>
                <w:rFonts w:hint="default" w:ascii="Times New Roman" w:hAnsi="Times New Roman" w:cs="Times New Roman"/>
                <w:color w:val="000000"/>
                <w:sz w:val="24"/>
                <w:szCs w:val="24"/>
                <w:u w:val="single"/>
                <w:lang w:val="en-US" w:eastAsia="zh-CN"/>
              </w:rPr>
              <w:t>结合走访的本地居民及</w:t>
            </w:r>
            <w:r>
              <w:rPr>
                <w:rFonts w:hint="eastAsia" w:cs="Times New Roman"/>
                <w:color w:val="000000"/>
                <w:sz w:val="24"/>
                <w:szCs w:val="24"/>
                <w:u w:val="single"/>
                <w:lang w:val="en-US" w:eastAsia="zh-CN"/>
              </w:rPr>
              <w:t>收集</w:t>
            </w:r>
            <w:r>
              <w:rPr>
                <w:rFonts w:hint="default" w:ascii="Times New Roman" w:hAnsi="Times New Roman" w:cs="Times New Roman"/>
                <w:color w:val="000000"/>
                <w:sz w:val="24"/>
                <w:szCs w:val="24"/>
                <w:u w:val="single"/>
                <w:lang w:val="en-US" w:eastAsia="zh-CN"/>
              </w:rPr>
              <w:t>的有关资料，评价区常见的野生动物主要为中华竹鼠</w:t>
            </w:r>
            <w:r>
              <w:rPr>
                <w:rFonts w:hint="eastAsia"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lang w:val="en-US" w:eastAsia="zh-CN"/>
              </w:rPr>
              <w:t>Rhizomys sinensis</w:t>
            </w:r>
            <w:r>
              <w:rPr>
                <w:rFonts w:hint="eastAsia"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lang w:val="en-US" w:eastAsia="zh-CN"/>
              </w:rPr>
              <w:t>、</w:t>
            </w:r>
            <w:r>
              <w:rPr>
                <w:rFonts w:hint="eastAsia" w:cs="Times New Roman"/>
                <w:color w:val="000000"/>
                <w:sz w:val="24"/>
                <w:szCs w:val="24"/>
                <w:u w:val="single"/>
                <w:lang w:val="en-US" w:eastAsia="zh-CN"/>
              </w:rPr>
              <w:t>黄鼠狼</w:t>
            </w:r>
            <w:r>
              <w:rPr>
                <w:rFonts w:hint="default" w:ascii="Times New Roman" w:hAnsi="Times New Roman" w:cs="Times New Roman"/>
                <w:color w:val="000000"/>
                <w:sz w:val="24"/>
                <w:szCs w:val="24"/>
                <w:u w:val="single"/>
                <w:lang w:val="en-US" w:eastAsia="zh-CN"/>
              </w:rPr>
              <w:t>、猪獾</w:t>
            </w:r>
            <w:r>
              <w:rPr>
                <w:rFonts w:hint="eastAsia" w:ascii="Times New Roman" w:hAnsi="Times New Roman" w:cs="Times New Roman"/>
                <w:color w:val="000000"/>
                <w:sz w:val="24"/>
                <w:szCs w:val="24"/>
                <w:u w:val="single"/>
                <w:lang w:val="en-US" w:eastAsia="zh-CN"/>
              </w:rPr>
              <w:t>（Arctonyxcollaris）</w:t>
            </w:r>
            <w:r>
              <w:rPr>
                <w:rFonts w:hint="default" w:ascii="Times New Roman" w:hAnsi="Times New Roman" w:cs="Times New Roman"/>
                <w:color w:val="000000"/>
                <w:sz w:val="24"/>
                <w:szCs w:val="24"/>
                <w:u w:val="single"/>
                <w:lang w:val="en-US" w:eastAsia="zh-CN"/>
              </w:rPr>
              <w:t>、华南兔</w:t>
            </w:r>
            <w:r>
              <w:rPr>
                <w:rFonts w:hint="eastAsia" w:ascii="Times New Roman" w:hAnsi="Times New Roman" w:cs="Times New Roman"/>
                <w:color w:val="000000"/>
                <w:sz w:val="24"/>
                <w:szCs w:val="24"/>
                <w:u w:val="single"/>
                <w:lang w:val="en-US" w:eastAsia="zh-CN"/>
              </w:rPr>
              <w:t>（Lepus sinensis）</w:t>
            </w:r>
            <w:r>
              <w:rPr>
                <w:rFonts w:hint="default" w:ascii="Times New Roman" w:hAnsi="Times New Roman" w:cs="Times New Roman"/>
                <w:color w:val="000000"/>
                <w:sz w:val="24"/>
                <w:szCs w:val="24"/>
                <w:u w:val="single"/>
                <w:lang w:val="en-US" w:eastAsia="zh-CN"/>
              </w:rPr>
              <w:t>等哺乳动物，中华蟾蜍、黑斑蛙、泽蛙等两栖类动物以及八哥、灰胸竹鸡、白鹇、山斑鸠、大杜鹃、普遍夜鹰、小翠鸟等鸟类，未发现地方保护野生动物。</w:t>
            </w:r>
          </w:p>
          <w:p>
            <w:pPr>
              <w:bidi w:val="0"/>
              <w:rPr>
                <w:rFonts w:hint="default"/>
                <w:b/>
                <w:bCs/>
                <w:u w:val="single"/>
                <w:lang w:val="en-US" w:eastAsia="zh-CN"/>
              </w:rPr>
            </w:pPr>
            <w:r>
              <w:rPr>
                <w:rFonts w:hint="eastAsia"/>
                <w:b/>
                <w:bCs/>
                <w:u w:val="single"/>
                <w:lang w:val="en-US" w:eastAsia="zh-CN"/>
              </w:rPr>
              <w:t>2.4水域</w:t>
            </w:r>
            <w:r>
              <w:rPr>
                <w:rFonts w:hint="default"/>
                <w:b/>
                <w:bCs/>
                <w:u w:val="single"/>
                <w:lang w:val="en-US" w:eastAsia="zh-CN"/>
              </w:rPr>
              <w:t>生物现状调查</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000000"/>
                <w:sz w:val="24"/>
                <w:szCs w:val="24"/>
                <w:u w:val="single"/>
                <w:lang w:val="en-US" w:eastAsia="zh-CN"/>
              </w:rPr>
            </w:pPr>
            <w:r>
              <w:rPr>
                <w:rFonts w:hint="eastAsia" w:ascii="Times New Roman" w:hAnsi="Times New Roman" w:cs="Times New Roman"/>
                <w:color w:val="000000"/>
                <w:sz w:val="24"/>
                <w:szCs w:val="24"/>
                <w:u w:val="single"/>
                <w:lang w:val="en-US" w:eastAsia="zh-CN"/>
              </w:rPr>
              <w:t>①调查内容</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000000"/>
                <w:sz w:val="24"/>
                <w:szCs w:val="24"/>
                <w:u w:val="single"/>
                <w:lang w:val="en-US" w:eastAsia="zh-CN"/>
              </w:rPr>
            </w:pPr>
            <w:r>
              <w:rPr>
                <w:rFonts w:hint="eastAsia" w:cs="Times New Roman"/>
                <w:color w:val="000000"/>
                <w:sz w:val="24"/>
                <w:szCs w:val="24"/>
                <w:u w:val="single"/>
                <w:lang w:val="en-US" w:eastAsia="zh-CN"/>
              </w:rPr>
              <w:t>本项目施工</w:t>
            </w:r>
            <w:r>
              <w:rPr>
                <w:rFonts w:hint="eastAsia" w:ascii="Times New Roman" w:hAnsi="Times New Roman" w:cs="Times New Roman"/>
                <w:color w:val="000000"/>
                <w:sz w:val="24"/>
                <w:szCs w:val="24"/>
                <w:u w:val="single"/>
                <w:lang w:val="en-US" w:eastAsia="zh-CN"/>
              </w:rPr>
              <w:t>对</w:t>
            </w:r>
            <w:r>
              <w:rPr>
                <w:rFonts w:hint="eastAsia" w:cs="Times New Roman"/>
                <w:color w:val="000000"/>
                <w:sz w:val="24"/>
                <w:szCs w:val="24"/>
                <w:u w:val="single"/>
                <w:lang w:val="en-US" w:eastAsia="zh-CN"/>
              </w:rPr>
              <w:t>水库</w:t>
            </w:r>
            <w:r>
              <w:rPr>
                <w:rFonts w:hint="eastAsia" w:ascii="Times New Roman" w:hAnsi="Times New Roman" w:cs="Times New Roman"/>
                <w:color w:val="000000"/>
                <w:sz w:val="24"/>
                <w:szCs w:val="24"/>
                <w:u w:val="single"/>
                <w:lang w:val="en-US" w:eastAsia="zh-CN"/>
              </w:rPr>
              <w:t xml:space="preserve">的影响具有局部性和暂时性的特点，此次调查的内容主要为鱼类资源、浮游生物、底栖动物的种类及生物量等项目。 </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000000"/>
                <w:sz w:val="24"/>
                <w:szCs w:val="24"/>
                <w:u w:val="single"/>
                <w:lang w:val="en-US" w:eastAsia="zh-CN"/>
              </w:rPr>
            </w:pPr>
            <w:r>
              <w:rPr>
                <w:rFonts w:hint="eastAsia" w:ascii="Times New Roman" w:hAnsi="Times New Roman" w:cs="Times New Roman"/>
                <w:color w:val="000000"/>
                <w:sz w:val="24"/>
                <w:szCs w:val="24"/>
                <w:u w:val="single"/>
                <w:lang w:val="en-US" w:eastAsia="zh-CN"/>
              </w:rPr>
              <w:t>鱼类及其它珍稀、特有和濒危水生生物资源：此部分为重点调查内容，主要包括：渔业资源区系组成、种群结构与资源量、珍稀、特有和濒危水生生物、鱼类等水生生物生态功能区（包括产卵场、索饵场、越冬场、洄游通道）和鱼类早期资源量等。浮游生物、底栖动物资源：浮游生物、底栖动物的种类组成、生物量等。</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sz w:val="24"/>
                <w:szCs w:val="24"/>
                <w:u w:val="single"/>
                <w:lang w:val="en-US" w:eastAsia="zh-CN"/>
              </w:rPr>
            </w:pPr>
            <w:r>
              <w:rPr>
                <w:rFonts w:hint="eastAsia" w:cs="Times New Roman"/>
                <w:color w:val="000000"/>
                <w:sz w:val="24"/>
                <w:szCs w:val="24"/>
                <w:u w:val="single"/>
                <w:lang w:val="en-US" w:eastAsia="zh-CN"/>
              </w:rPr>
              <w:t>②燎原水库</w:t>
            </w:r>
            <w:r>
              <w:rPr>
                <w:rFonts w:hint="default" w:ascii="Times New Roman" w:hAnsi="Times New Roman" w:cs="Times New Roman"/>
                <w:color w:val="000000"/>
                <w:sz w:val="24"/>
                <w:szCs w:val="24"/>
                <w:u w:val="single"/>
                <w:lang w:val="en-US" w:eastAsia="zh-CN"/>
              </w:rPr>
              <w:t>水生生物资源和水生态环境现状调查</w:t>
            </w:r>
          </w:p>
          <w:p>
            <w:pPr>
              <w:keepNext w:val="0"/>
              <w:keepLines w:val="0"/>
              <w:pageBreakBefore w:val="0"/>
              <w:widowControl w:val="0"/>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000000"/>
                <w:sz w:val="24"/>
                <w:szCs w:val="24"/>
                <w:u w:val="single"/>
                <w:lang w:val="en-US" w:eastAsia="zh-CN"/>
              </w:rPr>
            </w:pPr>
            <w:r>
              <w:rPr>
                <w:rFonts w:hint="eastAsia" w:ascii="Times New Roman" w:hAnsi="Times New Roman" w:cs="Times New Roman"/>
                <w:color w:val="000000"/>
                <w:sz w:val="24"/>
                <w:szCs w:val="24"/>
                <w:u w:val="single"/>
                <w:lang w:val="en-US" w:eastAsia="zh-CN"/>
              </w:rPr>
              <w:t>A.鱼类等水生生物区系、种群结构与资源现状与评价</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（1）种类组成及区系 </w:t>
            </w:r>
          </w:p>
          <w:p>
            <w:pPr>
              <w:bidi w:val="0"/>
              <w:rPr>
                <w:u w:val="single"/>
              </w:rPr>
            </w:pPr>
            <w:r>
              <w:rPr>
                <w:rFonts w:hint="eastAsia" w:ascii="宋体" w:hAnsi="宋体" w:eastAsia="宋体" w:cs="宋体"/>
                <w:color w:val="000000"/>
                <w:kern w:val="0"/>
                <w:sz w:val="24"/>
                <w:szCs w:val="24"/>
                <w:u w:val="single"/>
                <w:lang w:val="en-US" w:eastAsia="zh-CN" w:bidi="ar"/>
              </w:rPr>
              <w:t>根据历史调查资料</w:t>
            </w:r>
            <w:r>
              <w:rPr>
                <w:rFonts w:hint="eastAsia" w:ascii="宋体" w:hAnsi="宋体" w:cs="宋体"/>
                <w:color w:val="000000"/>
                <w:kern w:val="0"/>
                <w:sz w:val="24"/>
                <w:szCs w:val="24"/>
                <w:u w:val="single"/>
                <w:lang w:val="en-US" w:eastAsia="zh-CN" w:bidi="ar"/>
              </w:rPr>
              <w:t>，</w:t>
            </w:r>
            <w:r>
              <w:rPr>
                <w:rFonts w:hint="eastAsia" w:cs="Times New Roman"/>
                <w:color w:val="000000"/>
                <w:sz w:val="24"/>
                <w:szCs w:val="24"/>
                <w:u w:val="single"/>
                <w:lang w:val="en-US" w:eastAsia="zh-CN"/>
              </w:rPr>
              <w:t>燎原水库</w:t>
            </w:r>
            <w:r>
              <w:rPr>
                <w:rFonts w:hint="eastAsia" w:ascii="宋体" w:hAnsi="宋体" w:eastAsia="宋体" w:cs="宋体"/>
                <w:color w:val="000000"/>
                <w:kern w:val="0"/>
                <w:sz w:val="24"/>
                <w:szCs w:val="24"/>
                <w:u w:val="single"/>
                <w:lang w:val="en-US" w:eastAsia="zh-CN" w:bidi="ar"/>
              </w:rPr>
              <w:t>共有鱼类</w:t>
            </w:r>
            <w:r>
              <w:rPr>
                <w:rFonts w:hint="eastAsia"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目</w:t>
            </w:r>
            <w:r>
              <w:rPr>
                <w:rFonts w:hint="default" w:ascii="Times New Roman" w:hAnsi="Times New Roman" w:eastAsia="宋体" w:cs="Times New Roman"/>
                <w:color w:val="000000"/>
                <w:kern w:val="0"/>
                <w:sz w:val="24"/>
                <w:szCs w:val="24"/>
                <w:u w:val="single"/>
                <w:lang w:val="en-US" w:eastAsia="zh-CN" w:bidi="ar"/>
              </w:rPr>
              <w:t>1</w:t>
            </w:r>
            <w:r>
              <w:rPr>
                <w:rFonts w:hint="eastAsia"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科</w:t>
            </w:r>
            <w:r>
              <w:rPr>
                <w:rFonts w:hint="default" w:ascii="Times New Roman" w:hAnsi="Times New Roman" w:cs="Times New Roman"/>
                <w:color w:val="000000"/>
                <w:kern w:val="0"/>
                <w:sz w:val="24"/>
                <w:szCs w:val="24"/>
                <w:u w:val="single"/>
                <w:lang w:val="en-US" w:eastAsia="zh-CN" w:bidi="ar"/>
              </w:rPr>
              <w:t>30</w:t>
            </w:r>
            <w:r>
              <w:rPr>
                <w:rFonts w:hint="eastAsia" w:ascii="宋体" w:hAnsi="宋体" w:eastAsia="宋体" w:cs="宋体"/>
                <w:color w:val="000000"/>
                <w:kern w:val="0"/>
                <w:sz w:val="24"/>
                <w:szCs w:val="24"/>
                <w:u w:val="single"/>
                <w:lang w:val="en-US" w:eastAsia="zh-CN" w:bidi="ar"/>
              </w:rPr>
              <w:t>属</w:t>
            </w:r>
            <w:r>
              <w:rPr>
                <w:rFonts w:hint="eastAsia" w:cs="Times New Roman"/>
                <w:color w:val="000000"/>
                <w:kern w:val="0"/>
                <w:sz w:val="24"/>
                <w:szCs w:val="24"/>
                <w:u w:val="single"/>
                <w:lang w:val="en-US" w:eastAsia="zh-CN" w:bidi="ar"/>
              </w:rPr>
              <w:t>45</w:t>
            </w:r>
            <w:r>
              <w:rPr>
                <w:rFonts w:hint="eastAsia" w:ascii="宋体" w:hAnsi="宋体" w:eastAsia="宋体" w:cs="宋体"/>
                <w:color w:val="000000"/>
                <w:kern w:val="0"/>
                <w:sz w:val="24"/>
                <w:szCs w:val="24"/>
                <w:u w:val="single"/>
                <w:lang w:val="en-US" w:eastAsia="zh-CN" w:bidi="ar"/>
              </w:rPr>
              <w:t>种。调查水域鱼类以鲤科鱼类的江河平原类群为主，其次是南方平原类群及古第三纪类群。在鱼类区系组成上尽管呈现一定多样化，仍是以江河平原类群为主体的区系特征。</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）鱼类生态特点</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1</w:t>
            </w:r>
            <w:r>
              <w:rPr>
                <w:rFonts w:hint="eastAsia" w:ascii="宋体" w:hAnsi="宋体" w:eastAsia="宋体" w:cs="宋体"/>
                <w:color w:val="000000"/>
                <w:kern w:val="0"/>
                <w:sz w:val="24"/>
                <w:szCs w:val="24"/>
                <w:u w:val="single"/>
                <w:lang w:val="en-US" w:eastAsia="zh-CN" w:bidi="ar"/>
              </w:rPr>
              <w:t xml:space="preserve">）按食性分为：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①肉食性鱼类，如青鱼、鲌类、鲇、南方鲇、黄颡鱼、鰕虎鱼、鳜、乌鳢、沙塘鳢等。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②杂食性鱼类，如鲤、鲫、鲴类、花斑副沙鳅等。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③植食性鱼类，如草鱼、鲢等。 </w:t>
            </w:r>
          </w:p>
          <w:p>
            <w:pPr>
              <w:keepNext w:val="0"/>
              <w:keepLines w:val="0"/>
              <w:widowControl/>
              <w:suppressLineNumbers w:val="0"/>
              <w:jc w:val="left"/>
              <w:rPr>
                <w:u w:val="single"/>
              </w:rPr>
            </w:pPr>
            <w:r>
              <w:rPr>
                <w:rFonts w:hint="eastAsia" w:cs="Times New Roman"/>
                <w:color w:val="000000"/>
                <w:kern w:val="0"/>
                <w:sz w:val="24"/>
                <w:szCs w:val="24"/>
                <w:u w:val="single"/>
                <w:lang w:val="en-US" w:eastAsia="zh-CN" w:bidi="ar"/>
              </w:rPr>
              <w:t>2</w:t>
            </w:r>
            <w:r>
              <w:rPr>
                <w:rFonts w:hint="eastAsia" w:ascii="宋体" w:hAnsi="宋体" w:eastAsia="宋体" w:cs="宋体"/>
                <w:color w:val="000000"/>
                <w:kern w:val="0"/>
                <w:sz w:val="24"/>
                <w:szCs w:val="24"/>
                <w:u w:val="single"/>
                <w:lang w:val="en-US" w:eastAsia="zh-CN" w:bidi="ar"/>
              </w:rPr>
              <w:t xml:space="preserve">）按产卵类型分：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①产漂流性卵鱼类：如青鱼、草鱼、鲢、鳙、鳊等，产漂流性卵鱼类的繁殖，需要有明显的洪水过程，在江河中上游产卵，受精卵顺水漂流孵化，到湖泊中育肥。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②产浮性卵鱼类：卵膜无粘性，比重小于水，多具油球，漂浮于水面或水中孵 化，一般产于静水中，如乌鳢等。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③产黏性卵鱼类：如鲤亚科、鲌亚科、鲇形目鱼类，卵一经产出即分散在水草 茎、叶上发育。</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③产沉粘性卵鱼类：如棒花鱼、黄颡鱼、鳅科鱼类，将卵产在水底的岩石、石 砾或沙砾上发育。</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3</w:t>
            </w:r>
            <w:r>
              <w:rPr>
                <w:rFonts w:hint="eastAsia" w:ascii="宋体" w:hAnsi="宋体" w:eastAsia="宋体" w:cs="宋体"/>
                <w:color w:val="000000"/>
                <w:kern w:val="0"/>
                <w:sz w:val="24"/>
                <w:szCs w:val="24"/>
                <w:u w:val="single"/>
                <w:lang w:val="en-US" w:eastAsia="zh-CN" w:bidi="ar"/>
              </w:rPr>
              <w:t xml:space="preserve">）产粘草基质卵鱼类产卵场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调查区部分鱼类产粘草基质卵，繁殖期在</w:t>
            </w:r>
            <w:r>
              <w:rPr>
                <w:rFonts w:hint="default" w:ascii="Times New Roman" w:hAnsi="Times New Roman" w:eastAsia="宋体" w:cs="Times New Roman"/>
                <w:color w:val="000000"/>
                <w:kern w:val="0"/>
                <w:sz w:val="24"/>
                <w:szCs w:val="24"/>
                <w:u w:val="single"/>
                <w:lang w:val="en-US" w:eastAsia="zh-CN" w:bidi="ar"/>
              </w:rPr>
              <w:t>3</w:t>
            </w: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月份，主要有鲤、鲫等。这些鱼类繁殖需要砾石、沙石底质和水草环境，鱼类产卵后，受精卵或入砾石缝中，或粘附沙砾上，或埋藏于沙砾中，或粘附于水生高等植物体上，在河水良好的溶氧环境中顺利孵化。评价区河流岸边以砂石为主，水生维管束植物并不丰富。该类型产卵场在评价区水生维管束植物丰富的区域广泛零散分布，没有成规模分布的区域。</w:t>
            </w:r>
          </w:p>
          <w:p>
            <w:pPr>
              <w:keepNext w:val="0"/>
              <w:keepLines w:val="0"/>
              <w:widowControl/>
              <w:suppressLineNumbers w:val="0"/>
              <w:jc w:val="left"/>
              <w:rPr>
                <w:u w:val="single"/>
              </w:rPr>
            </w:pP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 xml:space="preserve">）索饵场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 xml:space="preserve">鳜属、鳢属、鲌属、鲇科、鲿科鱼类等以鱼类为食鱼类的索饵场，随其生活习性及摄食鱼群的分布而分布。鲤、鲫等杂食性鱼类索饵场的环境基本特征是水生植 物丰富，缓流或静水，水深 </w:t>
            </w:r>
            <w:r>
              <w:rPr>
                <w:rFonts w:hint="default" w:ascii="Times New Roman" w:hAnsi="Times New Roman" w:eastAsia="宋体" w:cs="Times New Roman"/>
                <w:color w:val="000000"/>
                <w:kern w:val="0"/>
                <w:sz w:val="24"/>
                <w:szCs w:val="24"/>
                <w:u w:val="single"/>
                <w:lang w:val="en-US" w:eastAsia="zh-CN" w:bidi="ar"/>
              </w:rPr>
              <w:t>0~0.5cm</w:t>
            </w:r>
            <w:r>
              <w:rPr>
                <w:rFonts w:hint="eastAsia" w:ascii="宋体" w:hAnsi="宋体" w:eastAsia="宋体" w:cs="宋体"/>
                <w:color w:val="000000"/>
                <w:kern w:val="0"/>
                <w:sz w:val="24"/>
                <w:szCs w:val="24"/>
                <w:u w:val="single"/>
                <w:lang w:val="en-US" w:eastAsia="zh-CN" w:bidi="ar"/>
              </w:rPr>
              <w:t xml:space="preserve">，其间有砾石、礁石，这些区域易 于躲避敌害，同时，这些地方小型饵料丰富，敌害生物少，有利于幼鱼的存活。 </w:t>
            </w:r>
          </w:p>
          <w:p>
            <w:pPr>
              <w:keepNext w:val="0"/>
              <w:keepLines w:val="0"/>
              <w:widowControl/>
              <w:suppressLineNumbers w:val="0"/>
              <w:jc w:val="left"/>
              <w:rPr>
                <w:u w:val="single"/>
              </w:rPr>
            </w:pPr>
            <w:r>
              <w:rPr>
                <w:rFonts w:hint="eastAsia" w:ascii="宋体" w:hAnsi="宋体" w:eastAsia="宋体" w:cs="宋体"/>
                <w:color w:val="000000"/>
                <w:kern w:val="0"/>
                <w:sz w:val="24"/>
                <w:szCs w:val="24"/>
                <w:u w:val="single"/>
                <w:lang w:val="en-US" w:eastAsia="zh-CN" w:bidi="ar"/>
              </w:rPr>
              <w:t>（</w:t>
            </w:r>
            <w:r>
              <w:rPr>
                <w:rFonts w:hint="default" w:ascii="Times New Roman" w:hAnsi="Times New Roman" w:eastAsia="宋体" w:cs="Times New Roman"/>
                <w:color w:val="000000"/>
                <w:kern w:val="0"/>
                <w:sz w:val="24"/>
                <w:szCs w:val="24"/>
                <w:u w:val="single"/>
                <w:lang w:val="en-US" w:eastAsia="zh-CN" w:bidi="ar"/>
              </w:rPr>
              <w:t>4</w:t>
            </w:r>
            <w:r>
              <w:rPr>
                <w:rFonts w:hint="eastAsia" w:ascii="宋体" w:hAnsi="宋体" w:eastAsia="宋体" w:cs="宋体"/>
                <w:color w:val="000000"/>
                <w:kern w:val="0"/>
                <w:sz w:val="24"/>
                <w:szCs w:val="24"/>
                <w:u w:val="single"/>
                <w:lang w:val="en-US" w:eastAsia="zh-CN" w:bidi="ar"/>
              </w:rPr>
              <w:t>）珍稀濒危及重要经济鱼类</w:t>
            </w:r>
          </w:p>
          <w:p>
            <w:pPr>
              <w:keepNext w:val="0"/>
              <w:keepLines w:val="0"/>
              <w:widowControl/>
              <w:suppressLineNumbers w:val="0"/>
              <w:jc w:val="left"/>
              <w:rPr>
                <w:rFonts w:hint="eastAsia" w:ascii="宋体" w:hAnsi="宋体" w:eastAsia="宋体" w:cs="宋体"/>
                <w:color w:val="000000"/>
                <w:kern w:val="0"/>
                <w:sz w:val="24"/>
                <w:szCs w:val="24"/>
                <w:u w:val="single"/>
                <w:lang w:val="en-US" w:eastAsia="zh-CN" w:bidi="ar"/>
              </w:rPr>
            </w:pPr>
            <w:r>
              <w:rPr>
                <w:rFonts w:hint="eastAsia" w:ascii="宋体" w:hAnsi="宋体" w:eastAsia="宋体" w:cs="宋体"/>
                <w:color w:val="000000"/>
                <w:kern w:val="0"/>
                <w:sz w:val="24"/>
                <w:szCs w:val="24"/>
                <w:u w:val="single"/>
                <w:lang w:val="en-US" w:eastAsia="zh-CN" w:bidi="ar"/>
              </w:rPr>
              <w:t>根据</w:t>
            </w:r>
            <w:r>
              <w:rPr>
                <w:rFonts w:hint="eastAsia" w:ascii="宋体" w:hAnsi="宋体" w:cs="宋体"/>
                <w:color w:val="000000"/>
                <w:kern w:val="0"/>
                <w:sz w:val="24"/>
                <w:szCs w:val="24"/>
                <w:u w:val="single"/>
                <w:lang w:val="en-US" w:eastAsia="zh-CN" w:bidi="ar"/>
              </w:rPr>
              <w:t>湘阴县</w:t>
            </w:r>
            <w:r>
              <w:rPr>
                <w:rFonts w:hint="eastAsia" w:ascii="宋体" w:hAnsi="宋体" w:eastAsia="宋体" w:cs="宋体"/>
                <w:color w:val="000000"/>
                <w:kern w:val="0"/>
                <w:sz w:val="24"/>
                <w:szCs w:val="24"/>
                <w:u w:val="single"/>
                <w:lang w:val="en-US" w:eastAsia="zh-CN" w:bidi="ar"/>
              </w:rPr>
              <w:t>畜牧水产局的历史资料及现场调查结果，</w:t>
            </w:r>
            <w:r>
              <w:rPr>
                <w:rFonts w:hint="eastAsia" w:cs="Times New Roman"/>
                <w:color w:val="000000"/>
                <w:sz w:val="24"/>
                <w:szCs w:val="24"/>
                <w:u w:val="single"/>
                <w:lang w:val="en-US" w:eastAsia="zh-CN"/>
              </w:rPr>
              <w:t>燎原</w:t>
            </w:r>
            <w:r>
              <w:rPr>
                <w:rFonts w:hint="eastAsia" w:ascii="宋体" w:hAnsi="宋体" w:eastAsia="宋体" w:cs="宋体"/>
                <w:color w:val="000000"/>
                <w:kern w:val="0"/>
                <w:sz w:val="24"/>
                <w:szCs w:val="24"/>
                <w:u w:val="single"/>
                <w:lang w:val="en-US" w:eastAsia="zh-CN" w:bidi="ar"/>
              </w:rPr>
              <w:t>水库没有国家重点保护鱼类、也没有被列入中国濒危动物红皮书的鱼类，也没有湖南省地方重点保护的鱼类。</w:t>
            </w:r>
          </w:p>
          <w:p>
            <w:pPr>
              <w:bidi w:val="0"/>
              <w:rPr>
                <w:b/>
                <w:bCs/>
              </w:rPr>
            </w:pPr>
            <w:r>
              <w:rPr>
                <w:rFonts w:hint="eastAsia"/>
                <w:b/>
                <w:bCs/>
                <w:lang w:val="en-US" w:eastAsia="zh-CN"/>
              </w:rPr>
              <w:t>2.5水土流失现状</w:t>
            </w:r>
          </w:p>
          <w:p>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w:t>
            </w:r>
            <w:r>
              <w:rPr>
                <w:rFonts w:ascii="Times New Roman" w:hAnsi="Times New Roman" w:eastAsia="Times New Roman" w:cs="Times New Roman"/>
                <w:spacing w:val="-8"/>
                <w:sz w:val="24"/>
                <w:szCs w:val="24"/>
              </w:rPr>
              <w:t>2015</w:t>
            </w:r>
            <w:r>
              <w:rPr>
                <w:rFonts w:ascii="宋体" w:hAnsi="宋体" w:eastAsia="宋体" w:cs="宋体"/>
                <w:spacing w:val="-8"/>
                <w:sz w:val="24"/>
                <w:szCs w:val="24"/>
              </w:rPr>
              <w:t>年</w:t>
            </w:r>
            <w:r>
              <w:rPr>
                <w:rFonts w:ascii="Times New Roman" w:hAnsi="Times New Roman" w:eastAsia="Times New Roman" w:cs="Times New Roman"/>
                <w:spacing w:val="-8"/>
                <w:sz w:val="24"/>
                <w:szCs w:val="24"/>
              </w:rPr>
              <w:t>12</w:t>
            </w:r>
            <w:r>
              <w:rPr>
                <w:rFonts w:ascii="宋体" w:hAnsi="宋体" w:eastAsia="宋体" w:cs="宋体"/>
                <w:spacing w:val="-8"/>
                <w:sz w:val="24"/>
                <w:szCs w:val="24"/>
              </w:rPr>
              <w:t>月</w:t>
            </w:r>
            <w:r>
              <w:rPr>
                <w:rFonts w:ascii="Times New Roman" w:hAnsi="Times New Roman" w:eastAsia="Times New Roman" w:cs="Times New Roman"/>
                <w:spacing w:val="-8"/>
                <w:sz w:val="24"/>
                <w:szCs w:val="24"/>
              </w:rPr>
              <w:t>31</w:t>
            </w:r>
            <w:r>
              <w:rPr>
                <w:rFonts w:ascii="宋体" w:hAnsi="宋体" w:eastAsia="宋体" w:cs="宋体"/>
                <w:spacing w:val="-8"/>
                <w:sz w:val="24"/>
                <w:szCs w:val="24"/>
              </w:rPr>
              <w:t>日</w:t>
            </w:r>
            <w:r>
              <w:rPr>
                <w:rFonts w:hint="default" w:ascii="Times New Roman" w:hAnsi="Times New Roman" w:eastAsia="宋体" w:cs="Times New Roman"/>
                <w:color w:val="000000"/>
                <w:kern w:val="0"/>
                <w:sz w:val="24"/>
                <w:szCs w:val="24"/>
                <w:lang w:val="en-US" w:eastAsia="zh-CN" w:bidi="ar"/>
              </w:rPr>
              <w:t>《湖南省第三次土壤侵蚀遥感监测报告》资料，</w:t>
            </w:r>
            <w:r>
              <w:rPr>
                <w:rFonts w:hint="eastAsia" w:cs="Times New Roman"/>
                <w:color w:val="000000"/>
                <w:kern w:val="0"/>
                <w:sz w:val="24"/>
                <w:szCs w:val="24"/>
                <w:lang w:val="en-US" w:eastAsia="zh-CN" w:bidi="ar"/>
              </w:rPr>
              <w:t>湘阴县</w:t>
            </w:r>
            <w:r>
              <w:rPr>
                <w:rFonts w:hint="default" w:ascii="Times New Roman" w:hAnsi="Times New Roman" w:eastAsia="宋体" w:cs="Times New Roman"/>
                <w:color w:val="000000"/>
                <w:kern w:val="0"/>
                <w:sz w:val="24"/>
                <w:szCs w:val="24"/>
                <w:lang w:val="en-US" w:eastAsia="zh-CN" w:bidi="ar"/>
              </w:rPr>
              <w:t>水土流失面积429.00k</w:t>
            </w:r>
            <w:r>
              <w:rPr>
                <w:rFonts w:hint="eastAsia" w:cs="Times New Roman"/>
                <w:color w:val="000000"/>
                <w:kern w:val="0"/>
                <w:sz w:val="24"/>
                <w:szCs w:val="24"/>
                <w:lang w:val="en-US" w:eastAsia="zh-CN" w:bidi="ar"/>
              </w:rPr>
              <w:t>m</w:t>
            </w:r>
            <w:r>
              <w:rPr>
                <w:rFonts w:hint="eastAsia"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w:t>
            </w:r>
          </w:p>
          <w:p>
            <w:pPr>
              <w:spacing w:line="360" w:lineRule="auto"/>
              <w:ind w:left="38" w:right="198" w:firstLine="479"/>
              <w:rPr>
                <w:rFonts w:ascii="宋体" w:hAnsi="宋体" w:eastAsia="宋体" w:cs="宋体"/>
                <w:sz w:val="24"/>
                <w:szCs w:val="24"/>
              </w:rPr>
            </w:pPr>
            <w:r>
              <w:rPr>
                <w:rFonts w:ascii="宋体" w:hAnsi="宋体" w:eastAsia="宋体" w:cs="宋体"/>
                <w:spacing w:val="-8"/>
                <w:sz w:val="24"/>
                <w:szCs w:val="24"/>
              </w:rPr>
              <w:t>湘阴县水土流失面</w:t>
            </w:r>
            <w:r>
              <w:rPr>
                <w:rFonts w:ascii="宋体" w:hAnsi="宋体" w:eastAsia="宋体" w:cs="宋体"/>
                <w:spacing w:val="-6"/>
                <w:sz w:val="24"/>
                <w:szCs w:val="24"/>
              </w:rPr>
              <w:t>积</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
                <w:sz w:val="24"/>
                <w:szCs w:val="24"/>
              </w:rPr>
              <w:t>0.50km²</w:t>
            </w:r>
            <w:r>
              <w:rPr>
                <w:rFonts w:ascii="宋体" w:hAnsi="宋体" w:eastAsia="宋体" w:cs="宋体"/>
                <w:spacing w:val="-3"/>
                <w:sz w:val="24"/>
                <w:szCs w:val="24"/>
              </w:rPr>
              <w:t>，占全县国土总面积的</w:t>
            </w:r>
            <w:r>
              <w:rPr>
                <w:rFonts w:ascii="Times New Roman" w:hAnsi="Times New Roman" w:eastAsia="Times New Roman" w:cs="Times New Roman"/>
                <w:spacing w:val="-3"/>
                <w:sz w:val="24"/>
                <w:szCs w:val="24"/>
              </w:rPr>
              <w:t>3.3%</w:t>
            </w:r>
            <w:r>
              <w:rPr>
                <w:rFonts w:ascii="宋体" w:hAnsi="宋体" w:eastAsia="宋体" w:cs="宋体"/>
                <w:spacing w:val="-3"/>
                <w:sz w:val="24"/>
                <w:szCs w:val="24"/>
              </w:rPr>
              <w:t>。其中，轻度侵蚀面积</w:t>
            </w:r>
            <w:r>
              <w:rPr>
                <w:rFonts w:ascii="Times New Roman" w:hAnsi="Times New Roman" w:eastAsia="Times New Roman" w:cs="Times New Roman"/>
                <w:spacing w:val="-3"/>
                <w:sz w:val="24"/>
                <w:szCs w:val="24"/>
              </w:rPr>
              <w:t>49.6km²</w:t>
            </w:r>
            <w:r>
              <w:rPr>
                <w:rFonts w:ascii="宋体" w:hAnsi="宋体" w:eastAsia="宋体" w:cs="宋体"/>
                <w:spacing w:val="-3"/>
                <w:sz w:val="24"/>
                <w:szCs w:val="24"/>
              </w:rPr>
              <w:t>，占水土流失面积的</w:t>
            </w:r>
            <w:r>
              <w:rPr>
                <w:rFonts w:ascii="Times New Roman" w:hAnsi="Times New Roman" w:eastAsia="Times New Roman" w:cs="Times New Roman"/>
                <w:spacing w:val="-3"/>
                <w:sz w:val="24"/>
                <w:szCs w:val="24"/>
              </w:rPr>
              <w:t>98.22%</w:t>
            </w:r>
            <w:r>
              <w:rPr>
                <w:rFonts w:ascii="宋体" w:hAnsi="宋体" w:eastAsia="宋体" w:cs="宋体"/>
                <w:spacing w:val="-3"/>
                <w:sz w:val="24"/>
                <w:szCs w:val="24"/>
              </w:rPr>
              <w:t>；中度侵蚀面积</w:t>
            </w:r>
            <w:r>
              <w:rPr>
                <w:rFonts w:ascii="Times New Roman" w:hAnsi="Times New Roman" w:eastAsia="Times New Roman" w:cs="Times New Roman"/>
                <w:spacing w:val="-3"/>
                <w:sz w:val="24"/>
                <w:szCs w:val="24"/>
              </w:rPr>
              <w:t>0.90</w:t>
            </w:r>
            <w:r>
              <w:rPr>
                <w:rFonts w:ascii="Times New Roman" w:hAnsi="Times New Roman" w:eastAsia="Times New Roman" w:cs="Times New Roman"/>
                <w:spacing w:val="-1"/>
                <w:sz w:val="24"/>
                <w:szCs w:val="24"/>
              </w:rPr>
              <w:t>k</w:t>
            </w:r>
            <w:r>
              <w:rPr>
                <w:rFonts w:ascii="Times New Roman" w:hAnsi="Times New Roman" w:eastAsia="Times New Roman" w:cs="Times New Roman"/>
                <w:sz w:val="24"/>
                <w:szCs w:val="24"/>
              </w:rPr>
              <w:t>m</w:t>
            </w:r>
            <w:r>
              <w:rPr>
                <w:rFonts w:ascii="Times New Roman" w:hAnsi="Times New Roman" w:eastAsia="Times New Roman" w:cs="Times New Roman"/>
                <w:spacing w:val="-3"/>
                <w:sz w:val="24"/>
                <w:szCs w:val="24"/>
              </w:rPr>
              <w:t>²</w:t>
            </w:r>
            <w:r>
              <w:rPr>
                <w:rFonts w:ascii="宋体" w:hAnsi="宋体" w:eastAsia="宋体" w:cs="宋体"/>
                <w:spacing w:val="-3"/>
                <w:sz w:val="24"/>
                <w:szCs w:val="24"/>
              </w:rPr>
              <w:t>，占水土流失面积的</w:t>
            </w:r>
            <w:r>
              <w:rPr>
                <w:rFonts w:ascii="Times New Roman" w:hAnsi="Times New Roman" w:eastAsia="Times New Roman" w:cs="Times New Roman"/>
                <w:spacing w:val="-3"/>
                <w:sz w:val="24"/>
                <w:szCs w:val="24"/>
              </w:rPr>
              <w:t>1.78%</w:t>
            </w:r>
            <w:r>
              <w:rPr>
                <w:rFonts w:ascii="宋体" w:hAnsi="宋体" w:eastAsia="宋体" w:cs="宋体"/>
                <w:spacing w:val="-3"/>
                <w:sz w:val="24"/>
                <w:szCs w:val="24"/>
              </w:rPr>
              <w:t>。项目建设区内的水土保持现状</w:t>
            </w:r>
            <w:r>
              <w:rPr>
                <w:rFonts w:ascii="宋体" w:hAnsi="宋体" w:eastAsia="宋体" w:cs="宋体"/>
                <w:spacing w:val="-6"/>
                <w:sz w:val="24"/>
                <w:szCs w:val="24"/>
              </w:rPr>
              <w:t>较好</w:t>
            </w:r>
            <w:r>
              <w:rPr>
                <w:rFonts w:ascii="宋体" w:hAnsi="宋体" w:eastAsia="宋体" w:cs="宋体"/>
                <w:spacing w:val="-5"/>
                <w:sz w:val="24"/>
                <w:szCs w:val="24"/>
              </w:rPr>
              <w:t>，</w:t>
            </w:r>
            <w:r>
              <w:rPr>
                <w:rFonts w:ascii="宋体" w:hAnsi="宋体" w:eastAsia="宋体" w:cs="宋体"/>
                <w:spacing w:val="-3"/>
                <w:sz w:val="24"/>
                <w:szCs w:val="24"/>
              </w:rPr>
              <w:t>基本无水土流失。</w:t>
            </w:r>
          </w:p>
          <w:p>
            <w:pPr>
              <w:keepNext w:val="0"/>
              <w:keepLines w:val="0"/>
              <w:widowControl/>
              <w:suppressLineNumbers w:val="0"/>
              <w:jc w:val="left"/>
              <w:rPr>
                <w:rFonts w:ascii="宋体" w:hAnsi="宋体" w:eastAsia="宋体" w:cs="宋体"/>
                <w:spacing w:val="-1"/>
                <w:sz w:val="24"/>
                <w:szCs w:val="24"/>
              </w:rPr>
            </w:pPr>
            <w:r>
              <w:rPr>
                <w:rFonts w:ascii="宋体" w:hAnsi="宋体" w:eastAsia="宋体" w:cs="宋体"/>
                <w:spacing w:val="7"/>
                <w:sz w:val="24"/>
                <w:szCs w:val="24"/>
              </w:rPr>
              <w:t>根据国务院关于全国水土保持规划(</w:t>
            </w:r>
            <w:r>
              <w:rPr>
                <w:rFonts w:ascii="Times New Roman" w:hAnsi="Times New Roman" w:eastAsia="Times New Roman" w:cs="Times New Roman"/>
                <w:spacing w:val="7"/>
                <w:sz w:val="24"/>
                <w:szCs w:val="24"/>
              </w:rPr>
              <w:t>2015—2030</w:t>
            </w:r>
            <w:r>
              <w:rPr>
                <w:rFonts w:ascii="宋体" w:hAnsi="宋体" w:eastAsia="宋体" w:cs="宋体"/>
                <w:spacing w:val="7"/>
                <w:sz w:val="24"/>
                <w:szCs w:val="24"/>
              </w:rPr>
              <w:t>年)的批复(国函〔</w:t>
            </w:r>
            <w:r>
              <w:rPr>
                <w:rFonts w:ascii="Times New Roman" w:hAnsi="Times New Roman" w:eastAsia="Times New Roman" w:cs="Times New Roman"/>
                <w:spacing w:val="7"/>
                <w:sz w:val="24"/>
                <w:szCs w:val="24"/>
              </w:rPr>
              <w:t>2015</w:t>
            </w:r>
            <w:r>
              <w:rPr>
                <w:rFonts w:ascii="宋体" w:hAnsi="宋体" w:eastAsia="宋体" w:cs="宋体"/>
                <w:spacing w:val="7"/>
                <w:sz w:val="24"/>
                <w:szCs w:val="24"/>
              </w:rPr>
              <w:t>〕</w:t>
            </w:r>
            <w:r>
              <w:rPr>
                <w:rFonts w:ascii="Times New Roman" w:hAnsi="Times New Roman" w:eastAsia="Times New Roman" w:cs="Times New Roman"/>
                <w:spacing w:val="7"/>
                <w:sz w:val="24"/>
                <w:szCs w:val="24"/>
              </w:rPr>
              <w:t>160</w:t>
            </w:r>
            <w:r>
              <w:rPr>
                <w:rFonts w:ascii="宋体" w:hAnsi="宋体" w:eastAsia="宋体" w:cs="宋体"/>
                <w:spacing w:val="7"/>
                <w:sz w:val="24"/>
                <w:szCs w:val="24"/>
              </w:rPr>
              <w:t>号)</w:t>
            </w:r>
            <w:r>
              <w:rPr>
                <w:rFonts w:ascii="宋体" w:hAnsi="宋体" w:eastAsia="宋体" w:cs="宋体"/>
                <w:spacing w:val="5"/>
                <w:sz w:val="24"/>
                <w:szCs w:val="24"/>
              </w:rPr>
              <w:t>，</w:t>
            </w:r>
            <w:r>
              <w:rPr>
                <w:rFonts w:ascii="宋体" w:hAnsi="宋体" w:eastAsia="宋体" w:cs="宋体"/>
                <w:spacing w:val="1"/>
                <w:sz w:val="24"/>
                <w:szCs w:val="24"/>
              </w:rPr>
              <w:t>项目区不在国家级水土流失重点预防区和重点治理</w:t>
            </w:r>
            <w:r>
              <w:rPr>
                <w:rFonts w:ascii="宋体" w:hAnsi="宋体" w:eastAsia="宋体" w:cs="宋体"/>
                <w:sz w:val="24"/>
                <w:szCs w:val="24"/>
              </w:rPr>
              <w:t>区。根据《湖南省水利厅关于湖南省水土</w:t>
            </w:r>
            <w:r>
              <w:rPr>
                <w:rFonts w:ascii="宋体" w:hAnsi="宋体" w:eastAsia="宋体" w:cs="宋体"/>
                <w:spacing w:val="-8"/>
                <w:sz w:val="24"/>
                <w:szCs w:val="24"/>
              </w:rPr>
              <w:t>流失重点预</w:t>
            </w:r>
            <w:r>
              <w:rPr>
                <w:rFonts w:ascii="宋体" w:hAnsi="宋体" w:eastAsia="宋体" w:cs="宋体"/>
                <w:spacing w:val="-6"/>
                <w:sz w:val="24"/>
                <w:szCs w:val="24"/>
              </w:rPr>
              <w:t>防</w:t>
            </w:r>
            <w:r>
              <w:rPr>
                <w:rFonts w:ascii="宋体" w:hAnsi="宋体" w:eastAsia="宋体" w:cs="宋体"/>
                <w:spacing w:val="-4"/>
                <w:sz w:val="24"/>
                <w:szCs w:val="24"/>
              </w:rPr>
              <w:t>区和重点治理区划定公告》(湖南省水利厅，</w:t>
            </w:r>
            <w:r>
              <w:rPr>
                <w:rFonts w:ascii="Times New Roman" w:hAnsi="Times New Roman" w:eastAsia="Times New Roman" w:cs="Times New Roman"/>
                <w:spacing w:val="-4"/>
                <w:sz w:val="24"/>
                <w:szCs w:val="24"/>
              </w:rPr>
              <w:t>2017</w:t>
            </w:r>
            <w:r>
              <w:rPr>
                <w:rFonts w:ascii="宋体" w:hAnsi="宋体" w:eastAsia="宋体" w:cs="宋体"/>
                <w:spacing w:val="-4"/>
                <w:sz w:val="24"/>
                <w:szCs w:val="24"/>
              </w:rPr>
              <w:t>年</w:t>
            </w:r>
            <w:r>
              <w:rPr>
                <w:rFonts w:ascii="Times New Roman" w:hAnsi="Times New Roman" w:eastAsia="Times New Roman" w:cs="Times New Roman"/>
                <w:spacing w:val="-4"/>
                <w:sz w:val="24"/>
                <w:szCs w:val="24"/>
              </w:rPr>
              <w:t>1</w:t>
            </w:r>
            <w:r>
              <w:rPr>
                <w:rFonts w:ascii="宋体" w:hAnsi="宋体" w:eastAsia="宋体" w:cs="宋体"/>
                <w:spacing w:val="-4"/>
                <w:sz w:val="24"/>
                <w:szCs w:val="24"/>
              </w:rPr>
              <w:t>月)，项目区不在省级水</w:t>
            </w:r>
            <w:r>
              <w:rPr>
                <w:rFonts w:ascii="宋体" w:hAnsi="宋体" w:eastAsia="宋体" w:cs="宋体"/>
                <w:spacing w:val="2"/>
                <w:sz w:val="24"/>
                <w:szCs w:val="24"/>
              </w:rPr>
              <w:t>土流失重点预防区和重点治理区。根据《湘阴县水土保持规划》(</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1"/>
                <w:sz w:val="24"/>
                <w:szCs w:val="24"/>
              </w:rPr>
              <w:t>0~2030</w:t>
            </w:r>
            <w:r>
              <w:rPr>
                <w:rFonts w:ascii="宋体" w:hAnsi="宋体" w:eastAsia="宋体" w:cs="宋体"/>
                <w:spacing w:val="1"/>
                <w:sz w:val="24"/>
                <w:szCs w:val="24"/>
              </w:rPr>
              <w:t>年)，项目区属</w:t>
            </w:r>
            <w:r>
              <w:rPr>
                <w:rFonts w:ascii="宋体" w:hAnsi="宋体" w:eastAsia="宋体" w:cs="宋体"/>
                <w:spacing w:val="31"/>
                <w:sz w:val="24"/>
                <w:szCs w:val="24"/>
              </w:rPr>
              <w:t>于</w:t>
            </w:r>
            <w:r>
              <w:rPr>
                <w:rFonts w:ascii="宋体" w:hAnsi="宋体" w:eastAsia="宋体" w:cs="宋体"/>
                <w:spacing w:val="27"/>
                <w:sz w:val="24"/>
                <w:szCs w:val="24"/>
              </w:rPr>
              <w:t>洋沙湖流域县级水土流失重点治理区。根据《生产建设项目水土流失防治标准》</w:t>
            </w:r>
            <w:r>
              <w:rPr>
                <w:rFonts w:ascii="宋体" w:hAnsi="宋体" w:eastAsia="宋体" w:cs="宋体"/>
                <w:sz w:val="24"/>
                <w:szCs w:val="24"/>
              </w:rPr>
              <w:tab/>
            </w:r>
            <w:r>
              <w:rPr>
                <w:rFonts w:ascii="宋体" w:hAnsi="宋体" w:eastAsia="宋体" w:cs="宋体"/>
                <w:spacing w:val="-2"/>
                <w:sz w:val="24"/>
                <w:szCs w:val="24"/>
              </w:rPr>
              <w:t>(</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2"/>
                <w:sz w:val="24"/>
                <w:szCs w:val="24"/>
              </w:rPr>
              <w:t>50434-2018</w:t>
            </w:r>
            <w:r>
              <w:rPr>
                <w:rFonts w:ascii="宋体" w:hAnsi="宋体" w:eastAsia="宋体" w:cs="宋体"/>
                <w:spacing w:val="-2"/>
                <w:sz w:val="24"/>
                <w:szCs w:val="24"/>
              </w:rPr>
              <w:t>)</w:t>
            </w:r>
            <w:r>
              <w:rPr>
                <w:rFonts w:ascii="宋体" w:hAnsi="宋体" w:eastAsia="宋体" w:cs="宋体"/>
                <w:spacing w:val="-1"/>
                <w:sz w:val="24"/>
                <w:szCs w:val="24"/>
              </w:rPr>
              <w:t>，水土流失防治标准执行南方红壤区一级标准。</w:t>
            </w:r>
          </w:p>
          <w:p>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项目区为了防止坡面径流对耕地的冲刷，采取了坡耕地治理，包括石埂梯土、封禁治理、蓄水池、沉沙池、沟渠、作业便道等。通过水土保持措施的实施，大大减轻了水土流失危害。使之达到“小雨能蓄，大雨能排”、“泥不下山，水不乱流”的水土保持格局，取得了明显的生态、经济和社会效益。</w:t>
            </w:r>
          </w:p>
          <w:p>
            <w:pPr>
              <w:adjustRightInd w:val="0"/>
              <w:snapToGrid w:val="0"/>
              <w:ind w:left="0" w:leftChars="0" w:firstLine="0" w:firstLineChars="0"/>
              <w:jc w:val="both"/>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492" w:type="dxa"/>
            <w:noWrap w:val="0"/>
            <w:vAlign w:val="center"/>
          </w:tcPr>
          <w:p>
            <w:pPr>
              <w:adjustRightInd w:val="0"/>
              <w:snapToGrid w:val="0"/>
              <w:ind w:left="0" w:leftChars="0" w:firstLine="0" w:firstLineChars="0"/>
              <w:jc w:val="both"/>
              <w:rPr>
                <w:rFonts w:ascii="宋体" w:hAnsi="宋体" w:cs="宋体"/>
                <w:kern w:val="0"/>
                <w:szCs w:val="21"/>
              </w:rPr>
            </w:pPr>
            <w:r>
              <w:rPr>
                <w:rFonts w:hint="eastAsia" w:ascii="宋体" w:hAnsi="宋体"/>
                <w:bCs/>
                <w:szCs w:val="21"/>
              </w:rPr>
              <w:t>与项目有关的原有环境污染和生态破坏问题</w:t>
            </w:r>
          </w:p>
        </w:tc>
        <w:tc>
          <w:tcPr>
            <w:tcW w:w="8665" w:type="dxa"/>
            <w:noWrap w:val="0"/>
            <w:vAlign w:val="center"/>
          </w:tcPr>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default"/>
              </w:rPr>
              <w:t>燎原水库是一座以灌溉、防洪为主，兼有旅游等综合效益的中型水库，灌溉金龙镇、樟树镇、静河镇、文星街道4镇街共19个村3.1万亩农田</w:t>
            </w:r>
            <w:r>
              <w:rPr>
                <w:rFonts w:hint="eastAsia"/>
                <w:lang w:eastAsia="zh-CN"/>
              </w:rPr>
              <w:t>。</w:t>
            </w:r>
            <w:r>
              <w:t>燎原水库始建于1966年，当时为小(一)型水库，1976年扩建，1985年竣工为中型水库</w:t>
            </w:r>
            <w:r>
              <w:rPr>
                <w:rFonts w:hint="eastAsia"/>
                <w:lang w:eastAsia="zh-CN"/>
              </w:rPr>
              <w:t>，</w:t>
            </w:r>
            <w:r>
              <w:rPr>
                <w:rFonts w:hint="eastAsia"/>
                <w:lang w:val="en-US" w:eastAsia="zh-CN"/>
              </w:rPr>
              <w:t>燎原水库建设早于《中华人民共和国环境保护法》的实施时间，一直未进行环境影响评价，未履行竣工环保验收手续。</w:t>
            </w:r>
          </w:p>
          <w:p>
            <w:pPr>
              <w:bidi w:val="0"/>
            </w:pPr>
            <w:r>
              <w:rPr>
                <w:rFonts w:hint="eastAsia"/>
                <w:lang w:val="en-US" w:eastAsia="zh-CN"/>
              </w:rPr>
              <w:t>1、工程现状</w:t>
            </w:r>
          </w:p>
          <w:p>
            <w:pPr>
              <w:bidi w:val="0"/>
              <w:rPr>
                <w:rFonts w:hint="default"/>
              </w:rPr>
            </w:pPr>
            <w:r>
              <w:rPr>
                <w:rFonts w:hint="default"/>
              </w:rPr>
              <w:t>燎原水库是一座以灌溉、防洪为主，兼有旅游等综合效益的中型水库，灌溉金龙镇、樟树镇、静河镇、文星街道4镇街共19个村3.1万亩农田，保护下游人口3.8万人、5万亩耕地，保护区域内的厂矿企业14个，机关学校21个，医院金融机构4个，芙蓉北路（S102路）等。该工程属Ⅲ等工程，其主要建筑物级别为3级，次要建筑物为4级，设计洪水标准重现期为100年，校核洪水标准重现期为1000年，溢洪道消能防冲工程设计洪水标准重现期为30年。水库正常蓄水位78.83m，正常库容929万</w:t>
            </w:r>
            <w:r>
              <w:rPr>
                <w:rFonts w:hint="eastAsia"/>
                <w:lang w:eastAsia="zh-CN"/>
              </w:rPr>
              <w:t>m</w:t>
            </w:r>
            <w:r>
              <w:rPr>
                <w:rFonts w:hint="eastAsia"/>
                <w:vertAlign w:val="superscript"/>
                <w:lang w:eastAsia="zh-CN"/>
              </w:rPr>
              <w:t>3</w:t>
            </w:r>
            <w:r>
              <w:rPr>
                <w:rFonts w:hint="default"/>
              </w:rPr>
              <w:t>；校核洪水位79.72m，总库容1024.8万</w:t>
            </w:r>
            <w:r>
              <w:rPr>
                <w:rFonts w:hint="eastAsia"/>
                <w:lang w:eastAsia="zh-CN"/>
              </w:rPr>
              <w:t>m</w:t>
            </w:r>
            <w:r>
              <w:rPr>
                <w:rFonts w:hint="eastAsia"/>
                <w:vertAlign w:val="superscript"/>
                <w:lang w:eastAsia="zh-CN"/>
              </w:rPr>
              <w:t>3</w:t>
            </w:r>
            <w:r>
              <w:rPr>
                <w:rFonts w:hint="default"/>
              </w:rPr>
              <w:t>；设计洪水位79.52m；死水位62.70m，相应死库容8.5万</w:t>
            </w:r>
            <w:r>
              <w:rPr>
                <w:rFonts w:hint="eastAsia"/>
                <w:lang w:eastAsia="zh-CN"/>
              </w:rPr>
              <w:t>m</w:t>
            </w:r>
            <w:r>
              <w:rPr>
                <w:rFonts w:hint="eastAsia"/>
                <w:vertAlign w:val="superscript"/>
                <w:lang w:eastAsia="zh-CN"/>
              </w:rPr>
              <w:t>3</w:t>
            </w:r>
            <w:r>
              <w:rPr>
                <w:rFonts w:hint="default"/>
              </w:rPr>
              <w:t>（高程为1985国家高程基准，下同）。该枢纽工程由主坝、副坝、溢洪道、主坝输水涵洞、主坝坝下渠首渡槽、防汛公路、大兴节制闸和8个分洪闸、引水渠等永久建筑物组成。</w:t>
            </w:r>
          </w:p>
          <w:p>
            <w:pPr>
              <w:bidi w:val="0"/>
              <w:rPr>
                <w:rFonts w:hint="eastAsia"/>
                <w:lang w:val="en-US" w:eastAsia="zh-CN"/>
              </w:rPr>
            </w:pPr>
            <w:r>
              <w:rPr>
                <w:rFonts w:hint="eastAsia"/>
                <w:lang w:val="en-US" w:eastAsia="zh-CN"/>
              </w:rPr>
              <w:t>根据</w:t>
            </w:r>
            <w:r>
              <w:rPr>
                <w:rFonts w:hint="default"/>
              </w:rPr>
              <w:t>2019年《湖南省湘阴县燎原水库大坝安全评价报告》</w:t>
            </w:r>
            <w:r>
              <w:rPr>
                <w:rFonts w:hint="eastAsia"/>
                <w:lang w:val="en-US" w:eastAsia="zh-CN"/>
              </w:rPr>
              <w:t>可知，评定燎原水库大坝为三类坝，燎原水库于2009年进行了除险加固，经过10多年的运行，目前又出现了一些新的险情，主要问题和安全隐患有以下几个方面：</w:t>
            </w:r>
          </w:p>
          <w:p>
            <w:pPr>
              <w:bidi w:val="0"/>
              <w:rPr>
                <w:rFonts w:hint="eastAsia"/>
                <w:lang w:val="en-US" w:eastAsia="zh-CN"/>
              </w:rPr>
            </w:pPr>
            <w:r>
              <w:rPr>
                <w:rFonts w:hint="eastAsia"/>
                <w:lang w:val="en-US" w:eastAsia="zh-CN"/>
              </w:rPr>
              <w:t>1)主坝</w:t>
            </w:r>
          </w:p>
          <w:p>
            <w:pPr>
              <w:bidi w:val="0"/>
              <w:rPr>
                <w:rFonts w:hint="eastAsia"/>
                <w:lang w:val="en-US" w:eastAsia="zh-CN"/>
              </w:rPr>
            </w:pPr>
            <w:r>
              <w:rPr>
                <w:rFonts w:hint="eastAsia"/>
                <w:lang w:val="en-US" w:eastAsia="zh-CN"/>
              </w:rPr>
              <w:t>(1)主坝冲抓回填防渗墙渗透系数不满足规范要求，下游一级平台靠右有一处较大面积散浸，坝基存在渗漏安全隐患。</w:t>
            </w:r>
          </w:p>
          <w:p>
            <w:pPr>
              <w:bidi w:val="0"/>
              <w:rPr>
                <w:rFonts w:hint="eastAsia"/>
                <w:lang w:val="en-US" w:eastAsia="zh-CN"/>
              </w:rPr>
            </w:pPr>
            <w:r>
              <w:rPr>
                <w:rFonts w:hint="eastAsia"/>
                <w:lang w:val="en-US" w:eastAsia="zh-CN"/>
              </w:rPr>
              <w:t>(2)下游坝面不平整，排水沟淤积，排水棱体部分堵塞。</w:t>
            </w:r>
          </w:p>
          <w:p>
            <w:pPr>
              <w:bidi w:val="0"/>
              <w:rPr>
                <w:rFonts w:hint="eastAsia"/>
                <w:lang w:val="en-US" w:eastAsia="zh-CN"/>
              </w:rPr>
            </w:pPr>
            <w:r>
              <w:rPr>
                <w:rFonts w:hint="eastAsia"/>
                <w:lang w:val="en-US" w:eastAsia="zh-CN"/>
              </w:rPr>
              <w:t>(3)上游坝坡预制砼六方块护坡有浪损。</w:t>
            </w:r>
          </w:p>
          <w:p>
            <w:pPr>
              <w:bidi w:val="0"/>
              <w:rPr>
                <w:rFonts w:hint="eastAsia"/>
                <w:lang w:val="en-US" w:eastAsia="zh-CN"/>
              </w:rPr>
            </w:pPr>
            <w:r>
              <w:rPr>
                <w:rFonts w:hint="eastAsia"/>
                <w:lang w:val="en-US" w:eastAsia="zh-CN"/>
              </w:rPr>
              <w:t>(4)坝顶路面有不均匀沉降，人行道路面多处开裂。</w:t>
            </w:r>
          </w:p>
          <w:p>
            <w:pPr>
              <w:bidi w:val="0"/>
              <w:rPr>
                <w:rFonts w:hint="eastAsia"/>
                <w:lang w:val="en-US" w:eastAsia="zh-CN"/>
              </w:rPr>
            </w:pPr>
            <w:r>
              <w:rPr>
                <w:rFonts w:hint="eastAsia"/>
                <w:lang w:val="en-US" w:eastAsia="zh-CN"/>
              </w:rPr>
              <w:t>2)周家湾副坝</w:t>
            </w:r>
          </w:p>
          <w:p>
            <w:pPr>
              <w:bidi w:val="0"/>
              <w:rPr>
                <w:rFonts w:hint="eastAsia"/>
                <w:lang w:val="en-US" w:eastAsia="zh-CN"/>
              </w:rPr>
            </w:pPr>
            <w:r>
              <w:rPr>
                <w:rFonts w:hint="eastAsia"/>
                <w:lang w:val="en-US" w:eastAsia="zh-CN"/>
              </w:rPr>
              <w:t>(1)坝体渗漏，坝顶凹凸不平。</w:t>
            </w:r>
          </w:p>
          <w:p>
            <w:pPr>
              <w:bidi w:val="0"/>
              <w:rPr>
                <w:rFonts w:hint="eastAsia"/>
                <w:lang w:val="en-US" w:eastAsia="zh-CN"/>
              </w:rPr>
            </w:pPr>
            <w:r>
              <w:rPr>
                <w:rFonts w:hint="eastAsia"/>
                <w:lang w:val="en-US" w:eastAsia="zh-CN"/>
              </w:rPr>
              <w:t>(2)上游坝坡预制砼六方块护坡浪损严重，下游坝坡面不平整，排水沟破旧、淤积。</w:t>
            </w:r>
          </w:p>
          <w:p>
            <w:pPr>
              <w:bidi w:val="0"/>
              <w:rPr>
                <w:rFonts w:hint="eastAsia"/>
                <w:lang w:val="en-US" w:eastAsia="zh-CN"/>
              </w:rPr>
            </w:pPr>
            <w:r>
              <w:rPr>
                <w:rFonts w:hint="eastAsia"/>
                <w:lang w:val="en-US" w:eastAsia="zh-CN"/>
              </w:rPr>
              <w:t>(3)坝体坍塌破损、变形。</w:t>
            </w:r>
          </w:p>
          <w:p>
            <w:pPr>
              <w:bidi w:val="0"/>
              <w:rPr>
                <w:rFonts w:hint="eastAsia"/>
                <w:lang w:val="en-US" w:eastAsia="zh-CN"/>
              </w:rPr>
            </w:pPr>
            <w:r>
              <w:rPr>
                <w:rFonts w:hint="eastAsia"/>
                <w:lang w:val="en-US" w:eastAsia="zh-CN"/>
              </w:rPr>
              <w:t>3)陈家冲副坝</w:t>
            </w:r>
          </w:p>
          <w:p>
            <w:pPr>
              <w:bidi w:val="0"/>
              <w:rPr>
                <w:rFonts w:hint="eastAsia"/>
                <w:lang w:val="en-US" w:eastAsia="zh-CN"/>
              </w:rPr>
            </w:pPr>
            <w:r>
              <w:rPr>
                <w:rFonts w:hint="eastAsia"/>
                <w:lang w:val="en-US" w:eastAsia="zh-CN"/>
              </w:rPr>
              <w:t>(1)上游坡浪损、垮塌严重。</w:t>
            </w:r>
          </w:p>
          <w:p>
            <w:pPr>
              <w:bidi w:val="0"/>
              <w:rPr>
                <w:rFonts w:hint="eastAsia"/>
                <w:lang w:val="en-US" w:eastAsia="zh-CN"/>
              </w:rPr>
            </w:pPr>
            <w:r>
              <w:rPr>
                <w:rFonts w:hint="eastAsia"/>
                <w:lang w:val="en-US" w:eastAsia="zh-CN"/>
              </w:rPr>
              <w:t>(2)坝体不成形。</w:t>
            </w:r>
          </w:p>
          <w:p>
            <w:pPr>
              <w:bidi w:val="0"/>
              <w:rPr>
                <w:rFonts w:hint="eastAsia"/>
                <w:lang w:val="en-US" w:eastAsia="zh-CN"/>
              </w:rPr>
            </w:pPr>
            <w:r>
              <w:rPr>
                <w:rFonts w:hint="eastAsia"/>
                <w:lang w:val="en-US" w:eastAsia="zh-CN"/>
              </w:rPr>
              <w:t>4)溢洪道</w:t>
            </w:r>
          </w:p>
          <w:p>
            <w:pPr>
              <w:bidi w:val="0"/>
              <w:rPr>
                <w:rFonts w:hint="eastAsia"/>
                <w:lang w:val="en-US" w:eastAsia="zh-CN"/>
              </w:rPr>
            </w:pPr>
            <w:r>
              <w:rPr>
                <w:rFonts w:hint="eastAsia"/>
                <w:lang w:val="en-US" w:eastAsia="zh-CN"/>
              </w:rPr>
              <w:t>(1)进口段侧墙砂浆脱落，底板存有裂缝；控制段底板砼麻面、剥蚀。</w:t>
            </w:r>
          </w:p>
          <w:p>
            <w:pPr>
              <w:bidi w:val="0"/>
              <w:rPr>
                <w:rFonts w:hint="eastAsia"/>
                <w:lang w:val="en-US" w:eastAsia="zh-CN"/>
              </w:rPr>
            </w:pPr>
            <w:r>
              <w:rPr>
                <w:rFonts w:hint="eastAsia"/>
                <w:lang w:val="en-US" w:eastAsia="zh-CN"/>
              </w:rPr>
              <w:t>(2)泄槽段底板凹凸不平，两侧浆砌石墙砂浆脱落，部分坍塌。</w:t>
            </w:r>
          </w:p>
          <w:p>
            <w:pPr>
              <w:bidi w:val="0"/>
              <w:rPr>
                <w:rFonts w:hint="eastAsia"/>
                <w:lang w:val="en-US" w:eastAsia="zh-CN"/>
              </w:rPr>
            </w:pPr>
            <w:r>
              <w:rPr>
                <w:rFonts w:hint="eastAsia"/>
                <w:lang w:val="en-US" w:eastAsia="zh-CN"/>
              </w:rPr>
              <w:t>(3)泄槽桩号0+078处有2根电杆和1台变压器等障碍物，阻碍行洪。</w:t>
            </w:r>
          </w:p>
          <w:p>
            <w:pPr>
              <w:bidi w:val="0"/>
              <w:rPr>
                <w:rFonts w:hint="eastAsia"/>
                <w:lang w:val="en-US" w:eastAsia="zh-CN"/>
              </w:rPr>
            </w:pPr>
            <w:r>
              <w:rPr>
                <w:rFonts w:hint="eastAsia"/>
                <w:lang w:val="en-US" w:eastAsia="zh-CN"/>
              </w:rPr>
              <w:t>(4)消力池水毁、淤积严重，不能满足泄洪、消能要求，影响水库泄洪安全。</w:t>
            </w:r>
          </w:p>
          <w:p>
            <w:pPr>
              <w:bidi w:val="0"/>
              <w:rPr>
                <w:rFonts w:hint="eastAsia"/>
                <w:lang w:val="en-US" w:eastAsia="zh-CN"/>
              </w:rPr>
            </w:pPr>
            <w:r>
              <w:rPr>
                <w:rFonts w:hint="eastAsia"/>
                <w:lang w:val="en-US" w:eastAsia="zh-CN"/>
              </w:rPr>
              <w:t>(5)消力池下游出水渠右岸护坡水毁严重，影响水库泄洪安全。</w:t>
            </w:r>
          </w:p>
          <w:p>
            <w:pPr>
              <w:bidi w:val="0"/>
              <w:rPr>
                <w:rFonts w:hint="eastAsia"/>
                <w:lang w:val="en-US" w:eastAsia="zh-CN"/>
              </w:rPr>
            </w:pPr>
            <w:r>
              <w:rPr>
                <w:rFonts w:hint="eastAsia"/>
                <w:lang w:val="en-US" w:eastAsia="zh-CN"/>
              </w:rPr>
              <w:t>(6)跨消力池机耕桥破损。</w:t>
            </w:r>
          </w:p>
          <w:p>
            <w:pPr>
              <w:bidi w:val="0"/>
              <w:rPr>
                <w:rFonts w:hint="eastAsia"/>
                <w:lang w:val="en-US" w:eastAsia="zh-CN"/>
              </w:rPr>
            </w:pPr>
            <w:r>
              <w:rPr>
                <w:rFonts w:hint="eastAsia"/>
                <w:lang w:val="en-US" w:eastAsia="zh-CN"/>
              </w:rPr>
              <w:t>(7)出水渠护坡水毁严重。</w:t>
            </w:r>
          </w:p>
          <w:p>
            <w:pPr>
              <w:bidi w:val="0"/>
              <w:rPr>
                <w:rFonts w:hint="eastAsia"/>
                <w:lang w:val="en-US" w:eastAsia="zh-CN"/>
              </w:rPr>
            </w:pPr>
            <w:r>
              <w:rPr>
                <w:rFonts w:hint="eastAsia"/>
                <w:lang w:val="en-US" w:eastAsia="zh-CN"/>
              </w:rPr>
              <w:t>5)主坝输水涵洞</w:t>
            </w:r>
          </w:p>
          <w:p>
            <w:pPr>
              <w:bidi w:val="0"/>
              <w:rPr>
                <w:rFonts w:hint="eastAsia"/>
                <w:lang w:val="en-US" w:eastAsia="zh-CN"/>
              </w:rPr>
            </w:pPr>
            <w:r>
              <w:rPr>
                <w:rFonts w:hint="eastAsia"/>
                <w:lang w:val="en-US" w:eastAsia="zh-CN"/>
              </w:rPr>
              <w:t>(1)主坝输水涵洞闸门锈蚀、橡胶止水漏水，启闭机螺杆锈蚀严重，闸门不能完全启闭，启闭机达到报废标准。</w:t>
            </w:r>
          </w:p>
          <w:p>
            <w:pPr>
              <w:bidi w:val="0"/>
              <w:rPr>
                <w:rFonts w:hint="eastAsia"/>
                <w:lang w:val="en-US" w:eastAsia="zh-CN"/>
              </w:rPr>
            </w:pPr>
            <w:r>
              <w:rPr>
                <w:rFonts w:hint="eastAsia"/>
                <w:lang w:val="en-US" w:eastAsia="zh-CN"/>
              </w:rPr>
              <w:t>(2)洞身进水口下游55m、72m、86m位置侧墙漏水严重，与坝体填土存在接触冲刷，进水口下游58m位置洞身侧墙坍塌。</w:t>
            </w:r>
          </w:p>
          <w:p>
            <w:pPr>
              <w:bidi w:val="0"/>
              <w:rPr>
                <w:rFonts w:hint="eastAsia"/>
                <w:lang w:val="en-US" w:eastAsia="zh-CN"/>
              </w:rPr>
            </w:pPr>
            <w:r>
              <w:rPr>
                <w:rFonts w:hint="eastAsia"/>
                <w:lang w:val="en-US" w:eastAsia="zh-CN"/>
              </w:rPr>
              <w:t>(3)进口控制闸无检修闸门及检修平台，闸室及工作闸门检修极不方便。</w:t>
            </w:r>
          </w:p>
          <w:p>
            <w:pPr>
              <w:bidi w:val="0"/>
              <w:rPr>
                <w:rFonts w:hint="eastAsia"/>
                <w:lang w:val="en-US" w:eastAsia="zh-CN"/>
              </w:rPr>
            </w:pPr>
            <w:r>
              <w:rPr>
                <w:rFonts w:hint="eastAsia"/>
                <w:lang w:val="en-US" w:eastAsia="zh-CN"/>
              </w:rPr>
              <w:t>(4)工作桥及启闭平台高程不满足规范要求。</w:t>
            </w:r>
          </w:p>
          <w:p>
            <w:pPr>
              <w:bidi w:val="0"/>
              <w:rPr>
                <w:rFonts w:hint="eastAsia"/>
                <w:lang w:val="en-US" w:eastAsia="zh-CN"/>
              </w:rPr>
            </w:pPr>
            <w:r>
              <w:rPr>
                <w:rFonts w:hint="eastAsia"/>
                <w:lang w:val="en-US" w:eastAsia="zh-CN"/>
              </w:rPr>
              <w:t>6)主坝坝下渠首渡槽</w:t>
            </w:r>
          </w:p>
          <w:p>
            <w:pPr>
              <w:bidi w:val="0"/>
              <w:rPr>
                <w:rFonts w:hint="eastAsia"/>
                <w:lang w:val="en-US" w:eastAsia="zh-CN"/>
              </w:rPr>
            </w:pPr>
            <w:r>
              <w:rPr>
                <w:rFonts w:hint="eastAsia"/>
                <w:lang w:val="en-US" w:eastAsia="zh-CN"/>
              </w:rPr>
              <w:t>坝下渠首渡槽橡皮止水漏水，混凝土形成较多麻面，骨料裸露；渡槽伸缩缝部位多处出现严重渗水现象。</w:t>
            </w:r>
          </w:p>
          <w:p>
            <w:pPr>
              <w:bidi w:val="0"/>
              <w:rPr>
                <w:rFonts w:hint="eastAsia"/>
                <w:lang w:val="en-US" w:eastAsia="zh-CN"/>
              </w:rPr>
            </w:pPr>
            <w:r>
              <w:rPr>
                <w:rFonts w:hint="eastAsia"/>
                <w:lang w:val="en-US" w:eastAsia="zh-CN"/>
              </w:rPr>
              <w:t>7)大兴节制闸和8个分洪闸闸门锈蚀严重，无法正常启闭。</w:t>
            </w:r>
          </w:p>
          <w:p>
            <w:pPr>
              <w:bidi w:val="0"/>
              <w:rPr>
                <w:rFonts w:hint="eastAsia"/>
                <w:lang w:val="en-US" w:eastAsia="zh-CN"/>
              </w:rPr>
            </w:pPr>
            <w:r>
              <w:rPr>
                <w:rFonts w:hint="eastAsia"/>
                <w:lang w:val="en-US" w:eastAsia="zh-CN"/>
              </w:rPr>
              <w:t>8)其他问题</w:t>
            </w:r>
          </w:p>
          <w:p>
            <w:pPr>
              <w:bidi w:val="0"/>
              <w:rPr>
                <w:rFonts w:hint="eastAsia"/>
                <w:lang w:val="en-US" w:eastAsia="zh-CN"/>
              </w:rPr>
            </w:pPr>
            <w:r>
              <w:rPr>
                <w:rFonts w:hint="eastAsia"/>
                <w:lang w:val="en-US" w:eastAsia="zh-CN"/>
              </w:rPr>
              <w:t>(1)主坝、周家湾副坝及陈家冲副坝等多处发现白蚁巢穴，长期受白蚁侵蚀。</w:t>
            </w:r>
          </w:p>
          <w:p>
            <w:pPr>
              <w:bidi w:val="0"/>
              <w:rPr>
                <w:rFonts w:hint="eastAsia"/>
                <w:lang w:val="en-US" w:eastAsia="zh-CN"/>
              </w:rPr>
            </w:pPr>
            <w:r>
              <w:rPr>
                <w:rFonts w:hint="eastAsia"/>
                <w:lang w:val="en-US" w:eastAsia="zh-CN"/>
              </w:rPr>
              <w:t>(2)无防汛仓库，防汛用料露天堆放在大坝中间上坝公路位置(桩号0+419)，影响大坝安全。</w:t>
            </w:r>
          </w:p>
          <w:p>
            <w:pPr>
              <w:bidi w:val="0"/>
              <w:rPr>
                <w:rFonts w:hint="eastAsia"/>
                <w:lang w:val="en-US" w:eastAsia="zh-CN"/>
              </w:rPr>
            </w:pPr>
            <w:r>
              <w:rPr>
                <w:rFonts w:hint="eastAsia"/>
                <w:lang w:val="en-US" w:eastAsia="zh-CN"/>
              </w:rPr>
              <w:t>(3)无大坝表面变形、坝体渗流观测设施，无水雨情自动测报系统和视频监控系统。</w:t>
            </w:r>
          </w:p>
          <w:p>
            <w:pPr>
              <w:bidi w:val="0"/>
              <w:rPr>
                <w:rFonts w:hint="eastAsia"/>
                <w:lang w:val="en-US" w:eastAsia="zh-CN"/>
              </w:rPr>
            </w:pPr>
            <w:r>
              <w:rPr>
                <w:rFonts w:hint="eastAsia"/>
                <w:lang w:val="en-US" w:eastAsia="zh-CN"/>
              </w:rPr>
              <w:t>(4)部分防汛公路破旧。</w:t>
            </w:r>
          </w:p>
          <w:p>
            <w:pPr>
              <w:bidi w:val="0"/>
              <w:rPr>
                <w:rFonts w:hint="eastAsia"/>
              </w:rPr>
            </w:pPr>
            <w:r>
              <w:rPr>
                <w:rFonts w:hint="eastAsia"/>
                <w:lang w:val="en-US" w:eastAsia="zh-CN"/>
              </w:rPr>
              <w:t>2</w:t>
            </w:r>
            <w:r>
              <w:rPr>
                <w:rFonts w:hint="eastAsia"/>
              </w:rPr>
              <w:t xml:space="preserve">、生态环境影响回顾性分析 </w:t>
            </w:r>
          </w:p>
          <w:p>
            <w:pPr>
              <w:bidi w:val="0"/>
              <w:rPr>
                <w:rFonts w:hint="eastAsia"/>
              </w:rPr>
            </w:pPr>
            <w:r>
              <w:rPr>
                <w:rFonts w:hint="eastAsia"/>
              </w:rPr>
              <w:t>（1）对生态环境影响回顾性分析</w:t>
            </w:r>
          </w:p>
          <w:p>
            <w:pPr>
              <w:bidi w:val="0"/>
              <w:rPr>
                <w:rFonts w:hint="eastAsia"/>
              </w:rPr>
            </w:pPr>
            <w:r>
              <w:rPr>
                <w:rFonts w:hint="eastAsia"/>
              </w:rPr>
              <w:t>①对陆生生态环境影响水库在建设过程中，工程占地、取土、弃渣等施工活动会破坏植被，使得植被面积有所减少，区域植被生物量有所降低，开挖填筑等活动还引发水土流失。另一方面，</w:t>
            </w:r>
            <w:r>
              <w:rPr>
                <w:rFonts w:hint="eastAsia"/>
                <w:lang w:val="en-US" w:eastAsia="zh-CN"/>
              </w:rPr>
              <w:t>燎原</w:t>
            </w:r>
            <w:r>
              <w:rPr>
                <w:rFonts w:hint="eastAsia"/>
              </w:rPr>
              <w:t>水库已建成运行几十年，周边的植被早已恢复。根据现场调查情况，</w:t>
            </w:r>
            <w:r>
              <w:rPr>
                <w:rFonts w:hint="eastAsia"/>
                <w:lang w:val="en-US" w:eastAsia="zh-CN"/>
              </w:rPr>
              <w:t>燎原</w:t>
            </w:r>
            <w:r>
              <w:rPr>
                <w:rFonts w:hint="eastAsia"/>
              </w:rPr>
              <w:t>水库库周植被茂盛，覆盖度高，生态环境良好。</w:t>
            </w:r>
          </w:p>
          <w:p>
            <w:pPr>
              <w:bidi w:val="0"/>
              <w:rPr>
                <w:rFonts w:hint="eastAsia"/>
              </w:rPr>
            </w:pPr>
            <w:r>
              <w:rPr>
                <w:rFonts w:hint="eastAsia"/>
              </w:rPr>
              <w:t>②对水生生态环境影响</w:t>
            </w:r>
          </w:p>
          <w:p>
            <w:pPr>
              <w:bidi w:val="0"/>
              <w:rPr>
                <w:rFonts w:hint="eastAsia"/>
              </w:rPr>
            </w:pPr>
            <w:r>
              <w:rPr>
                <w:rFonts w:hint="eastAsia"/>
              </w:rPr>
              <w:t>对水库环境而言，建坝蓄水后，因水流状态的人为改变，水体水温、流速都会较水库建设前有所变化，势必造成生物群落次生演替。水库水位升高，水体总不透光深水层厚度略有增加，水温结构发生改变，因此对浮游植物、浮游动物的生长繁殖有一定的影响。水生植物变化进而影响到底栖动物密度及数量。由于水库水文水动力学条件与河流湖泊的有所区别，生活于其中的鱼类也有着不一样的特点。水生生态环境的改变对原河流中流水型、产漂流性卵和种群数量少、抗逆能力差的鱼类产生了不利的影响。水库经多年运行，现有的鱼类以鳙鱼、鳊鱼为主，区域水生生物种群结构已趋于稳定。</w:t>
            </w:r>
          </w:p>
          <w:p>
            <w:pPr>
              <w:bidi w:val="0"/>
              <w:rPr>
                <w:rFonts w:hint="eastAsia"/>
              </w:rPr>
            </w:pPr>
            <w:r>
              <w:rPr>
                <w:rFonts w:hint="eastAsia"/>
              </w:rPr>
              <w:t>③景观生态完整性影响回顾性分析</w:t>
            </w:r>
          </w:p>
          <w:p>
            <w:pPr>
              <w:bidi w:val="0"/>
            </w:pPr>
            <w:r>
              <w:rPr>
                <w:rFonts w:hint="eastAsia"/>
              </w:rPr>
              <w:t>由于水库的建设，永久改变了原有土地类型，主要增加了水域面积，同时大坝及管理设施的建设，增加了区域环境的异质性，形成了与原生自然景观不同的人工景观。从整体分析，水库建成运行多年，区域生态系统已趋于稳定，水库工程的实施美化了当地的自然风光，提高了区域景观美学价值。根据上述综合分析，水库建成运行多年，区域生态系统已趋于稳定，植被恢复良好，水库建设和运行对区域生态环境影响可以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492" w:type="dxa"/>
            <w:noWrap w:val="0"/>
            <w:vAlign w:val="center"/>
          </w:tcPr>
          <w:p>
            <w:pPr>
              <w:adjustRightInd w:val="0"/>
              <w:snapToGrid w:val="0"/>
              <w:ind w:left="0" w:leftChars="0" w:firstLine="0" w:firstLineChars="0"/>
              <w:jc w:val="both"/>
              <w:rPr>
                <w:rFonts w:ascii="宋体" w:hAnsi="宋体" w:cs="宋体"/>
                <w:kern w:val="0"/>
                <w:szCs w:val="21"/>
              </w:rPr>
            </w:pPr>
            <w:r>
              <w:rPr>
                <w:rFonts w:hint="eastAsia" w:ascii="宋体" w:hAnsi="宋体" w:cs="宋体"/>
                <w:kern w:val="0"/>
                <w:szCs w:val="21"/>
              </w:rPr>
              <w:t>生态环境保护目标</w:t>
            </w:r>
          </w:p>
        </w:tc>
        <w:tc>
          <w:tcPr>
            <w:tcW w:w="8665" w:type="dxa"/>
            <w:noWrap w:val="0"/>
            <w:vAlign w:val="center"/>
          </w:tcPr>
          <w:p>
            <w:pPr>
              <w:pStyle w:val="15"/>
              <w:keepNext w:val="0"/>
              <w:keepLines w:val="0"/>
              <w:widowControl/>
              <w:suppressLineNumbers w:val="0"/>
              <w:spacing w:before="0" w:beforeAutospacing="0" w:after="0" w:afterAutospacing="0"/>
              <w:ind w:left="0" w:right="0" w:firstLine="0"/>
              <w:jc w:val="both"/>
              <w:rPr>
                <w:rFonts w:hint="default" w:ascii="Times New Roman" w:hAnsi="Times New Roman" w:cs="Times New Roman"/>
              </w:rPr>
            </w:pPr>
            <w:r>
              <w:rPr>
                <w:rFonts w:hint="default" w:ascii="Times New Roman" w:hAnsi="Times New Roman" w:cs="Times New Roman"/>
              </w:rPr>
              <w:t>根据现状调查，本次评价区范围内无自然保护区、风景名胜区、世界文化和自然遗产、饮用水水源保护区</w:t>
            </w:r>
            <w:r>
              <w:rPr>
                <w:rFonts w:hint="default" w:ascii="Times New Roman" w:hAnsi="Times New Roman" w:cs="Times New Roman"/>
                <w:lang w:eastAsia="zh-CN"/>
              </w:rPr>
              <w:t>；</w:t>
            </w:r>
            <w:r>
              <w:rPr>
                <w:rFonts w:hint="default" w:ascii="Times New Roman" w:hAnsi="Times New Roman" w:cs="Times New Roman"/>
              </w:rPr>
              <w:t>也没有以医疗卫生、文化教育、科研、行政办公等为主要功能的区域，无文物保护单位，无具有特殊历中、文化、科学、民族意义的保护地等环境敏感区</w:t>
            </w:r>
            <w:r>
              <w:rPr>
                <w:rFonts w:hint="default" w:ascii="Times New Roman" w:hAnsi="Times New Roman" w:cs="Times New Roman"/>
                <w:highlight w:val="none"/>
              </w:rPr>
              <w:t>，</w:t>
            </w:r>
            <w:r>
              <w:rPr>
                <w:rFonts w:hint="eastAsia" w:ascii="Times New Roman" w:hAnsi="Times New Roman" w:cs="Times New Roman"/>
                <w:highlight w:val="none"/>
                <w:lang w:eastAsia="zh-CN"/>
              </w:rPr>
              <w:t>施工区域内</w:t>
            </w:r>
            <w:r>
              <w:rPr>
                <w:rFonts w:hint="default" w:ascii="Times New Roman" w:hAnsi="Times New Roman" w:cs="Times New Roman"/>
                <w:highlight w:val="none"/>
              </w:rPr>
              <w:t>未见珍稀、濒危野生动物</w:t>
            </w:r>
            <w:r>
              <w:rPr>
                <w:rFonts w:hint="default" w:ascii="Times New Roman" w:hAnsi="Times New Roman" w:cs="Times New Roman"/>
              </w:rPr>
              <w:t>。根据现场调查，</w:t>
            </w:r>
            <w:r>
              <w:rPr>
                <w:rFonts w:hint="eastAsia" w:ascii="Times New Roman" w:hAnsi="Times New Roman" w:cs="Times New Roman"/>
                <w:lang w:val="en-US" w:eastAsia="zh-CN"/>
              </w:rPr>
              <w:t>评价范围内</w:t>
            </w:r>
            <w:r>
              <w:rPr>
                <w:rFonts w:hint="default" w:ascii="Times New Roman" w:hAnsi="Times New Roman" w:cs="Times New Roman"/>
              </w:rPr>
              <w:t>内无重要军事设施，评价范围内主要环境保护目标见表</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rPr>
              <w:t>。</w:t>
            </w:r>
          </w:p>
          <w:p>
            <w:pPr>
              <w:adjustRightInd w:val="0"/>
              <w:snapToGrid w:val="0"/>
              <w:jc w:val="center"/>
              <w:rPr>
                <w:rFonts w:hint="default" w:eastAsia="宋体"/>
                <w:b/>
                <w:bCs/>
                <w:highlight w:val="none"/>
                <w:lang w:val="en-US" w:eastAsia="zh-CN"/>
              </w:rPr>
            </w:pPr>
            <w:r>
              <w:rPr>
                <w:rFonts w:hint="default" w:ascii="Times New Roman" w:hAnsi="Times New Roman" w:cs="Times New Roman"/>
                <w:b/>
                <w:bCs/>
                <w:highlight w:val="none"/>
                <w:lang w:val="en-US" w:eastAsia="zh-CN"/>
              </w:rPr>
              <w:t>表3-</w:t>
            </w:r>
            <w:r>
              <w:rPr>
                <w:rFonts w:hint="eastAsia" w:cs="Times New Roman"/>
                <w:b/>
                <w:bCs/>
                <w:highlight w:val="none"/>
                <w:lang w:val="en-US" w:eastAsia="zh-CN"/>
              </w:rPr>
              <w:t>6</w:t>
            </w:r>
            <w:r>
              <w:rPr>
                <w:rFonts w:hint="default" w:ascii="Times New Roman" w:hAnsi="Times New Roman" w:cs="Times New Roman"/>
                <w:b/>
                <w:bCs/>
                <w:highlight w:val="none"/>
                <w:lang w:val="en-US" w:eastAsia="zh-CN"/>
              </w:rPr>
              <w:t xml:space="preserve">  </w:t>
            </w:r>
            <w:r>
              <w:rPr>
                <w:rFonts w:hint="default" w:ascii="Times New Roman" w:hAnsi="Times New Roman" w:cs="Times New Roman"/>
                <w:b/>
                <w:bCs/>
                <w:highlight w:val="none"/>
              </w:rPr>
              <w:t>评价范围内主要环境保护</w:t>
            </w:r>
            <w:r>
              <w:rPr>
                <w:b/>
                <w:bCs/>
                <w:highlight w:val="none"/>
              </w:rPr>
              <w:t>目标</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24"/>
              <w:gridCol w:w="1410"/>
              <w:gridCol w:w="1125"/>
              <w:gridCol w:w="1732"/>
              <w:gridCol w:w="1163"/>
              <w:gridCol w:w="1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6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环境要素</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保护目标</w:t>
                  </w:r>
                </w:p>
              </w:tc>
              <w:tc>
                <w:tcPr>
                  <w:tcW w:w="2535"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r>
                    <w:rPr>
                      <w:rFonts w:hint="eastAsia"/>
                      <w:sz w:val="21"/>
                      <w:szCs w:val="21"/>
                      <w:highlight w:val="none"/>
                      <w:vertAlign w:val="baseline"/>
                      <w:lang w:val="en-US" w:eastAsia="zh-CN"/>
                    </w:rPr>
                    <w:t>坐标</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与施工区域方位/距离</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户数/人口</w:t>
                  </w:r>
                </w:p>
              </w:tc>
              <w:tc>
                <w:tcPr>
                  <w:tcW w:w="109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功能区划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大气环境</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山湖骛岛别墅区</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112.945828</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28.536026</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NW/40-500m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240户，约960人</w:t>
                  </w:r>
                </w:p>
              </w:tc>
              <w:tc>
                <w:tcPr>
                  <w:tcW w:w="109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rPr>
                    <w:t>（GB3095-2012）</w:t>
                  </w:r>
                  <w:r>
                    <w:rPr>
                      <w:rFonts w:hint="eastAsia" w:eastAsia="宋体"/>
                      <w:sz w:val="21"/>
                      <w:szCs w:val="21"/>
                      <w:highlight w:val="none"/>
                      <w:vertAlign w:val="baseline"/>
                      <w:lang w:val="en-US" w:eastAsia="zh-CN"/>
                    </w:rPr>
                    <w:t>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金龙村居民区</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112.941805</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28.536010</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NW/50-500m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100户，约400人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庙塘垄居民</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112.940796</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28.529868</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W/210-500m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80户，约320人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苏家坡居民</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112.943141</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28.527374</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W/40-200m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6户，约24人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大兴村居民</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112.956216</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28.536891</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W/50-200m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30户，约120人</w:t>
                  </w:r>
                </w:p>
              </w:tc>
              <w:tc>
                <w:tcPr>
                  <w:tcW w:w="109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声环境</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sz w:val="21"/>
                      <w:szCs w:val="21"/>
                      <w:highlight w:val="none"/>
                      <w:vertAlign w:val="baseline"/>
                    </w:rPr>
                  </w:pPr>
                  <w:r>
                    <w:rPr>
                      <w:rFonts w:hint="eastAsia"/>
                      <w:sz w:val="21"/>
                      <w:szCs w:val="21"/>
                      <w:highlight w:val="none"/>
                      <w:vertAlign w:val="baseline"/>
                      <w:lang w:val="en-US" w:eastAsia="zh-CN"/>
                    </w:rPr>
                    <w:t>山湖骛岛别墅区</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112.945828</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28.536026</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NW/50-200m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34户</w:t>
                  </w:r>
                </w:p>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/130人</w:t>
                  </w:r>
                </w:p>
              </w:tc>
              <w:tc>
                <w:tcPr>
                  <w:tcW w:w="109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r>
                    <w:rPr>
                      <w:rFonts w:hint="eastAsia"/>
                      <w:sz w:val="21"/>
                      <w:szCs w:val="21"/>
                      <w:highlight w:val="none"/>
                      <w:vertAlign w:val="baseline"/>
                    </w:rPr>
                    <w:t>（GB3096-2008）2类标准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金龙村居民区</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112.941805</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28.536010</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NW/40-200m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20户，约80人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苏家坡居民</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112.943141</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28.527374</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W/40-200m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6户，约24人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大兴村居民</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112.956216</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28.536891</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W/50-200m</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sz w:val="21"/>
                      <w:szCs w:val="21"/>
                      <w:highlight w:val="none"/>
                      <w:vertAlign w:val="baseline"/>
                      <w:lang w:val="en-US" w:eastAsia="zh-CN"/>
                    </w:rPr>
                    <w:t>30户，约120人</w:t>
                  </w:r>
                </w:p>
              </w:tc>
              <w:tc>
                <w:tcPr>
                  <w:tcW w:w="109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环境要素</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保护目标</w:t>
                  </w:r>
                </w:p>
              </w:tc>
              <w:tc>
                <w:tcPr>
                  <w:tcW w:w="2535"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坐标</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与施工区域方位/距离</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规模及用途</w:t>
                  </w:r>
                </w:p>
              </w:tc>
              <w:tc>
                <w:tcPr>
                  <w:tcW w:w="109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水环境</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燎原水库</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112.948008</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28.533002</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紧邻</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u w:val="single"/>
                      <w:vertAlign w:val="baseline"/>
                      <w:lang w:val="en-US" w:eastAsia="zh-CN"/>
                    </w:rPr>
                  </w:pPr>
                  <w:r>
                    <w:rPr>
                      <w:rFonts w:hint="eastAsia"/>
                      <w:sz w:val="21"/>
                      <w:szCs w:val="21"/>
                      <w:highlight w:val="none"/>
                      <w:u w:val="single"/>
                      <w:vertAlign w:val="baseline"/>
                      <w:lang w:val="en-US" w:eastAsia="zh-CN"/>
                    </w:rPr>
                    <w:t>农业用水区</w:t>
                  </w:r>
                </w:p>
              </w:tc>
              <w:tc>
                <w:tcPr>
                  <w:tcW w:w="109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u w:val="single"/>
                      <w:vertAlign w:val="baseline"/>
                    </w:rPr>
                  </w:pPr>
                  <w:r>
                    <w:rPr>
                      <w:rFonts w:hint="eastAsia" w:ascii="Times New Roman" w:hAnsi="Calibri" w:eastAsia="宋体" w:cs="Times New Roman"/>
                      <w:color w:val="auto"/>
                      <w:sz w:val="21"/>
                      <w:szCs w:val="21"/>
                      <w:highlight w:val="none"/>
                      <w:u w:val="single"/>
                      <w:lang w:val="en-US" w:eastAsia="zh-CN"/>
                    </w:rPr>
                    <w:t>（GB3838-2002）中的Ⅲ类标准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u w:val="singl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u w:val="single"/>
                      <w:vertAlign w:val="baseline"/>
                      <w:lang w:val="en-US" w:eastAsia="zh-CN"/>
                    </w:rPr>
                  </w:pPr>
                  <w:r>
                    <w:rPr>
                      <w:rFonts w:hint="eastAsia"/>
                      <w:sz w:val="21"/>
                      <w:szCs w:val="21"/>
                      <w:highlight w:val="none"/>
                      <w:u w:val="single"/>
                      <w:vertAlign w:val="baseline"/>
                      <w:lang w:val="en-US" w:eastAsia="zh-CN"/>
                    </w:rPr>
                    <w:t>输水涵洞后的农灌渠</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112.948052</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u w:val="single"/>
                      <w:vertAlign w:val="baseline"/>
                      <w:lang w:val="en-US" w:eastAsia="zh-CN"/>
                    </w:rPr>
                  </w:pPr>
                  <w:r>
                    <w:rPr>
                      <w:rFonts w:hint="eastAsia"/>
                      <w:sz w:val="21"/>
                      <w:szCs w:val="21"/>
                      <w:highlight w:val="none"/>
                      <w:u w:val="single"/>
                      <w:vertAlign w:val="baseline"/>
                      <w:lang w:val="en-US" w:eastAsia="zh-CN"/>
                    </w:rPr>
                    <w:t>28.533042</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u w:val="single"/>
                      <w:vertAlign w:val="baseline"/>
                      <w:lang w:val="en-US" w:eastAsia="zh-CN" w:bidi="ar-SA"/>
                    </w:rPr>
                  </w:pPr>
                  <w:r>
                    <w:rPr>
                      <w:rFonts w:hint="eastAsia"/>
                      <w:sz w:val="21"/>
                      <w:szCs w:val="21"/>
                      <w:highlight w:val="none"/>
                      <w:u w:val="single"/>
                      <w:vertAlign w:val="baseline"/>
                      <w:lang w:val="en-US" w:eastAsia="zh-CN"/>
                    </w:rPr>
                    <w:t>紧邻</w:t>
                  </w:r>
                </w:p>
              </w:tc>
              <w:tc>
                <w:tcPr>
                  <w:tcW w:w="1163"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u w:val="single"/>
                      <w:vertAlign w:val="baseline"/>
                      <w:lang w:val="en-US" w:eastAsia="zh-CN" w:bidi="ar-SA"/>
                    </w:rPr>
                  </w:pPr>
                  <w:r>
                    <w:rPr>
                      <w:rFonts w:hint="eastAsia"/>
                      <w:sz w:val="21"/>
                      <w:szCs w:val="21"/>
                      <w:highlight w:val="none"/>
                      <w:u w:val="single"/>
                      <w:vertAlign w:val="baseline"/>
                      <w:lang w:val="en-US" w:eastAsia="zh-CN"/>
                    </w:rPr>
                    <w:t>农业用水区</w:t>
                  </w:r>
                </w:p>
              </w:tc>
              <w:tc>
                <w:tcPr>
                  <w:tcW w:w="109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u w:val="single"/>
                      <w:vertAlign w:val="baseline"/>
                      <w:lang w:val="en-US" w:eastAsia="zh-CN" w:bidi="ar-SA"/>
                    </w:rPr>
                  </w:pPr>
                  <w:r>
                    <w:rPr>
                      <w:rFonts w:hint="eastAsia" w:ascii="Times New Roman" w:hAnsi="Calibri" w:eastAsia="宋体" w:cs="Times New Roman"/>
                      <w:color w:val="auto"/>
                      <w:sz w:val="21"/>
                      <w:szCs w:val="21"/>
                      <w:highlight w:val="none"/>
                      <w:u w:val="single"/>
                      <w:lang w:val="en-US" w:eastAsia="zh-CN"/>
                    </w:rPr>
                    <w:t>（GB3838-2002）中的Ⅲ类标准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环境要素</w:t>
                  </w: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保护目标</w:t>
                  </w:r>
                </w:p>
              </w:tc>
              <w:tc>
                <w:tcPr>
                  <w:tcW w:w="2535"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坐标</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kern w:val="0"/>
                      <w:sz w:val="21"/>
                      <w:szCs w:val="21"/>
                      <w:highlight w:val="none"/>
                      <w:vertAlign w:val="baseline"/>
                      <w:lang w:val="en-US" w:eastAsia="zh-CN" w:bidi="ar-SA"/>
                    </w:rPr>
                  </w:pPr>
                  <w:r>
                    <w:rPr>
                      <w:rFonts w:hint="eastAsia"/>
                      <w:sz w:val="21"/>
                      <w:szCs w:val="21"/>
                      <w:highlight w:val="none"/>
                      <w:vertAlign w:val="baseline"/>
                      <w:lang w:val="en-US" w:eastAsia="zh-CN"/>
                    </w:rPr>
                    <w:t>与施工区域方位/距离</w:t>
                  </w:r>
                </w:p>
              </w:tc>
              <w:tc>
                <w:tcPr>
                  <w:tcW w:w="2253"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Calibri" w:eastAsia="宋体" w:cs="Times New Roman"/>
                      <w:color w:val="auto"/>
                      <w:sz w:val="21"/>
                      <w:szCs w:val="21"/>
                      <w:highlight w:val="none"/>
                      <w:lang w:val="en-US" w:eastAsia="zh-CN"/>
                    </w:rPr>
                  </w:pPr>
                  <w:r>
                    <w:rPr>
                      <w:rFonts w:hint="eastAsia"/>
                      <w:sz w:val="21"/>
                      <w:szCs w:val="21"/>
                      <w:highlight w:val="none"/>
                      <w:vertAlign w:val="baseline"/>
                      <w:lang w:val="en-US" w:eastAsia="zh-CN"/>
                    </w:rPr>
                    <w:t>保护要求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生态环境</w:t>
                  </w:r>
                </w:p>
              </w:tc>
              <w:tc>
                <w:tcPr>
                  <w:tcW w:w="1224" w:type="dxa"/>
                  <w:vMerge w:val="restart"/>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基本农田</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112.940626</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28.534085</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highlight w:val="none"/>
                      <w:lang w:val="en-US" w:eastAsia="zh-CN"/>
                    </w:rPr>
                  </w:pPr>
                  <w:r>
                    <w:rPr>
                      <w:rFonts w:hint="eastAsia"/>
                      <w:highlight w:val="none"/>
                      <w:lang w:val="en-US" w:eastAsia="zh-CN"/>
                    </w:rPr>
                    <w:t>W/80m</w:t>
                  </w:r>
                </w:p>
              </w:tc>
              <w:tc>
                <w:tcPr>
                  <w:tcW w:w="2253"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Calibri" w:eastAsia="宋体" w:cs="Times New Roman"/>
                      <w:color w:val="auto"/>
                      <w:sz w:val="21"/>
                      <w:szCs w:val="21"/>
                      <w:highlight w:val="none"/>
                      <w:lang w:val="en-US" w:eastAsia="zh-CN"/>
                    </w:rPr>
                  </w:pPr>
                  <w:r>
                    <w:rPr>
                      <w:rFonts w:hint="eastAsia" w:ascii="Times New Roman" w:hAnsi="Calibri" w:eastAsia="宋体" w:cs="Times New Roman"/>
                      <w:color w:val="auto"/>
                      <w:sz w:val="21"/>
                      <w:szCs w:val="21"/>
                      <w:highlight w:val="none"/>
                      <w:lang w:val="en-US" w:eastAsia="zh-CN"/>
                    </w:rPr>
                    <w:t>严禁占用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112.956278</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28.535963</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highlight w:val="none"/>
                      <w:lang w:val="en-US" w:eastAsia="zh-CN"/>
                    </w:rPr>
                  </w:pPr>
                  <w:r>
                    <w:rPr>
                      <w:rFonts w:hint="eastAsia"/>
                      <w:highlight w:val="none"/>
                      <w:lang w:val="en-US" w:eastAsia="zh-CN"/>
                    </w:rPr>
                    <w:t>E/20</w:t>
                  </w:r>
                </w:p>
              </w:tc>
              <w:tc>
                <w:tcPr>
                  <w:tcW w:w="2253"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Calibri" w:eastAsia="宋体" w:cs="Times New Roman"/>
                      <w:color w:val="auto"/>
                      <w:sz w:val="21"/>
                      <w:szCs w:val="21"/>
                      <w:highlight w:val="none"/>
                      <w:lang w:val="en-US" w:eastAsia="zh-CN"/>
                    </w:rPr>
                  </w:pPr>
                  <w:r>
                    <w:rPr>
                      <w:rFonts w:hint="eastAsia" w:ascii="Times New Roman" w:hAnsi="Calibri" w:eastAsia="宋体" w:cs="Times New Roman"/>
                      <w:color w:val="auto"/>
                      <w:sz w:val="21"/>
                      <w:szCs w:val="21"/>
                      <w:highlight w:val="none"/>
                      <w:lang w:val="en-US" w:eastAsia="zh-CN"/>
                    </w:rPr>
                    <w:t>严禁占用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施工区域周边植被等</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kern w:val="0"/>
                      <w:sz w:val="21"/>
                      <w:szCs w:val="21"/>
                      <w:highlight w:val="none"/>
                      <w:vertAlign w:val="baseline"/>
                      <w:lang w:val="en-US" w:eastAsia="zh-CN" w:bidi="ar-SA"/>
                    </w:rPr>
                    <w:t>112.942209</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kern w:val="0"/>
                      <w:sz w:val="21"/>
                      <w:szCs w:val="21"/>
                      <w:highlight w:val="none"/>
                      <w:vertAlign w:val="baseline"/>
                      <w:lang w:val="en-US" w:eastAsia="zh-CN" w:bidi="ar-SA"/>
                    </w:rPr>
                  </w:pPr>
                  <w:r>
                    <w:rPr>
                      <w:rFonts w:hint="eastAsia"/>
                      <w:kern w:val="0"/>
                      <w:sz w:val="21"/>
                      <w:szCs w:val="21"/>
                      <w:highlight w:val="none"/>
                      <w:vertAlign w:val="baseline"/>
                      <w:lang w:val="en-US" w:eastAsia="zh-CN" w:bidi="ar-SA"/>
                    </w:rPr>
                    <w:t>28.530019</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kern w:val="0"/>
                      <w:sz w:val="18"/>
                      <w:szCs w:val="18"/>
                      <w:highlight w:val="none"/>
                      <w:lang w:val="en-US" w:eastAsia="zh-CN" w:bidi="ar-SA"/>
                    </w:rPr>
                  </w:pPr>
                  <w:r>
                    <w:rPr>
                      <w:rFonts w:hint="eastAsia"/>
                      <w:sz w:val="21"/>
                      <w:szCs w:val="21"/>
                      <w:highlight w:val="none"/>
                      <w:vertAlign w:val="baseline"/>
                      <w:lang w:val="en-US" w:eastAsia="zh-CN"/>
                    </w:rPr>
                    <w:t>施工区域周边</w:t>
                  </w:r>
                </w:p>
              </w:tc>
              <w:tc>
                <w:tcPr>
                  <w:tcW w:w="2253"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Calibri" w:eastAsia="宋体" w:cs="Times New Roman"/>
                      <w:color w:val="auto"/>
                      <w:sz w:val="21"/>
                      <w:szCs w:val="21"/>
                      <w:highlight w:val="none"/>
                      <w:lang w:val="en-US" w:eastAsia="zh-CN"/>
                    </w:rPr>
                  </w:pPr>
                  <w:r>
                    <w:rPr>
                      <w:rFonts w:hint="eastAsia" w:ascii="Times New Roman" w:hAnsi="Calibri" w:eastAsia="宋体" w:cs="Times New Roman"/>
                      <w:color w:val="auto"/>
                      <w:sz w:val="21"/>
                      <w:szCs w:val="21"/>
                      <w:highlight w:val="none"/>
                      <w:lang w:val="en-US" w:eastAsia="zh-CN"/>
                    </w:rPr>
                    <w:t>合理确定施工区域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Merge w:val="continue"/>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sz w:val="21"/>
                      <w:szCs w:val="21"/>
                      <w:highlight w:val="none"/>
                      <w:vertAlign w:val="baseline"/>
                      <w:lang w:val="en-US" w:eastAsia="zh-CN"/>
                    </w:rPr>
                  </w:pPr>
                </w:p>
              </w:tc>
              <w:tc>
                <w:tcPr>
                  <w:tcW w:w="1224"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施工区域周边动物等</w:t>
                  </w:r>
                </w:p>
              </w:tc>
              <w:tc>
                <w:tcPr>
                  <w:tcW w:w="1410"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kern w:val="0"/>
                      <w:sz w:val="21"/>
                      <w:szCs w:val="21"/>
                      <w:highlight w:val="none"/>
                      <w:vertAlign w:val="baseline"/>
                      <w:lang w:val="en-US" w:eastAsia="zh-CN" w:bidi="ar-SA"/>
                    </w:rPr>
                    <w:t>112.942209</w:t>
                  </w:r>
                </w:p>
              </w:tc>
              <w:tc>
                <w:tcPr>
                  <w:tcW w:w="1125"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highlight w:val="none"/>
                      <w:vertAlign w:val="baseline"/>
                      <w:lang w:val="en-US" w:eastAsia="zh-CN" w:bidi="ar-SA"/>
                    </w:rPr>
                  </w:pPr>
                  <w:r>
                    <w:rPr>
                      <w:rFonts w:hint="eastAsia"/>
                      <w:kern w:val="0"/>
                      <w:sz w:val="21"/>
                      <w:szCs w:val="21"/>
                      <w:highlight w:val="none"/>
                      <w:vertAlign w:val="baseline"/>
                      <w:lang w:val="en-US" w:eastAsia="zh-CN" w:bidi="ar-SA"/>
                    </w:rPr>
                    <w:t>28.530019</w:t>
                  </w:r>
                </w:p>
              </w:tc>
              <w:tc>
                <w:tcPr>
                  <w:tcW w:w="1732" w:type="dxa"/>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highlight w:val="none"/>
                      <w:lang w:val="en-US" w:eastAsia="zh-CN"/>
                    </w:rPr>
                  </w:pPr>
                  <w:r>
                    <w:rPr>
                      <w:rFonts w:hint="eastAsia"/>
                      <w:sz w:val="21"/>
                      <w:szCs w:val="21"/>
                      <w:highlight w:val="none"/>
                      <w:vertAlign w:val="baseline"/>
                      <w:lang w:val="en-US" w:eastAsia="zh-CN"/>
                    </w:rPr>
                    <w:t>施工区域周边</w:t>
                  </w:r>
                </w:p>
              </w:tc>
              <w:tc>
                <w:tcPr>
                  <w:tcW w:w="2253" w:type="dxa"/>
                  <w:gridSpan w:val="2"/>
                  <w:tcBorders>
                    <w:tl2br w:val="nil"/>
                    <w:tr2bl w:val="nil"/>
                  </w:tcBorders>
                  <w:noWrap w:val="0"/>
                  <w:vAlign w:val="center"/>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Calibri" w:eastAsia="宋体" w:cs="Times New Roman"/>
                      <w:color w:val="auto"/>
                      <w:sz w:val="21"/>
                      <w:szCs w:val="21"/>
                      <w:highlight w:val="none"/>
                      <w:lang w:val="en-US" w:eastAsia="zh-CN"/>
                    </w:rPr>
                  </w:pPr>
                  <w:r>
                    <w:rPr>
                      <w:rFonts w:hint="eastAsia" w:ascii="Times New Roman" w:hAnsi="Calibri" w:eastAsia="宋体" w:cs="Times New Roman"/>
                      <w:color w:val="auto"/>
                      <w:sz w:val="21"/>
                      <w:szCs w:val="21"/>
                      <w:highlight w:val="none"/>
                      <w:lang w:val="en-US" w:eastAsia="zh-CN"/>
                    </w:rPr>
                    <w:t>施工期间严禁猎杀</w:t>
                  </w:r>
                </w:p>
              </w:tc>
            </w:tr>
          </w:tbl>
          <w:p>
            <w:pPr>
              <w:ind w:left="0" w:leftChars="0"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92" w:type="dxa"/>
            <w:noWrap w:val="0"/>
            <w:vAlign w:val="center"/>
          </w:tcPr>
          <w:p>
            <w:pPr>
              <w:adjustRightInd w:val="0"/>
              <w:snapToGrid w:val="0"/>
              <w:ind w:left="0" w:leftChars="0" w:firstLine="0" w:firstLineChars="0"/>
              <w:jc w:val="both"/>
              <w:rPr>
                <w:rFonts w:hint="eastAsia" w:ascii="宋体" w:hAnsi="宋体" w:cs="宋体"/>
                <w:kern w:val="0"/>
                <w:szCs w:val="21"/>
              </w:rPr>
            </w:pPr>
            <w:r>
              <w:rPr>
                <w:rFonts w:hint="eastAsia" w:ascii="宋体" w:hAnsi="宋体" w:cs="宋体"/>
                <w:kern w:val="0"/>
                <w:szCs w:val="21"/>
              </w:rPr>
              <w:t>评价</w:t>
            </w:r>
          </w:p>
          <w:p>
            <w:pPr>
              <w:adjustRightInd w:val="0"/>
              <w:snapToGrid w:val="0"/>
              <w:ind w:left="0" w:leftChars="0" w:firstLine="0" w:firstLineChars="0"/>
              <w:jc w:val="both"/>
              <w:rPr>
                <w:rFonts w:ascii="宋体" w:hAnsi="宋体" w:cs="宋体"/>
                <w:kern w:val="0"/>
                <w:szCs w:val="21"/>
              </w:rPr>
            </w:pPr>
            <w:r>
              <w:rPr>
                <w:rFonts w:hint="eastAsia" w:ascii="宋体" w:hAnsi="宋体" w:cs="宋体"/>
                <w:kern w:val="0"/>
                <w:szCs w:val="21"/>
              </w:rPr>
              <w:t>标准</w:t>
            </w:r>
          </w:p>
        </w:tc>
        <w:tc>
          <w:tcPr>
            <w:tcW w:w="8665" w:type="dxa"/>
            <w:noWrap w:val="0"/>
            <w:vAlign w:val="center"/>
          </w:tcPr>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cs="Times New Roman"/>
              </w:rPr>
            </w:pPr>
            <w:r>
              <w:rPr>
                <w:rFonts w:hint="default" w:ascii="Times New Roman" w:hAnsi="Times New Roman" w:cs="Times New Roman"/>
              </w:rPr>
              <w:t>1、环境质量标准</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cs="Times New Roman"/>
                <w:lang w:eastAsia="zh-CN"/>
              </w:rPr>
            </w:pPr>
            <w:r>
              <w:rPr>
                <w:rFonts w:hint="default" w:ascii="Times New Roman" w:hAnsi="Times New Roman" w:cs="Times New Roman"/>
              </w:rPr>
              <w:t>（1）环境空气</w:t>
            </w:r>
            <w:r>
              <w:rPr>
                <w:rFonts w:hint="eastAsia" w:ascii="Times New Roman" w:hAnsi="Times New Roman" w:cs="Times New Roman"/>
                <w:lang w:eastAsia="zh-CN"/>
              </w:rPr>
              <w:t>：</w:t>
            </w:r>
            <w:r>
              <w:rPr>
                <w:rFonts w:hint="default" w:ascii="Times New Roman" w:hAnsi="Times New Roman" w:cs="Times New Roman"/>
              </w:rPr>
              <w:t>《环境空气质量标准》（GB3095-2012）中二级标准</w:t>
            </w:r>
            <w:r>
              <w:rPr>
                <w:rFonts w:hint="default" w:ascii="Times New Roman" w:hAnsi="Times New Roman" w:cs="Times New Roman"/>
                <w:lang w:eastAsia="zh-CN"/>
              </w:rPr>
              <w:t>；</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eastAsia="宋体" w:cs="Times New Roman"/>
                <w:lang w:eastAsia="zh-CN"/>
              </w:rPr>
            </w:pPr>
            <w:r>
              <w:rPr>
                <w:rFonts w:hint="default" w:ascii="Times New Roman" w:hAnsi="Times New Roman" w:cs="Times New Roman"/>
              </w:rPr>
              <w:t>（2）声环境</w:t>
            </w:r>
            <w:r>
              <w:rPr>
                <w:rFonts w:hint="eastAsia" w:ascii="Times New Roman" w:hAnsi="Times New Roman" w:cs="Times New Roman"/>
                <w:lang w:eastAsia="zh-CN"/>
              </w:rPr>
              <w:t>：</w:t>
            </w:r>
            <w:r>
              <w:rPr>
                <w:rFonts w:hint="default" w:ascii="Times New Roman" w:hAnsi="Times New Roman" w:cs="Times New Roman"/>
              </w:rPr>
              <w:t>执行《声环境质量标准》（GB3096-2008）2 类标准</w:t>
            </w:r>
            <w:r>
              <w:rPr>
                <w:rFonts w:hint="default" w:ascii="Times New Roman" w:hAnsi="Times New Roman" w:cs="Times New Roman"/>
                <w:lang w:eastAsia="zh-CN"/>
              </w:rPr>
              <w:t>；</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eastAsia="宋体" w:cs="Times New Roman"/>
                <w:lang w:eastAsia="zh-CN"/>
              </w:rPr>
            </w:pPr>
            <w:r>
              <w:rPr>
                <w:rFonts w:hint="default" w:ascii="Times New Roman" w:hAnsi="Times New Roman" w:cs="Times New Roman"/>
              </w:rPr>
              <w:t>（3）地表水环境</w:t>
            </w:r>
            <w:r>
              <w:rPr>
                <w:rFonts w:hint="eastAsia" w:ascii="Times New Roman" w:hAnsi="Times New Roman" w:cs="Times New Roman"/>
                <w:lang w:eastAsia="zh-CN"/>
              </w:rPr>
              <w:t>：</w:t>
            </w:r>
            <w:r>
              <w:rPr>
                <w:rFonts w:hint="eastAsia" w:ascii="Times New Roman" w:hAnsi="Times New Roman" w:cs="Times New Roman"/>
                <w:lang w:val="en-US" w:eastAsia="zh-CN"/>
              </w:rPr>
              <w:t>燎原水库、农灌渠为农业用水区，</w:t>
            </w:r>
            <w:r>
              <w:rPr>
                <w:rFonts w:hint="default" w:ascii="Times New Roman" w:hAnsi="Times New Roman" w:cs="Times New Roman"/>
              </w:rPr>
              <w:t>执行《地表水环境质量标准》（GB3838-2002）中Ⅲ类标准</w:t>
            </w:r>
            <w:r>
              <w:rPr>
                <w:rFonts w:hint="default" w:ascii="Times New Roman" w:hAnsi="Times New Roman" w:cs="Times New Roman"/>
                <w:lang w:eastAsia="zh-CN"/>
              </w:rPr>
              <w:t>。</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ascii="Times New Roman" w:hAnsi="Times New Roman" w:cs="Times New Roman"/>
              </w:rPr>
            </w:pPr>
            <w:r>
              <w:rPr>
                <w:rFonts w:hint="default" w:ascii="Times New Roman" w:hAnsi="Times New Roman" w:cs="Times New Roman"/>
              </w:rPr>
              <w:t>2、污染物排放标准</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cs="Times New Roman"/>
                <w:lang w:eastAsia="zh-CN"/>
              </w:rPr>
            </w:pPr>
            <w:r>
              <w:rPr>
                <w:rFonts w:hint="default" w:ascii="Times New Roman" w:hAnsi="Times New Roman" w:cs="Times New Roman"/>
              </w:rPr>
              <w:t>（1）废气</w:t>
            </w:r>
            <w:r>
              <w:rPr>
                <w:rFonts w:hint="eastAsia" w:ascii="Times New Roman" w:hAnsi="Times New Roman" w:cs="Times New Roman"/>
                <w:lang w:eastAsia="zh-CN"/>
              </w:rPr>
              <w:t>：</w:t>
            </w:r>
            <w:r>
              <w:rPr>
                <w:rFonts w:hint="default" w:ascii="Times New Roman" w:hAnsi="Times New Roman" w:cs="Times New Roman"/>
              </w:rPr>
              <w:t>废气污染物无组织排放执行《大气污染物综合排放标准》（GB16297-1996）中二级标准</w:t>
            </w:r>
            <w:r>
              <w:rPr>
                <w:rFonts w:hint="default" w:ascii="Times New Roman" w:hAnsi="Times New Roman" w:cs="Times New Roman"/>
                <w:lang w:eastAsia="zh-CN"/>
              </w:rPr>
              <w:t>；</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hint="default" w:ascii="Times New Roman" w:hAnsi="Times New Roman"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）废水：</w:t>
            </w:r>
            <w:r>
              <w:rPr>
                <w:rFonts w:hint="default" w:ascii="Times New Roman" w:hAnsi="Times New Roman" w:cs="Times New Roman"/>
                <w:lang w:val="en-US" w:eastAsia="zh-CN"/>
              </w:rPr>
              <w:t>废水不外排</w:t>
            </w:r>
          </w:p>
          <w:p>
            <w:pPr>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u w:val="none"/>
              </w:rPr>
            </w:pPr>
            <w:r>
              <w:rPr>
                <w:rFonts w:hint="default" w:ascii="Times New Roman" w:hAnsi="Times New Roman" w:cs="Times New Roman"/>
                <w:lang w:val="en-US" w:eastAsia="zh-CN"/>
              </w:rPr>
              <w:t>（3）噪声：施工期噪声</w:t>
            </w:r>
            <w:r>
              <w:rPr>
                <w:rFonts w:hint="default" w:ascii="Times New Roman" w:hAnsi="Times New Roman" w:eastAsia="宋体" w:cs="Times New Roman"/>
                <w:color w:val="auto"/>
                <w:highlight w:val="none"/>
                <w:u w:val="none"/>
              </w:rPr>
              <w:t>执行《建筑施工场界环境噪声排放标准》（GB12523-2011）；营运期噪声：</w:t>
            </w:r>
            <w:r>
              <w:rPr>
                <w:rFonts w:hint="eastAsia" w:cs="Times New Roman"/>
                <w:color w:val="auto"/>
                <w:highlight w:val="none"/>
                <w:lang w:val="en-US" w:eastAsia="zh-CN"/>
              </w:rPr>
              <w:t>场</w:t>
            </w:r>
            <w:r>
              <w:rPr>
                <w:rFonts w:hint="default" w:ascii="Times New Roman" w:hAnsi="Times New Roman" w:eastAsia="宋体" w:cs="Times New Roman"/>
                <w:color w:val="auto"/>
                <w:highlight w:val="none"/>
                <w:lang w:eastAsia="zh-CN"/>
              </w:rPr>
              <w:t>界</w:t>
            </w:r>
            <w:r>
              <w:rPr>
                <w:rFonts w:hint="default" w:ascii="Times New Roman" w:hAnsi="Times New Roman" w:eastAsia="宋体" w:cs="Times New Roman"/>
                <w:color w:val="auto"/>
                <w:highlight w:val="none"/>
                <w:u w:val="none"/>
              </w:rPr>
              <w:t>执行《工业企业厂界环境噪声排放标准》（GB12348-2008）中的</w:t>
            </w:r>
            <w:r>
              <w:rPr>
                <w:rFonts w:hint="default" w:ascii="Times New Roman" w:hAnsi="Times New Roman" w:eastAsia="宋体" w:cs="Times New Roman"/>
                <w:color w:val="auto"/>
                <w:highlight w:val="none"/>
                <w:u w:val="none"/>
                <w:lang w:val="en-US" w:eastAsia="zh-CN"/>
              </w:rPr>
              <w:t>2</w:t>
            </w:r>
            <w:r>
              <w:rPr>
                <w:rFonts w:hint="default" w:ascii="Times New Roman" w:hAnsi="Times New Roman" w:eastAsia="宋体" w:cs="Times New Roman"/>
                <w:color w:val="auto"/>
                <w:highlight w:val="none"/>
                <w:u w:val="none"/>
              </w:rPr>
              <w:t>类标准。</w:t>
            </w:r>
          </w:p>
          <w:p>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jc w:val="both"/>
              <w:textAlignment w:val="auto"/>
              <w:rPr>
                <w:rFonts w:ascii="宋体" w:hAnsi="宋体" w:cs="宋体"/>
                <w:kern w:val="0"/>
                <w:szCs w:val="21"/>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一般固废执行《一般工业固体废物贮存和填埋污染控制标准》（GB18599-20</w:t>
            </w:r>
            <w:r>
              <w:rPr>
                <w:rFonts w:hint="default" w:ascii="Times New Roman" w:hAnsi="Times New Roman" w:cs="Times New Roman"/>
                <w:color w:val="auto"/>
                <w:lang w:val="en-US" w:eastAsia="zh-CN"/>
              </w:rPr>
              <w:t>20</w:t>
            </w:r>
            <w:r>
              <w:rPr>
                <w:rFonts w:hint="default" w:ascii="Times New Roman" w:hAnsi="Times New Roman" w:cs="Times New Roman"/>
                <w:color w:val="auto"/>
              </w:rPr>
              <w:t>）；生活垃圾执行《生活垃圾填埋场污染控制标准》（GB16889-2008）。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2" w:hRule="atLeast"/>
          <w:jc w:val="center"/>
        </w:trPr>
        <w:tc>
          <w:tcPr>
            <w:tcW w:w="492" w:type="dxa"/>
            <w:noWrap w:val="0"/>
            <w:vAlign w:val="center"/>
          </w:tcPr>
          <w:p>
            <w:pPr>
              <w:adjustRightInd w:val="0"/>
              <w:snapToGrid w:val="0"/>
              <w:ind w:left="0" w:leftChars="0" w:firstLine="0" w:firstLineChars="0"/>
              <w:jc w:val="both"/>
              <w:rPr>
                <w:rFonts w:ascii="宋体" w:hAnsi="宋体" w:cs="宋体"/>
                <w:kern w:val="0"/>
                <w:szCs w:val="21"/>
              </w:rPr>
            </w:pPr>
            <w:r>
              <w:rPr>
                <w:rFonts w:hint="eastAsia" w:ascii="宋体" w:hAnsi="宋体" w:cs="宋体"/>
                <w:kern w:val="0"/>
                <w:szCs w:val="21"/>
              </w:rPr>
              <w:t>其他</w:t>
            </w:r>
          </w:p>
        </w:tc>
        <w:tc>
          <w:tcPr>
            <w:tcW w:w="8665" w:type="dxa"/>
            <w:noWrap w:val="0"/>
            <w:vAlign w:val="center"/>
          </w:tcPr>
          <w:p>
            <w:pPr>
              <w:adjustRightInd w:val="0"/>
              <w:snapToGrid w:val="0"/>
              <w:jc w:val="center"/>
              <w:rPr>
                <w:rFonts w:hint="eastAsia"/>
                <w:lang w:val="en-US" w:eastAsia="zh-CN"/>
              </w:rPr>
            </w:pPr>
          </w:p>
          <w:p>
            <w:pPr>
              <w:pStyle w:val="8"/>
              <w:rPr>
                <w:rFonts w:hint="eastAsia"/>
                <w:lang w:val="en-US" w:eastAsia="zh-CN"/>
              </w:rPr>
            </w:pPr>
          </w:p>
          <w:p>
            <w:pPr>
              <w:pStyle w:val="8"/>
              <w:rPr>
                <w:rFonts w:hint="eastAsia"/>
                <w:lang w:val="en-US" w:eastAsia="zh-CN"/>
              </w:rPr>
            </w:pPr>
          </w:p>
          <w:p>
            <w:pPr>
              <w:adjustRightInd w:val="0"/>
              <w:snapToGrid w:val="0"/>
              <w:jc w:val="center"/>
              <w:rPr>
                <w:rFonts w:hint="eastAsia"/>
                <w:lang w:val="en-US" w:eastAsia="zh-CN"/>
              </w:rPr>
            </w:pPr>
            <w:r>
              <w:rPr>
                <w:rFonts w:hint="eastAsia"/>
                <w:lang w:val="en-US" w:eastAsia="zh-CN"/>
              </w:rPr>
              <w:t>/</w:t>
            </w:r>
          </w:p>
          <w:p>
            <w:pPr>
              <w:pStyle w:val="8"/>
              <w:rPr>
                <w:rFonts w:hint="eastAsia"/>
                <w:lang w:val="en-US" w:eastAsia="zh-CN"/>
              </w:rPr>
            </w:pPr>
          </w:p>
          <w:p>
            <w:pPr>
              <w:bidi w:val="0"/>
              <w:rPr>
                <w:rFonts w:hint="eastAsia"/>
                <w:lang w:val="en-US" w:eastAsia="zh-CN"/>
              </w:rPr>
            </w:pPr>
          </w:p>
          <w:p>
            <w:pPr>
              <w:bidi w:val="0"/>
              <w:rPr>
                <w:rFonts w:hint="eastAsia"/>
                <w:lang w:val="en-US" w:eastAsia="zh-CN"/>
              </w:rPr>
            </w:pPr>
          </w:p>
        </w:tc>
      </w:tr>
    </w:tbl>
    <w:p>
      <w:pPr>
        <w:pStyle w:val="15"/>
        <w:adjustRightInd w:val="0"/>
        <w:snapToGrid w:val="0"/>
        <w:spacing w:before="0" w:beforeAutospacing="0" w:after="0" w:afterAutospacing="0" w:line="14" w:lineRule="auto"/>
        <w:jc w:val="center"/>
        <w:outlineLvl w:val="0"/>
        <w:rPr>
          <w:rFonts w:ascii="黑体" w:hAnsi="黑体" w:eastAsia="黑体"/>
          <w:snapToGrid w:val="0"/>
          <w:kern w:val="2"/>
          <w:sz w:val="36"/>
          <w:szCs w:val="36"/>
        </w:rPr>
      </w:pPr>
    </w:p>
    <w:p>
      <w:pPr>
        <w:pStyle w:val="15"/>
        <w:spacing w:line="240" w:lineRule="auto"/>
        <w:ind w:left="0" w:leftChars="0" w:firstLine="0" w:firstLineChars="0"/>
        <w:jc w:val="both"/>
        <w:outlineLvl w:val="0"/>
        <w:rPr>
          <w:rFonts w:ascii="黑体" w:hAnsi="黑体" w:eastAsia="黑体"/>
          <w:snapToGrid w:val="0"/>
          <w:sz w:val="30"/>
          <w:szCs w:val="30"/>
        </w:rPr>
      </w:pPr>
      <w:r>
        <w:rPr>
          <w:rFonts w:ascii="黑体" w:hAnsi="黑体" w:eastAsia="黑体"/>
          <w:snapToGrid w:val="0"/>
          <w:kern w:val="2"/>
          <w:sz w:val="36"/>
          <w:szCs w:val="36"/>
        </w:rPr>
        <w:br w:type="page"/>
      </w:r>
      <w:bookmarkStart w:id="53" w:name="_Toc23245"/>
      <w:r>
        <w:rPr>
          <w:rFonts w:hint="eastAsia" w:ascii="黑体" w:hAnsi="黑体" w:eastAsia="黑体"/>
          <w:snapToGrid w:val="0"/>
          <w:sz w:val="30"/>
          <w:szCs w:val="30"/>
        </w:rPr>
        <w:t>四、生态环境影响分析</w:t>
      </w:r>
      <w:bookmarkEnd w:id="53"/>
    </w:p>
    <w:tbl>
      <w:tblPr>
        <w:tblStyle w:val="18"/>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7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06" w:hRule="atLeast"/>
          <w:jc w:val="center"/>
        </w:trPr>
        <w:tc>
          <w:tcPr>
            <w:tcW w:w="484" w:type="dxa"/>
            <w:noWrap w:val="0"/>
            <w:tcMar>
              <w:left w:w="28" w:type="dxa"/>
              <w:right w:w="28" w:type="dxa"/>
            </w:tcMar>
            <w:vAlign w:val="center"/>
          </w:tcPr>
          <w:p>
            <w:pPr>
              <w:pStyle w:val="15"/>
              <w:adjustRightInd w:val="0"/>
              <w:snapToGrid w:val="0"/>
              <w:spacing w:before="0" w:beforeAutospacing="0" w:after="0" w:afterAutospacing="0"/>
              <w:ind w:left="0" w:leftChars="0" w:firstLine="0" w:firstLineChars="0"/>
              <w:jc w:val="center"/>
              <w:rPr>
                <w:rFonts w:hint="default" w:ascii="Times New Roman" w:hAnsi="Times New Roman" w:cs="Times New Roman"/>
                <w:bCs/>
                <w:kern w:val="2"/>
                <w:sz w:val="21"/>
                <w:szCs w:val="21"/>
              </w:rPr>
            </w:pPr>
            <w:bookmarkStart w:id="54" w:name="_Hlk49796138"/>
            <w:r>
              <w:rPr>
                <w:rFonts w:hint="default" w:ascii="Times New Roman" w:hAnsi="Times New Roman" w:cs="Times New Roman"/>
                <w:bCs/>
                <w:spacing w:val="10"/>
                <w:kern w:val="2"/>
                <w:sz w:val="21"/>
                <w:szCs w:val="21"/>
              </w:rPr>
              <w:t>施工期生态环境影响分析</w:t>
            </w:r>
            <w:bookmarkEnd w:id="54"/>
          </w:p>
        </w:tc>
        <w:tc>
          <w:tcPr>
            <w:tcW w:w="8758" w:type="dxa"/>
            <w:noWrap w:val="0"/>
            <w:vAlign w:val="top"/>
          </w:tcPr>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项目施工期的环境影响主要包括施工废水、废气、噪声和固废对当地地表水、大气环境及声学环境的影响，同时施工期还存在一定的社会环境影响。本项目其主要影响集中于施工期，施工期结束后这些影响会随之消失。</w:t>
            </w:r>
          </w:p>
          <w:p>
            <w:pPr>
              <w:bidi w:val="0"/>
              <w:rPr>
                <w:rFonts w:hint="default" w:ascii="Times New Roman" w:hAnsi="Times New Roman" w:cs="Times New Roman"/>
                <w:b/>
                <w:bCs/>
                <w:lang w:val="en-US" w:eastAsia="zh-CN"/>
              </w:rPr>
            </w:pPr>
            <w:r>
              <w:rPr>
                <w:rFonts w:hint="eastAsia" w:ascii="Times New Roman" w:hAnsi="Times New Roman" w:cs="Times New Roman"/>
                <w:b/>
                <w:bCs/>
                <w:lang w:val="en-US" w:eastAsia="zh-CN"/>
              </w:rPr>
              <w:t>4.1</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施工期废水影响分析</w:t>
            </w:r>
          </w:p>
          <w:p>
            <w:pPr>
              <w:bidi w:val="0"/>
              <w:rPr>
                <w:rFonts w:hint="default" w:ascii="Times New Roman" w:hAnsi="Times New Roman" w:cs="Times New Roman"/>
                <w:lang w:val="en-US" w:eastAsia="zh-CN"/>
              </w:rPr>
            </w:pPr>
            <w:r>
              <w:rPr>
                <w:rFonts w:hint="eastAsia" w:cs="Times New Roman"/>
                <w:lang w:val="en-US" w:eastAsia="zh-CN"/>
              </w:rPr>
              <w:t>1、</w:t>
            </w:r>
            <w:r>
              <w:rPr>
                <w:rFonts w:hint="default" w:ascii="Times New Roman" w:hAnsi="Times New Roman" w:cs="Times New Roman"/>
                <w:lang w:val="en-US" w:eastAsia="zh-CN"/>
              </w:rPr>
              <w:t>对水文情势的影响</w:t>
            </w:r>
          </w:p>
          <w:p>
            <w:pPr>
              <w:bidi w:val="0"/>
              <w:rPr>
                <w:rFonts w:hint="default"/>
                <w:lang w:val="en-US" w:eastAsia="zh-CN"/>
              </w:rPr>
            </w:pPr>
            <w:r>
              <w:rPr>
                <w:rFonts w:hint="default" w:ascii="Times New Roman" w:hAnsi="Times New Roman" w:cs="Times New Roman"/>
                <w:lang w:val="en-US" w:eastAsia="zh-CN"/>
              </w:rPr>
              <w:t>本项目</w:t>
            </w:r>
            <w:r>
              <w:rPr>
                <w:rFonts w:hint="default"/>
                <w:lang w:val="en-US" w:eastAsia="zh-CN"/>
              </w:rPr>
              <w:t>为水库除险加固，施工范围主要集中在水库大坝周围，由于是在已经建成的水库大坝上进行修缮、改造和维护，涉及水域的工程量很少，工程施工不会对水库上下游水文情势产生影响。</w:t>
            </w:r>
          </w:p>
          <w:p>
            <w:pPr>
              <w:bidi w:val="0"/>
              <w:rPr>
                <w:rFonts w:hint="default"/>
                <w:lang w:val="en-US" w:eastAsia="zh-CN"/>
              </w:rPr>
            </w:pPr>
            <w:r>
              <w:rPr>
                <w:rFonts w:hint="eastAsia"/>
                <w:lang w:val="en-US" w:eastAsia="zh-CN"/>
              </w:rPr>
              <w:t>2、</w:t>
            </w:r>
            <w:r>
              <w:rPr>
                <w:rFonts w:hint="default"/>
                <w:lang w:val="en-US" w:eastAsia="zh-CN"/>
              </w:rPr>
              <w:t>对水库水质的影响</w:t>
            </w:r>
          </w:p>
          <w:p>
            <w:pPr>
              <w:bidi w:val="0"/>
              <w:rPr>
                <w:rFonts w:hint="default"/>
                <w:lang w:val="en-US" w:eastAsia="zh-CN"/>
              </w:rPr>
            </w:pPr>
            <w:r>
              <w:rPr>
                <w:rFonts w:hint="default"/>
                <w:lang w:val="en-US" w:eastAsia="zh-CN"/>
              </w:rPr>
              <w:t>施工期对水库水质产生影响主要为施工扰动及施工污（废）水的排放。</w:t>
            </w:r>
          </w:p>
          <w:p>
            <w:pPr>
              <w:bidi w:val="0"/>
            </w:pPr>
            <w:r>
              <w:rPr>
                <w:rFonts w:hint="eastAsia"/>
                <w:lang w:val="en-US" w:eastAsia="zh-CN"/>
              </w:rPr>
              <w:t>（</w:t>
            </w:r>
            <w:r>
              <w:rPr>
                <w:rFonts w:hint="default"/>
                <w:lang w:val="en-US" w:eastAsia="zh-CN"/>
              </w:rPr>
              <w:t>1</w:t>
            </w:r>
            <w:r>
              <w:rPr>
                <w:rFonts w:hint="eastAsia"/>
                <w:lang w:val="en-US" w:eastAsia="zh-CN"/>
              </w:rPr>
              <w:t>）施工扰动对地表水体的影响</w:t>
            </w:r>
          </w:p>
          <w:p>
            <w:pPr>
              <w:bidi w:val="0"/>
            </w:pPr>
            <w:r>
              <w:rPr>
                <w:rFonts w:hint="eastAsia"/>
                <w:lang w:val="en-US" w:eastAsia="zh-CN"/>
              </w:rPr>
              <w:t>围堰修建及拆除等施工时，会扰动库底水使底泥浮起，造成局部河段悬浮物增加，水变混浊，会在一定程度上导致水质的下降。由于围堰在枯水期进行修筑，且可以很快合拢，施工时间相对较短，在除险加固完成后，河流悬浮物浓度很快就可以恢复原状。因此，由于施工扰动而造成的水体悬浮物浓度增大时段很短，不会对水环境造成显著的不利影响。</w:t>
            </w:r>
          </w:p>
          <w:p>
            <w:pPr>
              <w:bidi w:val="0"/>
            </w:pPr>
            <w:r>
              <w:rPr>
                <w:rFonts w:hint="eastAsia"/>
                <w:lang w:val="en-US" w:eastAsia="zh-CN"/>
              </w:rPr>
              <w:t>（</w:t>
            </w:r>
            <w:r>
              <w:rPr>
                <w:rFonts w:hint="default"/>
                <w:lang w:val="en-US" w:eastAsia="zh-CN"/>
              </w:rPr>
              <w:t>2</w:t>
            </w:r>
            <w:r>
              <w:rPr>
                <w:rFonts w:hint="eastAsia"/>
                <w:lang w:val="en-US" w:eastAsia="zh-CN"/>
              </w:rPr>
              <w:t>）施工期污（废）水排放影响</w:t>
            </w:r>
          </w:p>
          <w:p>
            <w:pPr>
              <w:bidi w:val="0"/>
            </w:pPr>
            <w:r>
              <w:rPr>
                <w:rFonts w:hint="eastAsia"/>
                <w:lang w:val="en-US" w:eastAsia="zh-CN"/>
              </w:rPr>
              <w:t>本项目使用商品混凝土，不产生混凝土搅拌废水，施工废水主要来源于施工生产废水及施工生活污水。施工生产废水主要为基坑废水、施工机械和车辆的含油冲洗废水等。</w:t>
            </w:r>
          </w:p>
          <w:p>
            <w:pPr>
              <w:bidi w:val="0"/>
            </w:pPr>
            <w:r>
              <w:rPr>
                <w:rFonts w:hint="default"/>
                <w:lang w:val="en-US" w:eastAsia="zh-CN"/>
              </w:rPr>
              <w:t>A.</w:t>
            </w:r>
            <w:r>
              <w:rPr>
                <w:rFonts w:hint="eastAsia"/>
                <w:lang w:val="en-US" w:eastAsia="zh-CN"/>
              </w:rPr>
              <w:t>基坑废水</w:t>
            </w:r>
          </w:p>
          <w:p>
            <w:pPr>
              <w:bidi w:val="0"/>
            </w:pPr>
            <w:r>
              <w:rPr>
                <w:rFonts w:hint="eastAsia"/>
                <w:lang w:val="en-US" w:eastAsia="zh-CN"/>
              </w:rPr>
              <w:t>主要产生在工程施工过程中，基坑水主要为基坑渗水和降雨集水，当不混入生产废水时，基坑水质较好可直接排放。但当与施工废水混合，会使得基坑中悬浮物浓度偏高，浓度一般在</w:t>
            </w:r>
            <w:r>
              <w:rPr>
                <w:rFonts w:hint="default"/>
                <w:lang w:val="en-US" w:eastAsia="zh-CN"/>
              </w:rPr>
              <w:t>1000mg/L</w:t>
            </w:r>
            <w:r>
              <w:rPr>
                <w:rFonts w:hint="eastAsia"/>
                <w:lang w:val="en-US" w:eastAsia="zh-CN"/>
              </w:rPr>
              <w:t>以上，如果直接排放将对排入水域水质产生不利影响。</w:t>
            </w:r>
          </w:p>
          <w:p>
            <w:pPr>
              <w:bidi w:val="0"/>
            </w:pPr>
            <w:r>
              <w:rPr>
                <w:rFonts w:hint="default"/>
                <w:lang w:val="en-US" w:eastAsia="zh-CN"/>
              </w:rPr>
              <w:t>B.</w:t>
            </w:r>
            <w:r>
              <w:rPr>
                <w:rFonts w:hint="eastAsia"/>
                <w:lang w:val="en-US" w:eastAsia="zh-CN"/>
              </w:rPr>
              <w:t>施工中机械油类废水</w:t>
            </w:r>
          </w:p>
          <w:p>
            <w:pPr>
              <w:bidi w:val="0"/>
            </w:pPr>
            <w:r>
              <w:rPr>
                <w:rFonts w:hint="eastAsia"/>
                <w:lang w:val="en-US" w:eastAsia="zh-CN"/>
              </w:rPr>
              <w:t>项目施工场地内不设置机械维修站，但机械保养和冲洗会产生一定量的含油废水。废水中悬浮物和石油类物质含量高，浓度分别为</w:t>
            </w:r>
            <w:r>
              <w:rPr>
                <w:rFonts w:hint="default"/>
                <w:lang w:val="en-US" w:eastAsia="zh-CN"/>
              </w:rPr>
              <w:t>1000mg/L</w:t>
            </w:r>
            <w:r>
              <w:rPr>
                <w:rFonts w:hint="eastAsia"/>
                <w:lang w:val="en-US" w:eastAsia="zh-CN"/>
              </w:rPr>
              <w:t>、</w:t>
            </w:r>
            <w:r>
              <w:rPr>
                <w:rFonts w:hint="default"/>
                <w:lang w:val="en-US" w:eastAsia="zh-CN"/>
              </w:rPr>
              <w:t>30mg/L</w:t>
            </w:r>
            <w:r>
              <w:rPr>
                <w:rFonts w:hint="eastAsia"/>
                <w:lang w:val="en-US" w:eastAsia="zh-CN"/>
              </w:rPr>
              <w:t>。含油废水直接排入水体，在水体表面会形成油膜，造成水中溶解氧不易恢复，影响水质；若随意排放进入土壤，会降低土壤肥力，改变土壤结构，不利施工场地的恢复。</w:t>
            </w:r>
          </w:p>
          <w:p>
            <w:pPr>
              <w:bidi w:val="0"/>
            </w:pPr>
            <w:r>
              <w:rPr>
                <w:rFonts w:hint="default"/>
                <w:lang w:val="en-US" w:eastAsia="zh-CN"/>
              </w:rPr>
              <w:t>C.</w:t>
            </w:r>
            <w:r>
              <w:rPr>
                <w:rFonts w:hint="eastAsia"/>
                <w:lang w:val="en-US" w:eastAsia="zh-CN"/>
              </w:rPr>
              <w:t>生活污水</w:t>
            </w:r>
          </w:p>
          <w:p>
            <w:pPr>
              <w:bidi w:val="0"/>
              <w:rPr>
                <w:rFonts w:hint="eastAsia" w:ascii="宋体" w:hAnsi="宋体" w:eastAsia="宋体" w:cs="宋体"/>
                <w:sz w:val="24"/>
                <w:szCs w:val="24"/>
                <w:lang w:eastAsia="zh-CN"/>
              </w:rPr>
            </w:pPr>
            <w:r>
              <w:rPr>
                <w:rFonts w:hint="eastAsia"/>
                <w:lang w:val="en-US" w:eastAsia="zh-CN"/>
              </w:rPr>
              <w:t>本工程施工高峰期施工人员数量在160人左右，预计施工期间生活污水排放量较大，</w:t>
            </w:r>
            <w:r>
              <w:rPr>
                <w:rFonts w:hint="default" w:ascii="Times New Roman" w:hAnsi="Times New Roman" w:cs="Times New Roman"/>
                <w:lang w:val="en-US" w:eastAsia="zh-CN"/>
              </w:rPr>
              <w:t>本项目施工人员为周边村庄居民，住宿于周边村庄内本项目场地内不设施工生活区</w:t>
            </w:r>
            <w:r>
              <w:rPr>
                <w:rFonts w:hint="eastAsia" w:ascii="Times New Roman" w:hAnsi="Times New Roman" w:cs="Times New Roman"/>
                <w:lang w:val="en-US" w:eastAsia="zh-CN"/>
              </w:rPr>
              <w:t>，</w:t>
            </w:r>
            <w:r>
              <w:rPr>
                <w:rFonts w:hint="eastAsia"/>
                <w:lang w:val="en-US" w:eastAsia="zh-CN"/>
              </w:rPr>
              <w:t>生活污水的污染物为COD</w:t>
            </w:r>
            <w:r>
              <w:rPr>
                <w:rFonts w:hint="eastAsia"/>
                <w:vertAlign w:val="subscript"/>
                <w:lang w:val="en-US" w:eastAsia="zh-CN"/>
              </w:rPr>
              <w:t>cr</w:t>
            </w:r>
            <w:r>
              <w:rPr>
                <w:rFonts w:hint="eastAsia"/>
                <w:lang w:val="en-US" w:eastAsia="zh-CN"/>
              </w:rPr>
              <w:t>、BOD</w:t>
            </w:r>
            <w:r>
              <w:rPr>
                <w:rFonts w:hint="eastAsia"/>
                <w:vertAlign w:val="subscript"/>
                <w:lang w:val="en-US" w:eastAsia="zh-CN"/>
              </w:rPr>
              <w:t>5</w:t>
            </w:r>
            <w:r>
              <w:rPr>
                <w:rFonts w:hint="eastAsia"/>
                <w:lang w:val="en-US" w:eastAsia="zh-CN"/>
              </w:rPr>
              <w:t>、</w:t>
            </w:r>
            <w:r>
              <w:rPr>
                <w:rFonts w:hint="default"/>
                <w:lang w:val="en-US" w:eastAsia="zh-CN"/>
              </w:rPr>
              <w:t>SS</w:t>
            </w:r>
            <w:r>
              <w:rPr>
                <w:rFonts w:hint="eastAsia"/>
                <w:lang w:val="en-US" w:eastAsia="zh-CN"/>
              </w:rPr>
              <w:t>和氨氮，其浓度分别为</w:t>
            </w:r>
            <w:r>
              <w:rPr>
                <w:rFonts w:hint="default"/>
                <w:lang w:val="en-US" w:eastAsia="zh-CN"/>
              </w:rPr>
              <w:t>250mg/L</w:t>
            </w:r>
            <w:r>
              <w:rPr>
                <w:rFonts w:hint="eastAsia"/>
                <w:lang w:val="en-US" w:eastAsia="zh-CN"/>
              </w:rPr>
              <w:t>、</w:t>
            </w:r>
            <w:r>
              <w:rPr>
                <w:rFonts w:hint="default"/>
                <w:lang w:val="en-US" w:eastAsia="zh-CN"/>
              </w:rPr>
              <w:t>100mg/L</w:t>
            </w:r>
            <w:r>
              <w:rPr>
                <w:rFonts w:hint="eastAsia"/>
                <w:lang w:val="en-US" w:eastAsia="zh-CN"/>
              </w:rPr>
              <w:t>、</w:t>
            </w:r>
            <w:r>
              <w:rPr>
                <w:rFonts w:hint="default"/>
                <w:lang w:val="en-US" w:eastAsia="zh-CN"/>
              </w:rPr>
              <w:t>100mg/L</w:t>
            </w:r>
            <w:r>
              <w:rPr>
                <w:rFonts w:hint="eastAsia"/>
                <w:lang w:val="en-US" w:eastAsia="zh-CN"/>
              </w:rPr>
              <w:t>、</w:t>
            </w:r>
            <w:r>
              <w:rPr>
                <w:rFonts w:hint="default"/>
                <w:lang w:val="en-US" w:eastAsia="zh-CN"/>
              </w:rPr>
              <w:t>25mg/L</w:t>
            </w:r>
            <w:r>
              <w:rPr>
                <w:rFonts w:hint="eastAsia"/>
                <w:lang w:val="en-US" w:eastAsia="zh-CN"/>
              </w:rPr>
              <w:t>，</w:t>
            </w:r>
            <w:r>
              <w:rPr>
                <w:rFonts w:ascii="宋体" w:hAnsi="宋体" w:eastAsia="宋体" w:cs="宋体"/>
                <w:spacing w:val="-1"/>
                <w:sz w:val="24"/>
                <w:szCs w:val="24"/>
              </w:rPr>
              <w:t>由于本工</w:t>
            </w:r>
            <w:r>
              <w:rPr>
                <w:rFonts w:ascii="宋体" w:hAnsi="宋体" w:eastAsia="宋体" w:cs="宋体"/>
                <w:sz w:val="24"/>
                <w:szCs w:val="24"/>
              </w:rPr>
              <w:t>程临时办公、生活区主要租用当地闲置民房和水库管理所，施工人员产生的生</w:t>
            </w:r>
            <w:r>
              <w:rPr>
                <w:rFonts w:ascii="宋体" w:hAnsi="宋体" w:eastAsia="宋体" w:cs="宋体"/>
                <w:spacing w:val="1"/>
                <w:sz w:val="24"/>
                <w:szCs w:val="24"/>
              </w:rPr>
              <w:t>活污水排入现有的纳污设施进行处理，对納</w:t>
            </w:r>
            <w:r>
              <w:rPr>
                <w:rFonts w:ascii="宋体" w:hAnsi="宋体" w:eastAsia="宋体" w:cs="宋体"/>
                <w:sz w:val="24"/>
                <w:szCs w:val="24"/>
              </w:rPr>
              <w:t>污水质影响较小</w:t>
            </w:r>
            <w:r>
              <w:rPr>
                <w:rFonts w:hint="eastAsia" w:ascii="宋体" w:hAnsi="宋体" w:eastAsia="宋体" w:cs="宋体"/>
                <w:sz w:val="24"/>
                <w:szCs w:val="24"/>
                <w:lang w:eastAsia="zh-CN"/>
              </w:rPr>
              <w:t>。</w:t>
            </w:r>
          </w:p>
          <w:p>
            <w:pPr>
              <w:bidi w:val="0"/>
            </w:pPr>
            <w:r>
              <w:rPr>
                <w:rFonts w:hint="eastAsia"/>
                <w:lang w:val="en-US" w:eastAsia="zh-CN"/>
              </w:rPr>
              <w:t>（</w:t>
            </w:r>
            <w:r>
              <w:rPr>
                <w:rFonts w:hint="default"/>
                <w:lang w:val="en-US" w:eastAsia="zh-CN"/>
              </w:rPr>
              <w:t>3</w:t>
            </w:r>
            <w:r>
              <w:rPr>
                <w:rFonts w:hint="eastAsia"/>
                <w:lang w:val="en-US" w:eastAsia="zh-CN"/>
              </w:rPr>
              <w:t>）施工期地下水环境影响分析</w:t>
            </w:r>
          </w:p>
          <w:p>
            <w:pPr>
              <w:bidi w:val="0"/>
            </w:pPr>
            <w:r>
              <w:rPr>
                <w:rFonts w:hint="eastAsia"/>
                <w:lang w:val="en-US" w:eastAsia="zh-CN"/>
              </w:rPr>
              <w:t>项目场地地下水类型主要为基岩裂隙水，基岩裂隙水主要沿岩体裂隙带分布，空间分布不均匀，由大气降水提供补给，水量较小，地下水不发育。施工期对地下水的影响表现为地下水水位及水质的影响。</w:t>
            </w:r>
          </w:p>
          <w:p>
            <w:pPr>
              <w:bidi w:val="0"/>
            </w:pPr>
            <w:r>
              <w:rPr>
                <w:rFonts w:hint="eastAsia"/>
                <w:lang w:val="en-US" w:eastAsia="zh-CN"/>
              </w:rPr>
              <w:t>水位的影响：项目为水库除险加固项目，开挖过程中开挖量及开挖深度均较小，不会遇到稳定地下水，另外水库除险加固对坝基渗漏情况有所改善，且水库运行多年，水库蓄水对当地地下水的补给作用相对稳定，因此，项目对地下水位的影响并不显著。</w:t>
            </w:r>
          </w:p>
          <w:p>
            <w:pPr>
              <w:bidi w:val="0"/>
            </w:pPr>
            <w:r>
              <w:rPr>
                <w:rFonts w:hint="eastAsia"/>
                <w:lang w:val="en-US" w:eastAsia="zh-CN"/>
              </w:rPr>
              <w:t>水质的影响：工程施工期间对地表水水质的影响较小，且影响时间短，在采取减缓措施后，不会造成地表水水质污染，因此补给作用也不会引起地下水水质的变化。</w:t>
            </w:r>
          </w:p>
          <w:p>
            <w:pPr>
              <w:bidi w:val="0"/>
            </w:pPr>
            <w:r>
              <w:rPr>
                <w:rFonts w:hint="eastAsia"/>
                <w:lang w:val="en-US" w:eastAsia="zh-CN"/>
              </w:rPr>
              <w:t>因此，本项目施工没有对区域地下水环境造成明显的影响。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eastAsia" w:ascii="Times New Roman" w:hAnsi="Times New Roman" w:cs="Times New Roman"/>
                <w:b/>
                <w:bCs/>
                <w:lang w:val="en-US" w:eastAsia="zh-CN"/>
              </w:rPr>
              <w:t>4.2</w:t>
            </w:r>
            <w:r>
              <w:rPr>
                <w:rFonts w:hint="default" w:ascii="Times New Roman" w:hAnsi="Times New Roman" w:cs="Times New Roman"/>
                <w:b/>
                <w:bCs/>
              </w:rPr>
              <w:t>施工期的大气环境影响分析</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项目施工期间对环境空气的污染主要来自施工扬尘、施工机械废气</w:t>
            </w:r>
            <w:r>
              <w:rPr>
                <w:rFonts w:hint="eastAsia" w:ascii="Times New Roman" w:hAnsi="Times New Roman" w:cs="Times New Roman"/>
                <w:lang w:eastAsia="zh-CN"/>
              </w:rPr>
              <w:t>、</w:t>
            </w:r>
            <w:r>
              <w:rPr>
                <w:rFonts w:hint="default" w:ascii="Times New Roman" w:hAnsi="Times New Roman" w:cs="Times New Roman"/>
              </w:rPr>
              <w:t>运输车辆行驶动力起尘</w:t>
            </w:r>
            <w:r>
              <w:rPr>
                <w:rFonts w:hint="eastAsia" w:ascii="Times New Roman" w:hAnsi="Times New Roman" w:cs="Times New Roman"/>
                <w:lang w:eastAsia="zh-CN"/>
              </w:rPr>
              <w:t>、</w:t>
            </w:r>
            <w:r>
              <w:rPr>
                <w:rFonts w:hint="default" w:ascii="Times New Roman" w:hAnsi="Times New Roman" w:cs="Times New Roman"/>
              </w:rPr>
              <w:t>临时木材、钢材加工厂切割粉尘</w:t>
            </w:r>
            <w:r>
              <w:rPr>
                <w:rFonts w:hint="eastAsia" w:ascii="Times New Roman" w:hAnsi="Times New Roman" w:cs="Times New Roman"/>
                <w:lang w:eastAsia="zh-CN"/>
              </w:rPr>
              <w:t>、</w:t>
            </w:r>
            <w:r>
              <w:rPr>
                <w:rFonts w:hint="default"/>
                <w:lang w:val="en-US" w:eastAsia="zh-CN"/>
              </w:rPr>
              <w:t>建筑物拆除扬尘</w:t>
            </w:r>
            <w:r>
              <w:rPr>
                <w:rFonts w:hint="default" w:ascii="Times New Roman" w:hAnsi="Times New Roman" w:cs="Times New Roman"/>
                <w:lang w:eastAsia="zh-CN"/>
              </w:rPr>
              <w:t>。</w:t>
            </w:r>
          </w:p>
          <w:p>
            <w:pPr>
              <w:pStyle w:val="15"/>
              <w:keepNext w:val="0"/>
              <w:keepLines w:val="0"/>
              <w:widowControl/>
              <w:numPr>
                <w:ilvl w:val="0"/>
                <w:numId w:val="6"/>
              </w:numPr>
              <w:suppressLineNumbers w:val="0"/>
              <w:spacing w:before="0" w:beforeAutospacing="0" w:after="0" w:afterAutospacing="0"/>
              <w:ind w:left="720" w:leftChars="0" w:right="0" w:firstLine="0" w:firstLineChars="0"/>
              <w:rPr>
                <w:rFonts w:hint="default" w:ascii="Times New Roman" w:hAnsi="Times New Roman" w:cs="Times New Roman"/>
              </w:rPr>
            </w:pPr>
            <w:r>
              <w:rPr>
                <w:rFonts w:hint="default" w:ascii="Times New Roman" w:hAnsi="Times New Roman" w:cs="Times New Roman"/>
              </w:rPr>
              <w:t>施工扬尘</w:t>
            </w:r>
          </w:p>
          <w:p>
            <w:pPr>
              <w:bidi w:val="0"/>
              <w:rPr>
                <w:rFonts w:hint="default"/>
                <w:lang w:eastAsia="zh-CN"/>
              </w:rPr>
            </w:pPr>
            <w:r>
              <w:rPr>
                <w:rFonts w:hint="default"/>
              </w:rPr>
              <w:t>施工扬尘污染主要成大气中TSP值增高，根据类比资料，施工扬尘的起尘量与许多因素有关。施工扬尘一般来源于以下几方面</w:t>
            </w:r>
            <w:r>
              <w:rPr>
                <w:rFonts w:hint="default"/>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eastAsia="宋体" w:cs="Times New Roman"/>
                <w:lang w:eastAsia="zh-CN"/>
              </w:rPr>
            </w:pPr>
            <w:r>
              <w:rPr>
                <w:rFonts w:hint="eastAsia" w:ascii="Times New Roman" w:hAnsi="Times New Roman" w:cs="Times New Roman"/>
                <w:lang w:val="en-US" w:eastAsia="zh-CN"/>
              </w:rPr>
              <w:t>土石方</w:t>
            </w:r>
            <w:r>
              <w:rPr>
                <w:rFonts w:hint="default" w:ascii="Times New Roman" w:hAnsi="Times New Roman" w:cs="Times New Roman"/>
              </w:rPr>
              <w:t>开挖过程中由于临时弃土的堆放以及弃土在清运过程中，因风力作用而产生的扬尘污染</w:t>
            </w:r>
            <w:r>
              <w:rPr>
                <w:rFonts w:hint="eastAsia" w:ascii="Times New Roman" w:hAnsi="Times New Roman" w:cs="Times New Roman"/>
                <w:lang w:eastAsia="zh-CN"/>
              </w:rPr>
              <w:t>，</w:t>
            </w:r>
            <w:r>
              <w:rPr>
                <w:rFonts w:hint="eastAsia" w:ascii="Times New Roman" w:hAnsi="Times New Roman" w:cs="Times New Roman"/>
                <w:lang w:val="en-US" w:eastAsia="zh-CN"/>
              </w:rPr>
              <w:t>堆场扬尘</w:t>
            </w:r>
            <w:r>
              <w:rPr>
                <w:rFonts w:hint="default" w:ascii="Times New Roman" w:hAnsi="Times New Roman" w:cs="Times New Roman"/>
                <w:lang w:eastAsia="zh-CN"/>
              </w:rPr>
              <w:t>；</w:t>
            </w:r>
            <w:r>
              <w:rPr>
                <w:rFonts w:hint="default" w:ascii="Times New Roman" w:hAnsi="Times New Roman" w:cs="Times New Roman"/>
              </w:rPr>
              <w:t>在气候干燥又有风的情况下，上述情况均会产生扬尘，其</w:t>
            </w:r>
            <w:r>
              <w:rPr>
                <w:rFonts w:hint="eastAsia" w:ascii="Times New Roman" w:hAnsi="Times New Roman" w:cs="Times New Roman"/>
                <w:lang w:val="en-US" w:eastAsia="zh-CN"/>
              </w:rPr>
              <w:t>管沟开挖</w:t>
            </w:r>
            <w:r>
              <w:rPr>
                <w:rFonts w:hint="default" w:ascii="Times New Roman" w:hAnsi="Times New Roman" w:cs="Times New Roman"/>
              </w:rPr>
              <w:t>扬尘量可按堆放场起尘的经验公式计算</w:t>
            </w:r>
            <w:r>
              <w:rPr>
                <w:rFonts w:hint="default" w:ascii="Times New Roman" w:hAnsi="Times New Roman" w:cs="Times New Roman"/>
                <w:lang w:eastAsia="zh-CN"/>
              </w:rPr>
              <w:t>：</w:t>
            </w:r>
          </w:p>
          <w:p>
            <w:pPr>
              <w:pStyle w:val="15"/>
              <w:keepNext w:val="0"/>
              <w:keepLines w:val="0"/>
              <w:widowControl/>
              <w:numPr>
                <w:ilvl w:val="0"/>
                <w:numId w:val="0"/>
              </w:numPr>
              <w:suppressLineNumbers w:val="0"/>
              <w:spacing w:before="0" w:beforeAutospacing="0" w:after="0" w:afterAutospacing="0"/>
              <w:ind w:leftChars="200" w:right="0" w:rightChars="0"/>
              <w:rPr>
                <w:rFonts w:hint="default" w:ascii="Times New Roman" w:hAnsi="Times New Roman" w:cs="Times New Roman"/>
              </w:rPr>
            </w:pPr>
            <w:r>
              <w:rPr>
                <w:rFonts w:hint="default" w:ascii="Times New Roman" w:hAnsi="Times New Roman" w:cs="Times New Roman"/>
              </w:rPr>
              <w:drawing>
                <wp:inline distT="0" distB="0" distL="114300" distR="114300">
                  <wp:extent cx="3371850" cy="370205"/>
                  <wp:effectExtent l="0" t="0" r="0" b="1079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a:srcRect t="22549" b="20294"/>
                          <a:stretch>
                            <a:fillRect/>
                          </a:stretch>
                        </pic:blipFill>
                        <pic:spPr>
                          <a:xfrm>
                            <a:off x="0" y="0"/>
                            <a:ext cx="3371850" cy="370205"/>
                          </a:xfrm>
                          <a:prstGeom prst="rect">
                            <a:avLst/>
                          </a:prstGeom>
                          <a:noFill/>
                          <a:ln>
                            <a:noFill/>
                          </a:ln>
                        </pic:spPr>
                      </pic:pic>
                    </a:graphicData>
                  </a:graphic>
                </wp:inline>
              </w:drawing>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式中</w:t>
            </w:r>
            <w:r>
              <w:rPr>
                <w:rFonts w:hint="default" w:ascii="Times New Roman" w:hAnsi="Times New Roman" w:cs="Times New Roman"/>
                <w:lang w:eastAsia="zh-CN"/>
              </w:rPr>
              <w:t>：</w:t>
            </w:r>
            <w:r>
              <w:rPr>
                <w:rFonts w:hint="default" w:ascii="Times New Roman" w:hAnsi="Times New Roman" w:cs="Times New Roman"/>
              </w:rPr>
              <w:t>Q—起尘量，kg/t·a</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V50—距地面50m处风速，m/s</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V0—起尘风速，m/s</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W—尘粒含水率，%。</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V0与粒径和含水率有关，</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因此减少弃土的露天堆放时间、保证弃土中一定的含水率是减少风力起尘的有效手段。</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据有关资料，尘粒在空气中的传播扩散情况与风速等气象条件有关，也与尘粒本身的沉降速度有关。不同尘粒的沉降速度见表</w:t>
            </w:r>
            <w:r>
              <w:rPr>
                <w:rFonts w:hint="default" w:ascii="Times New Roman" w:hAnsi="Times New Roman" w:cs="Times New Roman"/>
                <w:lang w:val="en-US" w:eastAsia="zh-CN"/>
              </w:rPr>
              <w:t>4</w:t>
            </w:r>
            <w:r>
              <w:rPr>
                <w:rFonts w:hint="default" w:ascii="Times New Roman" w:hAnsi="Times New Roman" w:cs="Times New Roman"/>
              </w:rPr>
              <w:t>-1。</w:t>
            </w:r>
          </w:p>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表4-1不同粒径尘粒的沉降速度</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062"/>
              <w:gridCol w:w="1062"/>
              <w:gridCol w:w="1063"/>
              <w:gridCol w:w="1063"/>
              <w:gridCol w:w="1064"/>
              <w:gridCol w:w="1064"/>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粒径（mm）</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沉降速度（m/s）</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0.03</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0.012</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0.027</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0.048</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0.075</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0.108</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粒径（mm）</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80</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沉降速度（m/s）</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0.158</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0.170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0.182</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0.239</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0.804</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1.005</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粒径（mm）</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450</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550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650</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750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850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950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沉降速度（m/s）</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2.211</w:t>
                  </w:r>
                </w:p>
              </w:tc>
              <w:tc>
                <w:tcPr>
                  <w:tcW w:w="1062"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2.614</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3.016</w:t>
                  </w:r>
                </w:p>
              </w:tc>
              <w:tc>
                <w:tcPr>
                  <w:tcW w:w="1063"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3.418</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3.820</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4.222</w:t>
                  </w:r>
                </w:p>
              </w:tc>
              <w:tc>
                <w:tcPr>
                  <w:tcW w:w="1064" w:type="dxa"/>
                  <w:tcBorders>
                    <w:tl2br w:val="nil"/>
                    <w:tr2bl w:val="nil"/>
                  </w:tcBorders>
                  <w:noWrap w:val="0"/>
                  <w:vAlign w:val="center"/>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4.624</w:t>
                  </w:r>
                </w:p>
              </w:tc>
            </w:tr>
          </w:tbl>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由上表可知，尘粒的沉降速度随粒径的增大而迅速增大。当粒径为250mm时，主要影响范围在扬尘点下风向近距离范围内，而真正对外环境产生影响的是一些微小尘粒。根据施工作业现场气候的不同情况，扬尘影响范围也有所不同。施工期间施工单位若不采取措施，扬尘势必对该区域环境产生一定影响，尤其是在雨水偏少时期，扬尘现象较为严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default" w:ascii="Times New Roman" w:hAnsi="Times New Roman" w:cs="Times New Roman"/>
              </w:rPr>
              <w:t>运输车辆行驶动力起尘</w:t>
            </w:r>
          </w:p>
          <w:p>
            <w:pPr>
              <w:pStyle w:val="15"/>
              <w:keepNext w:val="0"/>
              <w:keepLines w:val="0"/>
              <w:widowControl/>
              <w:suppressLineNumbers w:val="0"/>
              <w:spacing w:before="0" w:beforeAutospacing="0" w:after="0" w:afterAutospacing="0"/>
              <w:ind w:left="0" w:right="0" w:firstLine="0"/>
              <w:rPr>
                <w:rFonts w:hint="default" w:ascii="Times New Roman" w:hAnsi="Times New Roman" w:eastAsia="宋体" w:cs="Times New Roman"/>
                <w:lang w:eastAsia="zh-CN"/>
              </w:rPr>
            </w:pPr>
            <w:r>
              <w:rPr>
                <w:rFonts w:hint="default" w:ascii="Times New Roman" w:hAnsi="Times New Roman" w:cs="Times New Roman"/>
              </w:rPr>
              <w:t>据有关调查显示，施工作业现场扬尘主要来自于运输车辆在行驶过程中产生的扬尘，其产生量约占工地扬尘总量的60%。在施工建设道路完全干燥的情况下，运输车辆行驶动力起尘量可按下述经验公式计算</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Q=0.123(V/5)(W/6.8)</w:t>
            </w:r>
            <w:r>
              <w:rPr>
                <w:rFonts w:hint="default" w:ascii="Times New Roman" w:hAnsi="Times New Roman" w:cs="Times New Roman"/>
                <w:vertAlign w:val="superscript"/>
              </w:rPr>
              <w:t>0.85</w:t>
            </w:r>
            <w:r>
              <w:rPr>
                <w:rFonts w:hint="default" w:ascii="Times New Roman" w:hAnsi="Times New Roman" w:cs="Times New Roman"/>
              </w:rPr>
              <w:t>(P/0.5)</w:t>
            </w:r>
            <w:r>
              <w:rPr>
                <w:rFonts w:hint="default" w:ascii="Times New Roman" w:hAnsi="Times New Roman" w:cs="Times New Roman"/>
                <w:vertAlign w:val="superscript"/>
              </w:rPr>
              <w:t>0.75</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式中</w:t>
            </w:r>
            <w:r>
              <w:rPr>
                <w:rFonts w:hint="default" w:ascii="Times New Roman" w:hAnsi="Times New Roman" w:cs="Times New Roman"/>
                <w:lang w:eastAsia="zh-CN"/>
              </w:rPr>
              <w:t>：</w:t>
            </w:r>
            <w:r>
              <w:rPr>
                <w:rFonts w:hint="default" w:ascii="Times New Roman" w:hAnsi="Times New Roman" w:cs="Times New Roman"/>
              </w:rPr>
              <w:t>Q—汽车行驶时的扬尘，kg/Km·辆</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V—汽车速度，km/h</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W——汽车载重量，t</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P—道路表面粉尘量，kg/</w:t>
            </w:r>
            <w:r>
              <w:rPr>
                <w:rFonts w:hint="eastAsia" w:ascii="Times New Roman" w:hAnsi="Times New Roman" w:cs="Times New Roman"/>
                <w:lang w:eastAsia="zh-CN"/>
              </w:rPr>
              <w:t>m</w:t>
            </w:r>
            <w:r>
              <w:rPr>
                <w:rFonts w:hint="eastAsia" w:ascii="Times New Roman" w:hAnsi="Times New Roman" w:cs="Times New Roman"/>
                <w:vertAlign w:val="superscript"/>
                <w:lang w:eastAsia="zh-CN"/>
              </w:rPr>
              <w:t>2</w:t>
            </w:r>
            <w:r>
              <w:rPr>
                <w:rFonts w:hint="default" w:ascii="Times New Roman" w:hAnsi="Times New Roman" w:cs="Times New Roman"/>
              </w:rPr>
              <w:t>，即1km路面时，在不同路面清洁程度、不同行驶速度情况下产生的扬尘量。</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由此可见，在同样路面清洁程度条件下，车速越快，扬尘量越大</w:t>
            </w:r>
            <w:r>
              <w:rPr>
                <w:rFonts w:hint="default" w:ascii="Times New Roman" w:hAnsi="Times New Roman" w:cs="Times New Roman"/>
                <w:lang w:eastAsia="zh-CN"/>
              </w:rPr>
              <w:t>；</w:t>
            </w:r>
            <w:r>
              <w:rPr>
                <w:rFonts w:hint="default" w:ascii="Times New Roman" w:hAnsi="Times New Roman" w:cs="Times New Roman"/>
              </w:rPr>
              <w:t>在同样车速情况下，路面越脏，扬尘量越大。因此限速行驶及保持路面清洁是减少运输车辆动力起尘的有效办法。</w:t>
            </w:r>
          </w:p>
          <w:p>
            <w:pPr>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4-2</w:t>
            </w:r>
            <w:r>
              <w:rPr>
                <w:rFonts w:hint="default" w:ascii="Times New Roman" w:hAnsi="Times New Roman" w:cs="Times New Roman"/>
                <w:b/>
                <w:bCs/>
              </w:rPr>
              <w:t>汽车扬尘产生量</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180"/>
              <w:gridCol w:w="1178"/>
              <w:gridCol w:w="1178"/>
              <w:gridCol w:w="1178"/>
              <w:gridCol w:w="1179"/>
              <w:gridCol w:w="1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车速P</w:t>
                  </w:r>
                </w:p>
              </w:tc>
              <w:tc>
                <w:tcPr>
                  <w:tcW w:w="126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0.3</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0.4</w:t>
                  </w:r>
                </w:p>
              </w:tc>
              <w:tc>
                <w:tcPr>
                  <w:tcW w:w="126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0.5</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5（km/h）</w:t>
                  </w:r>
                </w:p>
              </w:tc>
              <w:tc>
                <w:tcPr>
                  <w:tcW w:w="126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0.051</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0.086</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0.116</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0.144</w:t>
                  </w:r>
                </w:p>
              </w:tc>
              <w:tc>
                <w:tcPr>
                  <w:tcW w:w="126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0.171</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10（km/h）</w:t>
                  </w:r>
                </w:p>
              </w:tc>
              <w:tc>
                <w:tcPr>
                  <w:tcW w:w="126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0.102</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0.171</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0.232</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0.289</w:t>
                  </w:r>
                </w:p>
              </w:tc>
              <w:tc>
                <w:tcPr>
                  <w:tcW w:w="126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0.341</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15（km/h）</w:t>
                  </w:r>
                </w:p>
              </w:tc>
              <w:tc>
                <w:tcPr>
                  <w:tcW w:w="126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0.153</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0.257</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0.349</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0.433</w:t>
                  </w:r>
                </w:p>
              </w:tc>
              <w:tc>
                <w:tcPr>
                  <w:tcW w:w="126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0.512</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4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20（km/h）</w:t>
                  </w:r>
                </w:p>
              </w:tc>
              <w:tc>
                <w:tcPr>
                  <w:tcW w:w="126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0.255</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0.429</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0.582</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0.722</w:t>
                  </w:r>
                </w:p>
              </w:tc>
              <w:tc>
                <w:tcPr>
                  <w:tcW w:w="126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0.853</w:t>
                  </w:r>
                </w:p>
              </w:tc>
              <w:tc>
                <w:tcPr>
                  <w:tcW w:w="126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1.435</w:t>
                  </w:r>
                </w:p>
              </w:tc>
            </w:tr>
          </w:tbl>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运输车辆动力起尘属于等效线源，扬尘会向道路两边扩散，最大扬尘浓度出现在道路两侧。随着离道路的距离增加，扬尘浓度逐渐递减，直至最后趋于背景值。据类比调查，一般情况下，施工场地在自然风作用下产生的扬尘影响范围在道路两侧30m范围。</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由于项目周边环境敏感点较多，因此，建设单位必须采取相应的施工作业污染防治措施，若施工单位不采取相应污染措施，将会增加局部范围的TSP浓度增加。环评要求施工单位固定建材运输路线，并在运输道路上适时洒水抑尘。</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为了降低扬尘产生量，减少施工扬尘对环境敏感点的影响，保护大气环境，施工单位找通过科学施工、文明施工，风速大干3m/s时停止施工，定期对管线周围洒水，严格控制扬尘，施工时工地边界设置1.8米以上的围挡，并且根据周边居民等敏感点的情况适当增加其高度，在施工场地对施工车辆必须实施限速行驶，堆土采取覆盖防尘布、覆盖防尘网、配合定期洒水等措施，防止风蚀起尘等措施后，评价认为施工期扬尘不会对周围环境尤其是项目周围居民的影响造成明显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）施工机械废气</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项目在施工期间产生的施工机械废气，</w:t>
            </w:r>
            <w:r>
              <w:rPr>
                <w:rFonts w:ascii="Times New Roman" w:hAnsi="Times New Roman" w:cs="Times New Roman"/>
                <w:color w:val="auto"/>
                <w:highlight w:val="none"/>
                <w:u w:val="none"/>
                <w:lang w:val="zh-CN"/>
              </w:rPr>
              <w:t>施工过程中各种工程机械和运输车辆在燃烧汽油、柴油时排放的尾气含有HC、颗粒物、CO、</w:t>
            </w:r>
            <w:r>
              <w:rPr>
                <w:rFonts w:hint="eastAsia" w:cs="Times New Roman"/>
                <w:color w:val="auto"/>
                <w:highlight w:val="none"/>
                <w:u w:val="none"/>
                <w:lang w:val="zh-CN"/>
              </w:rPr>
              <w:t>NO</w:t>
            </w:r>
            <w:r>
              <w:rPr>
                <w:rFonts w:hint="eastAsia" w:cs="Times New Roman"/>
                <w:color w:val="auto"/>
                <w:highlight w:val="none"/>
                <w:u w:val="none"/>
                <w:vertAlign w:val="subscript"/>
                <w:lang w:val="zh-CN"/>
              </w:rPr>
              <w:t>X</w:t>
            </w:r>
            <w:r>
              <w:rPr>
                <w:rFonts w:ascii="Times New Roman" w:hAnsi="Times New Roman" w:cs="Times New Roman"/>
                <w:color w:val="auto"/>
                <w:highlight w:val="none"/>
                <w:u w:val="none"/>
                <w:lang w:val="zh-CN"/>
              </w:rPr>
              <w:t>等大气污染物，排放后会对施工现场产生一定影响。根据相关资料统计，一般大型工程车辆污染物排放量为CO5.25g/辆·km、HC 2.08g/辆·km、</w:t>
            </w:r>
            <w:r>
              <w:rPr>
                <w:rFonts w:hint="eastAsia" w:cs="Times New Roman"/>
                <w:color w:val="auto"/>
                <w:highlight w:val="none"/>
                <w:u w:val="none"/>
                <w:lang w:val="zh-CN"/>
              </w:rPr>
              <w:t>NO</w:t>
            </w:r>
            <w:r>
              <w:rPr>
                <w:rFonts w:hint="eastAsia" w:cs="Times New Roman"/>
                <w:color w:val="auto"/>
                <w:highlight w:val="none"/>
                <w:u w:val="none"/>
                <w:vertAlign w:val="subscript"/>
                <w:lang w:val="zh-CN"/>
              </w:rPr>
              <w:t>2</w:t>
            </w:r>
            <w:r>
              <w:rPr>
                <w:rFonts w:ascii="Times New Roman" w:hAnsi="Times New Roman" w:cs="Times New Roman"/>
                <w:color w:val="auto"/>
                <w:highlight w:val="none"/>
                <w:u w:val="none"/>
                <w:lang w:val="zh-CN"/>
              </w:rPr>
              <w:t>10.44g/辆·km。</w:t>
            </w:r>
            <w:r>
              <w:rPr>
                <w:rFonts w:hint="default" w:ascii="Times New Roman" w:hAnsi="Times New Roman" w:cs="Times New Roman"/>
              </w:rPr>
              <w:t>为了避免施工机械故障等原因导致其废气的超标排放，本环评建议在施工期内多加注意施工设备的维护，使其能够正常的运行，从而将周围环境和对施工工人的影响减至最低。</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default" w:ascii="Times New Roman" w:hAnsi="Times New Roman" w:cs="Times New Roman"/>
              </w:rPr>
              <w:t>临时木材、钢材加工厂切割粉尘</w:t>
            </w:r>
          </w:p>
          <w:p>
            <w:pPr>
              <w:pStyle w:val="15"/>
              <w:keepNext w:val="0"/>
              <w:keepLines w:val="0"/>
              <w:widowControl/>
              <w:suppressLineNumbers w:val="0"/>
              <w:spacing w:before="0" w:beforeAutospacing="0" w:after="0" w:afterAutospacing="0"/>
              <w:ind w:left="0" w:right="0" w:firstLine="0"/>
              <w:rPr>
                <w:rFonts w:hint="eastAsia" w:ascii="Times New Roman" w:hAnsi="Times New Roman" w:cs="Times New Roman"/>
                <w:lang w:eastAsia="zh-CN"/>
              </w:rPr>
            </w:pPr>
            <w:r>
              <w:rPr>
                <w:rFonts w:hint="default" w:ascii="Times New Roman" w:hAnsi="Times New Roman" w:cs="Times New Roman"/>
              </w:rPr>
              <w:t>本工程架设支模架主要采用的租赁钢管，木材加工主要是对部分特殊部位的模板、垫块等进行成型切割制作，工作量较小。钢材加工厂主要对预埋钢筋构件进行冷弯、切料，该部分粉尘由于主要为金属，经自然沉降对环境影响较小</w:t>
            </w:r>
            <w:r>
              <w:rPr>
                <w:rFonts w:hint="eastAsia" w:ascii="Times New Roman" w:hAnsi="Times New Roman" w:cs="Times New Roman"/>
                <w:lang w:eastAsia="zh-CN"/>
              </w:rPr>
              <w:t>。</w:t>
            </w:r>
          </w:p>
          <w:p>
            <w:pPr>
              <w:pStyle w:val="15"/>
              <w:keepNext w:val="0"/>
              <w:keepLines w:val="0"/>
              <w:widowControl/>
              <w:numPr>
                <w:ilvl w:val="0"/>
                <w:numId w:val="7"/>
              </w:numPr>
              <w:suppressLineNumbers w:val="0"/>
              <w:spacing w:before="0" w:beforeAutospacing="0" w:after="0" w:afterAutospacing="0"/>
              <w:ind w:left="0" w:right="0" w:firstLine="0"/>
              <w:rPr>
                <w:rFonts w:hint="eastAsia" w:ascii="Times New Roman" w:hAnsi="Times New Roman" w:cs="Times New Roman"/>
                <w:lang w:val="en-US" w:eastAsia="zh-CN"/>
              </w:rPr>
            </w:pPr>
            <w:r>
              <w:rPr>
                <w:rFonts w:hint="eastAsia" w:ascii="Times New Roman" w:hAnsi="Times New Roman" w:cs="Times New Roman"/>
                <w:lang w:val="en-US" w:eastAsia="zh-CN"/>
              </w:rPr>
              <w:t>沥青烟气</w:t>
            </w:r>
          </w:p>
          <w:p>
            <w:pPr>
              <w:bidi w:val="0"/>
              <w:rPr>
                <w:rFonts w:hint="eastAsia"/>
                <w:lang w:val="en-US" w:eastAsia="zh-CN"/>
              </w:rPr>
            </w:pPr>
            <w:r>
              <w:rPr>
                <w:rFonts w:hint="eastAsia"/>
                <w:lang w:val="en-US" w:eastAsia="zh-CN"/>
              </w:rPr>
              <w:t>工程防汛道路及大坝坝顶路面铺设采用沥青混凝土路面，本项目不设置沥青拌合站，因此沥青烟主要来自路面铺设过程中的沥青挥发。沥青烟中污染物中包含THC、粉尘和苯并〔a〕芘等有害物质，对大气环境造成一定污染，对施工人员也会造成一定伤害。根据类比类似工程可知，沥青摊铺下风向沥青烟浓度为0.037~0.148mg/m³，苯并〔a〕芘均低于3×10-6mg/m³（标准值为0.01μg/m³），THC总烃在0.143~0.661mg/m³（前苏联标准值为0.16mg/m³）。因此，项目施工期沥青摊铺时产生的沥青烟气对环境有一定的影响，但影响较小，且危害的周期较短，施工沥青烟影响范围有限。</w:t>
            </w:r>
          </w:p>
          <w:p>
            <w:pPr>
              <w:bidi w:val="0"/>
              <w:rPr>
                <w:rFonts w:hint="default"/>
                <w:lang w:val="en-US" w:eastAsia="zh-CN"/>
              </w:rPr>
            </w:pPr>
            <w:r>
              <w:rPr>
                <w:rFonts w:hint="eastAsia"/>
                <w:lang w:val="en-US" w:eastAsia="zh-CN"/>
              </w:rPr>
              <w:t>（6）</w:t>
            </w:r>
            <w:r>
              <w:rPr>
                <w:rFonts w:hint="default"/>
                <w:lang w:val="en-US" w:eastAsia="zh-CN"/>
              </w:rPr>
              <w:t>建筑物拆除扬尘</w:t>
            </w:r>
          </w:p>
          <w:p>
            <w:pPr>
              <w:bidi w:val="0"/>
              <w:rPr>
                <w:rFonts w:hint="default"/>
                <w:lang w:val="en-US" w:eastAsia="zh-CN"/>
              </w:rPr>
            </w:pPr>
            <w:r>
              <w:rPr>
                <w:rFonts w:hint="default"/>
                <w:lang w:val="en-US" w:eastAsia="zh-CN"/>
              </w:rPr>
              <w:t>本项目对水库的溢流坝、灌溉引水隧洞进口闸室及出口弧形闸门室等三处建筑物进行拆除重建，由于主要是对闸室的拆除，涉及的砖混、钢筋混凝土类部分拆除工程较少，产生的影响较小</w:t>
            </w:r>
          </w:p>
          <w:p>
            <w:pPr>
              <w:pStyle w:val="15"/>
              <w:keepNext w:val="0"/>
              <w:keepLines w:val="0"/>
              <w:widowControl/>
              <w:numPr>
                <w:ilvl w:val="0"/>
                <w:numId w:val="0"/>
              </w:numPr>
              <w:suppressLineNumbers w:val="0"/>
              <w:spacing w:before="0" w:beforeAutospacing="0" w:after="0" w:afterAutospacing="0"/>
              <w:ind w:leftChars="200" w:right="0" w:righ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4.3</w:t>
            </w:r>
            <w:r>
              <w:rPr>
                <w:rFonts w:hint="default" w:ascii="Times New Roman" w:hAnsi="Times New Roman" w:cs="Times New Roman"/>
                <w:b/>
                <w:bCs/>
                <w:lang w:eastAsia="zh-CN"/>
              </w:rPr>
              <w:t>噪声</w:t>
            </w:r>
            <w:r>
              <w:rPr>
                <w:rFonts w:hint="default" w:ascii="Times New Roman" w:hAnsi="Times New Roman" w:cs="Times New Roman"/>
                <w:b/>
                <w:bCs/>
                <w:lang w:val="en-US" w:eastAsia="zh-CN"/>
              </w:rPr>
              <w:t>污染防治措施</w:t>
            </w:r>
          </w:p>
          <w:p>
            <w:pPr>
              <w:bidi w:val="0"/>
              <w:rPr>
                <w:rFonts w:hint="default"/>
              </w:rPr>
            </w:pPr>
            <w:r>
              <w:rPr>
                <w:rFonts w:hint="default"/>
              </w:rPr>
              <w:t>（1）施工噪声源强</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施工阶段，噪声较大的设备主要有挖掘机、推土机等，其具体噪声详见表5-1。由噪声污染源分析可知，施工场地噪声源主要为各类高噪声施工机械，且各施工阶段均有大量的机械设备于现场运行，而单体设备声源声级一般均高于90dB（A）。</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（2）影响范围预测方法</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项目施工期的噪声将对项目场地周围环境产生影响，因此，本评价将根据施工噪声的场界限值标准要求，类比预测工程施工活动的噪声对周围环境的影响范围。</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②预测模式</w:t>
            </w:r>
          </w:p>
          <w:p>
            <w:pPr>
              <w:pStyle w:val="15"/>
              <w:keepNext w:val="0"/>
              <w:keepLines w:val="0"/>
              <w:widowControl/>
              <w:suppressLineNumbers w:val="0"/>
              <w:spacing w:before="0" w:beforeAutospacing="0" w:after="0" w:afterAutospacing="0"/>
              <w:ind w:left="0" w:right="0" w:firstLine="0"/>
              <w:rPr>
                <w:rFonts w:hint="default" w:ascii="Times New Roman" w:hAnsi="Times New Roman" w:eastAsia="宋体" w:cs="Times New Roman"/>
                <w:lang w:eastAsia="zh-CN"/>
              </w:rPr>
            </w:pPr>
            <w:r>
              <w:rPr>
                <w:rFonts w:hint="default" w:ascii="Times New Roman" w:hAnsi="Times New Roman" w:cs="Times New Roman"/>
              </w:rPr>
              <w:t>采用点声源衰减公式，预测各类设备在没有任何隔声条件下不同距离处的噪声值。施工作业噪声源属半自由空间性质的点源，其衰减模式为</w:t>
            </w:r>
            <w:r>
              <w:rPr>
                <w:rFonts w:hint="default" w:ascii="Times New Roman" w:hAnsi="Times New Roman" w:cs="Times New Roman"/>
                <w:lang w:eastAsia="zh-CN"/>
              </w:rPr>
              <w:t>：</w:t>
            </w:r>
          </w:p>
          <w:p>
            <w:pPr>
              <w:pStyle w:val="15"/>
              <w:keepNext w:val="0"/>
              <w:keepLines w:val="0"/>
              <w:widowControl/>
              <w:numPr>
                <w:ilvl w:val="0"/>
                <w:numId w:val="0"/>
              </w:numPr>
              <w:suppressLineNumbers w:val="0"/>
              <w:spacing w:before="0" w:beforeAutospacing="0" w:after="0" w:afterAutospacing="0"/>
              <w:ind w:leftChars="200" w:right="0" w:rightChars="0"/>
              <w:rPr>
                <w:rFonts w:hint="default" w:ascii="Times New Roman" w:hAnsi="Times New Roman" w:cs="Times New Roman"/>
              </w:rPr>
            </w:pPr>
            <w:r>
              <w:rPr>
                <w:rFonts w:hint="default" w:ascii="Times New Roman" w:hAnsi="Times New Roman" w:cs="Times New Roman"/>
              </w:rPr>
              <w:drawing>
                <wp:inline distT="0" distB="0" distL="114300" distR="114300">
                  <wp:extent cx="2686050" cy="428625"/>
                  <wp:effectExtent l="0" t="0" r="0" b="952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1"/>
                          <a:stretch>
                            <a:fillRect/>
                          </a:stretch>
                        </pic:blipFill>
                        <pic:spPr>
                          <a:xfrm>
                            <a:off x="0" y="0"/>
                            <a:ext cx="2686050" cy="428625"/>
                          </a:xfrm>
                          <a:prstGeom prst="rect">
                            <a:avLst/>
                          </a:prstGeom>
                          <a:noFill/>
                          <a:ln>
                            <a:noFill/>
                          </a:ln>
                        </pic:spPr>
                      </pic:pic>
                    </a:graphicData>
                  </a:graphic>
                </wp:inline>
              </w:drawing>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式中</w:t>
            </w:r>
            <w:r>
              <w:rPr>
                <w:rFonts w:hint="default" w:ascii="Times New Roman" w:hAnsi="Times New Roman" w:cs="Times New Roman"/>
                <w:lang w:eastAsia="zh-CN"/>
              </w:rPr>
              <w:t>：</w:t>
            </w:r>
            <w:r>
              <w:rPr>
                <w:rFonts w:hint="default" w:ascii="Times New Roman" w:hAnsi="Times New Roman" w:cs="Times New Roman"/>
              </w:rPr>
              <w:t>L（r）——距噪声源r处噪声级，dB（A）</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lang w:eastAsia="zh-CN"/>
              </w:rPr>
            </w:pPr>
            <w:r>
              <w:rPr>
                <w:rFonts w:hint="default" w:ascii="Times New Roman" w:hAnsi="Times New Roman" w:cs="Times New Roman"/>
              </w:rPr>
              <w:t>L（rO）——距噪声源rO处噪声级，dB（A）</w:t>
            </w:r>
            <w:r>
              <w:rPr>
                <w:rFonts w:hint="default" w:ascii="Times New Roman" w:hAnsi="Times New Roman" w:cs="Times New Roman"/>
                <w:lang w:eastAsia="zh-CN"/>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r——预测点距声源的距离，</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m rO——参考点距声源的距离，m</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预测结果工程施工噪声随距离衰减后的情况见表</w:t>
            </w:r>
            <w:r>
              <w:rPr>
                <w:rFonts w:hint="eastAsia" w:ascii="Times New Roman" w:hAnsi="Times New Roman" w:cs="Times New Roman"/>
                <w:lang w:val="en-US" w:eastAsia="zh-CN"/>
              </w:rPr>
              <w:t>4</w:t>
            </w:r>
            <w:r>
              <w:rPr>
                <w:rFonts w:hint="default" w:ascii="Times New Roman" w:hAnsi="Times New Roman" w:cs="Times New Roman"/>
              </w:rPr>
              <w:t>-3所示。</w:t>
            </w:r>
          </w:p>
          <w:p>
            <w:pPr>
              <w:pStyle w:val="15"/>
              <w:keepNext w:val="0"/>
              <w:keepLines w:val="0"/>
              <w:widowControl/>
              <w:numPr>
                <w:ilvl w:val="0"/>
                <w:numId w:val="0"/>
              </w:numPr>
              <w:suppressLineNumbers w:val="0"/>
              <w:spacing w:before="0" w:beforeAutospacing="0" w:after="0" w:afterAutospacing="0"/>
              <w:ind w:leftChars="200" w:right="0" w:rightChars="0"/>
              <w:rPr>
                <w:rFonts w:hint="default" w:ascii="Times New Roman" w:hAnsi="Times New Roman" w:cs="Times New Roman"/>
                <w:lang w:val="en-US" w:eastAsia="zh-CN"/>
              </w:rPr>
            </w:pPr>
            <w:r>
              <w:rPr>
                <w:rFonts w:hint="default" w:ascii="Times New Roman" w:hAnsi="Times New Roman" w:cs="Times New Roman"/>
                <w:b/>
                <w:bCs/>
                <w:lang w:val="en-US" w:eastAsia="zh-CN"/>
              </w:rPr>
              <w:t>表</w:t>
            </w:r>
            <w:r>
              <w:rPr>
                <w:rFonts w:hint="eastAsia" w:ascii="Times New Roman" w:hAnsi="Times New Roman" w:cs="Times New Roman"/>
                <w:b/>
                <w:bCs/>
                <w:lang w:val="en-US" w:eastAsia="zh-CN"/>
              </w:rPr>
              <w:t>4-3</w:t>
            </w:r>
            <w:r>
              <w:rPr>
                <w:rFonts w:hint="default" w:ascii="Times New Roman" w:hAnsi="Times New Roman" w:cs="Times New Roman"/>
                <w:b/>
                <w:bCs/>
                <w:lang w:val="en-US" w:eastAsia="zh-CN"/>
              </w:rPr>
              <w:t>施工噪声值随距离的衰减值单位：dB（A）距离（m）</w:t>
            </w:r>
          </w:p>
          <w:tbl>
            <w:tblPr>
              <w:tblStyle w:val="19"/>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850"/>
              <w:gridCol w:w="850"/>
              <w:gridCol w:w="850"/>
              <w:gridCol w:w="850"/>
              <w:gridCol w:w="851"/>
              <w:gridCol w:w="851"/>
              <w:gridCol w:w="851"/>
              <w:gridCol w:w="851"/>
              <w:gridCol w:w="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49"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距离</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50</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100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150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250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400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dB（A）</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34</w:t>
                  </w:r>
                </w:p>
              </w:tc>
              <w:tc>
                <w:tcPr>
                  <w:tcW w:w="850"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40</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43</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46</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48</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52</w:t>
                  </w:r>
                </w:p>
              </w:tc>
              <w:tc>
                <w:tcPr>
                  <w:tcW w:w="851" w:type="dxa"/>
                  <w:tcBorders>
                    <w:tl2br w:val="nil"/>
                    <w:tr2bl w:val="nil"/>
                  </w:tcBorders>
                  <w:noWrap w:val="0"/>
                  <w:vAlign w:val="top"/>
                </w:tcPr>
                <w:p>
                  <w:pPr>
                    <w:pStyle w:val="45"/>
                    <w:bidi w:val="0"/>
                    <w:rPr>
                      <w:rFonts w:hint="default" w:ascii="Times New Roman" w:hAnsi="Times New Roman" w:cs="Times New Roman"/>
                      <w:lang w:val="en-US" w:eastAsia="zh-CN"/>
                    </w:rPr>
                  </w:pPr>
                  <w:r>
                    <w:rPr>
                      <w:rFonts w:hint="default" w:ascii="Times New Roman" w:hAnsi="Times New Roman" w:cs="Times New Roman"/>
                      <w:lang w:val="en-US" w:eastAsia="zh-CN"/>
                    </w:rPr>
                    <w:t>57</w:t>
                  </w:r>
                </w:p>
              </w:tc>
            </w:tr>
          </w:tbl>
          <w:p>
            <w:pPr>
              <w:tabs>
                <w:tab w:val="left" w:pos="1900"/>
              </w:tabs>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几种典型的施工机械的噪声强度见表</w:t>
            </w:r>
            <w:r>
              <w:rPr>
                <w:rFonts w:hint="eastAsia" w:ascii="Times New Roman" w:hAnsi="Times New Roman" w:cs="Times New Roman"/>
                <w:lang w:val="en-US" w:eastAsia="zh-CN"/>
              </w:rPr>
              <w:t>4-4</w:t>
            </w:r>
            <w:r>
              <w:rPr>
                <w:rFonts w:hint="default" w:ascii="Times New Roman" w:hAnsi="Times New Roman" w:cs="Times New Roman"/>
              </w:rPr>
              <w:t>。施工期环境噪声控制标准采用《建筑施工场界环境噪声排放标准》（GB12523-2011），见表</w:t>
            </w:r>
            <w:r>
              <w:rPr>
                <w:rFonts w:hint="eastAsia" w:ascii="Times New Roman" w:hAnsi="Times New Roman" w:cs="Times New Roman"/>
                <w:lang w:val="en-US" w:eastAsia="zh-CN"/>
              </w:rPr>
              <w:t>4-5</w:t>
            </w:r>
            <w:r>
              <w:rPr>
                <w:rFonts w:hint="default" w:ascii="Times New Roman" w:hAnsi="Times New Roman" w:cs="Times New Roman"/>
              </w:rPr>
              <w:t>。</w:t>
            </w:r>
          </w:p>
          <w:p>
            <w:pPr>
              <w:tabs>
                <w:tab w:val="left" w:pos="1900"/>
              </w:tabs>
              <w:ind w:firstLine="354" w:firstLineChars="147"/>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4-4</w:t>
            </w:r>
            <w:r>
              <w:rPr>
                <w:rFonts w:hint="default" w:ascii="Times New Roman" w:hAnsi="Times New Roman" w:cs="Times New Roman"/>
                <w:b/>
                <w:bCs/>
              </w:rPr>
              <w:t>几种主要施工机械的噪声源强及在不同距离处的噪声值[单位：dB(A)]</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1080"/>
              <w:gridCol w:w="1083"/>
              <w:gridCol w:w="1086"/>
              <w:gridCol w:w="1084"/>
              <w:gridCol w:w="1087"/>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距离</w:t>
                  </w:r>
                </w:p>
                <w:p>
                  <w:pPr>
                    <w:pStyle w:val="45"/>
                    <w:bidi w:val="0"/>
                    <w:rPr>
                      <w:rFonts w:hint="default" w:ascii="Times New Roman" w:hAnsi="Times New Roman" w:cs="Times New Roman"/>
                    </w:rPr>
                  </w:pPr>
                  <w:r>
                    <w:rPr>
                      <w:rFonts w:hint="default" w:ascii="Times New Roman" w:hAnsi="Times New Roman" w:cs="Times New Roman"/>
                    </w:rPr>
                    <w:t>机械类型</w:t>
                  </w:r>
                </w:p>
              </w:tc>
              <w:tc>
                <w:tcPr>
                  <w:tcW w:w="1080"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5m</w:t>
                  </w:r>
                </w:p>
              </w:tc>
              <w:tc>
                <w:tcPr>
                  <w:tcW w:w="1083"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10m</w:t>
                  </w:r>
                </w:p>
              </w:tc>
              <w:tc>
                <w:tcPr>
                  <w:tcW w:w="1086"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20m</w:t>
                  </w:r>
                </w:p>
              </w:tc>
              <w:tc>
                <w:tcPr>
                  <w:tcW w:w="108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40m</w:t>
                  </w:r>
                </w:p>
              </w:tc>
              <w:tc>
                <w:tcPr>
                  <w:tcW w:w="1087"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50m</w:t>
                  </w:r>
                </w:p>
              </w:tc>
              <w:tc>
                <w:tcPr>
                  <w:tcW w:w="1093"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挖掘机</w:t>
                  </w:r>
                </w:p>
              </w:tc>
              <w:tc>
                <w:tcPr>
                  <w:tcW w:w="1080"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82</w:t>
                  </w:r>
                </w:p>
              </w:tc>
              <w:tc>
                <w:tcPr>
                  <w:tcW w:w="108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76</w:t>
                  </w:r>
                </w:p>
              </w:tc>
              <w:tc>
                <w:tcPr>
                  <w:tcW w:w="1086"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71</w:t>
                  </w:r>
                </w:p>
              </w:tc>
              <w:tc>
                <w:tcPr>
                  <w:tcW w:w="1084"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66</w:t>
                  </w:r>
                </w:p>
              </w:tc>
              <w:tc>
                <w:tcPr>
                  <w:tcW w:w="1087"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64</w:t>
                  </w:r>
                </w:p>
              </w:tc>
              <w:tc>
                <w:tcPr>
                  <w:tcW w:w="109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1"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推土机</w:t>
                  </w:r>
                </w:p>
              </w:tc>
              <w:tc>
                <w:tcPr>
                  <w:tcW w:w="1080"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86</w:t>
                  </w:r>
                </w:p>
              </w:tc>
              <w:tc>
                <w:tcPr>
                  <w:tcW w:w="108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80</w:t>
                  </w:r>
                </w:p>
              </w:tc>
              <w:tc>
                <w:tcPr>
                  <w:tcW w:w="1086"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74</w:t>
                  </w:r>
                </w:p>
              </w:tc>
              <w:tc>
                <w:tcPr>
                  <w:tcW w:w="1084"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68</w:t>
                  </w:r>
                </w:p>
              </w:tc>
              <w:tc>
                <w:tcPr>
                  <w:tcW w:w="1087"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66</w:t>
                  </w:r>
                </w:p>
              </w:tc>
              <w:tc>
                <w:tcPr>
                  <w:tcW w:w="109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打桩机</w:t>
                  </w:r>
                </w:p>
              </w:tc>
              <w:tc>
                <w:tcPr>
                  <w:tcW w:w="1080"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100</w:t>
                  </w:r>
                </w:p>
              </w:tc>
              <w:tc>
                <w:tcPr>
                  <w:tcW w:w="108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91</w:t>
                  </w:r>
                </w:p>
              </w:tc>
              <w:tc>
                <w:tcPr>
                  <w:tcW w:w="1086"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85</w:t>
                  </w:r>
                </w:p>
              </w:tc>
              <w:tc>
                <w:tcPr>
                  <w:tcW w:w="1084"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79</w:t>
                  </w:r>
                </w:p>
              </w:tc>
              <w:tc>
                <w:tcPr>
                  <w:tcW w:w="1087"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76</w:t>
                  </w:r>
                </w:p>
              </w:tc>
              <w:tc>
                <w:tcPr>
                  <w:tcW w:w="1093"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装载机</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90</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84</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76</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70</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74</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top"/>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振捣器</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84</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78</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72</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66</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64</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top"/>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砼输送泵</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91.4</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85.4</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79.4</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73.4</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69</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top"/>
                </w:tcPr>
                <w:p>
                  <w:pPr>
                    <w:pStyle w:val="4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钢筋加工设备</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78</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73</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68</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62</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58</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top"/>
                </w:tcPr>
                <w:p>
                  <w:pPr>
                    <w:pStyle w:val="4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水泵</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76.4</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70.4</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64.4</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58.4</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54</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1" w:type="dxa"/>
                  <w:tcBorders>
                    <w:tl2br w:val="nil"/>
                    <w:tr2bl w:val="nil"/>
                  </w:tcBorders>
                  <w:noWrap w:val="0"/>
                  <w:vAlign w:val="top"/>
                </w:tcPr>
                <w:p>
                  <w:pPr>
                    <w:pStyle w:val="4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自卸汽车</w:t>
                  </w:r>
                </w:p>
              </w:tc>
              <w:tc>
                <w:tcPr>
                  <w:tcW w:w="1080"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92</w:t>
                  </w:r>
                </w:p>
              </w:tc>
              <w:tc>
                <w:tcPr>
                  <w:tcW w:w="108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86</w:t>
                  </w:r>
                </w:p>
              </w:tc>
              <w:tc>
                <w:tcPr>
                  <w:tcW w:w="1086"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80</w:t>
                  </w:r>
                </w:p>
              </w:tc>
              <w:tc>
                <w:tcPr>
                  <w:tcW w:w="1084"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74</w:t>
                  </w:r>
                </w:p>
              </w:tc>
              <w:tc>
                <w:tcPr>
                  <w:tcW w:w="1087"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72</w:t>
                  </w:r>
                </w:p>
              </w:tc>
              <w:tc>
                <w:tcPr>
                  <w:tcW w:w="1093" w:type="dxa"/>
                  <w:tcBorders>
                    <w:tl2br w:val="nil"/>
                    <w:tr2bl w:val="nil"/>
                  </w:tcBorders>
                  <w:noWrap w:val="0"/>
                  <w:vAlign w:val="center"/>
                </w:tcPr>
                <w:p>
                  <w:pPr>
                    <w:pStyle w:val="45"/>
                    <w:bidi w:val="0"/>
                    <w:rPr>
                      <w:rFonts w:hint="default" w:ascii="Times New Roman" w:hAnsi="Times New Roman" w:eastAsia="宋体" w:cs="Times New Roman"/>
                      <w:lang w:val="en-US" w:eastAsia="zh-CN"/>
                    </w:rPr>
                  </w:pPr>
                  <w:r>
                    <w:rPr>
                      <w:rFonts w:hint="default" w:ascii="Times New Roman" w:hAnsi="Times New Roman" w:eastAsia="宋体" w:cs="Times New Roman"/>
                    </w:rPr>
                    <w:t>56</w:t>
                  </w:r>
                </w:p>
              </w:tc>
            </w:tr>
          </w:tbl>
          <w:p>
            <w:pPr>
              <w:tabs>
                <w:tab w:val="left" w:pos="1900"/>
              </w:tabs>
              <w:ind w:firstLine="354" w:firstLineChars="147"/>
              <w:jc w:val="center"/>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4-5</w:t>
            </w:r>
            <w:r>
              <w:rPr>
                <w:rFonts w:hint="default" w:ascii="Times New Roman" w:hAnsi="Times New Roman" w:cs="Times New Roman"/>
                <w:b/>
                <w:bCs/>
              </w:rPr>
              <w:t>建筑施工场界噪声达标距离限值单位：m</w:t>
            </w:r>
          </w:p>
          <w:tbl>
            <w:tblPr>
              <w:tblStyle w:val="18"/>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3480"/>
              <w:gridCol w:w="1835"/>
              <w:gridCol w:w="1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vMerge w:val="restart"/>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施工阶段</w:t>
                  </w:r>
                </w:p>
              </w:tc>
              <w:tc>
                <w:tcPr>
                  <w:tcW w:w="3480" w:type="dxa"/>
                  <w:vMerge w:val="restart"/>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主要噪声源</w:t>
                  </w:r>
                </w:p>
              </w:tc>
              <w:tc>
                <w:tcPr>
                  <w:tcW w:w="3680" w:type="dxa"/>
                  <w:gridSpan w:val="2"/>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场界噪声达标距离限值（m）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vMerge w:val="continue"/>
                  <w:tcBorders>
                    <w:tl2br w:val="nil"/>
                    <w:tr2bl w:val="nil"/>
                  </w:tcBorders>
                  <w:noWrap w:val="0"/>
                  <w:vAlign w:val="center"/>
                </w:tcPr>
                <w:p>
                  <w:pPr>
                    <w:pStyle w:val="45"/>
                    <w:bidi w:val="0"/>
                    <w:rPr>
                      <w:rFonts w:hint="default" w:ascii="Times New Roman" w:hAnsi="Times New Roman" w:cs="Times New Roman"/>
                    </w:rPr>
                  </w:pPr>
                </w:p>
              </w:tc>
              <w:tc>
                <w:tcPr>
                  <w:tcW w:w="3480" w:type="dxa"/>
                  <w:vMerge w:val="continue"/>
                  <w:tcBorders>
                    <w:tl2br w:val="nil"/>
                    <w:tr2bl w:val="nil"/>
                  </w:tcBorders>
                  <w:noWrap w:val="0"/>
                  <w:vAlign w:val="center"/>
                </w:tcPr>
                <w:p>
                  <w:pPr>
                    <w:pStyle w:val="45"/>
                    <w:bidi w:val="0"/>
                    <w:rPr>
                      <w:rFonts w:hint="default" w:ascii="Times New Roman" w:hAnsi="Times New Roman" w:cs="Times New Roman"/>
                    </w:rPr>
                  </w:pPr>
                </w:p>
              </w:tc>
              <w:tc>
                <w:tcPr>
                  <w:tcW w:w="183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昼间[70dB(A)]</w:t>
                  </w:r>
                </w:p>
              </w:tc>
              <w:tc>
                <w:tcPr>
                  <w:tcW w:w="184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夜间[55dB(A)]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土石方</w:t>
                  </w:r>
                </w:p>
              </w:tc>
              <w:tc>
                <w:tcPr>
                  <w:tcW w:w="3480"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推土机、挖掘机、装载机等</w:t>
                  </w:r>
                </w:p>
              </w:tc>
              <w:tc>
                <w:tcPr>
                  <w:tcW w:w="183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40</w:t>
                  </w:r>
                </w:p>
              </w:tc>
              <w:tc>
                <w:tcPr>
                  <w:tcW w:w="184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4"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打桩</w:t>
                  </w:r>
                </w:p>
              </w:tc>
              <w:tc>
                <w:tcPr>
                  <w:tcW w:w="3480"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打桩机等</w:t>
                  </w:r>
                </w:p>
              </w:tc>
              <w:tc>
                <w:tcPr>
                  <w:tcW w:w="183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70</w:t>
                  </w:r>
                </w:p>
              </w:tc>
              <w:tc>
                <w:tcPr>
                  <w:tcW w:w="1845" w:type="dxa"/>
                  <w:tcBorders>
                    <w:tl2br w:val="nil"/>
                    <w:tr2bl w:val="nil"/>
                  </w:tcBorders>
                  <w:noWrap w:val="0"/>
                  <w:vAlign w:val="center"/>
                </w:tcPr>
                <w:p>
                  <w:pPr>
                    <w:pStyle w:val="45"/>
                    <w:bidi w:val="0"/>
                    <w:rPr>
                      <w:rFonts w:hint="default" w:ascii="Times New Roman" w:hAnsi="Times New Roman" w:cs="Times New Roman"/>
                    </w:rPr>
                  </w:pPr>
                  <w:r>
                    <w:rPr>
                      <w:rFonts w:hint="default" w:ascii="Times New Roman" w:hAnsi="Times New Roman" w:cs="Times New Roman"/>
                    </w:rPr>
                    <w:t>141</w:t>
                  </w:r>
                </w:p>
              </w:tc>
            </w:tr>
          </w:tbl>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据《建筑施工场界环境噪声排放标准》（GB12523-2011）标准规定，昼间的噪声限值为70dB，夜间限值为55dB。表</w:t>
            </w:r>
            <w:r>
              <w:rPr>
                <w:rFonts w:hint="eastAsia" w:ascii="Times New Roman" w:hAnsi="Times New Roman" w:cs="Times New Roman"/>
                <w:lang w:val="en-US" w:eastAsia="zh-CN"/>
              </w:rPr>
              <w:t>4-5</w:t>
            </w:r>
            <w:r>
              <w:rPr>
                <w:rFonts w:hint="default" w:ascii="Times New Roman" w:hAnsi="Times New Roman" w:cs="Times New Roman"/>
              </w:rPr>
              <w:t>的噪声级表明</w:t>
            </w:r>
            <w:r>
              <w:rPr>
                <w:rFonts w:hint="default" w:ascii="Times New Roman" w:hAnsi="Times New Roman" w:cs="Times New Roman"/>
                <w:lang w:eastAsia="zh-CN"/>
              </w:rPr>
              <w:t>：</w:t>
            </w:r>
            <w:r>
              <w:rPr>
                <w:rFonts w:hint="default" w:ascii="Times New Roman" w:hAnsi="Times New Roman" w:cs="Times New Roman"/>
              </w:rPr>
              <w:t>昼间在离施工作业点</w:t>
            </w:r>
            <w:r>
              <w:rPr>
                <w:rFonts w:hint="default" w:ascii="Times New Roman" w:hAnsi="Times New Roman" w:cs="Times New Roman"/>
                <w:lang w:val="en-US" w:eastAsia="zh-CN"/>
              </w:rPr>
              <w:t>70</w:t>
            </w:r>
            <w:r>
              <w:rPr>
                <w:rFonts w:hint="default" w:ascii="Times New Roman" w:hAnsi="Times New Roman" w:cs="Times New Roman"/>
              </w:rPr>
              <w:t>m以外可达到标准限值</w:t>
            </w:r>
            <w:r>
              <w:rPr>
                <w:rFonts w:hint="default" w:ascii="Times New Roman" w:hAnsi="Times New Roman" w:cs="Times New Roman"/>
                <w:lang w:eastAsia="zh-CN"/>
              </w:rPr>
              <w:t>；</w:t>
            </w:r>
            <w:r>
              <w:rPr>
                <w:rFonts w:hint="default" w:ascii="Times New Roman" w:hAnsi="Times New Roman" w:cs="Times New Roman"/>
              </w:rPr>
              <w:t>夜间在</w:t>
            </w:r>
            <w:r>
              <w:rPr>
                <w:rFonts w:hint="default" w:ascii="Times New Roman" w:hAnsi="Times New Roman" w:cs="Times New Roman"/>
                <w:lang w:val="en-US" w:eastAsia="zh-CN"/>
              </w:rPr>
              <w:t>141</w:t>
            </w:r>
            <w:r>
              <w:rPr>
                <w:rFonts w:hint="default" w:ascii="Times New Roman" w:hAnsi="Times New Roman" w:cs="Times New Roman"/>
              </w:rPr>
              <w:t>m处才能达到标准要求。因此，昼间施工期噪声将会对项目周边居民产生一定影响。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环评要求施工单位要合理安排施工作业时间，施工单位通过合理安排施工计划和施工机械设备组合以及施工时间，禁止在夜间（22</w:t>
            </w:r>
            <w:r>
              <w:rPr>
                <w:rFonts w:hint="default" w:ascii="Times New Roman" w:hAnsi="Times New Roman" w:cs="Times New Roman"/>
                <w:lang w:eastAsia="zh-CN"/>
              </w:rPr>
              <w:t>：</w:t>
            </w:r>
            <w:r>
              <w:rPr>
                <w:rFonts w:hint="default" w:ascii="Times New Roman" w:hAnsi="Times New Roman" w:cs="Times New Roman"/>
              </w:rPr>
              <w:t>00-6</w:t>
            </w:r>
            <w:r>
              <w:rPr>
                <w:rFonts w:hint="default" w:ascii="Times New Roman" w:hAnsi="Times New Roman" w:cs="Times New Roman"/>
                <w:lang w:eastAsia="zh-CN"/>
              </w:rPr>
              <w:t>：</w:t>
            </w:r>
            <w:r>
              <w:rPr>
                <w:rFonts w:hint="default" w:ascii="Times New Roman" w:hAnsi="Times New Roman" w:cs="Times New Roman"/>
              </w:rPr>
              <w:t>00）施工，避免在同一时间集中使用大量的动力机械设备，尽量减少运行动力机械设备的数量，尽可能使动力机械设备比较均匀地使用等措施最大程度的降噪。在施工进度组织方面，通过合理组织以尽量缩短施工时间以减少施工噪声造成的影响。另外，施工段加装施工围挡，为了最大限度地降低噪声影响，施工应适当增加临近项目敏感点两侧围挡高度以降低施工噪声对周围影响，此外，施工单位应做到科学施工，文明施工。</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评价认为，在采取上述措施后，本项目建设期间项目周边的居民等敏感点会受到</w:t>
            </w:r>
            <w:r>
              <w:rPr>
                <w:rFonts w:hint="default" w:ascii="Times New Roman" w:hAnsi="Times New Roman" w:cs="Times New Roman"/>
                <w:lang w:val="en-US" w:eastAsia="zh-CN"/>
              </w:rPr>
              <w:t>一</w:t>
            </w:r>
            <w:r>
              <w:rPr>
                <w:rFonts w:hint="default" w:ascii="Times New Roman" w:hAnsi="Times New Roman" w:cs="Times New Roman"/>
              </w:rPr>
              <w:t>定的影响，但是影响是有限的、暂时的，会随着施工期的结束而消失。</w:t>
            </w:r>
          </w:p>
          <w:p>
            <w:pPr>
              <w:numPr>
                <w:ilvl w:val="0"/>
                <w:numId w:val="0"/>
              </w:numPr>
              <w:adjustRightInd w:val="0"/>
              <w:snapToGrid w:val="0"/>
              <w:ind w:left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4.4施工期固体废物分析</w:t>
            </w:r>
          </w:p>
          <w:p>
            <w:pPr>
              <w:pStyle w:val="15"/>
              <w:keepNext w:val="0"/>
              <w:keepLines w:val="0"/>
              <w:widowControl/>
              <w:suppressLineNumbers w:val="0"/>
              <w:spacing w:before="0" w:beforeAutospacing="0" w:after="0" w:afterAutospacing="0"/>
              <w:ind w:left="0" w:right="0" w:firstLine="0"/>
            </w:pPr>
            <w:r>
              <w:t>施工期间，施工人员均来自当地，不单独设施工营地，项目不新增生活垃圾。因此施工期固体废弃物主要为弃土、工程废料等。</w:t>
            </w:r>
          </w:p>
          <w:p>
            <w:pPr>
              <w:bidi w:val="0"/>
            </w:pPr>
            <w:r>
              <w:t>（1）弃土</w:t>
            </w:r>
          </w:p>
          <w:p>
            <w:pPr>
              <w:bidi w:val="0"/>
              <w:rPr>
                <w:rFonts w:ascii="宋体" w:hAnsi="宋体" w:eastAsia="宋体" w:cs="宋体"/>
                <w:szCs w:val="24"/>
              </w:rPr>
            </w:pPr>
            <w:r>
              <w:t>本工</w:t>
            </w:r>
            <w:r>
              <w:rPr>
                <w:rFonts w:ascii="宋体" w:hAnsi="宋体" w:eastAsia="宋体" w:cs="宋体"/>
                <w:spacing w:val="-8"/>
                <w:szCs w:val="24"/>
              </w:rPr>
              <w:t>程土石方</w:t>
            </w:r>
            <w:r>
              <w:rPr>
                <w:rFonts w:ascii="宋体" w:hAnsi="宋体" w:eastAsia="宋体" w:cs="宋体"/>
                <w:spacing w:val="-5"/>
                <w:szCs w:val="24"/>
              </w:rPr>
              <w:t>开</w:t>
            </w:r>
            <w:r>
              <w:rPr>
                <w:rFonts w:ascii="宋体" w:hAnsi="宋体" w:eastAsia="宋体" w:cs="宋体"/>
                <w:spacing w:val="-4"/>
                <w:szCs w:val="24"/>
              </w:rPr>
              <w:t>挖共计</w:t>
            </w:r>
            <w:r>
              <w:rPr>
                <w:rFonts w:ascii="Times New Roman" w:hAnsi="Times New Roman" w:eastAsia="Times New Roman" w:cs="Times New Roman"/>
                <w:spacing w:val="-4"/>
                <w:szCs w:val="24"/>
              </w:rPr>
              <w:t>80910</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4"/>
                <w:szCs w:val="24"/>
              </w:rPr>
              <w:t>，土方填筑共计</w:t>
            </w:r>
            <w:r>
              <w:rPr>
                <w:rFonts w:ascii="Times New Roman" w:hAnsi="Times New Roman" w:eastAsia="Times New Roman" w:cs="Times New Roman"/>
                <w:spacing w:val="-4"/>
                <w:szCs w:val="24"/>
              </w:rPr>
              <w:t xml:space="preserve">84700 </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4"/>
                <w:szCs w:val="24"/>
              </w:rPr>
              <w:t>。其中土石方开挖料部分用于</w:t>
            </w:r>
            <w:r>
              <w:rPr>
                <w:rFonts w:ascii="宋体" w:hAnsi="宋体" w:eastAsia="宋体" w:cs="宋体"/>
                <w:spacing w:val="-10"/>
                <w:szCs w:val="24"/>
              </w:rPr>
              <w:t>自</w:t>
            </w:r>
            <w:r>
              <w:rPr>
                <w:rFonts w:ascii="宋体" w:hAnsi="宋体" w:eastAsia="宋体" w:cs="宋体"/>
                <w:spacing w:val="-5"/>
                <w:szCs w:val="24"/>
              </w:rPr>
              <w:t>身回填和填塘回基，部分弃除，转运弃渣场。经土石方平衡规划，共计利用土石方开挖料</w:t>
            </w:r>
            <w:r>
              <w:rPr>
                <w:rFonts w:ascii="宋体" w:hAnsi="宋体" w:eastAsia="宋体" w:cs="宋体"/>
                <w:spacing w:val="-7"/>
                <w:szCs w:val="24"/>
              </w:rPr>
              <w:t>为</w:t>
            </w:r>
            <w:r>
              <w:rPr>
                <w:rFonts w:ascii="Times New Roman" w:hAnsi="Times New Roman" w:eastAsia="Times New Roman" w:cs="Times New Roman"/>
                <w:spacing w:val="-7"/>
                <w:szCs w:val="24"/>
              </w:rPr>
              <w:t xml:space="preserve">68849 </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7"/>
                <w:szCs w:val="24"/>
              </w:rPr>
              <w:t>，弃料</w:t>
            </w:r>
            <w:r>
              <w:rPr>
                <w:rFonts w:ascii="Times New Roman" w:hAnsi="Times New Roman" w:eastAsia="Times New Roman" w:cs="Times New Roman"/>
                <w:spacing w:val="-7"/>
                <w:szCs w:val="24"/>
              </w:rPr>
              <w:t>13902</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7"/>
                <w:szCs w:val="24"/>
              </w:rPr>
              <w:t>，料场取土料</w:t>
            </w:r>
            <w:r>
              <w:rPr>
                <w:rFonts w:ascii="Times New Roman" w:hAnsi="Times New Roman" w:eastAsia="Times New Roman" w:cs="Times New Roman"/>
                <w:spacing w:val="-7"/>
                <w:szCs w:val="24"/>
              </w:rPr>
              <w:t>15862</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7"/>
                <w:szCs w:val="24"/>
              </w:rPr>
              <w:t>，外购块石</w:t>
            </w:r>
            <w:r>
              <w:rPr>
                <w:rFonts w:ascii="Times New Roman" w:hAnsi="Times New Roman" w:eastAsia="Times New Roman" w:cs="Times New Roman"/>
                <w:spacing w:val="-7"/>
                <w:szCs w:val="24"/>
              </w:rPr>
              <w:t>1712</w:t>
            </w:r>
            <w:r>
              <w:rPr>
                <w:rFonts w:hint="eastAsia" w:cs="Times New Roman"/>
                <w:spacing w:val="-4"/>
                <w:szCs w:val="24"/>
                <w:lang w:val="en-US" w:eastAsia="zh-CN"/>
              </w:rPr>
              <w:t>m</w:t>
            </w:r>
            <w:r>
              <w:rPr>
                <w:rFonts w:hint="eastAsia" w:cs="Times New Roman"/>
                <w:spacing w:val="-4"/>
                <w:szCs w:val="24"/>
                <w:vertAlign w:val="superscript"/>
                <w:lang w:val="en-US" w:eastAsia="zh-CN"/>
              </w:rPr>
              <w:t>3</w:t>
            </w:r>
            <w:r>
              <w:rPr>
                <w:rFonts w:ascii="宋体" w:hAnsi="宋体" w:eastAsia="宋体" w:cs="宋体"/>
                <w:spacing w:val="-7"/>
                <w:szCs w:val="24"/>
              </w:rPr>
              <w:t>。弃渣全部利用到湖南</w:t>
            </w:r>
            <w:r>
              <w:rPr>
                <w:rFonts w:ascii="宋体" w:hAnsi="宋体" w:eastAsia="宋体" w:cs="宋体"/>
                <w:spacing w:val="1"/>
                <w:szCs w:val="24"/>
              </w:rPr>
              <w:t>科凡再生资源综合利用有限公司用作建筑垃圾综合治</w:t>
            </w:r>
            <w:r>
              <w:rPr>
                <w:rFonts w:ascii="宋体" w:hAnsi="宋体" w:eastAsia="宋体" w:cs="宋体"/>
                <w:szCs w:val="24"/>
              </w:rPr>
              <w:t>理及其再生利用材料来源。弃土接受协</w:t>
            </w:r>
            <w:r>
              <w:rPr>
                <w:rFonts w:ascii="宋体" w:hAnsi="宋体" w:eastAsia="宋体" w:cs="宋体"/>
                <w:spacing w:val="-4"/>
                <w:szCs w:val="24"/>
              </w:rPr>
              <w:t>议见附件。本</w:t>
            </w:r>
            <w:r>
              <w:rPr>
                <w:rFonts w:ascii="宋体" w:hAnsi="宋体" w:eastAsia="宋体" w:cs="宋体"/>
                <w:spacing w:val="-2"/>
                <w:szCs w:val="24"/>
              </w:rPr>
              <w:t>项目不设置弃渣场。</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（2）工程废料</w:t>
            </w:r>
          </w:p>
          <w:p>
            <w:pPr>
              <w:pStyle w:val="15"/>
              <w:keepNext w:val="0"/>
              <w:keepLines w:val="0"/>
              <w:widowControl/>
              <w:suppressLineNumbers w:val="0"/>
              <w:spacing w:before="0" w:beforeAutospacing="0" w:after="0" w:afterAutospacing="0"/>
              <w:ind w:left="0" w:right="0" w:firstLine="0"/>
            </w:pPr>
            <w:r>
              <w:t>工程废料主要来自施工作业，包括砂石、碎砖瓦等杂物。本评价建议废料中能够回收利用的尽量回收利用，无法回收利用的统一运至指定的建筑垃圾堆放场。另外，评价要求在施工过程中弃渣的临时存放点不能选址在靠住宅区的位置和交通拥挤的位置。</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b/>
                <w:bCs/>
              </w:rPr>
            </w:pPr>
            <w:r>
              <w:rPr>
                <w:rFonts w:hint="eastAsia" w:ascii="Times New Roman" w:hAnsi="Times New Roman" w:cs="Times New Roman"/>
                <w:b/>
                <w:bCs/>
                <w:lang w:val="en-US" w:eastAsia="zh-CN"/>
              </w:rPr>
              <w:t>4.5</w:t>
            </w:r>
            <w:r>
              <w:rPr>
                <w:rFonts w:hint="default" w:ascii="Times New Roman" w:hAnsi="Times New Roman" w:cs="Times New Roman"/>
                <w:b/>
                <w:bCs/>
              </w:rPr>
              <w:t>施工期对生态环境的影响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（1）取土场选址的合理性、可行性分析</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eastAsia" w:ascii="Times New Roman" w:hAnsi="Times New Roman" w:cs="Times New Roman"/>
                <w:lang w:val="en-US" w:eastAsia="zh-CN"/>
              </w:rPr>
              <w:t>本工程取土场位于</w:t>
            </w:r>
            <w:r>
              <w:rPr>
                <w:rFonts w:ascii="宋体" w:hAnsi="宋体" w:eastAsia="宋体" w:cs="宋体"/>
                <w:spacing w:val="-2"/>
                <w:sz w:val="24"/>
                <w:szCs w:val="24"/>
              </w:rPr>
              <w:t>周家湾副坝东端山坡</w:t>
            </w:r>
            <w:r>
              <w:rPr>
                <w:rFonts w:hint="eastAsia" w:ascii="宋体" w:hAnsi="宋体" w:eastAsia="宋体" w:cs="宋体"/>
                <w:spacing w:val="-2"/>
                <w:sz w:val="24"/>
                <w:szCs w:val="24"/>
                <w:lang w:eastAsia="zh-CN"/>
              </w:rPr>
              <w:t>，</w:t>
            </w:r>
            <w:r>
              <w:rPr>
                <w:rFonts w:hint="default" w:ascii="Times New Roman" w:hAnsi="Times New Roman" w:cs="Times New Roman"/>
              </w:rPr>
              <w:t>鉴于本工程所需用量不大，可就地取材，质量均可满足工程需要，运距小于</w:t>
            </w:r>
            <w:r>
              <w:rPr>
                <w:rFonts w:hint="eastAsia" w:ascii="Times New Roman" w:hAnsi="Times New Roman" w:cs="Times New Roman"/>
                <w:lang w:val="en-US" w:eastAsia="zh-CN"/>
              </w:rPr>
              <w:t>5k</w:t>
            </w:r>
            <w:r>
              <w:rPr>
                <w:rFonts w:hint="default" w:ascii="Times New Roman" w:hAnsi="Times New Roman" w:cs="Times New Roman"/>
              </w:rPr>
              <w:t>m。</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ascii="宋体" w:hAnsi="宋体" w:eastAsia="宋体" w:cs="宋体"/>
                <w:spacing w:val="-2"/>
                <w:sz w:val="24"/>
                <w:szCs w:val="24"/>
              </w:rPr>
              <w:t>根据调查，土料孔</w:t>
            </w:r>
            <w:r>
              <w:rPr>
                <w:rFonts w:ascii="宋体" w:hAnsi="宋体" w:eastAsia="宋体" w:cs="宋体"/>
                <w:spacing w:val="-1"/>
                <w:sz w:val="24"/>
                <w:szCs w:val="24"/>
              </w:rPr>
              <w:t>隙比</w:t>
            </w:r>
            <w:r>
              <w:rPr>
                <w:rFonts w:ascii="Times New Roman" w:hAnsi="Times New Roman" w:eastAsia="Times New Roman" w:cs="Times New Roman"/>
                <w:spacing w:val="-1"/>
                <w:sz w:val="24"/>
                <w:szCs w:val="24"/>
              </w:rPr>
              <w:t>0.691</w:t>
            </w:r>
            <w:r>
              <w:rPr>
                <w:rFonts w:ascii="宋体" w:hAnsi="宋体" w:eastAsia="宋体" w:cs="宋体"/>
                <w:spacing w:val="-1"/>
                <w:sz w:val="24"/>
                <w:szCs w:val="24"/>
              </w:rPr>
              <w:t>，干</w:t>
            </w:r>
            <w:r>
              <w:rPr>
                <w:rFonts w:ascii="宋体" w:hAnsi="宋体" w:eastAsia="宋体" w:cs="宋体"/>
                <w:spacing w:val="-10"/>
                <w:sz w:val="24"/>
                <w:szCs w:val="24"/>
              </w:rPr>
              <w:t>密</w:t>
            </w:r>
            <w:r>
              <w:rPr>
                <w:rFonts w:ascii="宋体" w:hAnsi="宋体" w:eastAsia="宋体" w:cs="宋体"/>
                <w:spacing w:val="-7"/>
                <w:sz w:val="24"/>
                <w:szCs w:val="24"/>
              </w:rPr>
              <w:t>度</w:t>
            </w:r>
            <w:r>
              <w:rPr>
                <w:rFonts w:ascii="Times New Roman" w:hAnsi="Times New Roman" w:eastAsia="Times New Roman" w:cs="Times New Roman"/>
                <w:spacing w:val="-7"/>
                <w:sz w:val="24"/>
                <w:szCs w:val="24"/>
              </w:rPr>
              <w:t>1.61g/c</w:t>
            </w:r>
            <w:r>
              <w:rPr>
                <w:rFonts w:hint="eastAsia" w:eastAsia="宋体" w:cs="Times New Roman"/>
                <w:spacing w:val="-7"/>
                <w:sz w:val="24"/>
                <w:szCs w:val="24"/>
                <w:lang w:eastAsia="zh-CN"/>
              </w:rPr>
              <w:t>m</w:t>
            </w:r>
            <w:r>
              <w:rPr>
                <w:rFonts w:hint="eastAsia" w:eastAsia="宋体" w:cs="Times New Roman"/>
                <w:spacing w:val="-7"/>
                <w:sz w:val="24"/>
                <w:szCs w:val="24"/>
                <w:vertAlign w:val="superscript"/>
                <w:lang w:eastAsia="zh-CN"/>
              </w:rPr>
              <w:t>3</w:t>
            </w:r>
            <w:r>
              <w:rPr>
                <w:rFonts w:ascii="宋体" w:hAnsi="宋体" w:eastAsia="宋体" w:cs="宋体"/>
                <w:spacing w:val="-7"/>
                <w:sz w:val="24"/>
                <w:szCs w:val="24"/>
              </w:rPr>
              <w:t>，压缩系数</w:t>
            </w:r>
            <w:r>
              <w:rPr>
                <w:rFonts w:ascii="Times New Roman" w:hAnsi="Times New Roman" w:eastAsia="Times New Roman" w:cs="Times New Roman"/>
                <w:spacing w:val="-7"/>
                <w:sz w:val="24"/>
                <w:szCs w:val="24"/>
              </w:rPr>
              <w:t>0.15Mpa</w:t>
            </w:r>
            <w:r>
              <w:rPr>
                <w:rFonts w:ascii="Times New Roman" w:hAnsi="Times New Roman" w:eastAsia="Times New Roman" w:cs="Times New Roman"/>
                <w:spacing w:val="-7"/>
                <w:position w:val="9"/>
                <w:sz w:val="16"/>
                <w:szCs w:val="16"/>
              </w:rPr>
              <w:t>-1</w:t>
            </w:r>
            <w:r>
              <w:rPr>
                <w:rFonts w:ascii="宋体" w:hAnsi="宋体" w:eastAsia="宋体" w:cs="宋体"/>
                <w:spacing w:val="-7"/>
                <w:sz w:val="24"/>
                <w:szCs w:val="24"/>
              </w:rPr>
              <w:t>，压缩模量</w:t>
            </w:r>
            <w:r>
              <w:rPr>
                <w:rFonts w:ascii="Times New Roman" w:hAnsi="Times New Roman" w:eastAsia="Times New Roman" w:cs="Times New Roman"/>
                <w:spacing w:val="-7"/>
                <w:sz w:val="24"/>
                <w:szCs w:val="24"/>
              </w:rPr>
              <w:t>10.99Mpa</w:t>
            </w:r>
            <w:r>
              <w:rPr>
                <w:rFonts w:ascii="宋体" w:hAnsi="宋体" w:eastAsia="宋体" w:cs="宋体"/>
                <w:spacing w:val="-7"/>
                <w:sz w:val="24"/>
                <w:szCs w:val="24"/>
              </w:rPr>
              <w:t>，天然含水量</w:t>
            </w:r>
            <w:r>
              <w:rPr>
                <w:rFonts w:ascii="Times New Roman" w:hAnsi="Times New Roman" w:eastAsia="Times New Roman" w:cs="Times New Roman"/>
                <w:spacing w:val="-7"/>
                <w:sz w:val="24"/>
                <w:szCs w:val="24"/>
              </w:rPr>
              <w:t>23.3%</w:t>
            </w:r>
            <w:r>
              <w:rPr>
                <w:rFonts w:ascii="宋体" w:hAnsi="宋体" w:eastAsia="宋体" w:cs="宋体"/>
                <w:spacing w:val="-7"/>
                <w:sz w:val="24"/>
                <w:szCs w:val="24"/>
              </w:rPr>
              <w:t>，比重</w:t>
            </w:r>
            <w:r>
              <w:rPr>
                <w:rFonts w:ascii="Times New Roman" w:hAnsi="Times New Roman" w:eastAsia="Times New Roman" w:cs="Times New Roman"/>
                <w:spacing w:val="-7"/>
                <w:sz w:val="24"/>
                <w:szCs w:val="24"/>
              </w:rPr>
              <w:t>2.73</w:t>
            </w:r>
            <w:r>
              <w:rPr>
                <w:rFonts w:ascii="宋体" w:hAnsi="宋体" w:eastAsia="宋体" w:cs="宋体"/>
                <w:spacing w:val="-7"/>
                <w:sz w:val="24"/>
                <w:szCs w:val="24"/>
              </w:rPr>
              <w:t>，</w:t>
            </w:r>
            <w:r>
              <w:rPr>
                <w:rFonts w:ascii="宋体" w:hAnsi="宋体" w:eastAsia="宋体" w:cs="宋体"/>
                <w:spacing w:val="-4"/>
                <w:sz w:val="24"/>
                <w:szCs w:val="24"/>
              </w:rPr>
              <w:t>击实</w:t>
            </w:r>
            <w:r>
              <w:rPr>
                <w:rFonts w:ascii="宋体" w:hAnsi="宋体" w:eastAsia="宋体" w:cs="宋体"/>
                <w:spacing w:val="-3"/>
                <w:sz w:val="24"/>
                <w:szCs w:val="24"/>
              </w:rPr>
              <w:t>试</w:t>
            </w:r>
            <w:r>
              <w:rPr>
                <w:rFonts w:ascii="宋体" w:hAnsi="宋体" w:eastAsia="宋体" w:cs="宋体"/>
                <w:spacing w:val="-2"/>
                <w:sz w:val="24"/>
                <w:szCs w:val="24"/>
              </w:rPr>
              <w:t>验表明：最大干密度</w:t>
            </w:r>
            <w:r>
              <w:rPr>
                <w:rFonts w:ascii="Times New Roman" w:hAnsi="Times New Roman" w:eastAsia="Times New Roman" w:cs="Times New Roman"/>
                <w:spacing w:val="-2"/>
                <w:sz w:val="24"/>
                <w:szCs w:val="24"/>
              </w:rPr>
              <w:t>1.58g/c</w:t>
            </w:r>
            <w:r>
              <w:rPr>
                <w:rFonts w:hint="eastAsia" w:eastAsia="宋体" w:cs="Times New Roman"/>
                <w:spacing w:val="-2"/>
                <w:sz w:val="24"/>
                <w:szCs w:val="24"/>
                <w:lang w:eastAsia="zh-CN"/>
              </w:rPr>
              <w:t>m</w:t>
            </w:r>
            <w:r>
              <w:rPr>
                <w:rFonts w:hint="eastAsia" w:eastAsia="宋体" w:cs="Times New Roman"/>
                <w:spacing w:val="-2"/>
                <w:sz w:val="24"/>
                <w:szCs w:val="24"/>
                <w:vertAlign w:val="superscript"/>
                <w:lang w:eastAsia="zh-CN"/>
              </w:rPr>
              <w:t>3</w:t>
            </w:r>
            <w:r>
              <w:rPr>
                <w:rFonts w:ascii="宋体" w:hAnsi="宋体" w:eastAsia="宋体" w:cs="宋体"/>
                <w:spacing w:val="-2"/>
                <w:sz w:val="24"/>
                <w:szCs w:val="24"/>
              </w:rPr>
              <w:t>，最优含水量</w:t>
            </w:r>
            <w:r>
              <w:rPr>
                <w:rFonts w:ascii="Times New Roman" w:hAnsi="Times New Roman" w:eastAsia="Times New Roman" w:cs="Times New Roman"/>
                <w:spacing w:val="-2"/>
                <w:sz w:val="24"/>
                <w:szCs w:val="24"/>
              </w:rPr>
              <w:t>20.9%</w:t>
            </w:r>
            <w:r>
              <w:rPr>
                <w:rFonts w:ascii="宋体" w:hAnsi="宋体" w:eastAsia="宋体" w:cs="宋体"/>
                <w:spacing w:val="-2"/>
                <w:sz w:val="24"/>
                <w:szCs w:val="24"/>
              </w:rPr>
              <w:t>，土料较丰富且质量较好，土料</w:t>
            </w:r>
            <w:r>
              <w:rPr>
                <w:rFonts w:ascii="宋体" w:hAnsi="宋体" w:eastAsia="宋体" w:cs="宋体"/>
                <w:spacing w:val="-5"/>
                <w:sz w:val="24"/>
                <w:szCs w:val="24"/>
              </w:rPr>
              <w:t>丘岗地带长</w:t>
            </w:r>
            <w:r>
              <w:rPr>
                <w:rFonts w:ascii="Times New Roman" w:hAnsi="Times New Roman" w:eastAsia="Times New Roman" w:cs="Times New Roman"/>
                <w:spacing w:val="-5"/>
                <w:sz w:val="24"/>
                <w:szCs w:val="24"/>
              </w:rPr>
              <w:t>400m</w:t>
            </w:r>
            <w:r>
              <w:rPr>
                <w:rFonts w:ascii="宋体" w:hAnsi="宋体" w:eastAsia="宋体" w:cs="宋体"/>
                <w:spacing w:val="-5"/>
                <w:sz w:val="24"/>
                <w:szCs w:val="24"/>
              </w:rPr>
              <w:t>，宽</w:t>
            </w:r>
            <w:r>
              <w:rPr>
                <w:rFonts w:ascii="Times New Roman" w:hAnsi="Times New Roman" w:eastAsia="Times New Roman" w:cs="Times New Roman"/>
                <w:spacing w:val="-5"/>
                <w:sz w:val="24"/>
                <w:szCs w:val="24"/>
              </w:rPr>
              <w:t>250m</w:t>
            </w:r>
            <w:r>
              <w:rPr>
                <w:rFonts w:ascii="宋体" w:hAnsi="宋体" w:eastAsia="宋体" w:cs="宋体"/>
                <w:spacing w:val="-5"/>
                <w:sz w:val="24"/>
                <w:szCs w:val="24"/>
              </w:rPr>
              <w:t>，有用层厚度约</w:t>
            </w:r>
            <w:r>
              <w:rPr>
                <w:rFonts w:ascii="Times New Roman" w:hAnsi="Times New Roman" w:eastAsia="Times New Roman" w:cs="Times New Roman"/>
                <w:spacing w:val="-5"/>
                <w:sz w:val="24"/>
                <w:szCs w:val="24"/>
              </w:rPr>
              <w:t>3.0m</w:t>
            </w:r>
            <w:r>
              <w:rPr>
                <w:rFonts w:ascii="宋体" w:hAnsi="宋体" w:eastAsia="宋体" w:cs="宋体"/>
                <w:spacing w:val="-5"/>
                <w:sz w:val="24"/>
                <w:szCs w:val="24"/>
              </w:rPr>
              <w:t>，储量约</w:t>
            </w:r>
            <w:r>
              <w:rPr>
                <w:rFonts w:ascii="Times New Roman" w:hAnsi="Times New Roman" w:eastAsia="Times New Roman" w:cs="Times New Roman"/>
                <w:spacing w:val="-5"/>
                <w:sz w:val="24"/>
                <w:szCs w:val="24"/>
              </w:rPr>
              <w:t>30×</w:t>
            </w:r>
            <w:r>
              <w:rPr>
                <w:rFonts w:hint="eastAsia" w:eastAsia="宋体" w:cs="Times New Roman"/>
                <w:spacing w:val="-5"/>
                <w:sz w:val="24"/>
                <w:szCs w:val="24"/>
                <w:lang w:eastAsia="zh-CN"/>
              </w:rPr>
              <w:t>10</w:t>
            </w:r>
            <w:r>
              <w:rPr>
                <w:rFonts w:hint="eastAsia" w:eastAsia="宋体" w:cs="Times New Roman"/>
                <w:spacing w:val="-5"/>
                <w:sz w:val="24"/>
                <w:szCs w:val="24"/>
                <w:vertAlign w:val="superscript"/>
                <w:lang w:eastAsia="zh-CN"/>
              </w:rPr>
              <w:t>4</w:t>
            </w:r>
            <w:r>
              <w:rPr>
                <w:rFonts w:hint="eastAsia" w:eastAsia="宋体" w:cs="Times New Roman"/>
                <w:spacing w:val="-5"/>
                <w:sz w:val="24"/>
                <w:szCs w:val="24"/>
                <w:lang w:eastAsia="zh-CN"/>
              </w:rPr>
              <w:t>m</w:t>
            </w:r>
            <w:r>
              <w:rPr>
                <w:rFonts w:hint="eastAsia" w:eastAsia="宋体" w:cs="Times New Roman"/>
                <w:spacing w:val="-5"/>
                <w:sz w:val="24"/>
                <w:szCs w:val="24"/>
                <w:vertAlign w:val="superscript"/>
                <w:lang w:eastAsia="zh-CN"/>
              </w:rPr>
              <w:t>3</w:t>
            </w:r>
            <w:r>
              <w:rPr>
                <w:rFonts w:ascii="宋体" w:hAnsi="宋体" w:eastAsia="宋体" w:cs="宋体"/>
                <w:spacing w:val="-5"/>
                <w:sz w:val="24"/>
                <w:szCs w:val="24"/>
              </w:rPr>
              <w:t>，开采方便，有</w:t>
            </w:r>
            <w:r>
              <w:rPr>
                <w:rFonts w:hint="eastAsia" w:cs="宋体"/>
                <w:spacing w:val="-5"/>
                <w:sz w:val="24"/>
                <w:szCs w:val="24"/>
                <w:lang w:val="en-US" w:eastAsia="zh-CN"/>
              </w:rPr>
              <w:t>道路</w:t>
            </w:r>
            <w:r>
              <w:rPr>
                <w:rFonts w:ascii="宋体" w:hAnsi="宋体" w:eastAsia="宋体" w:cs="宋体"/>
                <w:spacing w:val="-6"/>
                <w:sz w:val="24"/>
                <w:szCs w:val="24"/>
              </w:rPr>
              <w:t>路可直达</w:t>
            </w:r>
            <w:r>
              <w:rPr>
                <w:rFonts w:ascii="宋体" w:hAnsi="宋体" w:eastAsia="宋体" w:cs="宋体"/>
                <w:spacing w:val="-5"/>
                <w:sz w:val="24"/>
                <w:szCs w:val="24"/>
              </w:rPr>
              <w:t>工</w:t>
            </w:r>
            <w:r>
              <w:rPr>
                <w:rFonts w:ascii="宋体" w:hAnsi="宋体" w:eastAsia="宋体" w:cs="宋体"/>
                <w:spacing w:val="-3"/>
                <w:sz w:val="24"/>
                <w:szCs w:val="24"/>
              </w:rPr>
              <w:t>地，平均运距</w:t>
            </w:r>
            <w:r>
              <w:rPr>
                <w:rFonts w:ascii="Times New Roman" w:hAnsi="Times New Roman" w:eastAsia="Times New Roman" w:cs="Times New Roman"/>
                <w:spacing w:val="-3"/>
                <w:sz w:val="24"/>
                <w:szCs w:val="24"/>
              </w:rPr>
              <w:t>5.0km</w:t>
            </w:r>
            <w:r>
              <w:rPr>
                <w:rFonts w:ascii="宋体" w:hAnsi="宋体" w:eastAsia="宋体" w:cs="宋体"/>
                <w:spacing w:val="-3"/>
                <w:sz w:val="24"/>
                <w:szCs w:val="24"/>
              </w:rPr>
              <w:t>。</w:t>
            </w:r>
            <w:r>
              <w:rPr>
                <w:rFonts w:hint="default" w:ascii="Times New Roman" w:hAnsi="Times New Roman" w:cs="Times New Roman"/>
              </w:rPr>
              <w:t>可满足本工程</w:t>
            </w:r>
            <w:r>
              <w:rPr>
                <w:rFonts w:hint="eastAsia" w:cs="Times New Roman"/>
                <w:lang w:val="en-US" w:eastAsia="zh-CN"/>
              </w:rPr>
              <w:t>取土</w:t>
            </w:r>
            <w:r>
              <w:rPr>
                <w:rFonts w:hint="default" w:ascii="Times New Roman" w:hAnsi="Times New Roman" w:cs="Times New Roman"/>
              </w:rPr>
              <w:t>要求。该取土场可满足本项目的取土量及建材质量要求，运输距离较短，选址合理。</w:t>
            </w:r>
          </w:p>
          <w:p>
            <w:pPr>
              <w:bidi w:val="0"/>
              <w:rPr>
                <w:rFonts w:hint="default" w:ascii="Times New Roman" w:hAnsi="Times New Roman" w:cs="Times New Roman"/>
              </w:rPr>
            </w:pPr>
            <w:r>
              <w:rPr>
                <w:rFonts w:hint="default" w:ascii="Times New Roman" w:hAnsi="Times New Roman" w:cs="Times New Roman"/>
              </w:rPr>
              <w:t>（2）水土流失</w:t>
            </w:r>
          </w:p>
          <w:p>
            <w:pPr>
              <w:bidi w:val="0"/>
              <w:rPr>
                <w:rFonts w:hint="default" w:ascii="Times New Roman" w:hAnsi="Times New Roman" w:cs="Times New Roman"/>
              </w:rPr>
            </w:pPr>
            <w:r>
              <w:rPr>
                <w:rFonts w:hint="default" w:ascii="Times New Roman" w:hAnsi="Times New Roman" w:cs="Times New Roman"/>
              </w:rPr>
              <w:t>根据湖南省水土流失防治分区，项目区所在地属</w:t>
            </w:r>
            <w:r>
              <w:rPr>
                <w:rFonts w:hint="eastAsia" w:cs="Times New Roman"/>
                <w:lang w:val="en-US" w:eastAsia="zh-CN"/>
              </w:rPr>
              <w:t>于</w:t>
            </w:r>
            <w:r>
              <w:rPr>
                <w:rFonts w:hint="default" w:ascii="Times New Roman" w:hAnsi="Times New Roman" w:cs="Times New Roman"/>
              </w:rPr>
              <w:t>洋沙湖流域县级水土流失重点治理区，区域内植被覆盖程度较好，土壤类型主要为</w:t>
            </w:r>
            <w:r>
              <w:rPr>
                <w:rFonts w:hint="eastAsia" w:cs="Times New Roman"/>
                <w:lang w:val="en-US" w:eastAsia="zh-CN"/>
              </w:rPr>
              <w:t>红</w:t>
            </w:r>
            <w:r>
              <w:rPr>
                <w:rFonts w:hint="default" w:ascii="Times New Roman" w:hAnsi="Times New Roman" w:cs="Times New Roman"/>
              </w:rPr>
              <w:t>壤。</w:t>
            </w:r>
          </w:p>
          <w:p>
            <w:pPr>
              <w:bidi w:val="0"/>
              <w:rPr>
                <w:rFonts w:hint="default" w:ascii="Times New Roman" w:hAnsi="Times New Roman" w:cs="Times New Roman"/>
              </w:rPr>
            </w:pPr>
            <w:r>
              <w:rPr>
                <w:rFonts w:hint="default" w:ascii="Times New Roman" w:hAnsi="Times New Roman" w:cs="Times New Roman"/>
              </w:rPr>
              <w:t>通过对本工程现场查勘、调查、结合工程的规模、总体布局，以及对周围环境的影响程度，确定本项目水土保持防治责任范围面积为3.66h</w:t>
            </w:r>
            <w:r>
              <w:rPr>
                <w:rFonts w:hint="eastAsia" w:cs="Times New Roman"/>
                <w:lang w:eastAsia="zh-CN"/>
              </w:rPr>
              <w:t>m</w:t>
            </w:r>
            <w:r>
              <w:rPr>
                <w:rFonts w:hint="eastAsia" w:cs="Times New Roman"/>
                <w:vertAlign w:val="superscript"/>
                <w:lang w:eastAsia="zh-CN"/>
              </w:rPr>
              <w:t>2</w:t>
            </w:r>
            <w:r>
              <w:rPr>
                <w:rFonts w:hint="default" w:ascii="Times New Roman" w:hAnsi="Times New Roman" w:cs="Times New Roman"/>
              </w:rPr>
              <w:t>，其中项目建设区</w:t>
            </w:r>
            <w:r>
              <w:rPr>
                <w:rFonts w:hint="eastAsia" w:cs="Times New Roman"/>
                <w:lang w:val="en-US" w:eastAsia="zh-CN"/>
              </w:rPr>
              <w:t>3.03</w:t>
            </w:r>
            <w:r>
              <w:rPr>
                <w:rFonts w:hint="default" w:ascii="Times New Roman" w:hAnsi="Times New Roman" w:cs="Times New Roman"/>
              </w:rPr>
              <w:t>h</w:t>
            </w:r>
            <w:r>
              <w:rPr>
                <w:rFonts w:hint="eastAsia" w:cs="Times New Roman"/>
                <w:lang w:eastAsia="zh-CN"/>
              </w:rPr>
              <w:t>m</w:t>
            </w:r>
            <w:r>
              <w:rPr>
                <w:rFonts w:hint="eastAsia" w:cs="Times New Roman"/>
                <w:vertAlign w:val="superscript"/>
                <w:lang w:eastAsia="zh-CN"/>
              </w:rPr>
              <w:t>2</w:t>
            </w:r>
            <w:r>
              <w:rPr>
                <w:rFonts w:hint="default" w:ascii="Times New Roman" w:hAnsi="Times New Roman" w:cs="Times New Roman"/>
              </w:rPr>
              <w:t>，</w:t>
            </w:r>
            <w:r>
              <w:rPr>
                <w:rFonts w:hint="eastAsia" w:cs="Times New Roman"/>
                <w:lang w:val="en-US" w:eastAsia="zh-CN"/>
              </w:rPr>
              <w:t>间</w:t>
            </w:r>
            <w:r>
              <w:rPr>
                <w:rFonts w:hint="default" w:ascii="Times New Roman" w:hAnsi="Times New Roman" w:cs="Times New Roman"/>
              </w:rPr>
              <w:t>接影响区</w:t>
            </w:r>
            <w:r>
              <w:rPr>
                <w:rFonts w:hint="eastAsia" w:cs="Times New Roman"/>
                <w:lang w:val="en-US" w:eastAsia="zh-CN"/>
              </w:rPr>
              <w:t>0.63</w:t>
            </w:r>
            <w:r>
              <w:rPr>
                <w:rFonts w:hint="default" w:ascii="Times New Roman" w:hAnsi="Times New Roman" w:cs="Times New Roman"/>
              </w:rPr>
              <w:t>h</w:t>
            </w:r>
            <w:r>
              <w:rPr>
                <w:rFonts w:hint="eastAsia" w:cs="Times New Roman"/>
                <w:lang w:eastAsia="zh-CN"/>
              </w:rPr>
              <w:t>m</w:t>
            </w:r>
            <w:r>
              <w:rPr>
                <w:rFonts w:hint="eastAsia" w:cs="Times New Roman"/>
                <w:vertAlign w:val="superscript"/>
                <w:lang w:eastAsia="zh-CN"/>
              </w:rPr>
              <w:t>2</w:t>
            </w:r>
            <w:r>
              <w:rPr>
                <w:rFonts w:hint="default" w:ascii="Times New Roman" w:hAnsi="Times New Roman" w:cs="Times New Roman"/>
              </w:rPr>
              <w:t>。</w:t>
            </w:r>
          </w:p>
          <w:p>
            <w:pPr>
              <w:bidi w:val="0"/>
              <w:rPr>
                <w:rFonts w:hint="default"/>
              </w:rPr>
            </w:pPr>
            <w:r>
              <w:rPr>
                <w:rFonts w:hint="default"/>
                <w:lang w:val="en-US" w:eastAsia="zh-CN"/>
              </w:rPr>
              <w:t>①</w:t>
            </w:r>
            <w:r>
              <w:rPr>
                <w:rFonts w:hint="default"/>
              </w:rPr>
              <w:t>水土流失防治分区划分</w:t>
            </w:r>
          </w:p>
          <w:p>
            <w:pPr>
              <w:bidi w:val="0"/>
              <w:rPr>
                <w:rFonts w:hint="default"/>
              </w:rPr>
            </w:pPr>
            <w:r>
              <w:rPr>
                <w:rFonts w:hint="default"/>
              </w:rPr>
              <w:t>根据分区原则、工程建设的施工特点及工程类型，考虑到本项目施工过程中主体工程产生的水土流失类型、强度的差异，将本项目分为主体工程建设区、取土场区、临时堆土区、施工生活生产区</w:t>
            </w:r>
            <w:r>
              <w:rPr>
                <w:rFonts w:hint="eastAsia"/>
                <w:lang w:val="en-US" w:eastAsia="zh-CN"/>
              </w:rPr>
              <w:t>四</w:t>
            </w:r>
            <w:r>
              <w:rPr>
                <w:rFonts w:hint="default"/>
              </w:rPr>
              <w:t>个一级分区，重点防治对象为</w:t>
            </w:r>
            <w:r>
              <w:rPr>
                <w:rFonts w:hint="eastAsia"/>
                <w:lang w:val="en-US" w:eastAsia="zh-CN"/>
              </w:rPr>
              <w:t>取土场</w:t>
            </w:r>
            <w:r>
              <w:rPr>
                <w:rFonts w:hint="default"/>
              </w:rPr>
              <w:t>及临时堆土区。</w:t>
            </w:r>
          </w:p>
          <w:p>
            <w:pPr>
              <w:spacing w:afterLines="50" w:line="480" w:lineRule="exact"/>
              <w:outlineLvl w:val="2"/>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②</w:t>
            </w:r>
            <w:r>
              <w:rPr>
                <w:rFonts w:hint="default" w:ascii="Times New Roman" w:hAnsi="Times New Roman" w:eastAsia="宋体" w:cs="Times New Roman"/>
                <w:b/>
                <w:color w:val="000000"/>
                <w:sz w:val="24"/>
                <w:szCs w:val="24"/>
              </w:rPr>
              <w:t>水土流失预测</w:t>
            </w:r>
          </w:p>
          <w:p>
            <w:pPr>
              <w:rPr>
                <w:rFonts w:hint="default" w:ascii="Times New Roman" w:hAnsi="Times New Roman" w:cs="Times New Roman"/>
              </w:rPr>
            </w:pPr>
            <w:r>
              <w:rPr>
                <w:rFonts w:hint="default" w:ascii="Times New Roman" w:hAnsi="Times New Roman" w:eastAsia="宋体" w:cs="Times New Roman"/>
                <w:color w:val="000000"/>
                <w:sz w:val="24"/>
                <w:szCs w:val="24"/>
              </w:rPr>
              <w:t>根据本工程建设内容，工程扰动地表面积共计</w:t>
            </w:r>
            <w:r>
              <w:rPr>
                <w:rFonts w:hint="eastAsia" w:cs="Times New Roman"/>
                <w:color w:val="000000"/>
                <w:sz w:val="24"/>
                <w:szCs w:val="24"/>
                <w:lang w:val="en-US" w:eastAsia="zh-CN"/>
              </w:rPr>
              <w:t>3.66</w:t>
            </w:r>
            <w:r>
              <w:rPr>
                <w:rFonts w:hint="default" w:ascii="Times New Roman" w:hAnsi="Times New Roman" w:eastAsia="宋体" w:cs="Times New Roman"/>
                <w:color w:val="000000"/>
                <w:sz w:val="24"/>
                <w:szCs w:val="24"/>
              </w:rPr>
              <w:t>h</w:t>
            </w:r>
            <w:r>
              <w:rPr>
                <w:rFonts w:hint="eastAsia" w:cs="Times New Roman"/>
                <w:color w:val="000000"/>
                <w:sz w:val="24"/>
                <w:szCs w:val="24"/>
                <w:lang w:eastAsia="zh-CN"/>
              </w:rPr>
              <w:t>m</w:t>
            </w:r>
            <w:r>
              <w:rPr>
                <w:rFonts w:hint="eastAsia" w:cs="Times New Roman"/>
                <w:color w:val="000000"/>
                <w:sz w:val="24"/>
                <w:szCs w:val="24"/>
                <w:vertAlign w:val="superscript"/>
                <w:lang w:eastAsia="zh-CN"/>
              </w:rPr>
              <w:t>2</w:t>
            </w:r>
            <w:r>
              <w:rPr>
                <w:rFonts w:hint="default" w:ascii="Times New Roman" w:hAnsi="Times New Roman" w:eastAsia="宋体" w:cs="Times New Roman"/>
                <w:color w:val="000000"/>
                <w:sz w:val="24"/>
                <w:szCs w:val="24"/>
              </w:rPr>
              <w:t>，损坏水土保持设施面积</w:t>
            </w:r>
            <w:r>
              <w:rPr>
                <w:rFonts w:hint="eastAsia" w:cs="Times New Roman"/>
                <w:color w:val="000000"/>
                <w:sz w:val="24"/>
                <w:szCs w:val="24"/>
                <w:lang w:val="en-US" w:eastAsia="zh-CN"/>
              </w:rPr>
              <w:t>0.63</w:t>
            </w:r>
            <w:r>
              <w:rPr>
                <w:rFonts w:hint="default" w:ascii="Times New Roman" w:hAnsi="Times New Roman" w:eastAsia="宋体" w:cs="Times New Roman"/>
                <w:color w:val="000000"/>
                <w:sz w:val="24"/>
                <w:szCs w:val="24"/>
              </w:rPr>
              <w:t>h</w:t>
            </w:r>
            <w:r>
              <w:rPr>
                <w:rFonts w:hint="eastAsia" w:cs="Times New Roman"/>
                <w:color w:val="000000"/>
                <w:sz w:val="24"/>
                <w:szCs w:val="24"/>
                <w:lang w:eastAsia="zh-CN"/>
              </w:rPr>
              <w:t>m</w:t>
            </w:r>
            <w:r>
              <w:rPr>
                <w:rFonts w:hint="eastAsia" w:cs="Times New Roman"/>
                <w:color w:val="000000"/>
                <w:sz w:val="24"/>
                <w:szCs w:val="24"/>
                <w:vertAlign w:val="superscript"/>
                <w:lang w:eastAsia="zh-CN"/>
              </w:rPr>
              <w:t>2</w:t>
            </w:r>
            <w:r>
              <w:rPr>
                <w:rFonts w:hint="default" w:ascii="Times New Roman" w:hAnsi="Times New Roman" w:eastAsia="宋体" w:cs="Times New Roman"/>
                <w:color w:val="000000"/>
                <w:sz w:val="24"/>
                <w:szCs w:val="24"/>
              </w:rPr>
              <w:t>，根据计算，项目建设区施工期和植被恢复期内扰动地表水土流失总量为</w:t>
            </w:r>
            <w:r>
              <w:rPr>
                <w:rFonts w:hint="eastAsia" w:cs="Times New Roman"/>
                <w:color w:val="000000"/>
                <w:sz w:val="24"/>
                <w:szCs w:val="24"/>
                <w:lang w:val="en-US" w:eastAsia="zh-CN"/>
              </w:rPr>
              <w:t>255.3</w:t>
            </w:r>
            <w:r>
              <w:rPr>
                <w:rFonts w:hint="default" w:ascii="Times New Roman" w:hAnsi="Times New Roman" w:eastAsia="宋体" w:cs="Times New Roman"/>
                <w:color w:val="000000"/>
                <w:sz w:val="24"/>
                <w:szCs w:val="24"/>
              </w:rPr>
              <w:t>t。</w:t>
            </w:r>
          </w:p>
          <w:p>
            <w:pPr>
              <w:bidi w:val="0"/>
              <w:rPr>
                <w:rFonts w:hint="default" w:ascii="Times New Roman" w:hAnsi="Times New Roman" w:eastAsia="宋体" w:cs="Times New Roman"/>
                <w:color w:val="000000"/>
                <w:sz w:val="24"/>
                <w:szCs w:val="24"/>
              </w:rPr>
            </w:pPr>
            <w:r>
              <w:rPr>
                <w:rFonts w:hint="default" w:ascii="Times New Roman" w:hAnsi="Times New Roman" w:eastAsia="宋体" w:cs="Times New Roman"/>
                <w:snapToGrid w:val="0"/>
                <w:color w:val="000000"/>
                <w:sz w:val="24"/>
                <w:szCs w:val="24"/>
              </w:rPr>
              <w:t>根据《关于划分水土流失重点防治区的公告》（湘政函[1999]115号），本工程涉及的</w:t>
            </w:r>
            <w:r>
              <w:rPr>
                <w:rFonts w:hint="eastAsia" w:cs="Times New Roman"/>
                <w:snapToGrid w:val="0"/>
                <w:color w:val="000000"/>
                <w:sz w:val="24"/>
                <w:szCs w:val="24"/>
                <w:lang w:val="en-US" w:eastAsia="zh-CN"/>
              </w:rPr>
              <w:t>湘阴县</w:t>
            </w:r>
            <w:r>
              <w:rPr>
                <w:rFonts w:hint="default" w:ascii="Times New Roman" w:hAnsi="Times New Roman" w:eastAsia="宋体" w:cs="Times New Roman"/>
                <w:snapToGrid w:val="0"/>
                <w:color w:val="000000"/>
                <w:sz w:val="24"/>
                <w:szCs w:val="24"/>
              </w:rPr>
              <w:t>为</w:t>
            </w:r>
            <w:r>
              <w:rPr>
                <w:rFonts w:hint="default" w:ascii="Times New Roman" w:hAnsi="Times New Roman" w:cs="Times New Roman"/>
              </w:rPr>
              <w:t>洋沙湖流域县级水土流失重点治理区</w:t>
            </w:r>
            <w:r>
              <w:rPr>
                <w:rFonts w:hint="default" w:ascii="Times New Roman" w:hAnsi="Times New Roman" w:eastAsia="宋体" w:cs="Times New Roman"/>
                <w:snapToGrid w:val="0"/>
                <w:color w:val="000000"/>
                <w:sz w:val="24"/>
                <w:szCs w:val="24"/>
              </w:rPr>
              <w:t>。依据《开发建设项目水土流失防治标准》（GB50434-2008），本工程水土流失防治标准按照水土流失防治二级标准执行。</w:t>
            </w:r>
            <w:r>
              <w:rPr>
                <w:rFonts w:hint="default" w:ascii="Times New Roman" w:hAnsi="Times New Roman" w:eastAsia="宋体" w:cs="Times New Roman"/>
                <w:color w:val="000000"/>
                <w:sz w:val="24"/>
                <w:szCs w:val="24"/>
              </w:rPr>
              <w:t>防治目标为：</w:t>
            </w:r>
            <w:r>
              <w:rPr>
                <w:rFonts w:ascii="宋体" w:hAnsi="宋体" w:eastAsia="宋体" w:cs="宋体"/>
                <w:spacing w:val="-1"/>
                <w:sz w:val="24"/>
                <w:szCs w:val="24"/>
              </w:rPr>
              <w:t>施工期渣土防护率</w:t>
            </w:r>
            <w:r>
              <w:rPr>
                <w:rFonts w:ascii="Times New Roman" w:hAnsi="Times New Roman" w:eastAsia="Times New Roman" w:cs="Times New Roman"/>
                <w:spacing w:val="-1"/>
                <w:sz w:val="24"/>
                <w:szCs w:val="24"/>
              </w:rPr>
              <w:t>95%</w:t>
            </w:r>
            <w:r>
              <w:rPr>
                <w:rFonts w:ascii="宋体" w:hAnsi="宋体" w:eastAsia="宋体" w:cs="宋体"/>
                <w:spacing w:val="-1"/>
                <w:sz w:val="24"/>
                <w:szCs w:val="24"/>
              </w:rPr>
              <w:t>，表</w:t>
            </w:r>
            <w:r>
              <w:rPr>
                <w:rFonts w:ascii="宋体" w:hAnsi="宋体" w:eastAsia="宋体" w:cs="宋体"/>
                <w:spacing w:val="-10"/>
                <w:sz w:val="24"/>
                <w:szCs w:val="24"/>
              </w:rPr>
              <w:t>土保护率</w:t>
            </w:r>
            <w:r>
              <w:rPr>
                <w:rFonts w:ascii="Times New Roman" w:hAnsi="Times New Roman" w:eastAsia="Times New Roman" w:cs="Times New Roman"/>
                <w:spacing w:val="-10"/>
                <w:sz w:val="24"/>
                <w:szCs w:val="24"/>
              </w:rPr>
              <w:t>92</w:t>
            </w:r>
            <w:r>
              <w:rPr>
                <w:rFonts w:ascii="Times New Roman" w:hAnsi="Times New Roman" w:eastAsia="Times New Roman" w:cs="Times New Roman"/>
                <w:spacing w:val="-7"/>
                <w:sz w:val="24"/>
                <w:szCs w:val="24"/>
              </w:rPr>
              <w:t>%</w:t>
            </w:r>
            <w:r>
              <w:rPr>
                <w:rFonts w:ascii="宋体" w:hAnsi="宋体" w:eastAsia="宋体" w:cs="宋体"/>
                <w:spacing w:val="-5"/>
                <w:sz w:val="24"/>
                <w:szCs w:val="24"/>
              </w:rPr>
              <w:t>；试运行期水土流失治理度</w:t>
            </w:r>
            <w:r>
              <w:rPr>
                <w:rFonts w:ascii="Times New Roman" w:hAnsi="Times New Roman" w:eastAsia="Times New Roman" w:cs="Times New Roman"/>
                <w:spacing w:val="-5"/>
                <w:sz w:val="24"/>
                <w:szCs w:val="24"/>
              </w:rPr>
              <w:t>98%</w:t>
            </w:r>
            <w:r>
              <w:rPr>
                <w:rFonts w:ascii="宋体" w:hAnsi="宋体" w:eastAsia="宋体" w:cs="宋体"/>
                <w:spacing w:val="-5"/>
                <w:sz w:val="24"/>
                <w:szCs w:val="24"/>
              </w:rPr>
              <w:t>、土壤流失控制比</w:t>
            </w:r>
            <w:r>
              <w:rPr>
                <w:rFonts w:ascii="Times New Roman" w:hAnsi="Times New Roman" w:eastAsia="Times New Roman" w:cs="Times New Roman"/>
                <w:spacing w:val="-5"/>
                <w:sz w:val="24"/>
                <w:szCs w:val="24"/>
              </w:rPr>
              <w:t>0.90</w:t>
            </w:r>
            <w:r>
              <w:rPr>
                <w:rFonts w:ascii="宋体" w:hAnsi="宋体" w:eastAsia="宋体" w:cs="宋体"/>
                <w:spacing w:val="-5"/>
                <w:sz w:val="24"/>
                <w:szCs w:val="24"/>
              </w:rPr>
              <w:t>、渣土防护率</w:t>
            </w:r>
            <w:r>
              <w:rPr>
                <w:rFonts w:ascii="Times New Roman" w:hAnsi="Times New Roman" w:eastAsia="Times New Roman" w:cs="Times New Roman"/>
                <w:spacing w:val="-5"/>
                <w:sz w:val="24"/>
                <w:szCs w:val="24"/>
              </w:rPr>
              <w:t>97%</w:t>
            </w:r>
            <w:r>
              <w:rPr>
                <w:rFonts w:ascii="宋体" w:hAnsi="宋体" w:eastAsia="宋体" w:cs="宋体"/>
                <w:spacing w:val="-5"/>
                <w:sz w:val="24"/>
                <w:szCs w:val="24"/>
              </w:rPr>
              <w:t>、表土保护率</w:t>
            </w:r>
            <w:r>
              <w:rPr>
                <w:rFonts w:ascii="Times New Roman" w:hAnsi="Times New Roman" w:eastAsia="Times New Roman" w:cs="Times New Roman"/>
                <w:spacing w:val="-5"/>
                <w:sz w:val="24"/>
                <w:szCs w:val="24"/>
              </w:rPr>
              <w:t>92%</w:t>
            </w:r>
            <w:r>
              <w:rPr>
                <w:rFonts w:ascii="宋体" w:hAnsi="宋体" w:eastAsia="宋体" w:cs="宋体"/>
                <w:spacing w:val="-5"/>
                <w:sz w:val="24"/>
                <w:szCs w:val="24"/>
              </w:rPr>
              <w:t>、林草植被恢复率</w:t>
            </w:r>
            <w:r>
              <w:rPr>
                <w:rFonts w:ascii="Times New Roman" w:hAnsi="Times New Roman" w:eastAsia="Times New Roman" w:cs="Times New Roman"/>
                <w:spacing w:val="-5"/>
                <w:sz w:val="24"/>
                <w:szCs w:val="24"/>
              </w:rPr>
              <w:t>98%</w:t>
            </w:r>
            <w:r>
              <w:rPr>
                <w:rFonts w:ascii="宋体" w:hAnsi="宋体" w:eastAsia="宋体" w:cs="宋体"/>
                <w:spacing w:val="-5"/>
                <w:sz w:val="24"/>
                <w:szCs w:val="24"/>
              </w:rPr>
              <w:t>、林草覆盖率</w:t>
            </w:r>
            <w:r>
              <w:rPr>
                <w:rFonts w:ascii="Times New Roman" w:hAnsi="Times New Roman" w:eastAsia="Times New Roman" w:cs="Times New Roman"/>
                <w:spacing w:val="-5"/>
                <w:sz w:val="24"/>
                <w:szCs w:val="24"/>
              </w:rPr>
              <w:t>25%</w:t>
            </w:r>
            <w:r>
              <w:rPr>
                <w:rFonts w:hint="default" w:ascii="Times New Roman" w:hAnsi="Times New Roman" w:eastAsia="宋体" w:cs="Times New Roman"/>
                <w:color w:val="000000"/>
                <w:sz w:val="24"/>
                <w:szCs w:val="24"/>
              </w:rPr>
              <w:t>。</w:t>
            </w:r>
          </w:p>
          <w:p>
            <w:pPr>
              <w:spacing w:afterLines="50" w:line="480" w:lineRule="exact"/>
              <w:outlineLvl w:val="2"/>
              <w:rPr>
                <w:rFonts w:hint="default" w:ascii="Times New Roman" w:hAnsi="Times New Roman" w:eastAsia="宋体" w:cs="Times New Roman"/>
                <w:b/>
                <w:color w:val="000000"/>
                <w:sz w:val="24"/>
                <w:szCs w:val="24"/>
              </w:rPr>
            </w:pPr>
            <w:r>
              <w:rPr>
                <w:rFonts w:hint="default" w:ascii="Times New Roman" w:hAnsi="Times New Roman" w:cs="Times New Roman"/>
                <w:b/>
                <w:color w:val="000000"/>
                <w:sz w:val="24"/>
                <w:szCs w:val="24"/>
                <w:lang w:val="en-US" w:eastAsia="zh-CN"/>
              </w:rPr>
              <w:t>③</w:t>
            </w:r>
            <w:r>
              <w:rPr>
                <w:rFonts w:hint="default" w:ascii="Times New Roman" w:hAnsi="Times New Roman" w:eastAsia="宋体" w:cs="Times New Roman"/>
                <w:b/>
                <w:color w:val="000000"/>
                <w:sz w:val="24"/>
                <w:szCs w:val="24"/>
              </w:rPr>
              <w:t>防治措施总体设计</w:t>
            </w:r>
          </w:p>
          <w:p>
            <w:pPr>
              <w:bidi w:val="0"/>
            </w:pPr>
            <w:r>
              <w:rPr>
                <w:rFonts w:hint="eastAsia"/>
                <w:lang w:eastAsia="zh-CN"/>
              </w:rPr>
              <w:t>（</w:t>
            </w:r>
            <w:r>
              <w:rPr>
                <w:rFonts w:hint="eastAsia"/>
                <w:lang w:val="en-US" w:eastAsia="zh-CN"/>
              </w:rPr>
              <w:t>1</w:t>
            </w:r>
            <w:r>
              <w:rPr>
                <w:rFonts w:hint="eastAsia"/>
                <w:lang w:eastAsia="zh-CN"/>
              </w:rPr>
              <w:t>）</w:t>
            </w:r>
            <w:r>
              <w:rPr>
                <w:rFonts w:hint="eastAsia"/>
                <w:lang w:val="en-US" w:eastAsia="zh-CN"/>
              </w:rPr>
              <w:t>施工区域</w:t>
            </w:r>
            <w:r>
              <w:t>临时措施</w:t>
            </w:r>
          </w:p>
          <w:p>
            <w:pPr>
              <w:bidi w:val="0"/>
              <w:rPr>
                <w:rFonts w:ascii="宋体" w:hAnsi="宋体" w:eastAsia="宋体" w:cs="宋体"/>
                <w:szCs w:val="24"/>
              </w:rPr>
            </w:pPr>
            <w:r>
              <w:t>本工程施工临建区占地面积为</w:t>
            </w:r>
            <w:r>
              <w:rPr>
                <w:rFonts w:ascii="Times New Roman" w:hAnsi="Times New Roman" w:eastAsia="Times New Roman" w:cs="Times New Roman"/>
                <w:spacing w:val="2"/>
                <w:szCs w:val="24"/>
              </w:rPr>
              <w:t>0.25</w:t>
            </w:r>
            <w:r>
              <w:rPr>
                <w:rFonts w:ascii="Times New Roman" w:hAnsi="Times New Roman" w:eastAsia="Times New Roman" w:cs="Times New Roman"/>
                <w:szCs w:val="24"/>
              </w:rPr>
              <w:t>h</w:t>
            </w:r>
            <w:r>
              <w:rPr>
                <w:rFonts w:hint="eastAsia" w:eastAsia="宋体" w:cs="Times New Roman"/>
                <w:szCs w:val="24"/>
                <w:lang w:eastAsia="zh-CN"/>
              </w:rPr>
              <w:t>m</w:t>
            </w:r>
            <w:r>
              <w:rPr>
                <w:rFonts w:hint="eastAsia" w:eastAsia="宋体" w:cs="Times New Roman"/>
                <w:szCs w:val="24"/>
                <w:vertAlign w:val="superscript"/>
                <w:lang w:eastAsia="zh-CN"/>
              </w:rPr>
              <w:t>2</w:t>
            </w:r>
            <w:r>
              <w:rPr>
                <w:rFonts w:ascii="宋体" w:hAnsi="宋体" w:eastAsia="宋体" w:cs="宋体"/>
                <w:spacing w:val="2"/>
                <w:szCs w:val="24"/>
              </w:rPr>
              <w:t>。为了</w:t>
            </w:r>
            <w:r>
              <w:rPr>
                <w:rFonts w:ascii="宋体" w:hAnsi="宋体" w:eastAsia="宋体" w:cs="宋体"/>
                <w:spacing w:val="1"/>
                <w:szCs w:val="24"/>
              </w:rPr>
              <w:t>减轻地表径流对施工临建区地表的冲刷影</w:t>
            </w:r>
            <w:r>
              <w:rPr>
                <w:rFonts w:ascii="宋体" w:hAnsi="宋体" w:eastAsia="宋体" w:cs="宋体"/>
                <w:spacing w:val="-8"/>
                <w:szCs w:val="24"/>
              </w:rPr>
              <w:t>响</w:t>
            </w:r>
            <w:r>
              <w:rPr>
                <w:rFonts w:ascii="宋体" w:hAnsi="宋体" w:eastAsia="宋体" w:cs="宋体"/>
                <w:spacing w:val="-5"/>
                <w:szCs w:val="24"/>
              </w:rPr>
              <w:t>，快速将雨水排走，在施工队伍进场前，在施工临建区四周开挖排水沟，将雨水及其生产</w:t>
            </w:r>
            <w:r>
              <w:rPr>
                <w:rFonts w:ascii="宋体" w:hAnsi="宋体" w:eastAsia="宋体" w:cs="宋体"/>
                <w:spacing w:val="-4"/>
                <w:szCs w:val="24"/>
              </w:rPr>
              <w:t>用水全部顺畅地引入施工临</w:t>
            </w:r>
            <w:r>
              <w:rPr>
                <w:rFonts w:ascii="宋体" w:hAnsi="宋体" w:eastAsia="宋体" w:cs="宋体"/>
                <w:spacing w:val="-2"/>
                <w:szCs w:val="24"/>
              </w:rPr>
              <w:t>建区周边主体工程临时排水沟，同时为防止建筑材料如砂浆、碎</w:t>
            </w:r>
            <w:r>
              <w:rPr>
                <w:rFonts w:ascii="宋体" w:hAnsi="宋体" w:eastAsia="宋体" w:cs="宋体"/>
                <w:spacing w:val="-4"/>
                <w:szCs w:val="24"/>
              </w:rPr>
              <w:t>石随径流进</w:t>
            </w:r>
            <w:r>
              <w:rPr>
                <w:rFonts w:ascii="宋体" w:hAnsi="宋体" w:eastAsia="宋体" w:cs="宋体"/>
                <w:spacing w:val="-2"/>
                <w:szCs w:val="24"/>
              </w:rPr>
              <w:t>入沟道、农渠，增加沟渠的泥沙淤积，本方案在施工临建区内部新增：临时排水</w:t>
            </w:r>
            <w:r>
              <w:rPr>
                <w:rFonts w:ascii="宋体" w:hAnsi="宋体" w:eastAsia="宋体" w:cs="宋体"/>
                <w:spacing w:val="-9"/>
                <w:szCs w:val="24"/>
              </w:rPr>
              <w:t>沟</w:t>
            </w:r>
            <w:r>
              <w:rPr>
                <w:rFonts w:ascii="宋体" w:hAnsi="宋体" w:eastAsia="宋体" w:cs="宋体"/>
                <w:spacing w:val="-5"/>
                <w:szCs w:val="24"/>
              </w:rPr>
              <w:t>采用矩形断面，底宽</w:t>
            </w:r>
            <w:r>
              <w:rPr>
                <w:rFonts w:ascii="Times New Roman" w:hAnsi="Times New Roman" w:eastAsia="Times New Roman" w:cs="Times New Roman"/>
                <w:spacing w:val="-5"/>
                <w:szCs w:val="24"/>
              </w:rPr>
              <w:t>40cm</w:t>
            </w:r>
            <w:r>
              <w:rPr>
                <w:rFonts w:ascii="宋体" w:hAnsi="宋体" w:eastAsia="宋体" w:cs="宋体"/>
                <w:spacing w:val="-5"/>
                <w:szCs w:val="24"/>
              </w:rPr>
              <w:t>，深</w:t>
            </w:r>
            <w:r>
              <w:rPr>
                <w:rFonts w:ascii="Times New Roman" w:hAnsi="Times New Roman" w:eastAsia="Times New Roman" w:cs="Times New Roman"/>
                <w:spacing w:val="-5"/>
                <w:szCs w:val="24"/>
              </w:rPr>
              <w:t>40cm</w:t>
            </w:r>
            <w:r>
              <w:rPr>
                <w:rFonts w:ascii="宋体" w:hAnsi="宋体" w:eastAsia="宋体" w:cs="宋体"/>
                <w:spacing w:val="-5"/>
                <w:szCs w:val="24"/>
              </w:rPr>
              <w:t>。土质沉沙池长、宽、深分别为</w:t>
            </w:r>
            <w:r>
              <w:rPr>
                <w:rFonts w:ascii="Times New Roman" w:hAnsi="Times New Roman" w:eastAsia="Times New Roman" w:cs="Times New Roman"/>
                <w:spacing w:val="-5"/>
                <w:szCs w:val="24"/>
              </w:rPr>
              <w:t>2m</w:t>
            </w:r>
            <w:r>
              <w:rPr>
                <w:rFonts w:ascii="宋体" w:hAnsi="宋体" w:eastAsia="宋体" w:cs="宋体"/>
                <w:spacing w:val="-5"/>
                <w:szCs w:val="24"/>
              </w:rPr>
              <w:t>、</w:t>
            </w:r>
            <w:r>
              <w:rPr>
                <w:rFonts w:ascii="Times New Roman" w:hAnsi="Times New Roman" w:eastAsia="Times New Roman" w:cs="Times New Roman"/>
                <w:spacing w:val="-5"/>
                <w:szCs w:val="24"/>
              </w:rPr>
              <w:t>1.5m</w:t>
            </w:r>
            <w:r>
              <w:rPr>
                <w:rFonts w:ascii="宋体" w:hAnsi="宋体" w:eastAsia="宋体" w:cs="宋体"/>
                <w:spacing w:val="-5"/>
                <w:szCs w:val="24"/>
              </w:rPr>
              <w:t>、和</w:t>
            </w:r>
            <w:r>
              <w:rPr>
                <w:rFonts w:ascii="Times New Roman" w:hAnsi="Times New Roman" w:eastAsia="Times New Roman" w:cs="Times New Roman"/>
                <w:spacing w:val="-5"/>
                <w:szCs w:val="24"/>
              </w:rPr>
              <w:t>1.5m</w:t>
            </w:r>
            <w:r>
              <w:rPr>
                <w:rFonts w:ascii="宋体" w:hAnsi="宋体" w:eastAsia="宋体" w:cs="宋体"/>
                <w:spacing w:val="-5"/>
                <w:szCs w:val="24"/>
              </w:rPr>
              <w:t>，</w:t>
            </w:r>
            <w:r>
              <w:rPr>
                <w:rFonts w:ascii="宋体" w:hAnsi="宋体" w:eastAsia="宋体" w:cs="宋体"/>
                <w:spacing w:val="-4"/>
                <w:szCs w:val="24"/>
              </w:rPr>
              <w:t>施工</w:t>
            </w:r>
            <w:r>
              <w:rPr>
                <w:rFonts w:ascii="宋体" w:hAnsi="宋体" w:eastAsia="宋体" w:cs="宋体"/>
                <w:spacing w:val="-3"/>
                <w:szCs w:val="24"/>
              </w:rPr>
              <w:t>结</w:t>
            </w:r>
            <w:r>
              <w:rPr>
                <w:rFonts w:ascii="宋体" w:hAnsi="宋体" w:eastAsia="宋体" w:cs="宋体"/>
                <w:spacing w:val="-2"/>
                <w:szCs w:val="24"/>
              </w:rPr>
              <w:t>束后排水沟和沉沙池均填土拆除。</w:t>
            </w:r>
          </w:p>
          <w:p>
            <w:pPr>
              <w:bidi w:val="0"/>
              <w:rPr>
                <w:u w:val="single"/>
              </w:rPr>
            </w:pPr>
            <w:r>
              <w:rPr>
                <w:rFonts w:hint="eastAsia"/>
                <w:u w:val="single"/>
                <w:lang w:eastAsia="zh-CN"/>
              </w:rPr>
              <w:t>（</w:t>
            </w:r>
            <w:r>
              <w:rPr>
                <w:rFonts w:hint="eastAsia"/>
                <w:u w:val="single"/>
                <w:lang w:val="en-US" w:eastAsia="zh-CN"/>
              </w:rPr>
              <w:t>2</w:t>
            </w:r>
            <w:r>
              <w:rPr>
                <w:rFonts w:hint="eastAsia"/>
                <w:u w:val="single"/>
                <w:lang w:eastAsia="zh-CN"/>
              </w:rPr>
              <w:t>）</w:t>
            </w:r>
            <w:r>
              <w:rPr>
                <w:rFonts w:hint="eastAsia"/>
                <w:u w:val="single"/>
                <w:lang w:val="en-US" w:eastAsia="zh-CN"/>
              </w:rPr>
              <w:t>取土场</w:t>
            </w:r>
            <w:r>
              <w:rPr>
                <w:u w:val="single"/>
              </w:rPr>
              <w:t>工程措施设计</w:t>
            </w:r>
          </w:p>
          <w:p>
            <w:pPr>
              <w:bidi w:val="0"/>
              <w:rPr>
                <w:rFonts w:ascii="宋体" w:hAnsi="宋体" w:eastAsia="宋体" w:cs="宋体"/>
                <w:szCs w:val="24"/>
                <w:u w:val="single"/>
              </w:rPr>
            </w:pPr>
            <w:r>
              <w:rPr>
                <w:u w:val="single"/>
              </w:rPr>
              <w:t>由于取土场的开挖破坏了原地貌，损毁了原地表林、草等水土保持设施，改变了原有的产汇流条件，并使边坡变陡，可能会造成水土流失。因此，必须在取料全过程中采取“上堵下拦”的水土保持措施。“上堵”即在开采面的上游修筑截流沟，</w:t>
            </w:r>
            <w:r>
              <w:rPr>
                <w:rFonts w:ascii="宋体" w:hAnsi="宋体" w:eastAsia="宋体" w:cs="宋体"/>
                <w:spacing w:val="5"/>
                <w:szCs w:val="24"/>
                <w:u w:val="single"/>
              </w:rPr>
              <w:t>拦截坡面径流，</w:t>
            </w:r>
            <w:r>
              <w:rPr>
                <w:rFonts w:ascii="Times New Roman" w:hAnsi="Times New Roman" w:eastAsia="Times New Roman" w:cs="Times New Roman"/>
                <w:spacing w:val="5"/>
                <w:szCs w:val="24"/>
                <w:u w:val="single"/>
              </w:rPr>
              <w:t>“</w:t>
            </w:r>
            <w:r>
              <w:rPr>
                <w:rFonts w:ascii="宋体" w:hAnsi="宋体" w:eastAsia="宋体" w:cs="宋体"/>
                <w:spacing w:val="5"/>
                <w:szCs w:val="24"/>
                <w:u w:val="single"/>
              </w:rPr>
              <w:t>下堵</w:t>
            </w:r>
            <w:r>
              <w:rPr>
                <w:rFonts w:ascii="Times New Roman" w:hAnsi="Times New Roman" w:eastAsia="Times New Roman" w:cs="Times New Roman"/>
                <w:spacing w:val="5"/>
                <w:szCs w:val="24"/>
                <w:u w:val="single"/>
              </w:rPr>
              <w:t>”</w:t>
            </w:r>
            <w:r>
              <w:rPr>
                <w:rFonts w:ascii="宋体" w:hAnsi="宋体" w:eastAsia="宋体" w:cs="宋体"/>
                <w:spacing w:val="5"/>
                <w:szCs w:val="24"/>
                <w:u w:val="single"/>
              </w:rPr>
              <w:t>即在</w:t>
            </w:r>
            <w:r>
              <w:rPr>
                <w:rFonts w:ascii="宋体" w:hAnsi="宋体" w:eastAsia="宋体" w:cs="宋体"/>
                <w:spacing w:val="-2"/>
                <w:szCs w:val="24"/>
                <w:u w:val="single"/>
              </w:rPr>
              <w:t>开采面的外侧修筑挡</w:t>
            </w:r>
            <w:r>
              <w:rPr>
                <w:rFonts w:ascii="宋体" w:hAnsi="宋体" w:eastAsia="宋体" w:cs="宋体"/>
                <w:spacing w:val="-1"/>
                <w:szCs w:val="24"/>
                <w:u w:val="single"/>
              </w:rPr>
              <w:t>渣坎，防止开采中由于降水冲刷开采面造成的土壤流失。</w:t>
            </w:r>
          </w:p>
          <w:p>
            <w:pPr>
              <w:bidi w:val="0"/>
              <w:rPr>
                <w:u w:val="single"/>
              </w:rPr>
            </w:pPr>
            <w:r>
              <w:rPr>
                <w:u w:val="single"/>
              </w:rPr>
              <w:t>1.拦挡工程设计</w:t>
            </w:r>
          </w:p>
          <w:p>
            <w:pPr>
              <w:bidi w:val="0"/>
              <w:rPr>
                <w:u w:val="single"/>
              </w:rPr>
            </w:pPr>
            <w:r>
              <w:rPr>
                <w:u w:val="single"/>
              </w:rPr>
              <w:t>挡土坎采用土堤，顶宽0.5m，内外边坡坡比1:0.5，高0.5m。取土场外侧修建挡土堤拦挡。本工程需兴建挡土坎320m。</w:t>
            </w:r>
          </w:p>
          <w:p>
            <w:pPr>
              <w:bidi w:val="0"/>
              <w:rPr>
                <w:u w:val="single"/>
              </w:rPr>
            </w:pPr>
            <w:r>
              <w:rPr>
                <w:u w:val="single"/>
              </w:rPr>
              <w:t>2.排水工程</w:t>
            </w:r>
          </w:p>
          <w:p>
            <w:pPr>
              <w:bidi w:val="0"/>
              <w:rPr>
                <w:u w:val="single"/>
              </w:rPr>
            </w:pPr>
            <w:r>
              <w:rPr>
                <w:u w:val="single"/>
              </w:rPr>
              <w:t>根据《水利水电工程水土保持技术规范》(SL575-2012)，排水工程排水流量采用小流域</w:t>
            </w:r>
            <w:r>
              <w:rPr>
                <w:u w:val="single"/>
              </w:rPr>
              <mc:AlternateContent>
                <mc:Choice Requires="wps">
                  <w:drawing>
                    <wp:anchor distT="0" distB="0" distL="114300" distR="114300" simplePos="0" relativeHeight="251661312" behindDoc="0" locked="0" layoutInCell="0" allowOverlap="1">
                      <wp:simplePos x="0" y="0"/>
                      <wp:positionH relativeFrom="page">
                        <wp:posOffset>3536950</wp:posOffset>
                      </wp:positionH>
                      <wp:positionV relativeFrom="page">
                        <wp:posOffset>3101975</wp:posOffset>
                      </wp:positionV>
                      <wp:extent cx="153035" cy="16446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53035" cy="164465"/>
                              </a:xfrm>
                              <a:prstGeom prst="rect">
                                <a:avLst/>
                              </a:prstGeom>
                              <a:noFill/>
                              <a:ln>
                                <a:noFill/>
                              </a:ln>
                            </wps:spPr>
                            <wps:txbx>
                              <w:txbxContent>
                                <w:p>
                                  <w:pPr>
                                    <w:spacing w:before="19" w:line="190"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6"/>
                                      <w:sz w:val="24"/>
                                      <w:szCs w:val="24"/>
                                    </w:rPr>
                                    <w:t>A</w:t>
                                  </w:r>
                                </w:p>
                              </w:txbxContent>
                            </wps:txbx>
                            <wps:bodyPr lIns="0" tIns="0" rIns="0" bIns="0" upright="1"/>
                          </wps:wsp>
                        </a:graphicData>
                      </a:graphic>
                    </wp:anchor>
                  </w:drawing>
                </mc:Choice>
                <mc:Fallback>
                  <w:pict>
                    <v:shape id="_x0000_s1026" o:spid="_x0000_s1026" o:spt="202" type="#_x0000_t202" style="position:absolute;left:0pt;margin-left:278.5pt;margin-top:244.25pt;height:12.95pt;width:12.05pt;mso-position-horizontal-relative:page;mso-position-vertical-relative:page;z-index:251661312;mso-width-relative:page;mso-height-relative:page;" filled="f" stroked="f" coordsize="21600,21600" o:allowincell="f" o:gfxdata="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PB0jaAAAACwEAAA8AAAAAAAAAAQAgAAAAIgAAAGRycy9kb3ducmV2LnhtbFBL&#10;AQIUABQAAAAIAIdO4kAHV+p1uwEAAHMDAAAOAAAAAAAAAAEAIAAAACkBAABkcnMvZTJvRG9jLnht&#10;bFBLBQYAAAAABgAGAFkBAABWBQAAAAA=&#10;">
                      <v:fill on="f" focussize="0,0"/>
                      <v:stroke on="f"/>
                      <v:imagedata o:title=""/>
                      <o:lock v:ext="edit" aspectratio="f"/>
                      <v:textbox inset="0mm,0mm,0mm,0mm">
                        <w:txbxContent>
                          <w:p>
                            <w:pPr>
                              <w:spacing w:before="19" w:line="190"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26"/>
                                <w:sz w:val="24"/>
                                <w:szCs w:val="24"/>
                              </w:rPr>
                              <w:t>A</w:t>
                            </w:r>
                          </w:p>
                        </w:txbxContent>
                      </v:textbox>
                    </v:shape>
                  </w:pict>
                </mc:Fallback>
              </mc:AlternateContent>
            </w:r>
            <w:r>
              <w:rPr>
                <w:u w:val="single"/>
              </w:rPr>
              <w:t>面积设计流量公式确定：</w:t>
            </w:r>
          </w:p>
          <w:p>
            <w:pPr>
              <w:bidi w:val="0"/>
              <w:rPr>
                <w:u w:val="single"/>
              </w:rPr>
            </w:pPr>
            <w:r>
              <w:rPr>
                <w:u w:val="single"/>
              </w:rPr>
              <w:t>Qm=16.67φqF</w:t>
            </w:r>
          </w:p>
          <w:p>
            <w:pPr>
              <w:bidi w:val="0"/>
              <w:rPr>
                <w:u w:val="single"/>
              </w:rPr>
            </w:pPr>
            <w:r>
              <w:rPr>
                <w:u w:val="single"/>
              </w:rPr>
              <w:t>式中：Qm―设计洪峰流量，m/s；</w:t>
            </w:r>
          </w:p>
          <w:p>
            <w:pPr>
              <w:bidi w:val="0"/>
              <w:rPr>
                <w:u w:val="single"/>
              </w:rPr>
            </w:pPr>
            <w:r>
              <w:rPr>
                <w:u w:val="single"/>
              </w:rPr>
              <w:t>φ―径流系数(根据当地地表种类取值)；</w:t>
            </w:r>
          </w:p>
          <w:p>
            <w:pPr>
              <w:bidi w:val="0"/>
              <w:rPr>
                <w:u w:val="single"/>
              </w:rPr>
            </w:pPr>
            <w:r>
              <w:rPr>
                <w:u w:val="single"/>
              </w:rPr>
              <w:t>q―设计重现期和降雨历时内的平均降雨强度，mm/min(按5年重现期取值)；</w:t>
            </w:r>
          </w:p>
          <w:p>
            <w:pPr>
              <w:bidi w:val="0"/>
              <w:rPr>
                <w:u w:val="single"/>
              </w:rPr>
            </w:pPr>
            <w:r>
              <w:rPr>
                <w:u w:val="single"/>
              </w:rPr>
              <w:t>F―汇水面积k</w:t>
            </w:r>
            <w:r>
              <w:rPr>
                <w:rFonts w:hint="eastAsia"/>
                <w:u w:val="single"/>
                <w:lang w:eastAsia="zh-CN"/>
              </w:rPr>
              <w:t>m</w:t>
            </w:r>
            <w:r>
              <w:rPr>
                <w:rFonts w:hint="eastAsia"/>
                <w:u w:val="single"/>
                <w:vertAlign w:val="superscript"/>
                <w:lang w:eastAsia="zh-CN"/>
              </w:rPr>
              <w:t>2</w:t>
            </w:r>
            <w:r>
              <w:rPr>
                <w:u w:val="single"/>
              </w:rPr>
              <w:t>，实地调查和1/1000测绘图上量算。</w:t>
            </w:r>
          </w:p>
          <w:p>
            <w:pPr>
              <w:bidi w:val="0"/>
              <w:rPr>
                <w:rFonts w:ascii="宋体" w:hAnsi="宋体" w:eastAsia="宋体" w:cs="宋体"/>
                <w:szCs w:val="24"/>
                <w:u w:val="single"/>
              </w:rPr>
            </w:pPr>
            <w:r>
              <w:rPr>
                <w:u w:val="single"/>
              </w:rPr>
              <w:t>根据计算出的</w:t>
            </w:r>
            <w:r>
              <w:rPr>
                <w:rFonts w:ascii="宋体" w:hAnsi="宋体" w:eastAsia="宋体" w:cs="宋体"/>
                <w:spacing w:val="-2"/>
                <w:szCs w:val="24"/>
                <w:u w:val="single"/>
              </w:rPr>
              <w:t>截水沟设计流量，按明渠均匀流公式计算确定其断面尺寸</w:t>
            </w:r>
            <w:r>
              <w:rPr>
                <w:rFonts w:ascii="宋体" w:hAnsi="宋体" w:eastAsia="宋体" w:cs="宋体"/>
                <w:spacing w:val="-1"/>
                <w:szCs w:val="24"/>
                <w:u w:val="single"/>
              </w:rPr>
              <w:t>：</w:t>
            </w:r>
          </w:p>
          <w:p>
            <w:pPr>
              <w:spacing w:before="167" w:line="437" w:lineRule="exact"/>
              <w:ind w:left="991"/>
              <w:rPr>
                <w:rFonts w:hint="eastAsia" w:ascii="Times New Roman" w:hAnsi="Times New Roman" w:eastAsia="宋体" w:cs="Times New Roman"/>
                <w:spacing w:val="-7"/>
                <w:position w:val="14"/>
                <w:sz w:val="24"/>
                <w:szCs w:val="24"/>
                <w:u w:val="single"/>
                <w:lang w:val="en-US" w:eastAsia="zh-CN"/>
              </w:rPr>
            </w:pPr>
            <w:r>
              <w:rPr>
                <w:u w:val="single"/>
              </w:rPr>
              <w:drawing>
                <wp:anchor distT="0" distB="0" distL="114300" distR="114300" simplePos="0" relativeHeight="251662336" behindDoc="1" locked="0" layoutInCell="1" allowOverlap="1">
                  <wp:simplePos x="0" y="0"/>
                  <wp:positionH relativeFrom="column">
                    <wp:posOffset>2094230</wp:posOffset>
                  </wp:positionH>
                  <wp:positionV relativeFrom="paragraph">
                    <wp:posOffset>107315</wp:posOffset>
                  </wp:positionV>
                  <wp:extent cx="1000125" cy="542925"/>
                  <wp:effectExtent l="0" t="0" r="9525" b="9525"/>
                  <wp:wrapTight wrapText="bothSides">
                    <wp:wrapPolygon>
                      <wp:start x="0" y="0"/>
                      <wp:lineTo x="0" y="20514"/>
                      <wp:lineTo x="21394" y="20514"/>
                      <wp:lineTo x="21394" y="0"/>
                      <wp:lineTo x="0" y="0"/>
                    </wp:wrapPolygon>
                  </wp:wrapTight>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2"/>
                          <a:stretch>
                            <a:fillRect/>
                          </a:stretch>
                        </pic:blipFill>
                        <pic:spPr>
                          <a:xfrm>
                            <a:off x="0" y="0"/>
                            <a:ext cx="1000125" cy="542925"/>
                          </a:xfrm>
                          <a:prstGeom prst="rect">
                            <a:avLst/>
                          </a:prstGeom>
                          <a:noFill/>
                          <a:ln>
                            <a:noFill/>
                          </a:ln>
                        </pic:spPr>
                      </pic:pic>
                    </a:graphicData>
                  </a:graphic>
                </wp:anchor>
              </w:drawing>
            </w:r>
            <w:r>
              <w:rPr>
                <w:rFonts w:hint="eastAsia" w:ascii="Times New Roman" w:hAnsi="Times New Roman" w:eastAsia="宋体" w:cs="Times New Roman"/>
                <w:spacing w:val="-7"/>
                <w:position w:val="14"/>
                <w:sz w:val="24"/>
                <w:szCs w:val="24"/>
                <w:u w:val="single"/>
                <w:lang w:val="en-US" w:eastAsia="zh-CN"/>
              </w:rPr>
              <w:t>式中：</w:t>
            </w:r>
          </w:p>
          <w:p>
            <w:pPr>
              <w:spacing w:before="167" w:line="437" w:lineRule="exact"/>
              <w:ind w:left="991"/>
              <w:rPr>
                <w:rFonts w:ascii="宋体" w:hAnsi="宋体" w:eastAsia="宋体" w:cs="宋体"/>
                <w:sz w:val="24"/>
                <w:szCs w:val="24"/>
                <w:u w:val="single"/>
              </w:rPr>
            </w:pPr>
            <w:r>
              <w:rPr>
                <w:rFonts w:ascii="Times New Roman" w:hAnsi="Times New Roman" w:eastAsia="Times New Roman" w:cs="Times New Roman"/>
                <w:spacing w:val="-7"/>
                <w:position w:val="14"/>
                <w:sz w:val="24"/>
                <w:szCs w:val="24"/>
                <w:u w:val="single"/>
              </w:rPr>
              <w:t>A</w:t>
            </w:r>
            <w:r>
              <w:rPr>
                <w:rFonts w:ascii="Times New Roman" w:hAnsi="Times New Roman" w:eastAsia="Times New Roman" w:cs="Times New Roman"/>
                <w:spacing w:val="-14"/>
                <w:position w:val="14"/>
                <w:sz w:val="24"/>
                <w:szCs w:val="24"/>
                <w:u w:val="single"/>
              </w:rPr>
              <w:t>―</w:t>
            </w:r>
            <w:r>
              <w:rPr>
                <w:rFonts w:ascii="宋体" w:hAnsi="宋体" w:eastAsia="宋体" w:cs="宋体"/>
                <w:spacing w:val="-10"/>
                <w:position w:val="14"/>
                <w:sz w:val="24"/>
                <w:szCs w:val="24"/>
                <w:u w:val="single"/>
              </w:rPr>
              <w:t>排</w:t>
            </w:r>
            <w:r>
              <w:rPr>
                <w:rFonts w:ascii="宋体" w:hAnsi="宋体" w:eastAsia="宋体" w:cs="宋体"/>
                <w:spacing w:val="-7"/>
                <w:position w:val="14"/>
                <w:sz w:val="24"/>
                <w:szCs w:val="24"/>
                <w:u w:val="single"/>
              </w:rPr>
              <w:t>水沟过水断面面积，</w:t>
            </w:r>
            <w:r>
              <w:rPr>
                <w:rFonts w:ascii="Times New Roman" w:hAnsi="Times New Roman" w:eastAsia="Times New Roman" w:cs="Times New Roman"/>
                <w:spacing w:val="-7"/>
                <w:position w:val="14"/>
                <w:sz w:val="24"/>
                <w:szCs w:val="24"/>
                <w:u w:val="single"/>
              </w:rPr>
              <w:t>m²</w:t>
            </w:r>
            <w:r>
              <w:rPr>
                <w:rFonts w:ascii="宋体" w:hAnsi="宋体" w:eastAsia="宋体" w:cs="宋体"/>
                <w:spacing w:val="-7"/>
                <w:position w:val="14"/>
                <w:sz w:val="24"/>
                <w:szCs w:val="24"/>
                <w:u w:val="single"/>
              </w:rPr>
              <w:t>；</w:t>
            </w:r>
          </w:p>
          <w:p>
            <w:pPr>
              <w:spacing w:before="1" w:line="215" w:lineRule="auto"/>
              <w:ind w:left="997"/>
              <w:rPr>
                <w:rFonts w:ascii="宋体" w:hAnsi="宋体" w:eastAsia="宋体" w:cs="宋体"/>
                <w:sz w:val="24"/>
                <w:szCs w:val="24"/>
                <w:u w:val="single"/>
              </w:rPr>
            </w:pPr>
            <w:r>
              <w:rPr>
                <w:rFonts w:ascii="Times New Roman" w:hAnsi="Times New Roman" w:eastAsia="Times New Roman" w:cs="Times New Roman"/>
                <w:spacing w:val="-7"/>
                <w:sz w:val="24"/>
                <w:szCs w:val="24"/>
                <w:u w:val="single"/>
              </w:rPr>
              <w:t>Q</w:t>
            </w:r>
            <w:r>
              <w:rPr>
                <w:rFonts w:ascii="Times New Roman" w:hAnsi="Times New Roman" w:eastAsia="Times New Roman" w:cs="Times New Roman"/>
                <w:spacing w:val="-9"/>
                <w:sz w:val="24"/>
                <w:szCs w:val="24"/>
                <w:u w:val="single"/>
              </w:rPr>
              <w:t>―</w:t>
            </w:r>
            <w:r>
              <w:rPr>
                <w:rFonts w:ascii="宋体" w:hAnsi="宋体" w:eastAsia="宋体" w:cs="宋体"/>
                <w:spacing w:val="-7"/>
                <w:sz w:val="24"/>
                <w:szCs w:val="24"/>
                <w:u w:val="single"/>
              </w:rPr>
              <w:t>设计坡面最大径流量，</w:t>
            </w:r>
            <w:r>
              <w:rPr>
                <w:rFonts w:ascii="Times New Roman" w:hAnsi="Times New Roman" w:eastAsia="Times New Roman" w:cs="Times New Roman"/>
                <w:spacing w:val="-7"/>
                <w:sz w:val="24"/>
                <w:szCs w:val="24"/>
                <w:u w:val="single"/>
              </w:rPr>
              <w:t>m³/s</w:t>
            </w:r>
            <w:r>
              <w:rPr>
                <w:rFonts w:ascii="宋体" w:hAnsi="宋体" w:eastAsia="宋体" w:cs="宋体"/>
                <w:spacing w:val="-7"/>
                <w:sz w:val="24"/>
                <w:szCs w:val="24"/>
                <w:u w:val="single"/>
              </w:rPr>
              <w:t>；</w:t>
            </w:r>
          </w:p>
          <w:p>
            <w:pPr>
              <w:spacing w:before="156" w:line="219" w:lineRule="auto"/>
              <w:ind w:left="997"/>
              <w:rPr>
                <w:rFonts w:ascii="宋体" w:hAnsi="宋体" w:eastAsia="宋体" w:cs="宋体"/>
                <w:sz w:val="24"/>
                <w:szCs w:val="24"/>
                <w:u w:val="single"/>
              </w:rPr>
            </w:pPr>
            <w:r>
              <w:rPr>
                <w:rFonts w:ascii="Times New Roman" w:hAnsi="Times New Roman" w:eastAsia="Times New Roman" w:cs="Times New Roman"/>
                <w:spacing w:val="-7"/>
                <w:sz w:val="24"/>
                <w:szCs w:val="24"/>
                <w:u w:val="single"/>
              </w:rPr>
              <w:t>C</w:t>
            </w:r>
            <w:r>
              <w:rPr>
                <w:rFonts w:ascii="Times New Roman" w:hAnsi="Times New Roman" w:eastAsia="Times New Roman" w:cs="Times New Roman"/>
                <w:spacing w:val="-11"/>
                <w:sz w:val="24"/>
                <w:szCs w:val="24"/>
                <w:u w:val="single"/>
              </w:rPr>
              <w:t>―</w:t>
            </w:r>
            <w:r>
              <w:rPr>
                <w:rFonts w:ascii="宋体" w:hAnsi="宋体" w:eastAsia="宋体" w:cs="宋体"/>
                <w:spacing w:val="-7"/>
                <w:sz w:val="24"/>
                <w:szCs w:val="24"/>
                <w:u w:val="single"/>
              </w:rPr>
              <w:t>谢才系数；</w:t>
            </w:r>
          </w:p>
          <w:p>
            <w:pPr>
              <w:spacing w:before="153" w:line="233" w:lineRule="auto"/>
              <w:ind w:left="993"/>
              <w:rPr>
                <w:rFonts w:ascii="宋体" w:hAnsi="宋体" w:eastAsia="宋体" w:cs="宋体"/>
                <w:sz w:val="24"/>
                <w:szCs w:val="24"/>
                <w:u w:val="single"/>
              </w:rPr>
            </w:pPr>
            <w:r>
              <w:rPr>
                <w:rFonts w:ascii="Times New Roman" w:hAnsi="Times New Roman" w:eastAsia="Times New Roman" w:cs="Times New Roman"/>
                <w:spacing w:val="-12"/>
                <w:sz w:val="24"/>
                <w:szCs w:val="24"/>
                <w:u w:val="single"/>
              </w:rPr>
              <w:t>R</w:t>
            </w:r>
            <w:r>
              <w:rPr>
                <w:rFonts w:ascii="Times New Roman" w:hAnsi="Times New Roman" w:eastAsia="Times New Roman" w:cs="Times New Roman"/>
                <w:spacing w:val="-15"/>
                <w:sz w:val="24"/>
                <w:szCs w:val="24"/>
                <w:u w:val="single"/>
              </w:rPr>
              <w:t>—</w:t>
            </w:r>
            <w:r>
              <w:rPr>
                <w:rFonts w:ascii="宋体" w:hAnsi="宋体" w:eastAsia="宋体" w:cs="宋体"/>
                <w:spacing w:val="-12"/>
                <w:sz w:val="24"/>
                <w:szCs w:val="24"/>
                <w:u w:val="single"/>
              </w:rPr>
              <w:t>水力半径，</w:t>
            </w:r>
            <w:r>
              <w:rPr>
                <w:rFonts w:ascii="Times New Roman" w:hAnsi="Times New Roman" w:eastAsia="Times New Roman" w:cs="Times New Roman"/>
                <w:spacing w:val="-12"/>
                <w:sz w:val="24"/>
                <w:szCs w:val="24"/>
                <w:u w:val="single"/>
              </w:rPr>
              <w:t>m</w:t>
            </w:r>
            <w:r>
              <w:rPr>
                <w:rFonts w:ascii="宋体" w:hAnsi="宋体" w:eastAsia="宋体" w:cs="宋体"/>
                <w:spacing w:val="-12"/>
                <w:sz w:val="24"/>
                <w:szCs w:val="24"/>
                <w:u w:val="single"/>
              </w:rPr>
              <w:t>；</w:t>
            </w:r>
          </w:p>
          <w:p>
            <w:pPr>
              <w:spacing w:before="133" w:line="213" w:lineRule="auto"/>
              <w:ind w:left="996"/>
              <w:rPr>
                <w:rFonts w:ascii="宋体" w:hAnsi="宋体" w:eastAsia="宋体" w:cs="宋体"/>
                <w:sz w:val="24"/>
                <w:szCs w:val="24"/>
                <w:u w:val="single"/>
              </w:rPr>
            </w:pPr>
            <w:r>
              <w:rPr>
                <w:rFonts w:ascii="Times New Roman" w:hAnsi="Times New Roman" w:eastAsia="Times New Roman" w:cs="Times New Roman"/>
                <w:sz w:val="24"/>
                <w:szCs w:val="24"/>
                <w:u w:val="single"/>
              </w:rPr>
              <w:t>i</w:t>
            </w:r>
            <w:r>
              <w:rPr>
                <w:rFonts w:ascii="Times New Roman" w:hAnsi="Times New Roman" w:eastAsia="Times New Roman" w:cs="Times New Roman"/>
                <w:spacing w:val="-1"/>
                <w:sz w:val="24"/>
                <w:szCs w:val="24"/>
                <w:u w:val="single"/>
              </w:rPr>
              <w:t>—</w:t>
            </w:r>
            <w:r>
              <w:rPr>
                <w:rFonts w:ascii="宋体" w:hAnsi="宋体" w:eastAsia="宋体" w:cs="宋体"/>
                <w:spacing w:val="-1"/>
                <w:sz w:val="24"/>
                <w:szCs w:val="24"/>
                <w:u w:val="single"/>
              </w:rPr>
              <w:t>截</w:t>
            </w:r>
            <w:r>
              <w:rPr>
                <w:rFonts w:ascii="Times New Roman" w:hAnsi="Times New Roman" w:eastAsia="Times New Roman" w:cs="Times New Roman"/>
                <w:spacing w:val="-1"/>
                <w:sz w:val="24"/>
                <w:szCs w:val="24"/>
                <w:u w:val="single"/>
              </w:rPr>
              <w:t>(</w:t>
            </w:r>
            <w:r>
              <w:rPr>
                <w:rFonts w:ascii="宋体" w:hAnsi="宋体" w:eastAsia="宋体" w:cs="宋体"/>
                <w:spacing w:val="-1"/>
                <w:sz w:val="24"/>
                <w:szCs w:val="24"/>
                <w:u w:val="single"/>
              </w:rPr>
              <w:t>排</w:t>
            </w:r>
            <w:r>
              <w:rPr>
                <w:rFonts w:ascii="Times New Roman" w:hAnsi="Times New Roman" w:eastAsia="Times New Roman" w:cs="Times New Roman"/>
                <w:spacing w:val="-1"/>
                <w:sz w:val="24"/>
                <w:szCs w:val="24"/>
                <w:u w:val="single"/>
              </w:rPr>
              <w:t>)</w:t>
            </w:r>
            <w:r>
              <w:rPr>
                <w:rFonts w:ascii="宋体" w:hAnsi="宋体" w:eastAsia="宋体" w:cs="宋体"/>
                <w:spacing w:val="-1"/>
                <w:sz w:val="24"/>
                <w:szCs w:val="24"/>
                <w:u w:val="single"/>
              </w:rPr>
              <w:t>水沟沟底比降，取(</w:t>
            </w:r>
            <w:r>
              <w:rPr>
                <w:rFonts w:ascii="Times New Roman" w:hAnsi="Times New Roman" w:eastAsia="Times New Roman" w:cs="Times New Roman"/>
                <w:spacing w:val="-1"/>
                <w:sz w:val="24"/>
                <w:szCs w:val="24"/>
                <w:u w:val="single"/>
              </w:rPr>
              <w:t>1/1000</w:t>
            </w:r>
            <w:r>
              <w:rPr>
                <w:rFonts w:ascii="宋体" w:hAnsi="宋体" w:eastAsia="宋体" w:cs="宋体"/>
                <w:spacing w:val="-1"/>
                <w:sz w:val="24"/>
                <w:szCs w:val="24"/>
                <w:u w:val="single"/>
              </w:rPr>
              <w:t>)。</w:t>
            </w:r>
          </w:p>
          <w:p>
            <w:pPr>
              <w:spacing w:before="161" w:line="336" w:lineRule="auto"/>
              <w:ind w:left="38" w:right="34" w:firstLine="479"/>
              <w:rPr>
                <w:rFonts w:ascii="宋体" w:hAnsi="宋体" w:eastAsia="宋体" w:cs="宋体"/>
                <w:sz w:val="24"/>
                <w:szCs w:val="24"/>
                <w:u w:val="single"/>
              </w:rPr>
            </w:pPr>
            <w:r>
              <w:rPr>
                <w:rFonts w:ascii="宋体" w:hAnsi="宋体" w:eastAsia="宋体" w:cs="宋体"/>
                <w:spacing w:val="-14"/>
                <w:sz w:val="24"/>
                <w:szCs w:val="24"/>
                <w:u w:val="single"/>
              </w:rPr>
              <w:t>截水沟</w:t>
            </w:r>
            <w:r>
              <w:rPr>
                <w:rFonts w:ascii="宋体" w:hAnsi="宋体" w:eastAsia="宋体" w:cs="宋体"/>
                <w:spacing w:val="-12"/>
                <w:sz w:val="24"/>
                <w:szCs w:val="24"/>
                <w:u w:val="single"/>
              </w:rPr>
              <w:t>护</w:t>
            </w:r>
            <w:r>
              <w:rPr>
                <w:rFonts w:ascii="宋体" w:hAnsi="宋体" w:eastAsia="宋体" w:cs="宋体"/>
                <w:spacing w:val="-7"/>
                <w:sz w:val="24"/>
                <w:szCs w:val="24"/>
                <w:u w:val="single"/>
              </w:rPr>
              <w:t>砌：开采前先完善周边排水系统，截排水沟为梯形，底宽</w:t>
            </w:r>
            <w:r>
              <w:rPr>
                <w:rFonts w:ascii="Times New Roman" w:hAnsi="Times New Roman" w:eastAsia="Times New Roman" w:cs="Times New Roman"/>
                <w:spacing w:val="-7"/>
                <w:sz w:val="24"/>
                <w:szCs w:val="24"/>
                <w:u w:val="single"/>
              </w:rPr>
              <w:t>0.3m</w:t>
            </w:r>
            <w:r>
              <w:rPr>
                <w:rFonts w:ascii="宋体" w:hAnsi="宋体" w:eastAsia="宋体" w:cs="宋体"/>
                <w:spacing w:val="-7"/>
                <w:sz w:val="24"/>
                <w:szCs w:val="24"/>
                <w:u w:val="single"/>
              </w:rPr>
              <w:t>，深</w:t>
            </w:r>
            <w:r>
              <w:rPr>
                <w:rFonts w:ascii="Times New Roman" w:hAnsi="Times New Roman" w:eastAsia="Times New Roman" w:cs="Times New Roman"/>
                <w:spacing w:val="-7"/>
                <w:sz w:val="24"/>
                <w:szCs w:val="24"/>
                <w:u w:val="single"/>
              </w:rPr>
              <w:t>0.5m</w:t>
            </w:r>
            <w:r>
              <w:rPr>
                <w:rFonts w:ascii="宋体" w:hAnsi="宋体" w:eastAsia="宋体" w:cs="宋体"/>
                <w:spacing w:val="-7"/>
                <w:sz w:val="24"/>
                <w:szCs w:val="24"/>
                <w:u w:val="single"/>
              </w:rPr>
              <w:t>，边</w:t>
            </w:r>
            <w:r>
              <w:rPr>
                <w:rFonts w:ascii="宋体" w:hAnsi="宋体" w:eastAsia="宋体" w:cs="宋体"/>
                <w:spacing w:val="-12"/>
                <w:sz w:val="24"/>
                <w:szCs w:val="24"/>
                <w:u w:val="single"/>
              </w:rPr>
              <w:t>坡</w:t>
            </w:r>
            <w:r>
              <w:rPr>
                <w:rFonts w:ascii="宋体" w:hAnsi="宋体" w:eastAsia="宋体" w:cs="宋体"/>
                <w:spacing w:val="-8"/>
                <w:sz w:val="24"/>
                <w:szCs w:val="24"/>
                <w:u w:val="single"/>
              </w:rPr>
              <w:t>比</w:t>
            </w:r>
            <w:r>
              <w:rPr>
                <w:rFonts w:ascii="Times New Roman" w:hAnsi="Times New Roman" w:eastAsia="Times New Roman" w:cs="Times New Roman"/>
                <w:spacing w:val="-6"/>
                <w:sz w:val="24"/>
                <w:szCs w:val="24"/>
                <w:u w:val="single"/>
              </w:rPr>
              <w:t>1</w:t>
            </w:r>
            <w:r>
              <w:rPr>
                <w:rFonts w:ascii="宋体" w:hAnsi="宋体" w:eastAsia="宋体" w:cs="宋体"/>
                <w:spacing w:val="-6"/>
                <w:sz w:val="24"/>
                <w:szCs w:val="24"/>
                <w:u w:val="single"/>
              </w:rPr>
              <w:t>：</w:t>
            </w:r>
            <w:r>
              <w:rPr>
                <w:rFonts w:ascii="Times New Roman" w:hAnsi="Times New Roman" w:eastAsia="Times New Roman" w:cs="Times New Roman"/>
                <w:spacing w:val="-6"/>
                <w:sz w:val="24"/>
                <w:szCs w:val="24"/>
                <w:u w:val="single"/>
              </w:rPr>
              <w:t>1.0</w:t>
            </w:r>
            <w:r>
              <w:rPr>
                <w:rFonts w:ascii="宋体" w:hAnsi="宋体" w:eastAsia="宋体" w:cs="宋体"/>
                <w:spacing w:val="-6"/>
                <w:sz w:val="24"/>
                <w:szCs w:val="24"/>
                <w:u w:val="single"/>
              </w:rPr>
              <w:t>，浆砌石衬砌，浆砌厚度</w:t>
            </w:r>
            <w:r>
              <w:rPr>
                <w:rFonts w:ascii="Times New Roman" w:hAnsi="Times New Roman" w:eastAsia="Times New Roman" w:cs="Times New Roman"/>
                <w:spacing w:val="-6"/>
                <w:sz w:val="24"/>
                <w:szCs w:val="24"/>
                <w:u w:val="single"/>
              </w:rPr>
              <w:t>0.30m</w:t>
            </w:r>
            <w:r>
              <w:rPr>
                <w:rFonts w:ascii="宋体" w:hAnsi="宋体" w:eastAsia="宋体" w:cs="宋体"/>
                <w:spacing w:val="-6"/>
                <w:sz w:val="24"/>
                <w:szCs w:val="24"/>
                <w:u w:val="single"/>
              </w:rPr>
              <w:t>，底板坡降为</w:t>
            </w:r>
            <w:r>
              <w:rPr>
                <w:rFonts w:ascii="Times New Roman" w:hAnsi="Times New Roman" w:eastAsia="Times New Roman" w:cs="Times New Roman"/>
                <w:spacing w:val="-6"/>
                <w:sz w:val="24"/>
                <w:szCs w:val="24"/>
                <w:u w:val="single"/>
              </w:rPr>
              <w:t>1/2000</w:t>
            </w:r>
            <w:r>
              <w:rPr>
                <w:rFonts w:ascii="宋体" w:hAnsi="宋体" w:eastAsia="宋体" w:cs="宋体"/>
                <w:spacing w:val="-6"/>
                <w:sz w:val="24"/>
                <w:szCs w:val="24"/>
                <w:u w:val="single"/>
              </w:rPr>
              <w:t>。</w:t>
            </w:r>
          </w:p>
          <w:p>
            <w:pPr>
              <w:spacing w:line="220" w:lineRule="auto"/>
              <w:rPr>
                <w:rFonts w:ascii="宋体" w:hAnsi="宋体" w:eastAsia="宋体" w:cs="宋体"/>
                <w:sz w:val="24"/>
                <w:szCs w:val="24"/>
                <w:u w:val="single"/>
              </w:rPr>
            </w:pPr>
            <w:r>
              <w:rPr>
                <w:rFonts w:ascii="Times New Roman" w:hAnsi="Times New Roman" w:eastAsia="Times New Roman" w:cs="Times New Roman"/>
                <w:spacing w:val="-2"/>
                <w:sz w:val="24"/>
                <w:szCs w:val="24"/>
                <w:u w:val="single"/>
              </w:rPr>
              <w:t>3.</w:t>
            </w:r>
            <w:r>
              <w:rPr>
                <w:rFonts w:ascii="宋体" w:hAnsi="宋体" w:eastAsia="宋体" w:cs="宋体"/>
                <w:spacing w:val="-2"/>
                <w:sz w:val="24"/>
                <w:szCs w:val="24"/>
                <w:u w:val="single"/>
              </w:rPr>
              <w:t>沉沙池</w:t>
            </w:r>
          </w:p>
          <w:p>
            <w:pPr>
              <w:spacing w:before="152" w:line="335" w:lineRule="auto"/>
              <w:ind w:left="41" w:right="29" w:firstLine="477"/>
              <w:rPr>
                <w:rFonts w:ascii="宋体" w:hAnsi="宋体" w:eastAsia="宋体" w:cs="宋体"/>
                <w:sz w:val="24"/>
                <w:szCs w:val="24"/>
                <w:u w:val="single"/>
              </w:rPr>
            </w:pPr>
            <w:r>
              <w:rPr>
                <w:rFonts w:ascii="宋体" w:hAnsi="宋体" w:eastAsia="宋体" w:cs="宋体"/>
                <w:spacing w:val="-6"/>
                <w:sz w:val="24"/>
                <w:szCs w:val="24"/>
                <w:u w:val="single"/>
              </w:rPr>
              <w:t>根据取土场地形条件</w:t>
            </w:r>
            <w:r>
              <w:rPr>
                <w:rFonts w:ascii="宋体" w:hAnsi="宋体" w:eastAsia="宋体" w:cs="宋体"/>
                <w:spacing w:val="-4"/>
                <w:sz w:val="24"/>
                <w:szCs w:val="24"/>
                <w:u w:val="single"/>
              </w:rPr>
              <w:t>，</w:t>
            </w:r>
            <w:r>
              <w:rPr>
                <w:rFonts w:ascii="宋体" w:hAnsi="宋体" w:eastAsia="宋体" w:cs="宋体"/>
                <w:spacing w:val="-3"/>
                <w:sz w:val="24"/>
                <w:szCs w:val="24"/>
                <w:u w:val="single"/>
              </w:rPr>
              <w:t>在截水沟两端各设沉沙池</w:t>
            </w:r>
            <w:r>
              <w:rPr>
                <w:rFonts w:ascii="Times New Roman" w:hAnsi="Times New Roman" w:eastAsia="Times New Roman" w:cs="Times New Roman"/>
                <w:spacing w:val="-3"/>
                <w:sz w:val="24"/>
                <w:szCs w:val="24"/>
                <w:u w:val="single"/>
              </w:rPr>
              <w:t>1</w:t>
            </w:r>
            <w:r>
              <w:rPr>
                <w:rFonts w:ascii="宋体" w:hAnsi="宋体" w:eastAsia="宋体" w:cs="宋体"/>
                <w:spacing w:val="-3"/>
                <w:sz w:val="24"/>
                <w:szCs w:val="24"/>
                <w:u w:val="single"/>
              </w:rPr>
              <w:t>个，以更有效地沉降径流泥沙，澄清</w:t>
            </w:r>
            <w:r>
              <w:rPr>
                <w:rFonts w:ascii="宋体" w:hAnsi="宋体" w:eastAsia="宋体" w:cs="宋体"/>
                <w:spacing w:val="-10"/>
                <w:sz w:val="24"/>
                <w:szCs w:val="24"/>
                <w:u w:val="single"/>
              </w:rPr>
              <w:t>水流</w:t>
            </w:r>
            <w:r>
              <w:rPr>
                <w:rFonts w:ascii="宋体" w:hAnsi="宋体" w:eastAsia="宋体" w:cs="宋体"/>
                <w:spacing w:val="-7"/>
                <w:sz w:val="24"/>
                <w:szCs w:val="24"/>
                <w:u w:val="single"/>
              </w:rPr>
              <w:t>，</w:t>
            </w:r>
            <w:r>
              <w:rPr>
                <w:rFonts w:ascii="宋体" w:hAnsi="宋体" w:eastAsia="宋体" w:cs="宋体"/>
                <w:spacing w:val="-5"/>
                <w:sz w:val="24"/>
                <w:szCs w:val="24"/>
                <w:u w:val="single"/>
              </w:rPr>
              <w:t>减少水土流失量。采用浆砌石沉沙池长</w:t>
            </w:r>
            <w:r>
              <w:rPr>
                <w:rFonts w:ascii="Times New Roman" w:hAnsi="Times New Roman" w:eastAsia="Times New Roman" w:cs="Times New Roman"/>
                <w:spacing w:val="-5"/>
                <w:sz w:val="24"/>
                <w:szCs w:val="24"/>
                <w:u w:val="single"/>
              </w:rPr>
              <w:t>5.2m</w:t>
            </w:r>
            <w:r>
              <w:rPr>
                <w:rFonts w:ascii="宋体" w:hAnsi="宋体" w:eastAsia="宋体" w:cs="宋体"/>
                <w:spacing w:val="-5"/>
                <w:sz w:val="24"/>
                <w:szCs w:val="24"/>
                <w:u w:val="single"/>
              </w:rPr>
              <w:t>，宽</w:t>
            </w:r>
            <w:r>
              <w:rPr>
                <w:rFonts w:ascii="Times New Roman" w:hAnsi="Times New Roman" w:eastAsia="Times New Roman" w:cs="Times New Roman"/>
                <w:spacing w:val="-5"/>
                <w:sz w:val="24"/>
                <w:szCs w:val="24"/>
                <w:u w:val="single"/>
              </w:rPr>
              <w:t>2m</w:t>
            </w:r>
            <w:r>
              <w:rPr>
                <w:rFonts w:ascii="宋体" w:hAnsi="宋体" w:eastAsia="宋体" w:cs="宋体"/>
                <w:spacing w:val="-5"/>
                <w:sz w:val="24"/>
                <w:szCs w:val="24"/>
                <w:u w:val="single"/>
              </w:rPr>
              <w:t>，深</w:t>
            </w:r>
            <w:r>
              <w:rPr>
                <w:rFonts w:ascii="Times New Roman" w:hAnsi="Times New Roman" w:eastAsia="Times New Roman" w:cs="Times New Roman"/>
                <w:spacing w:val="-5"/>
                <w:sz w:val="24"/>
                <w:szCs w:val="24"/>
                <w:u w:val="single"/>
              </w:rPr>
              <w:t>1m</w:t>
            </w:r>
            <w:r>
              <w:rPr>
                <w:rFonts w:ascii="宋体" w:hAnsi="宋体" w:eastAsia="宋体" w:cs="宋体"/>
                <w:spacing w:val="-5"/>
                <w:sz w:val="24"/>
                <w:szCs w:val="24"/>
                <w:u w:val="single"/>
              </w:rPr>
              <w:t>。两端分别设进水口和排</w:t>
            </w:r>
            <w:r>
              <w:rPr>
                <w:rFonts w:ascii="宋体" w:hAnsi="宋体" w:eastAsia="宋体" w:cs="宋体"/>
                <w:spacing w:val="-8"/>
                <w:sz w:val="24"/>
                <w:szCs w:val="24"/>
                <w:u w:val="single"/>
              </w:rPr>
              <w:t>水口，浆砌石</w:t>
            </w:r>
            <w:r>
              <w:rPr>
                <w:rFonts w:ascii="宋体" w:hAnsi="宋体" w:eastAsia="宋体" w:cs="宋体"/>
                <w:spacing w:val="-4"/>
                <w:sz w:val="24"/>
                <w:szCs w:val="24"/>
                <w:u w:val="single"/>
              </w:rPr>
              <w:t>底板和侧墙厚度均为</w:t>
            </w:r>
            <w:r>
              <w:rPr>
                <w:rFonts w:ascii="Times New Roman" w:hAnsi="Times New Roman" w:eastAsia="Times New Roman" w:cs="Times New Roman"/>
                <w:spacing w:val="-4"/>
                <w:sz w:val="24"/>
                <w:szCs w:val="24"/>
                <w:u w:val="single"/>
              </w:rPr>
              <w:t>0.4m</w:t>
            </w:r>
            <w:r>
              <w:rPr>
                <w:rFonts w:ascii="宋体" w:hAnsi="宋体" w:eastAsia="宋体" w:cs="宋体"/>
                <w:spacing w:val="-4"/>
                <w:sz w:val="24"/>
                <w:szCs w:val="24"/>
                <w:u w:val="single"/>
              </w:rPr>
              <w:t>，共需修建沉沙池</w:t>
            </w:r>
            <w:r>
              <w:rPr>
                <w:rFonts w:ascii="Times New Roman" w:hAnsi="Times New Roman" w:eastAsia="Times New Roman" w:cs="Times New Roman"/>
                <w:spacing w:val="-4"/>
                <w:sz w:val="24"/>
                <w:szCs w:val="24"/>
                <w:u w:val="single"/>
              </w:rPr>
              <w:t>4</w:t>
            </w:r>
            <w:r>
              <w:rPr>
                <w:rFonts w:ascii="宋体" w:hAnsi="宋体" w:eastAsia="宋体" w:cs="宋体"/>
                <w:spacing w:val="-4"/>
                <w:sz w:val="24"/>
                <w:szCs w:val="24"/>
                <w:u w:val="single"/>
              </w:rPr>
              <w:t>个。</w:t>
            </w:r>
          </w:p>
          <w:p>
            <w:pPr>
              <w:bidi w:val="0"/>
              <w:rPr>
                <w:u w:val="single"/>
              </w:rPr>
            </w:pPr>
            <w:r>
              <w:rPr>
                <w:u w:val="single"/>
              </w:rPr>
              <w:t>4.土地平整</w:t>
            </w:r>
          </w:p>
          <w:p>
            <w:pPr>
              <w:bidi w:val="0"/>
              <w:rPr>
                <w:u w:val="single"/>
              </w:rPr>
            </w:pPr>
            <w:r>
              <w:rPr>
                <w:u w:val="single"/>
              </w:rPr>
              <w:t>料场取土利用结束后，及时清理，场地平整面积0.10h</w:t>
            </w:r>
            <w:r>
              <w:rPr>
                <w:rFonts w:hint="eastAsia"/>
                <w:u w:val="single"/>
                <w:lang w:val="en-US" w:eastAsia="zh-CN"/>
              </w:rPr>
              <w:t>m</w:t>
            </w:r>
            <w:r>
              <w:rPr>
                <w:rFonts w:hint="eastAsia"/>
                <w:u w:val="single"/>
                <w:vertAlign w:val="superscript"/>
                <w:lang w:val="en-US" w:eastAsia="zh-CN"/>
              </w:rPr>
              <w:t>2</w:t>
            </w:r>
            <w:r>
              <w:rPr>
                <w:u w:val="single"/>
              </w:rPr>
              <w:t>。</w:t>
            </w:r>
          </w:p>
          <w:p>
            <w:pPr>
              <w:bidi w:val="0"/>
              <w:rPr>
                <w:u w:val="single"/>
              </w:rPr>
            </w:pPr>
            <w:r>
              <w:rPr>
                <w:rFonts w:hint="eastAsia"/>
                <w:u w:val="single"/>
                <w:lang w:val="en-US" w:eastAsia="zh-CN"/>
              </w:rPr>
              <w:t>5.</w:t>
            </w:r>
            <w:r>
              <w:rPr>
                <w:u w:val="single"/>
              </w:rPr>
              <w:t>植物措施设计</w:t>
            </w:r>
          </w:p>
          <w:p>
            <w:pPr>
              <w:bidi w:val="0"/>
              <w:rPr>
                <w:rFonts w:hint="eastAsia" w:ascii="Times New Roman" w:hAnsi="Times New Roman" w:eastAsia="宋体" w:cs="Times New Roman"/>
                <w:u w:val="single"/>
                <w:lang w:eastAsia="zh-CN"/>
              </w:rPr>
            </w:pPr>
            <w:r>
              <w:rPr>
                <w:u w:val="single"/>
              </w:rPr>
              <w:t>取土</w:t>
            </w:r>
            <w:r>
              <w:rPr>
                <w:rFonts w:ascii="Times New Roman" w:hAnsi="Times New Roman" w:eastAsia="宋体" w:cs="Times New Roman"/>
                <w:u w:val="single"/>
              </w:rPr>
              <w:t>场边坡采用直播种草及种植乔木防护。坡面上采用香樟与迎春花混交，株行距2.0×2.5m，栽植坑按0.4m(坑径)×0.4m(坑深)。边坡采用直播种草，坡面种植狗牙根</w:t>
            </w:r>
            <w:r>
              <w:rPr>
                <w:rFonts w:hint="eastAsia" w:ascii="Times New Roman" w:hAnsi="Times New Roman" w:eastAsia="宋体" w:cs="Times New Roman"/>
                <w:u w:val="single"/>
                <w:lang w:eastAsia="zh-CN"/>
              </w:rPr>
              <w:t>。</w:t>
            </w:r>
          </w:p>
          <w:p>
            <w:pPr>
              <w:bidi w:val="0"/>
              <w:rPr>
                <w:rFonts w:ascii="Times New Roman" w:hAnsi="Times New Roman" w:eastAsia="宋体" w:cs="Times New Roman"/>
                <w:u w:val="single"/>
              </w:rPr>
            </w:pPr>
            <w:r>
              <w:rPr>
                <w:rFonts w:hint="eastAsia" w:ascii="Times New Roman" w:hAnsi="Times New Roman" w:eastAsia="宋体" w:cs="Times New Roman"/>
                <w:u w:val="single"/>
                <w:lang w:val="en-US" w:eastAsia="zh-CN"/>
              </w:rPr>
              <w:t>6.</w:t>
            </w:r>
            <w:r>
              <w:rPr>
                <w:rFonts w:ascii="Times New Roman" w:hAnsi="Times New Roman" w:eastAsia="宋体" w:cs="Times New Roman"/>
                <w:u w:val="single"/>
              </w:rPr>
              <w:t>临时措施设计</w:t>
            </w:r>
          </w:p>
          <w:p>
            <w:pPr>
              <w:bidi w:val="0"/>
              <w:rPr>
                <w:rFonts w:ascii="宋体" w:hAnsi="宋体" w:eastAsia="宋体" w:cs="宋体"/>
                <w:sz w:val="24"/>
                <w:szCs w:val="24"/>
                <w:u w:val="single"/>
              </w:rPr>
            </w:pPr>
            <w:r>
              <w:rPr>
                <w:rFonts w:ascii="宋体" w:hAnsi="宋体" w:eastAsia="宋体" w:cs="宋体"/>
                <w:spacing w:val="-1"/>
                <w:sz w:val="24"/>
                <w:szCs w:val="24"/>
                <w:u w:val="single"/>
              </w:rPr>
              <w:t>本工程取土场开采面积共</w:t>
            </w:r>
            <w:r>
              <w:rPr>
                <w:rFonts w:ascii="Times New Roman" w:hAnsi="Times New Roman" w:eastAsia="Times New Roman" w:cs="Times New Roman"/>
                <w:spacing w:val="-1"/>
                <w:sz w:val="24"/>
                <w:szCs w:val="24"/>
                <w:u w:val="single"/>
              </w:rPr>
              <w:t>0.38</w:t>
            </w:r>
            <w:r>
              <w:rPr>
                <w:rFonts w:ascii="Times New Roman" w:hAnsi="Times New Roman" w:eastAsia="Times New Roman" w:cs="Times New Roman"/>
                <w:sz w:val="24"/>
                <w:szCs w:val="24"/>
                <w:u w:val="single"/>
              </w:rPr>
              <w:t>h</w:t>
            </w:r>
            <w:r>
              <w:rPr>
                <w:rFonts w:hint="eastAsia" w:eastAsia="宋体" w:cs="Times New Roman"/>
                <w:sz w:val="24"/>
                <w:szCs w:val="24"/>
                <w:u w:val="single"/>
                <w:lang w:eastAsia="zh-CN"/>
              </w:rPr>
              <w:t>m</w:t>
            </w:r>
            <w:r>
              <w:rPr>
                <w:rFonts w:hint="eastAsia" w:eastAsia="宋体" w:cs="Times New Roman"/>
                <w:sz w:val="24"/>
                <w:szCs w:val="24"/>
                <w:u w:val="single"/>
                <w:vertAlign w:val="superscript"/>
                <w:lang w:eastAsia="zh-CN"/>
              </w:rPr>
              <w:t>2</w:t>
            </w:r>
            <w:r>
              <w:rPr>
                <w:rFonts w:ascii="宋体" w:hAnsi="宋体" w:eastAsia="宋体" w:cs="宋体"/>
                <w:spacing w:val="-1"/>
                <w:sz w:val="24"/>
                <w:szCs w:val="24"/>
                <w:u w:val="single"/>
              </w:rPr>
              <w:t>，开采厚度</w:t>
            </w:r>
            <w:r>
              <w:rPr>
                <w:rFonts w:ascii="Times New Roman" w:hAnsi="Times New Roman" w:eastAsia="Times New Roman" w:cs="Times New Roman"/>
                <w:spacing w:val="-1"/>
                <w:sz w:val="24"/>
                <w:szCs w:val="24"/>
                <w:u w:val="single"/>
              </w:rPr>
              <w:t>2</w:t>
            </w:r>
            <w:r>
              <w:rPr>
                <w:rFonts w:ascii="宋体" w:hAnsi="宋体" w:eastAsia="宋体" w:cs="宋体"/>
                <w:spacing w:val="-1"/>
                <w:sz w:val="24"/>
                <w:szCs w:val="24"/>
                <w:u w:val="single"/>
              </w:rPr>
              <w:t>~</w:t>
            </w:r>
            <w:r>
              <w:rPr>
                <w:rFonts w:ascii="Times New Roman" w:hAnsi="Times New Roman" w:eastAsia="Times New Roman" w:cs="Times New Roman"/>
                <w:spacing w:val="-1"/>
                <w:sz w:val="24"/>
                <w:szCs w:val="24"/>
                <w:u w:val="single"/>
              </w:rPr>
              <w:t>4</w:t>
            </w:r>
            <w:r>
              <w:rPr>
                <w:rFonts w:ascii="Times New Roman" w:hAnsi="Times New Roman" w:eastAsia="Times New Roman" w:cs="Times New Roman"/>
                <w:sz w:val="24"/>
                <w:szCs w:val="24"/>
                <w:u w:val="single"/>
              </w:rPr>
              <w:t>m</w:t>
            </w:r>
            <w:r>
              <w:rPr>
                <w:rFonts w:ascii="宋体" w:hAnsi="宋体" w:eastAsia="宋体" w:cs="宋体"/>
                <w:spacing w:val="-1"/>
                <w:sz w:val="24"/>
                <w:szCs w:val="24"/>
                <w:u w:val="single"/>
              </w:rPr>
              <w:t>，取土前先将表土剥离，约</w:t>
            </w:r>
            <w:r>
              <w:rPr>
                <w:rFonts w:ascii="Times New Roman" w:hAnsi="Times New Roman" w:eastAsia="Times New Roman" w:cs="Times New Roman"/>
                <w:spacing w:val="-1"/>
                <w:sz w:val="24"/>
                <w:szCs w:val="24"/>
                <w:u w:val="single"/>
              </w:rPr>
              <w:t>0.11</w:t>
            </w:r>
            <w:r>
              <w:rPr>
                <w:rFonts w:ascii="宋体" w:hAnsi="宋体" w:eastAsia="宋体" w:cs="宋体"/>
                <w:sz w:val="24"/>
                <w:szCs w:val="24"/>
                <w:u w:val="single"/>
              </w:rPr>
              <w:t>万</w:t>
            </w:r>
            <w:r>
              <w:rPr>
                <w:rFonts w:hint="eastAsia" w:eastAsia="宋体" w:cs="Times New Roman"/>
                <w:sz w:val="24"/>
                <w:szCs w:val="24"/>
                <w:u w:val="single"/>
                <w:lang w:eastAsia="zh-CN"/>
              </w:rPr>
              <w:t>m</w:t>
            </w:r>
            <w:r>
              <w:rPr>
                <w:rFonts w:hint="eastAsia" w:eastAsia="宋体" w:cs="Times New Roman"/>
                <w:sz w:val="24"/>
                <w:szCs w:val="24"/>
                <w:u w:val="single"/>
                <w:vertAlign w:val="superscript"/>
                <w:lang w:eastAsia="zh-CN"/>
              </w:rPr>
              <w:t>3</w:t>
            </w:r>
            <w:r>
              <w:rPr>
                <w:rFonts w:ascii="宋体" w:hAnsi="宋体" w:eastAsia="宋体" w:cs="宋体"/>
                <w:spacing w:val="5"/>
                <w:sz w:val="24"/>
                <w:szCs w:val="24"/>
                <w:u w:val="single"/>
              </w:rPr>
              <w:t>堆放在旁边，待取土完毕后回填在开挖面上。剥离的表土集中堆放并覆盖，坡脚设置袋</w:t>
            </w:r>
            <w:r>
              <w:rPr>
                <w:rFonts w:ascii="宋体" w:hAnsi="宋体" w:eastAsia="宋体" w:cs="宋体"/>
                <w:spacing w:val="-6"/>
                <w:sz w:val="24"/>
                <w:szCs w:val="24"/>
                <w:u w:val="single"/>
              </w:rPr>
              <w:t>装土临时拦</w:t>
            </w:r>
            <w:r>
              <w:rPr>
                <w:rFonts w:ascii="宋体" w:hAnsi="宋体" w:eastAsia="宋体" w:cs="宋体"/>
                <w:spacing w:val="-4"/>
                <w:sz w:val="24"/>
                <w:szCs w:val="24"/>
                <w:u w:val="single"/>
              </w:rPr>
              <w:t>挡</w:t>
            </w:r>
            <w:r>
              <w:rPr>
                <w:rFonts w:ascii="宋体" w:hAnsi="宋体" w:eastAsia="宋体" w:cs="宋体"/>
                <w:spacing w:val="-3"/>
                <w:sz w:val="24"/>
                <w:szCs w:val="24"/>
                <w:u w:val="single"/>
              </w:rPr>
              <w:t>措施，拟采用袋装土装表土堆砌成高</w:t>
            </w:r>
            <w:r>
              <w:rPr>
                <w:rFonts w:ascii="Times New Roman" w:hAnsi="Times New Roman" w:eastAsia="Times New Roman" w:cs="Times New Roman"/>
                <w:spacing w:val="-3"/>
                <w:sz w:val="24"/>
                <w:szCs w:val="24"/>
                <w:u w:val="single"/>
              </w:rPr>
              <w:t>1.5m</w:t>
            </w:r>
            <w:r>
              <w:rPr>
                <w:rFonts w:ascii="宋体" w:hAnsi="宋体" w:eastAsia="宋体" w:cs="宋体"/>
                <w:spacing w:val="-3"/>
                <w:sz w:val="24"/>
                <w:szCs w:val="24"/>
                <w:u w:val="single"/>
              </w:rPr>
              <w:t>，顶宽</w:t>
            </w:r>
            <w:r>
              <w:rPr>
                <w:rFonts w:ascii="Times New Roman" w:hAnsi="Times New Roman" w:eastAsia="Times New Roman" w:cs="Times New Roman"/>
                <w:spacing w:val="-3"/>
                <w:sz w:val="24"/>
                <w:szCs w:val="24"/>
                <w:u w:val="single"/>
              </w:rPr>
              <w:t>0.8m</w:t>
            </w:r>
            <w:r>
              <w:rPr>
                <w:rFonts w:ascii="宋体" w:hAnsi="宋体" w:eastAsia="宋体" w:cs="宋体"/>
                <w:spacing w:val="-3"/>
                <w:sz w:val="24"/>
                <w:szCs w:val="24"/>
                <w:u w:val="single"/>
              </w:rPr>
              <w:t>，下底宽</w:t>
            </w:r>
            <w:r>
              <w:rPr>
                <w:rFonts w:ascii="Times New Roman" w:hAnsi="Times New Roman" w:eastAsia="Times New Roman" w:cs="Times New Roman"/>
                <w:spacing w:val="-3"/>
                <w:sz w:val="24"/>
                <w:szCs w:val="24"/>
                <w:u w:val="single"/>
              </w:rPr>
              <w:t>1.5m</w:t>
            </w:r>
            <w:r>
              <w:rPr>
                <w:rFonts w:ascii="宋体" w:hAnsi="宋体" w:eastAsia="宋体" w:cs="宋体"/>
                <w:spacing w:val="-3"/>
                <w:sz w:val="24"/>
                <w:szCs w:val="24"/>
                <w:u w:val="single"/>
              </w:rPr>
              <w:t>的梯形断</w:t>
            </w:r>
            <w:r>
              <w:rPr>
                <w:rFonts w:ascii="宋体" w:hAnsi="宋体" w:eastAsia="宋体" w:cs="宋体"/>
                <w:spacing w:val="2"/>
                <w:sz w:val="24"/>
                <w:szCs w:val="24"/>
                <w:u w:val="single"/>
              </w:rPr>
              <w:t>面挡土墙，同时对表土临时堆放采用彩条布覆盖。经计算，需修建袋装</w:t>
            </w:r>
            <w:r>
              <w:rPr>
                <w:rFonts w:ascii="宋体" w:hAnsi="宋体" w:eastAsia="宋体" w:cs="宋体"/>
                <w:spacing w:val="1"/>
                <w:sz w:val="24"/>
                <w:szCs w:val="24"/>
                <w:u w:val="single"/>
              </w:rPr>
              <w:t>土挡墙</w:t>
            </w:r>
            <w:r>
              <w:rPr>
                <w:rFonts w:ascii="Times New Roman" w:hAnsi="Times New Roman" w:eastAsia="Times New Roman" w:cs="Times New Roman"/>
                <w:spacing w:val="1"/>
                <w:sz w:val="24"/>
                <w:szCs w:val="24"/>
                <w:u w:val="single"/>
              </w:rPr>
              <w:t>130</w:t>
            </w:r>
            <w:r>
              <w:rPr>
                <w:rFonts w:ascii="Times New Roman" w:hAnsi="Times New Roman" w:eastAsia="Times New Roman" w:cs="Times New Roman"/>
                <w:sz w:val="24"/>
                <w:szCs w:val="24"/>
                <w:u w:val="single"/>
              </w:rPr>
              <w:t>m</w:t>
            </w:r>
            <w:r>
              <w:rPr>
                <w:rFonts w:ascii="宋体" w:hAnsi="宋体" w:eastAsia="宋体" w:cs="宋体"/>
                <w:spacing w:val="1"/>
                <w:sz w:val="24"/>
                <w:szCs w:val="24"/>
                <w:u w:val="single"/>
              </w:rPr>
              <w:t>，袋装</w:t>
            </w:r>
            <w:r>
              <w:rPr>
                <w:rFonts w:ascii="宋体" w:hAnsi="宋体" w:eastAsia="宋体" w:cs="宋体"/>
                <w:spacing w:val="-10"/>
                <w:sz w:val="24"/>
                <w:szCs w:val="24"/>
                <w:u w:val="single"/>
              </w:rPr>
              <w:t>土填</w:t>
            </w:r>
            <w:r>
              <w:rPr>
                <w:rFonts w:ascii="宋体" w:hAnsi="宋体" w:eastAsia="宋体" w:cs="宋体"/>
                <w:spacing w:val="-5"/>
                <w:sz w:val="24"/>
                <w:szCs w:val="24"/>
                <w:u w:val="single"/>
              </w:rPr>
              <w:t>筑</w:t>
            </w:r>
            <w:r>
              <w:rPr>
                <w:rFonts w:ascii="Times New Roman" w:hAnsi="Times New Roman" w:eastAsia="Times New Roman" w:cs="Times New Roman"/>
                <w:spacing w:val="-5"/>
                <w:sz w:val="24"/>
                <w:szCs w:val="24"/>
                <w:u w:val="single"/>
              </w:rPr>
              <w:t>130.0</w:t>
            </w:r>
            <w:r>
              <w:rPr>
                <w:rFonts w:hint="eastAsia" w:eastAsia="宋体" w:cs="Times New Roman"/>
                <w:spacing w:val="-5"/>
                <w:sz w:val="24"/>
                <w:szCs w:val="24"/>
                <w:u w:val="single"/>
                <w:lang w:eastAsia="zh-CN"/>
              </w:rPr>
              <w:t>m</w:t>
            </w:r>
            <w:r>
              <w:rPr>
                <w:rFonts w:hint="eastAsia" w:eastAsia="宋体" w:cs="Times New Roman"/>
                <w:spacing w:val="-5"/>
                <w:sz w:val="24"/>
                <w:szCs w:val="24"/>
                <w:u w:val="single"/>
                <w:vertAlign w:val="superscript"/>
                <w:lang w:eastAsia="zh-CN"/>
              </w:rPr>
              <w:t>3</w:t>
            </w:r>
            <w:r>
              <w:rPr>
                <w:rFonts w:ascii="宋体" w:hAnsi="宋体" w:eastAsia="宋体" w:cs="宋体"/>
                <w:spacing w:val="-5"/>
                <w:sz w:val="24"/>
                <w:szCs w:val="24"/>
                <w:u w:val="single"/>
              </w:rPr>
              <w:t>。</w:t>
            </w:r>
          </w:p>
          <w:p>
            <w:pPr>
              <w:spacing w:line="336" w:lineRule="auto"/>
              <w:ind w:left="39" w:right="29" w:firstLine="479"/>
              <w:rPr>
                <w:rFonts w:ascii="宋体" w:hAnsi="宋体" w:eastAsia="宋体" w:cs="宋体"/>
                <w:spacing w:val="-4"/>
                <w:sz w:val="24"/>
                <w:szCs w:val="24"/>
                <w:u w:val="single"/>
              </w:rPr>
            </w:pPr>
            <w:r>
              <w:rPr>
                <w:rFonts w:ascii="宋体" w:hAnsi="宋体" w:eastAsia="宋体" w:cs="宋体"/>
                <w:spacing w:val="1"/>
                <w:sz w:val="24"/>
                <w:szCs w:val="24"/>
                <w:u w:val="single"/>
              </w:rPr>
              <w:t>挡墙在码砌前应先处理地表杂物。本工程堆土场堆土</w:t>
            </w:r>
            <w:r>
              <w:rPr>
                <w:rFonts w:ascii="宋体" w:hAnsi="宋体" w:eastAsia="宋体" w:cs="宋体"/>
                <w:sz w:val="24"/>
                <w:szCs w:val="24"/>
                <w:u w:val="single"/>
              </w:rPr>
              <w:t>高度大都在</w:t>
            </w:r>
            <w:r>
              <w:rPr>
                <w:rFonts w:ascii="Times New Roman" w:hAnsi="Times New Roman" w:eastAsia="Times New Roman" w:cs="Times New Roman"/>
                <w:sz w:val="24"/>
                <w:szCs w:val="24"/>
                <w:u w:val="single"/>
              </w:rPr>
              <w:t>3</w:t>
            </w:r>
            <w:r>
              <w:rPr>
                <w:rFonts w:ascii="宋体" w:hAnsi="宋体" w:eastAsia="宋体" w:cs="宋体"/>
                <w:sz w:val="24"/>
                <w:szCs w:val="24"/>
                <w:u w:val="single"/>
              </w:rPr>
              <w:t>~</w:t>
            </w:r>
            <w:r>
              <w:rPr>
                <w:rFonts w:ascii="Times New Roman" w:hAnsi="Times New Roman" w:eastAsia="Times New Roman" w:cs="Times New Roman"/>
                <w:sz w:val="24"/>
                <w:szCs w:val="24"/>
                <w:u w:val="single"/>
              </w:rPr>
              <w:t>5m</w:t>
            </w:r>
            <w:r>
              <w:rPr>
                <w:rFonts w:ascii="宋体" w:hAnsi="宋体" w:eastAsia="宋体" w:cs="宋体"/>
                <w:sz w:val="24"/>
                <w:szCs w:val="24"/>
                <w:u w:val="single"/>
              </w:rPr>
              <w:t>左右，且在堆放</w:t>
            </w:r>
            <w:r>
              <w:rPr>
                <w:rFonts w:ascii="宋体" w:hAnsi="宋体" w:eastAsia="宋体" w:cs="宋体"/>
                <w:spacing w:val="-2"/>
                <w:sz w:val="24"/>
                <w:szCs w:val="24"/>
                <w:u w:val="single"/>
              </w:rPr>
              <w:t>过程中</w:t>
            </w:r>
            <w:r>
              <w:rPr>
                <w:rFonts w:ascii="宋体" w:hAnsi="宋体" w:eastAsia="宋体" w:cs="宋体"/>
                <w:spacing w:val="-1"/>
                <w:sz w:val="24"/>
                <w:szCs w:val="24"/>
                <w:u w:val="single"/>
              </w:rPr>
              <w:t>做了必要的分层压实处理，形成的边坡较低缓(坡度一般在</w:t>
            </w:r>
            <w:r>
              <w:rPr>
                <w:rFonts w:ascii="Times New Roman" w:hAnsi="Times New Roman" w:eastAsia="Times New Roman" w:cs="Times New Roman"/>
                <w:spacing w:val="-1"/>
                <w:sz w:val="24"/>
                <w:szCs w:val="24"/>
                <w:u w:val="single"/>
              </w:rPr>
              <w:t>1</w:t>
            </w:r>
            <w:r>
              <w:rPr>
                <w:rFonts w:ascii="宋体" w:hAnsi="宋体" w:eastAsia="宋体" w:cs="宋体"/>
                <w:spacing w:val="-1"/>
                <w:sz w:val="24"/>
                <w:szCs w:val="24"/>
                <w:u w:val="single"/>
              </w:rPr>
              <w:t>：</w:t>
            </w:r>
            <w:r>
              <w:rPr>
                <w:rFonts w:ascii="Times New Roman" w:hAnsi="Times New Roman" w:eastAsia="Times New Roman" w:cs="Times New Roman"/>
                <w:spacing w:val="-1"/>
                <w:sz w:val="24"/>
                <w:szCs w:val="24"/>
                <w:u w:val="single"/>
              </w:rPr>
              <w:t>1.75</w:t>
            </w:r>
            <w:r>
              <w:rPr>
                <w:rFonts w:ascii="宋体" w:hAnsi="宋体" w:eastAsia="宋体" w:cs="宋体"/>
                <w:spacing w:val="-1"/>
                <w:sz w:val="24"/>
                <w:szCs w:val="24"/>
                <w:u w:val="single"/>
              </w:rPr>
              <w:t>以下)，土体自身</w:t>
            </w:r>
            <w:r>
              <w:rPr>
                <w:rFonts w:ascii="宋体" w:hAnsi="宋体" w:eastAsia="宋体" w:cs="宋体"/>
                <w:spacing w:val="-4"/>
                <w:sz w:val="24"/>
                <w:szCs w:val="24"/>
                <w:u w:val="single"/>
              </w:rPr>
              <w:t>可达到自然稳</w:t>
            </w:r>
            <w:r>
              <w:rPr>
                <w:rFonts w:ascii="宋体" w:hAnsi="宋体" w:eastAsia="宋体" w:cs="宋体"/>
                <w:spacing w:val="-2"/>
                <w:sz w:val="24"/>
                <w:szCs w:val="24"/>
                <w:u w:val="single"/>
              </w:rPr>
              <w:t>定状态。根据其他工程施工经验，该形式的临时挡墙可以满足拦挡要求，拦渣</w:t>
            </w:r>
            <w:r>
              <w:rPr>
                <w:rFonts w:ascii="宋体" w:hAnsi="宋体" w:eastAsia="宋体" w:cs="宋体"/>
                <w:spacing w:val="-5"/>
                <w:sz w:val="24"/>
                <w:szCs w:val="24"/>
                <w:u w:val="single"/>
              </w:rPr>
              <w:t>稳</w:t>
            </w:r>
            <w:r>
              <w:rPr>
                <w:rFonts w:ascii="宋体" w:hAnsi="宋体" w:eastAsia="宋体" w:cs="宋体"/>
                <w:spacing w:val="-4"/>
                <w:sz w:val="24"/>
                <w:szCs w:val="24"/>
                <w:u w:val="single"/>
              </w:rPr>
              <w:t>定且便于后期拆除。</w:t>
            </w:r>
          </w:p>
          <w:p>
            <w:pPr>
              <w:bidi w:val="0"/>
              <w:rPr>
                <w:rFonts w:hint="eastAsia" w:ascii="宋体" w:hAnsi="宋体" w:cs="宋体"/>
                <w:spacing w:val="-4"/>
                <w:sz w:val="24"/>
                <w:szCs w:val="24"/>
                <w:u w:val="single"/>
                <w:lang w:val="en-US" w:eastAsia="zh-CN"/>
              </w:rPr>
            </w:pPr>
            <w:r>
              <w:rPr>
                <w:rFonts w:hint="eastAsia" w:ascii="宋体" w:hAnsi="宋体" w:cs="宋体"/>
                <w:spacing w:val="-4"/>
                <w:sz w:val="24"/>
                <w:szCs w:val="24"/>
                <w:u w:val="single"/>
                <w:lang w:val="en-US" w:eastAsia="zh-CN"/>
              </w:rPr>
              <w:t>7施工暴雨期间水土流失的防治措施</w:t>
            </w:r>
          </w:p>
          <w:p>
            <w:pPr>
              <w:bidi w:val="0"/>
              <w:rPr>
                <w:rFonts w:hint="eastAsia" w:eastAsia="宋体"/>
                <w:u w:val="single"/>
                <w:lang w:eastAsia="zh-CN"/>
              </w:rPr>
            </w:pPr>
            <w:r>
              <w:rPr>
                <w:rFonts w:ascii="宋体" w:hAnsi="宋体" w:eastAsia="宋体" w:cs="宋体"/>
                <w:spacing w:val="-4"/>
                <w:sz w:val="24"/>
                <w:szCs w:val="24"/>
                <w:u w:val="single"/>
              </w:rPr>
              <w:t>施工中遇强降雨，对</w:t>
            </w:r>
            <w:r>
              <w:rPr>
                <w:rFonts w:ascii="宋体" w:hAnsi="宋体" w:eastAsia="宋体" w:cs="宋体"/>
                <w:spacing w:val="-3"/>
                <w:sz w:val="24"/>
                <w:szCs w:val="24"/>
                <w:u w:val="single"/>
              </w:rPr>
              <w:t>砂</w:t>
            </w:r>
            <w:r>
              <w:rPr>
                <w:rFonts w:ascii="宋体" w:hAnsi="宋体" w:eastAsia="宋体" w:cs="宋体"/>
                <w:spacing w:val="-2"/>
                <w:sz w:val="24"/>
                <w:szCs w:val="24"/>
                <w:u w:val="single"/>
              </w:rPr>
              <w:t>石料</w:t>
            </w:r>
            <w:r>
              <w:rPr>
                <w:rFonts w:hint="eastAsia" w:ascii="宋体" w:hAnsi="宋体" w:cs="宋体"/>
                <w:spacing w:val="-2"/>
                <w:sz w:val="24"/>
                <w:szCs w:val="24"/>
                <w:u w:val="single"/>
                <w:lang w:val="en-US" w:eastAsia="zh-CN"/>
              </w:rPr>
              <w:t>/取土场</w:t>
            </w:r>
            <w:r>
              <w:rPr>
                <w:rFonts w:ascii="宋体" w:hAnsi="宋体" w:eastAsia="宋体" w:cs="宋体"/>
                <w:spacing w:val="-2"/>
                <w:sz w:val="24"/>
                <w:szCs w:val="24"/>
                <w:u w:val="single"/>
              </w:rPr>
              <w:t>采取临时覆盖，防止由于降雨及其径流冲刷泥沙、碎石进入</w:t>
            </w:r>
            <w:r>
              <w:rPr>
                <w:rFonts w:ascii="宋体" w:hAnsi="宋体" w:eastAsia="宋体" w:cs="宋体"/>
                <w:spacing w:val="-4"/>
                <w:sz w:val="24"/>
                <w:szCs w:val="24"/>
                <w:u w:val="single"/>
              </w:rPr>
              <w:t>沟道，增加沟</w:t>
            </w:r>
            <w:r>
              <w:rPr>
                <w:rFonts w:ascii="宋体" w:hAnsi="宋体" w:eastAsia="宋体" w:cs="宋体"/>
                <w:spacing w:val="-3"/>
                <w:sz w:val="24"/>
                <w:szCs w:val="24"/>
                <w:u w:val="single"/>
              </w:rPr>
              <w:t>渠</w:t>
            </w:r>
            <w:r>
              <w:rPr>
                <w:rFonts w:ascii="宋体" w:hAnsi="宋体" w:eastAsia="宋体" w:cs="宋体"/>
                <w:spacing w:val="-2"/>
                <w:sz w:val="24"/>
                <w:szCs w:val="24"/>
                <w:u w:val="single"/>
              </w:rPr>
              <w:t>的泥沙淤积。本方案拟采用铺设彩条布对砂石料</w:t>
            </w:r>
            <w:r>
              <w:rPr>
                <w:rFonts w:hint="eastAsia" w:ascii="宋体" w:hAnsi="宋体" w:cs="宋体"/>
                <w:spacing w:val="-2"/>
                <w:sz w:val="24"/>
                <w:szCs w:val="24"/>
                <w:u w:val="single"/>
                <w:lang w:val="en-US" w:eastAsia="zh-CN"/>
              </w:rPr>
              <w:t>、取土场</w:t>
            </w:r>
            <w:r>
              <w:rPr>
                <w:rFonts w:ascii="宋体" w:hAnsi="宋体" w:eastAsia="宋体" w:cs="宋体"/>
                <w:spacing w:val="-2"/>
                <w:sz w:val="24"/>
                <w:szCs w:val="24"/>
                <w:u w:val="single"/>
              </w:rPr>
              <w:t>进行临时覆盖。根据项目规模以及施工生产生活的布设</w:t>
            </w:r>
            <w:r>
              <w:rPr>
                <w:rFonts w:hint="eastAsia" w:ascii="宋体" w:hAnsi="宋体" w:cs="宋体"/>
                <w:spacing w:val="-2"/>
                <w:sz w:val="24"/>
                <w:szCs w:val="24"/>
                <w:u w:val="single"/>
                <w:lang w:eastAsia="zh-CN"/>
              </w:rPr>
              <w:t>、</w:t>
            </w:r>
            <w:r>
              <w:rPr>
                <w:rFonts w:hint="eastAsia" w:ascii="宋体" w:hAnsi="宋体" w:cs="宋体"/>
                <w:spacing w:val="-2"/>
                <w:sz w:val="24"/>
                <w:szCs w:val="24"/>
                <w:u w:val="single"/>
                <w:lang w:val="en-US" w:eastAsia="zh-CN"/>
              </w:rPr>
              <w:t>取土场</w:t>
            </w:r>
            <w:r>
              <w:rPr>
                <w:rFonts w:ascii="宋体" w:hAnsi="宋体" w:eastAsia="宋体" w:cs="宋体"/>
                <w:spacing w:val="-2"/>
                <w:sz w:val="24"/>
                <w:szCs w:val="24"/>
                <w:u w:val="single"/>
              </w:rPr>
              <w:t>等进行概算，该区需临时覆盖彩条布</w:t>
            </w:r>
            <w:r>
              <w:rPr>
                <w:rFonts w:ascii="Times New Roman" w:hAnsi="Times New Roman" w:eastAsia="Times New Roman" w:cs="Times New Roman"/>
                <w:spacing w:val="-2"/>
                <w:sz w:val="24"/>
                <w:szCs w:val="24"/>
                <w:u w:val="single"/>
              </w:rPr>
              <w:t>1200</w:t>
            </w:r>
            <w:r>
              <w:rPr>
                <w:rFonts w:hint="eastAsia" w:eastAsia="宋体" w:cs="Times New Roman"/>
                <w:sz w:val="24"/>
                <w:szCs w:val="24"/>
                <w:u w:val="single"/>
                <w:lang w:eastAsia="zh-CN"/>
              </w:rPr>
              <w:t>m</w:t>
            </w:r>
            <w:r>
              <w:rPr>
                <w:rFonts w:hint="eastAsia" w:eastAsia="宋体" w:cs="Times New Roman"/>
                <w:sz w:val="24"/>
                <w:szCs w:val="24"/>
                <w:u w:val="single"/>
                <w:vertAlign w:val="superscript"/>
                <w:lang w:eastAsia="zh-CN"/>
              </w:rPr>
              <w:t>2</w:t>
            </w:r>
            <w:r>
              <w:rPr>
                <w:rFonts w:ascii="宋体" w:hAnsi="宋体" w:eastAsia="宋体" w:cs="宋体"/>
                <w:sz w:val="24"/>
                <w:szCs w:val="24"/>
                <w:u w:val="single"/>
              </w:rPr>
              <w:t>。</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u w:val="single"/>
              </w:rPr>
            </w:pPr>
            <w:r>
              <w:rPr>
                <w:rFonts w:hint="default" w:ascii="Times New Roman" w:hAnsi="Times New Roman" w:cs="Times New Roman"/>
                <w:u w:val="single"/>
              </w:rPr>
              <w:t>（3）植被损失及对动物生境的影响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u w:val="single"/>
              </w:rPr>
            </w:pPr>
            <w:r>
              <w:rPr>
                <w:rFonts w:hint="default" w:ascii="Times New Roman" w:hAnsi="Times New Roman" w:cs="Times New Roman"/>
                <w:u w:val="single"/>
              </w:rPr>
              <w:t>现场勘察未发现列入《国家重点保护野生植物名录》（第一批）的物种，无木古树分布。若施工期在施工场地发现国家重点保护植物和古树名木，须报林业部门，积极保护，妥善处置。修筑过程中，施工地带中的现有植被将受到破坏。提岸—侧的现有植被主要为一些次生水草、杂草等，经调查，在</w:t>
            </w:r>
            <w:r>
              <w:rPr>
                <w:rFonts w:hint="eastAsia" w:ascii="Times New Roman" w:hAnsi="Times New Roman" w:cs="Times New Roman"/>
                <w:u w:val="single"/>
                <w:lang w:val="en-US" w:eastAsia="zh-CN"/>
              </w:rPr>
              <w:t>施工区域</w:t>
            </w:r>
            <w:r>
              <w:rPr>
                <w:rFonts w:hint="default" w:ascii="Times New Roman" w:hAnsi="Times New Roman" w:cs="Times New Roman"/>
                <w:u w:val="single"/>
              </w:rPr>
              <w:t>内没有古树名木。因此本工程建设不会对沿线植被产生长远的破坏性影响。评价范围内野生动物已难见踪影，未发现有国家及</w:t>
            </w:r>
            <w:r>
              <w:rPr>
                <w:rFonts w:hint="eastAsia" w:ascii="Times New Roman" w:hAnsi="Times New Roman" w:cs="Times New Roman"/>
                <w:u w:val="single"/>
                <w:lang w:val="en-US" w:eastAsia="zh-CN"/>
              </w:rPr>
              <w:t>地方</w:t>
            </w:r>
            <w:r>
              <w:rPr>
                <w:rFonts w:hint="default" w:ascii="Times New Roman" w:hAnsi="Times New Roman" w:cs="Times New Roman"/>
                <w:u w:val="single"/>
              </w:rPr>
              <w:t>方保护</w:t>
            </w:r>
            <w:r>
              <w:rPr>
                <w:rFonts w:hint="eastAsia" w:ascii="Times New Roman" w:hAnsi="Times New Roman" w:cs="Times New Roman"/>
                <w:u w:val="single"/>
                <w:lang w:val="en-US" w:eastAsia="zh-CN"/>
              </w:rPr>
              <w:t>动物</w:t>
            </w:r>
            <w:r>
              <w:rPr>
                <w:rFonts w:hint="default" w:ascii="Times New Roman" w:hAnsi="Times New Roman" w:cs="Times New Roman"/>
                <w:u w:val="single"/>
              </w:rPr>
              <w:t>。较为常见的</w:t>
            </w:r>
            <w:r>
              <w:rPr>
                <w:rFonts w:hint="eastAsia" w:ascii="Times New Roman" w:hAnsi="Times New Roman" w:cs="Times New Roman"/>
                <w:u w:val="single"/>
                <w:lang w:val="en-US" w:eastAsia="zh-CN"/>
              </w:rPr>
              <w:t>野生</w:t>
            </w:r>
            <w:r>
              <w:rPr>
                <w:rFonts w:hint="default" w:ascii="Times New Roman" w:hAnsi="Times New Roman" w:cs="Times New Roman"/>
                <w:u w:val="single"/>
              </w:rPr>
              <w:t>动物主要为鸟类、蛇类、老鼠及昆虫等一些小型动物。</w:t>
            </w:r>
          </w:p>
          <w:p>
            <w:pPr>
              <w:pStyle w:val="15"/>
              <w:keepNext w:val="0"/>
              <w:keepLines w:val="0"/>
              <w:widowControl/>
              <w:suppressLineNumbers w:val="0"/>
              <w:spacing w:before="0" w:beforeAutospacing="0" w:after="0" w:afterAutospacing="0"/>
              <w:ind w:left="0" w:right="0" w:firstLine="0"/>
              <w:jc w:val="both"/>
              <w:rPr>
                <w:rFonts w:hint="default" w:ascii="Times New Roman" w:hAnsi="Times New Roman" w:cs="Times New Roman"/>
              </w:rPr>
            </w:pPr>
            <w:r>
              <w:rPr>
                <w:rFonts w:hint="default" w:ascii="Times New Roman" w:hAnsi="Times New Roman" w:cs="Times New Roman"/>
                <w:u w:val="single"/>
              </w:rPr>
              <w:t>项目工程区不存在大型的动物。一般来说，即使存在大型动物，也会自行迁徒，因此只有地表及地下浅层的小型动物受到损失，工程建设对动物生境影响较小。若施工期在</w:t>
            </w:r>
            <w:r>
              <w:rPr>
                <w:rFonts w:hint="default" w:ascii="Times New Roman" w:hAnsi="Times New Roman" w:cs="Times New Roman"/>
              </w:rPr>
              <w:t>施工场地发现国家重点保护野生动物，须报林业部门，积极保护，妥善处置。</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（4）坝下游河道生态流量与防洪的影响分析</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本项目加固施工过程中，小生态下泄流量可以满足坝下游两岸用水需求及维护下游河道内生态环境健康的需要。水库除险加固工程的实施可消除各种工程隐患，确保现状水库的安全运行及下游人民生命财产的安全，并使其发挥正常的防洪、</w:t>
            </w:r>
            <w:r>
              <w:rPr>
                <w:rFonts w:hint="default" w:ascii="Times New Roman" w:hAnsi="Times New Roman" w:cs="Times New Roman"/>
                <w:lang w:val="en-US" w:eastAsia="zh-CN"/>
              </w:rPr>
              <w:t>灌溉</w:t>
            </w:r>
            <w:r>
              <w:rPr>
                <w:rFonts w:hint="default" w:ascii="Times New Roman" w:hAnsi="Times New Roman" w:cs="Times New Roman"/>
              </w:rPr>
              <w:t>等效益。加固工程本身是一项维护区域社会经济和环境功能的生态环境工程，为减轻当地洪涝和风暴潮灾害起到巨大作用。</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综上，本项目对生态环境的影响主要体现为施工过程中占用土地、造成水土流失、对植被的破坏</w:t>
            </w:r>
            <w:r>
              <w:rPr>
                <w:rFonts w:hint="default" w:ascii="Times New Roman" w:hAnsi="Times New Roman" w:cs="Times New Roman"/>
                <w:lang w:eastAsia="zh-CN"/>
              </w:rPr>
              <w:t>；</w:t>
            </w:r>
            <w:r>
              <w:rPr>
                <w:rFonts w:hint="default" w:ascii="Times New Roman" w:hAnsi="Times New Roman" w:cs="Times New Roman"/>
              </w:rPr>
              <w:t>项目建设后将永久占用一部分土地。现有水库已运行多年，已形成相对稳定的水库生态系统。由干库容和水面面积基本不改变，平均年较差和日较差均基本不改变，工程完成后，不会对目前相对稳定的水库生态系统产生大的影响。项目建成后应加强绿化，尽快恢复地表植被。</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（5）对水域生态的影响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lang w:val="en-US" w:eastAsia="zh-CN"/>
              </w:rPr>
              <w:t>工程</w:t>
            </w:r>
            <w:r>
              <w:rPr>
                <w:rFonts w:hint="default" w:ascii="Times New Roman" w:hAnsi="Times New Roman" w:cs="Times New Roman"/>
              </w:rPr>
              <w:t>对</w:t>
            </w:r>
            <w:r>
              <w:rPr>
                <w:rFonts w:hint="eastAsia" w:ascii="Times New Roman" w:hAnsi="Times New Roman" w:cs="Times New Roman"/>
                <w:lang w:val="en-US" w:eastAsia="zh-CN"/>
              </w:rPr>
              <w:t>燎原</w:t>
            </w:r>
            <w:r>
              <w:rPr>
                <w:rFonts w:hint="default" w:ascii="Times New Roman" w:hAnsi="Times New Roman" w:cs="Times New Roman"/>
                <w:lang w:val="en-US" w:eastAsia="zh-CN"/>
              </w:rPr>
              <w:t>水库</w:t>
            </w:r>
            <w:r>
              <w:rPr>
                <w:rFonts w:hint="default" w:ascii="Times New Roman" w:hAnsi="Times New Roman" w:cs="Times New Roman"/>
              </w:rPr>
              <w:t>水体的影响挡墙、土石填筑等施工时，扰动</w:t>
            </w:r>
            <w:r>
              <w:rPr>
                <w:rFonts w:hint="default" w:ascii="Times New Roman" w:hAnsi="Times New Roman" w:cs="Times New Roman"/>
                <w:lang w:val="en-US" w:eastAsia="zh-CN"/>
              </w:rPr>
              <w:t>水库</w:t>
            </w:r>
            <w:r>
              <w:rPr>
                <w:rFonts w:hint="default" w:ascii="Times New Roman" w:hAnsi="Times New Roman" w:cs="Times New Roman"/>
              </w:rPr>
              <w:t>使底泥浮起，造成局部河段悬浮物增加，</w:t>
            </w:r>
            <w:r>
              <w:rPr>
                <w:rFonts w:hint="default" w:ascii="Times New Roman" w:hAnsi="Times New Roman" w:cs="Times New Roman"/>
                <w:lang w:val="en-US" w:eastAsia="zh-CN"/>
              </w:rPr>
              <w:t>湖水</w:t>
            </w:r>
            <w:r>
              <w:rPr>
                <w:rFonts w:hint="default" w:ascii="Times New Roman" w:hAnsi="Times New Roman" w:cs="Times New Roman"/>
              </w:rPr>
              <w:t>混浊。因此施工方应加强施工管理。</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②施工对水生生物生境的影响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在</w:t>
            </w:r>
            <w:r>
              <w:rPr>
                <w:rFonts w:hint="default" w:ascii="Times New Roman" w:hAnsi="Times New Roman" w:cs="Times New Roman"/>
                <w:lang w:val="en-US" w:eastAsia="zh-CN"/>
              </w:rPr>
              <w:t>水库</w:t>
            </w:r>
            <w:r>
              <w:rPr>
                <w:rFonts w:hint="default" w:ascii="Times New Roman" w:hAnsi="Times New Roman" w:cs="Times New Roman"/>
              </w:rPr>
              <w:t>岸边</w:t>
            </w:r>
            <w:r>
              <w:rPr>
                <w:rFonts w:hint="default" w:ascii="Times New Roman" w:hAnsi="Times New Roman" w:cs="Times New Roman"/>
                <w:lang w:val="en-US" w:eastAsia="zh-CN"/>
              </w:rPr>
              <w:t>进行</w:t>
            </w:r>
            <w:r>
              <w:rPr>
                <w:rFonts w:hint="default" w:ascii="Times New Roman" w:hAnsi="Times New Roman" w:cs="Times New Roman"/>
              </w:rPr>
              <w:t>垃圾清理及挡墙、土石填筑等施工作业中，水体被搅混，影响水生生物的栖息环境，或者将鱼虾吓跑。影响正常的活动路线</w:t>
            </w:r>
            <w:r>
              <w:rPr>
                <w:rFonts w:hint="default" w:ascii="Times New Roman" w:hAnsi="Times New Roman" w:cs="Times New Roman"/>
                <w:lang w:eastAsia="zh-CN"/>
              </w:rPr>
              <w:t>；</w:t>
            </w:r>
            <w:r>
              <w:rPr>
                <w:rFonts w:hint="default" w:ascii="Times New Roman" w:hAnsi="Times New Roman" w:cs="Times New Roman"/>
              </w:rPr>
              <w:t>对</w:t>
            </w:r>
            <w:r>
              <w:rPr>
                <w:rFonts w:hint="default" w:ascii="Times New Roman" w:hAnsi="Times New Roman" w:cs="Times New Roman"/>
                <w:lang w:val="en-US" w:eastAsia="zh-CN"/>
              </w:rPr>
              <w:t>水库</w:t>
            </w:r>
            <w:r>
              <w:rPr>
                <w:rFonts w:hint="default" w:ascii="Times New Roman" w:hAnsi="Times New Roman" w:cs="Times New Roman"/>
              </w:rPr>
              <w:t>的开挖和围堰，破坏水漫滩地的水生植物群落，从而影响植食性水生动物的觅食。</w:t>
            </w:r>
          </w:p>
          <w:p>
            <w:pPr>
              <w:pStyle w:val="15"/>
              <w:keepNext w:val="0"/>
              <w:keepLines w:val="0"/>
              <w:widowControl/>
              <w:numPr>
                <w:ilvl w:val="0"/>
                <w:numId w:val="0"/>
              </w:numPr>
              <w:suppressLineNumbers w:val="0"/>
              <w:spacing w:before="0" w:beforeAutospacing="0" w:after="0" w:afterAutospacing="0"/>
              <w:ind w:leftChars="200" w:right="0" w:rightChars="0"/>
              <w:rPr>
                <w:rFonts w:hint="default" w:ascii="Times New Roman" w:hAnsi="Times New Roman" w:cs="Times New Roman"/>
              </w:rPr>
            </w:pPr>
            <w:r>
              <w:rPr>
                <w:rFonts w:hint="eastAsia" w:ascii="Times New Roman" w:hAnsi="Times New Roman" w:cs="Times New Roman"/>
                <w:lang w:val="en-US" w:eastAsia="zh-CN"/>
              </w:rPr>
              <w:t>③</w:t>
            </w:r>
            <w:r>
              <w:rPr>
                <w:rFonts w:hint="default" w:ascii="Times New Roman" w:hAnsi="Times New Roman" w:cs="Times New Roman"/>
              </w:rPr>
              <w:t>施工废物对水体的污染</w:t>
            </w:r>
          </w:p>
          <w:p>
            <w:pPr>
              <w:bidi w:val="0"/>
              <w:rPr>
                <w:rFonts w:hint="default"/>
              </w:rPr>
            </w:pPr>
            <w:r>
              <w:rPr>
                <w:rFonts w:hint="default"/>
              </w:rPr>
              <w:t>在钻孔，灌注桩施工过程中，钻孔，作业会产生—定量的泥聚，如果不经</w:t>
            </w:r>
            <w:r>
              <w:rPr>
                <w:rFonts w:hint="default"/>
                <w:lang w:val="en-US" w:eastAsia="zh-CN"/>
              </w:rPr>
              <w:t>沉淀</w:t>
            </w:r>
            <w:r>
              <w:rPr>
                <w:rFonts w:hint="default"/>
              </w:rPr>
              <w:t>而直排水库内，将污染附近的水体。施工人员</w:t>
            </w:r>
            <w:r>
              <w:rPr>
                <w:rFonts w:hint="default"/>
                <w:lang w:val="en-US" w:eastAsia="zh-CN"/>
              </w:rPr>
              <w:t>的</w:t>
            </w:r>
            <w:r>
              <w:rPr>
                <w:rFonts w:hint="default"/>
              </w:rPr>
              <w:t>生活污水若不加管理控制而直排</w:t>
            </w:r>
            <w:r>
              <w:rPr>
                <w:rFonts w:hint="default"/>
                <w:lang w:val="en-US" w:eastAsia="zh-CN"/>
              </w:rPr>
              <w:t>水库</w:t>
            </w:r>
            <w:r>
              <w:rPr>
                <w:rFonts w:hint="default"/>
              </w:rPr>
              <w:t>，对水体的水质将产生较大景响</w:t>
            </w:r>
            <w:r>
              <w:rPr>
                <w:rFonts w:hint="default"/>
                <w:lang w:eastAsia="zh-CN"/>
              </w:rPr>
              <w:t>；</w:t>
            </w:r>
            <w:r>
              <w:rPr>
                <w:rFonts w:hint="default"/>
              </w:rPr>
              <w:t>施工机械的冲洗</w:t>
            </w:r>
            <w:r>
              <w:rPr>
                <w:rFonts w:hint="default"/>
                <w:lang w:val="en-US" w:eastAsia="zh-CN"/>
              </w:rPr>
              <w:t>废水</w:t>
            </w:r>
            <w:r>
              <w:rPr>
                <w:rFonts w:hint="default"/>
              </w:rPr>
              <w:t>带含油污泥也将对水体产生影响。</w:t>
            </w:r>
          </w:p>
          <w:p>
            <w:pPr>
              <w:pStyle w:val="15"/>
              <w:keepNext w:val="0"/>
              <w:keepLines w:val="0"/>
              <w:widowControl/>
              <w:suppressLineNumbers w:val="0"/>
              <w:spacing w:before="0" w:beforeAutospacing="0" w:after="0" w:afterAutospacing="0"/>
              <w:ind w:left="0" w:right="0" w:firstLine="0"/>
              <w:rPr>
                <w:rFonts w:hint="default" w:ascii="Times New Roman" w:hAnsi="Times New Roman" w:cs="Times New Roman"/>
              </w:rPr>
            </w:pPr>
            <w:r>
              <w:rPr>
                <w:rFonts w:hint="default" w:ascii="Times New Roman" w:hAnsi="Times New Roman" w:cs="Times New Roman"/>
              </w:rPr>
              <w:t>因此，本环评要求施工单位在涉及水域施工时，加强施工管理，及时将淤泥、泥浆、渣土、建筑垃圾等运出至弃渣场堆放。大限度地减少施工废物对</w:t>
            </w:r>
            <w:r>
              <w:rPr>
                <w:rFonts w:hint="default" w:ascii="Times New Roman" w:hAnsi="Times New Roman" w:cs="Times New Roman"/>
                <w:lang w:val="en-US" w:eastAsia="zh-CN"/>
              </w:rPr>
              <w:t>水库</w:t>
            </w:r>
            <w:r>
              <w:rPr>
                <w:rFonts w:hint="default" w:ascii="Times New Roman" w:hAnsi="Times New Roman" w:cs="Times New Roman"/>
              </w:rPr>
              <w:t>水质及防洪的不利影响。钻孔灌注桩施工时由于钻孔所处位置的限制，不利于处理设备或构筑物的设置。</w:t>
            </w:r>
            <w:r>
              <w:rPr>
                <w:rFonts w:hint="default" w:ascii="Times New Roman" w:hAnsi="Times New Roman" w:cs="Times New Roman"/>
                <w:lang w:val="en-US" w:eastAsia="zh-CN"/>
              </w:rPr>
              <w:t>施工废水经沉淀后回用，禁止外排</w:t>
            </w:r>
            <w:r>
              <w:rPr>
                <w:rFonts w:hint="default" w:ascii="Times New Roman" w:hAnsi="Times New Roman" w:cs="Times New Roman"/>
              </w:rPr>
              <w:t>。由于施工过程只是是暂时的和局部的，所涉及的范围也是有限的，所以施工对水生生态环境的影响是短期的和可迅速恢复的，因此本工程建设对水生生物的影响不明显。</w:t>
            </w:r>
          </w:p>
          <w:p>
            <w:pPr>
              <w:bidi w:val="0"/>
              <w:rPr>
                <w:rFonts w:hint="default" w:ascii="Times New Roman" w:hAnsi="Times New Roman" w:cs="Times New Roman"/>
              </w:rPr>
            </w:pPr>
            <w:r>
              <w:rPr>
                <w:rFonts w:hint="default" w:ascii="Times New Roman" w:hAnsi="Times New Roman" w:cs="Times New Roman"/>
              </w:rPr>
              <w:t>7、施工期社会环境影响分析</w:t>
            </w:r>
          </w:p>
          <w:p>
            <w:pPr>
              <w:bidi w:val="0"/>
              <w:rPr>
                <w:rFonts w:hint="default" w:ascii="Times New Roman" w:hAnsi="Times New Roman" w:cs="Times New Roman"/>
              </w:rPr>
            </w:pPr>
            <w:r>
              <w:rPr>
                <w:rFonts w:hint="default" w:ascii="Times New Roman" w:hAnsi="Times New Roman" w:cs="Times New Roman"/>
              </w:rPr>
              <w:t>项目建设会对沿线居民生活、学习、交通、出行带来不便。施工引起噪声、扬尘、废水的排放对沿线环境的影响，进而影响临近住户的生活质量。只要采取相应的防治及减缓措施，对沿线敏感点的上述影响将减至最低程度，并随着施工期的结束而消失。</w:t>
            </w:r>
          </w:p>
          <w:p>
            <w:pPr>
              <w:bidi w:val="0"/>
              <w:rPr>
                <w:rFonts w:hint="default"/>
                <w:u w:val="single"/>
              </w:rPr>
            </w:pPr>
            <w:r>
              <w:rPr>
                <w:rFonts w:hint="eastAsia"/>
                <w:u w:val="single"/>
                <w:lang w:val="en-US" w:eastAsia="zh-CN"/>
              </w:rPr>
              <w:t>8</w:t>
            </w:r>
            <w:r>
              <w:rPr>
                <w:rFonts w:hint="default"/>
                <w:u w:val="single"/>
              </w:rPr>
              <w:t>、对</w:t>
            </w:r>
            <w:r>
              <w:rPr>
                <w:rFonts w:hint="eastAsia"/>
                <w:u w:val="single"/>
                <w:lang w:val="en-US" w:eastAsia="zh-CN"/>
              </w:rPr>
              <w:t>金龙</w:t>
            </w:r>
            <w:r>
              <w:rPr>
                <w:rFonts w:hint="default"/>
                <w:u w:val="single"/>
              </w:rPr>
              <w:t>村级公路运输交通敏感点分析</w:t>
            </w:r>
          </w:p>
          <w:p>
            <w:pPr>
              <w:bidi w:val="0"/>
              <w:rPr>
                <w:rFonts w:hint="default"/>
                <w:u w:val="single"/>
              </w:rPr>
            </w:pPr>
            <w:r>
              <w:rPr>
                <w:rFonts w:hint="default"/>
                <w:u w:val="single"/>
              </w:rPr>
              <w:t>本项目在运输过程对乡村道路的主要影响为运输粉尘和交通噪声，其影响范围主要为公路两边的居民区，故本环评要求建设单位车辆原料和产品运输过程中应加盖篷布，并对道路进行硬化，减速慢行，少鸣笛，并在炎热、大风天气，对地面定期洒水和清扫，同时加强车辆的管理，为了通过上述措施后，可减少车辆运输对周边居民区的影响。</w:t>
            </w:r>
          </w:p>
          <w:p>
            <w:pPr>
              <w:bidi w:val="0"/>
              <w:rPr>
                <w:rFonts w:hint="default" w:ascii="Times New Roman" w:hAnsi="Times New Roman" w:cs="Times New Roman"/>
                <w:lang w:val="en-US" w:eastAsia="zh-CN"/>
              </w:rPr>
            </w:pPr>
            <w:r>
              <w:rPr>
                <w:rFonts w:hint="default" w:ascii="Times New Roman" w:hAnsi="Times New Roman" w:cs="Times New Roman"/>
              </w:rPr>
              <w:t>综上所述，本工程施工期的影响是暂时的，在施工结束后，影响区域的各环境要素基本都可以得到恢复。只要工程施工期认真按照相关规定和本评价提出的环保对策措施，工程施工的环境影响问题可以得到消除或有效的控制，可以使其对环境的影响降至最小程度。</w:t>
            </w:r>
            <w:r>
              <w:rPr>
                <w:rFonts w:hint="default" w:ascii="Times New Roman" w:hAnsi="Times New Roman" w:cs="Times New Roman"/>
              </w:rPr>
              <w:br w:type="textWrapping"/>
            </w:r>
            <w:r>
              <w:rPr>
                <w:rFonts w:hint="default" w:ascii="Times New Roman" w:hAnsi="Times New Roman" w:cs="Times New Roman"/>
              </w:rPr>
              <w:br w:type="textWrapping"/>
            </w:r>
            <w:r>
              <w:rPr>
                <w:rFonts w:hint="default" w:ascii="Times New Roman" w:hAnsi="Times New Roman" w:cs="Times New Roman"/>
              </w:rPr>
              <w:br w:type="textWrapping"/>
            </w:r>
            <w:r>
              <w:rPr>
                <w:rFonts w:hint="default" w:ascii="Times New Roman" w:hAnsi="Times New Roman" w:cs="Times New Roman"/>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484" w:type="dxa"/>
            <w:noWrap w:val="0"/>
            <w:tcMar>
              <w:left w:w="28" w:type="dxa"/>
              <w:right w:w="28" w:type="dxa"/>
            </w:tcMar>
            <w:vAlign w:val="center"/>
          </w:tcPr>
          <w:p>
            <w:pPr>
              <w:pStyle w:val="15"/>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bCs/>
                <w:spacing w:val="10"/>
                <w:kern w:val="2"/>
                <w:sz w:val="21"/>
                <w:szCs w:val="21"/>
              </w:rPr>
              <w:t>运营期生态环境影响分析</w:t>
            </w:r>
          </w:p>
        </w:tc>
        <w:tc>
          <w:tcPr>
            <w:tcW w:w="8758" w:type="dxa"/>
            <w:noWrap w:val="0"/>
            <w:vAlign w:val="top"/>
          </w:tcPr>
          <w:p>
            <w:pPr>
              <w:bidi w:val="0"/>
              <w:rPr>
                <w:rFonts w:hint="default"/>
              </w:rPr>
            </w:pPr>
            <w:r>
              <w:rPr>
                <w:rFonts w:hint="default" w:ascii="Times New Roman" w:hAnsi="Times New Roman" w:cs="Times New Roman"/>
              </w:rPr>
              <w:t>本项目为水库加固工程，属非污染性项目。项目本身不会排放废水、废气、噪声、固</w:t>
            </w:r>
            <w:r>
              <w:rPr>
                <w:rFonts w:hint="default"/>
              </w:rPr>
              <w:t>废等污染物。</w:t>
            </w:r>
          </w:p>
          <w:p>
            <w:pPr>
              <w:adjustRightInd w:val="0"/>
              <w:snapToGrid w:val="0"/>
              <w:rPr>
                <w:rFonts w:hint="default" w:ascii="Times New Roman" w:hAnsi="Times New Roman" w:cs="Times New Roman"/>
                <w:bCs/>
                <w:szCs w:val="21"/>
                <w:lang w:val="en-US"/>
              </w:rPr>
            </w:pPr>
            <w:r>
              <w:rPr>
                <w:rFonts w:hint="eastAsia"/>
                <w:lang w:val="en-US" w:eastAsia="zh-CN"/>
              </w:rPr>
              <w:t>水库除险加固完成后，其本身无“三废产生”，不新增工作人员，本项目完工后，交燎原水库管理所进行管理。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84" w:type="dxa"/>
            <w:noWrap w:val="0"/>
            <w:vAlign w:val="center"/>
          </w:tcPr>
          <w:p>
            <w:pPr>
              <w:pStyle w:val="15"/>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选</w:t>
            </w:r>
            <w:r>
              <w:rPr>
                <w:rFonts w:hint="default" w:ascii="Times New Roman" w:hAnsi="Times New Roman" w:cs="Times New Roman"/>
                <w:bCs/>
                <w:kern w:val="2"/>
                <w:sz w:val="21"/>
                <w:szCs w:val="21"/>
                <w:lang w:val="en-US" w:eastAsia="zh-CN"/>
              </w:rPr>
              <w:t>选</w:t>
            </w:r>
            <w:r>
              <w:rPr>
                <w:rFonts w:hint="default" w:ascii="Times New Roman" w:hAnsi="Times New Roman" w:cs="Times New Roman"/>
                <w:bCs/>
                <w:kern w:val="2"/>
                <w:sz w:val="21"/>
                <w:szCs w:val="21"/>
              </w:rPr>
              <w:t>址选线环境合理性分析</w:t>
            </w:r>
          </w:p>
        </w:tc>
        <w:tc>
          <w:tcPr>
            <w:tcW w:w="8758"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1、项目选址合理性分析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是对水库大坝、防汛路、溢洪道等工程的除险加固，均在水库现有红线范围内建设，不改变原水库的现状，项目建成后可以改善水库水力条件，防治洪水冲刷坝脚及两岸，提高泄洪可靠性，保证大坝的安全运行。项目占地区域主要为水力设施用地，不涉及耕地、基本农田、饮用水源保护区等敏感保护区，所在区域周围环境质量现状良好，符合环境工程规划，故本项目选址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2取土场选址合理性分析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default" w:ascii="Times New Roman" w:hAnsi="Times New Roman" w:cs="Times New Roman"/>
              </w:rPr>
              <w:t>根据工程资料分析，本工程</w:t>
            </w:r>
            <w:r>
              <w:rPr>
                <w:rFonts w:ascii="宋体" w:hAnsi="宋体" w:eastAsia="宋体" w:cs="宋体"/>
                <w:spacing w:val="-10"/>
                <w:sz w:val="24"/>
                <w:szCs w:val="24"/>
              </w:rPr>
              <w:t>土</w:t>
            </w:r>
            <w:r>
              <w:rPr>
                <w:rFonts w:ascii="宋体" w:hAnsi="宋体" w:eastAsia="宋体" w:cs="宋体"/>
                <w:spacing w:val="-7"/>
                <w:sz w:val="24"/>
                <w:szCs w:val="24"/>
              </w:rPr>
              <w:t>石</w:t>
            </w:r>
            <w:r>
              <w:rPr>
                <w:rFonts w:ascii="宋体" w:hAnsi="宋体" w:eastAsia="宋体" w:cs="宋体"/>
                <w:spacing w:val="-5"/>
                <w:sz w:val="24"/>
                <w:szCs w:val="24"/>
              </w:rPr>
              <w:t>方开挖共计</w:t>
            </w:r>
            <w:r>
              <w:rPr>
                <w:rFonts w:ascii="Times New Roman" w:hAnsi="Times New Roman" w:eastAsia="Times New Roman" w:cs="Times New Roman"/>
                <w:spacing w:val="-5"/>
                <w:sz w:val="24"/>
                <w:szCs w:val="24"/>
              </w:rPr>
              <w:t xml:space="preserve">80910 </w:t>
            </w:r>
            <w:r>
              <w:rPr>
                <w:rFonts w:hint="eastAsia" w:eastAsia="宋体" w:cs="Times New Roman"/>
                <w:spacing w:val="-5"/>
                <w:sz w:val="24"/>
                <w:szCs w:val="24"/>
                <w:lang w:eastAsia="zh-CN"/>
              </w:rPr>
              <w:t>m</w:t>
            </w:r>
            <w:r>
              <w:rPr>
                <w:rFonts w:hint="eastAsia" w:eastAsia="宋体" w:cs="Times New Roman"/>
                <w:spacing w:val="-5"/>
                <w:sz w:val="24"/>
                <w:szCs w:val="24"/>
                <w:vertAlign w:val="superscript"/>
                <w:lang w:eastAsia="zh-CN"/>
              </w:rPr>
              <w:t>3</w:t>
            </w:r>
            <w:r>
              <w:rPr>
                <w:rFonts w:ascii="宋体" w:hAnsi="宋体" w:eastAsia="宋体" w:cs="宋体"/>
                <w:spacing w:val="-5"/>
                <w:sz w:val="24"/>
                <w:szCs w:val="24"/>
              </w:rPr>
              <w:t>，土方填筑共计</w:t>
            </w:r>
            <w:r>
              <w:rPr>
                <w:rFonts w:ascii="Times New Roman" w:hAnsi="Times New Roman" w:eastAsia="Times New Roman" w:cs="Times New Roman"/>
                <w:spacing w:val="-5"/>
                <w:sz w:val="24"/>
                <w:szCs w:val="24"/>
              </w:rPr>
              <w:t xml:space="preserve">84700 </w:t>
            </w:r>
            <w:r>
              <w:rPr>
                <w:rFonts w:hint="eastAsia" w:eastAsia="宋体" w:cs="Times New Roman"/>
                <w:spacing w:val="-5"/>
                <w:sz w:val="24"/>
                <w:szCs w:val="24"/>
                <w:lang w:eastAsia="zh-CN"/>
              </w:rPr>
              <w:t>m</w:t>
            </w:r>
            <w:r>
              <w:rPr>
                <w:rFonts w:hint="eastAsia" w:eastAsia="宋体" w:cs="Times New Roman"/>
                <w:spacing w:val="-5"/>
                <w:sz w:val="24"/>
                <w:szCs w:val="24"/>
                <w:vertAlign w:val="superscript"/>
                <w:lang w:eastAsia="zh-CN"/>
              </w:rPr>
              <w:t>3</w:t>
            </w:r>
            <w:r>
              <w:rPr>
                <w:rFonts w:ascii="宋体" w:hAnsi="宋体" w:eastAsia="宋体" w:cs="宋体"/>
                <w:spacing w:val="-5"/>
                <w:sz w:val="24"/>
                <w:szCs w:val="24"/>
              </w:rPr>
              <w:t>。</w:t>
            </w:r>
            <w:r>
              <w:rPr>
                <w:rFonts w:ascii="宋体" w:hAnsi="宋体" w:eastAsia="宋体" w:cs="宋体"/>
                <w:spacing w:val="6"/>
                <w:sz w:val="24"/>
                <w:szCs w:val="24"/>
              </w:rPr>
              <w:t>经土石方平衡规划，共计利用土石</w:t>
            </w:r>
            <w:r>
              <w:rPr>
                <w:rFonts w:ascii="宋体" w:hAnsi="宋体" w:eastAsia="宋体" w:cs="宋体"/>
                <w:spacing w:val="1"/>
                <w:sz w:val="24"/>
                <w:szCs w:val="24"/>
              </w:rPr>
              <w:t>方</w:t>
            </w:r>
            <w:r>
              <w:rPr>
                <w:rFonts w:ascii="宋体" w:hAnsi="宋体" w:eastAsia="宋体" w:cs="宋体"/>
                <w:spacing w:val="-8"/>
                <w:sz w:val="24"/>
                <w:szCs w:val="24"/>
              </w:rPr>
              <w:t>开挖料为</w:t>
            </w:r>
            <w:r>
              <w:rPr>
                <w:rFonts w:ascii="Times New Roman" w:hAnsi="Times New Roman" w:eastAsia="Times New Roman" w:cs="Times New Roman"/>
                <w:spacing w:val="-8"/>
                <w:sz w:val="24"/>
                <w:szCs w:val="24"/>
              </w:rPr>
              <w:t xml:space="preserve">68849 </w:t>
            </w:r>
            <w:r>
              <w:rPr>
                <w:rFonts w:hint="eastAsia" w:eastAsia="宋体" w:cs="Times New Roman"/>
                <w:spacing w:val="-8"/>
                <w:sz w:val="24"/>
                <w:szCs w:val="24"/>
                <w:lang w:eastAsia="zh-CN"/>
              </w:rPr>
              <w:t>m</w:t>
            </w:r>
            <w:r>
              <w:rPr>
                <w:rFonts w:hint="eastAsia" w:eastAsia="宋体" w:cs="Times New Roman"/>
                <w:spacing w:val="-8"/>
                <w:sz w:val="24"/>
                <w:szCs w:val="24"/>
                <w:vertAlign w:val="superscript"/>
                <w:lang w:eastAsia="zh-CN"/>
              </w:rPr>
              <w:t>3</w:t>
            </w:r>
            <w:r>
              <w:rPr>
                <w:rFonts w:ascii="宋体" w:hAnsi="宋体" w:eastAsia="宋体" w:cs="宋体"/>
                <w:spacing w:val="-8"/>
                <w:sz w:val="24"/>
                <w:szCs w:val="24"/>
              </w:rPr>
              <w:t>，弃料</w:t>
            </w:r>
            <w:r>
              <w:rPr>
                <w:rFonts w:ascii="Times New Roman" w:hAnsi="Times New Roman" w:eastAsia="Times New Roman" w:cs="Times New Roman"/>
                <w:spacing w:val="-8"/>
                <w:sz w:val="24"/>
                <w:szCs w:val="24"/>
              </w:rPr>
              <w:t>13902</w:t>
            </w:r>
            <w:r>
              <w:rPr>
                <w:rFonts w:hint="eastAsia" w:eastAsia="宋体" w:cs="Times New Roman"/>
                <w:spacing w:val="-8"/>
                <w:sz w:val="24"/>
                <w:szCs w:val="24"/>
                <w:lang w:eastAsia="zh-CN"/>
              </w:rPr>
              <w:t>m</w:t>
            </w:r>
            <w:r>
              <w:rPr>
                <w:rFonts w:hint="eastAsia" w:eastAsia="宋体" w:cs="Times New Roman"/>
                <w:spacing w:val="-8"/>
                <w:sz w:val="24"/>
                <w:szCs w:val="24"/>
                <w:vertAlign w:val="superscript"/>
                <w:lang w:eastAsia="zh-CN"/>
              </w:rPr>
              <w:t>3</w:t>
            </w:r>
            <w:r>
              <w:rPr>
                <w:rFonts w:ascii="宋体" w:hAnsi="宋体" w:eastAsia="宋体" w:cs="宋体"/>
                <w:spacing w:val="-8"/>
                <w:sz w:val="24"/>
                <w:szCs w:val="24"/>
              </w:rPr>
              <w:t>，料场取土料</w:t>
            </w:r>
            <w:r>
              <w:rPr>
                <w:rFonts w:ascii="Times New Roman" w:hAnsi="Times New Roman" w:eastAsia="Times New Roman" w:cs="Times New Roman"/>
                <w:spacing w:val="-8"/>
                <w:sz w:val="24"/>
                <w:szCs w:val="24"/>
              </w:rPr>
              <w:t>15862</w:t>
            </w:r>
            <w:r>
              <w:rPr>
                <w:rFonts w:hint="eastAsia" w:eastAsia="宋体" w:cs="Times New Roman"/>
                <w:spacing w:val="-5"/>
                <w:sz w:val="24"/>
                <w:szCs w:val="24"/>
                <w:lang w:eastAsia="zh-CN"/>
              </w:rPr>
              <w:t>m</w:t>
            </w:r>
            <w:r>
              <w:rPr>
                <w:rFonts w:hint="eastAsia" w:eastAsia="宋体" w:cs="Times New Roman"/>
                <w:spacing w:val="-5"/>
                <w:sz w:val="24"/>
                <w:szCs w:val="24"/>
                <w:vertAlign w:val="superscript"/>
                <w:lang w:eastAsia="zh-CN"/>
              </w:rPr>
              <w:t>3</w:t>
            </w:r>
            <w:r>
              <w:rPr>
                <w:rFonts w:ascii="宋体" w:hAnsi="宋体" w:eastAsia="宋体" w:cs="宋体"/>
                <w:spacing w:val="-8"/>
                <w:sz w:val="24"/>
                <w:szCs w:val="24"/>
              </w:rPr>
              <w:t>，外购块石</w:t>
            </w:r>
            <w:r>
              <w:rPr>
                <w:rFonts w:ascii="Times New Roman" w:hAnsi="Times New Roman" w:eastAsia="Times New Roman" w:cs="Times New Roman"/>
                <w:spacing w:val="-8"/>
                <w:sz w:val="24"/>
                <w:szCs w:val="24"/>
              </w:rPr>
              <w:t>1712</w:t>
            </w:r>
            <w:r>
              <w:rPr>
                <w:rFonts w:hint="eastAsia" w:eastAsia="宋体" w:cs="Times New Roman"/>
                <w:sz w:val="24"/>
                <w:szCs w:val="24"/>
                <w:lang w:eastAsia="zh-CN"/>
              </w:rPr>
              <w:t>m</w:t>
            </w:r>
            <w:r>
              <w:rPr>
                <w:rFonts w:hint="eastAsia" w:eastAsia="宋体" w:cs="Times New Roman"/>
                <w:sz w:val="24"/>
                <w:szCs w:val="24"/>
                <w:vertAlign w:val="superscript"/>
                <w:lang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lang w:val="en-US" w:eastAsia="zh-CN"/>
              </w:rPr>
              <w:t>取土场</w:t>
            </w:r>
            <w:r>
              <w:rPr>
                <w:rFonts w:hint="default" w:ascii="Times New Roman" w:hAnsi="Times New Roman" w:cs="Times New Roman"/>
              </w:rPr>
              <w:t>拟布置在距离</w:t>
            </w:r>
            <w:r>
              <w:rPr>
                <w:rFonts w:hint="default" w:ascii="Times New Roman" w:hAnsi="Times New Roman" w:cs="Times New Roman"/>
                <w:lang w:val="en-US" w:eastAsia="zh-CN"/>
              </w:rPr>
              <w:t>周家湾副坝</w:t>
            </w:r>
            <w:r>
              <w:rPr>
                <w:rFonts w:hint="eastAsia" w:cs="Times New Roman"/>
                <w:lang w:val="en-US" w:eastAsia="zh-CN"/>
              </w:rPr>
              <w:t>5</w:t>
            </w:r>
            <w:r>
              <w:rPr>
                <w:rFonts w:hint="default" w:ascii="Times New Roman" w:hAnsi="Times New Roman" w:cs="Times New Roman"/>
              </w:rPr>
              <w:t>km库区内的</w:t>
            </w:r>
            <w:r>
              <w:rPr>
                <w:rFonts w:hint="eastAsia" w:cs="Times New Roman"/>
                <w:lang w:val="en-US" w:eastAsia="zh-CN"/>
              </w:rPr>
              <w:t>小山包</w:t>
            </w:r>
            <w:r>
              <w:rPr>
                <w:rFonts w:hint="eastAsia" w:ascii="Times New Roman" w:hAnsi="Times New Roman" w:cs="Times New Roman"/>
                <w:sz w:val="24"/>
                <w:szCs w:val="24"/>
                <w:lang w:val="en-US" w:eastAsia="zh-CN"/>
              </w:rPr>
              <w:t>，</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占地类型为林地，未发现珍稀野生动植物分布，项目</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不涉及风景名胜区、森林公园、水源保护区、地质公园、文物保护单位等生态环境敏感区，项目</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对生态环境敏感区基本无影响；</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开采深度岩溶洞穴不发育，无泉点分布，开采层位于地下水水位之上，不影响地下水。</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周边</w:t>
            </w:r>
            <w:r>
              <w:rPr>
                <w:rFonts w:hint="default" w:ascii="Times New Roman" w:hAnsi="Times New Roman" w:cs="Times New Roman"/>
                <w:sz w:val="24"/>
                <w:szCs w:val="24"/>
                <w:lang w:val="en-US" w:eastAsia="zh-CN"/>
              </w:rPr>
              <w:t>500m</w:t>
            </w:r>
            <w:r>
              <w:rPr>
                <w:rFonts w:hint="eastAsia" w:ascii="Times New Roman" w:hAnsi="Times New Roman" w:cs="Times New Roman"/>
                <w:sz w:val="24"/>
                <w:szCs w:val="24"/>
                <w:lang w:val="en-US" w:eastAsia="zh-CN"/>
              </w:rPr>
              <w:t>范围内虽有居民点分布，但居民较少，且位于主导风向侧风向，项目</w:t>
            </w:r>
            <w:r>
              <w:rPr>
                <w:rFonts w:hint="eastAsia" w:ascii="Times New Roman" w:hAnsi="Times New Roman" w:cs="Times New Roman"/>
                <w:lang w:val="en-US" w:eastAsia="zh-CN"/>
              </w:rPr>
              <w:t>取土场</w:t>
            </w:r>
            <w:r>
              <w:rPr>
                <w:rFonts w:hint="eastAsia" w:ascii="Times New Roman" w:hAnsi="Times New Roman" w:cs="Times New Roman"/>
                <w:sz w:val="24"/>
                <w:szCs w:val="24"/>
                <w:lang w:val="en-US" w:eastAsia="zh-CN"/>
              </w:rPr>
              <w:t>做好表土剥离、排水、边坡防护以及下边坡的临时拦挡等防护措施后，土料场开采对周边环境影响较小</w:t>
            </w:r>
            <w:r>
              <w:rPr>
                <w:rFonts w:hint="eastAsia" w:cs="Times New Roman"/>
                <w:sz w:val="24"/>
                <w:szCs w:val="24"/>
                <w:lang w:val="en-US" w:eastAsia="zh-CN"/>
              </w:rPr>
              <w:t>。</w:t>
            </w:r>
          </w:p>
        </w:tc>
      </w:tr>
    </w:tbl>
    <w:p>
      <w:pPr>
        <w:pStyle w:val="15"/>
        <w:jc w:val="center"/>
        <w:rPr>
          <w:rFonts w:ascii="黑体" w:hAnsi="黑体" w:eastAsia="黑体"/>
          <w:snapToGrid w:val="0"/>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5"/>
        <w:spacing w:line="240" w:lineRule="auto"/>
        <w:ind w:left="0" w:leftChars="0" w:firstLine="0" w:firstLineChars="0"/>
        <w:jc w:val="both"/>
        <w:outlineLvl w:val="0"/>
        <w:rPr>
          <w:rFonts w:ascii="黑体" w:hAnsi="黑体" w:eastAsia="黑体"/>
          <w:snapToGrid w:val="0"/>
          <w:sz w:val="30"/>
          <w:szCs w:val="30"/>
        </w:rPr>
      </w:pPr>
      <w:bookmarkStart w:id="55" w:name="_Toc21852"/>
      <w:r>
        <w:rPr>
          <w:rFonts w:hint="eastAsia" w:ascii="黑体" w:hAnsi="黑体" w:eastAsia="黑体"/>
          <w:snapToGrid w:val="0"/>
          <w:sz w:val="30"/>
          <w:szCs w:val="30"/>
        </w:rPr>
        <w:t>五、主要生态环境保护措施</w:t>
      </w:r>
      <w:bookmarkEnd w:id="55"/>
    </w:p>
    <w:tbl>
      <w:tblPr>
        <w:tblStyle w:val="1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noWrap w:val="0"/>
            <w:tcMar>
              <w:left w:w="28" w:type="dxa"/>
              <w:right w:w="28" w:type="dxa"/>
            </w:tcMar>
            <w:vAlign w:val="center"/>
          </w:tcPr>
          <w:p>
            <w:pPr>
              <w:adjustRightInd w:val="0"/>
              <w:snapToGrid w:val="0"/>
              <w:ind w:left="0" w:leftChars="0" w:firstLine="0" w:firstLineChars="0"/>
              <w:jc w:val="both"/>
              <w:rPr>
                <w:rFonts w:ascii="宋体" w:hAnsi="宋体"/>
                <w:bCs/>
                <w:szCs w:val="21"/>
              </w:rPr>
            </w:pPr>
            <w:r>
              <w:rPr>
                <w:rFonts w:hint="eastAsia" w:ascii="宋体" w:hAnsi="宋体" w:cs="宋体"/>
                <w:bCs/>
                <w:spacing w:val="10"/>
                <w:szCs w:val="21"/>
              </w:rPr>
              <w:t>施工期生态环境保护措施</w:t>
            </w:r>
          </w:p>
        </w:tc>
        <w:tc>
          <w:tcPr>
            <w:tcW w:w="8457" w:type="dxa"/>
            <w:noWrap w:val="0"/>
            <w:vAlign w:val="top"/>
          </w:tcPr>
          <w:p>
            <w:pPr>
              <w:bidi w:val="0"/>
              <w:rPr>
                <w:rFonts w:hint="eastAsia"/>
                <w:b/>
                <w:bCs/>
                <w:u w:val="none"/>
                <w:lang w:val="en-US" w:eastAsia="zh-CN"/>
              </w:rPr>
            </w:pPr>
            <w:r>
              <w:rPr>
                <w:rFonts w:hint="eastAsia"/>
                <w:b/>
                <w:bCs/>
                <w:u w:val="none"/>
                <w:lang w:val="en-US" w:eastAsia="zh-CN"/>
              </w:rPr>
              <w:t>1、施工期废气环境保护措施</w:t>
            </w:r>
          </w:p>
          <w:p>
            <w:pPr>
              <w:bidi w:val="0"/>
              <w:rPr>
                <w:rFonts w:hint="eastAsia"/>
                <w:u w:val="none"/>
                <w:lang w:val="en-US" w:eastAsia="zh-CN"/>
              </w:rPr>
            </w:pPr>
            <w:r>
              <w:rPr>
                <w:rFonts w:hint="eastAsia"/>
                <w:u w:val="none"/>
                <w:lang w:val="en-US" w:eastAsia="zh-CN"/>
              </w:rPr>
              <w:t>1、施工期大气污染防治措施</w:t>
            </w:r>
          </w:p>
          <w:p>
            <w:pPr>
              <w:bidi w:val="0"/>
              <w:rPr>
                <w:rFonts w:hint="eastAsia"/>
                <w:u w:val="none"/>
                <w:lang w:val="en-US" w:eastAsia="zh-CN"/>
              </w:rPr>
            </w:pPr>
            <w:r>
              <w:rPr>
                <w:rFonts w:hint="eastAsia"/>
                <w:u w:val="none"/>
                <w:lang w:val="en-US" w:eastAsia="zh-CN"/>
              </w:rPr>
              <w:t>（1）扬尘防治措施</w:t>
            </w:r>
          </w:p>
          <w:p>
            <w:pPr>
              <w:bidi w:val="0"/>
              <w:rPr>
                <w:rFonts w:hint="eastAsia"/>
                <w:u w:val="none"/>
                <w:lang w:val="en-US" w:eastAsia="zh-CN"/>
              </w:rPr>
            </w:pPr>
            <w:r>
              <w:rPr>
                <w:rFonts w:hint="eastAsia"/>
                <w:u w:val="none"/>
                <w:lang w:val="en-US" w:eastAsia="zh-CN"/>
              </w:rPr>
              <w:t>①施工围挡a.工地四周或沿线连续设置封闭的施工围挡，设置不低于1.8米的硬质密闭围挡，围挡底端应设置防溢座，围挡之间以及围挡与防溢座之间无缝隙，工程脚手架外侧使用密闭式安全网；b.围挡以外不得堆放建筑材料、建筑垃圾和生活垃圾等；c.工地主要出入口处围挡上应设置施工工地扬尘污染防治监管公示牌，公示扬尘污染防治措施、负责人、扬尘监督管理主管部门信息等；</w:t>
            </w:r>
          </w:p>
          <w:p>
            <w:pPr>
              <w:bidi w:val="0"/>
              <w:rPr>
                <w:rFonts w:hint="eastAsia"/>
                <w:u w:val="none"/>
                <w:lang w:val="en-US" w:eastAsia="zh-CN"/>
              </w:rPr>
            </w:pPr>
            <w:r>
              <w:rPr>
                <w:rFonts w:hint="eastAsia"/>
                <w:u w:val="none"/>
                <w:lang w:val="en-US" w:eastAsia="zh-CN"/>
              </w:rPr>
              <w:t>②车辆冲洗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10米，并应及时清扫冲洗。</w:t>
            </w:r>
          </w:p>
          <w:p>
            <w:pPr>
              <w:bidi w:val="0"/>
              <w:rPr>
                <w:rFonts w:hint="eastAsia"/>
                <w:u w:val="none"/>
                <w:lang w:val="en-US" w:eastAsia="zh-CN"/>
              </w:rPr>
            </w:pPr>
            <w:r>
              <w:rPr>
                <w:rFonts w:hint="eastAsia"/>
                <w:u w:val="none"/>
                <w:lang w:val="en-US" w:eastAsia="zh-CN"/>
              </w:rPr>
              <w:t>③场地硬化施工场地内的主要道路、材料堆码、加工场地必须采用混凝土、砂浆等进行硬化；确不具备硬化条件的，车辆通行区应设置混凝土或钢质路基板；</w:t>
            </w:r>
          </w:p>
          <w:p>
            <w:pPr>
              <w:bidi w:val="0"/>
              <w:rPr>
                <w:rFonts w:hint="eastAsia"/>
                <w:u w:val="none"/>
                <w:lang w:val="en-US" w:eastAsia="zh-CN"/>
              </w:rPr>
            </w:pPr>
            <w:r>
              <w:rPr>
                <w:rFonts w:hint="eastAsia"/>
                <w:u w:val="none"/>
                <w:lang w:val="en-US" w:eastAsia="zh-CN"/>
              </w:rPr>
              <w:t>④洒水降尘建立施工区场地清扫机构，并配备专职人员，无雨日对施工场地喷水降尘工作，每天洒水2～3次，天气干燥时应适当增加洒水次数，尽量缩短起尘操作时间。遇到四级或四级以上大风天气，应停止土方作业，同时作业处覆以防尘网。</w:t>
            </w:r>
          </w:p>
          <w:p>
            <w:pPr>
              <w:bidi w:val="0"/>
              <w:rPr>
                <w:rFonts w:hint="eastAsia"/>
                <w:u w:val="none"/>
                <w:lang w:val="en-US" w:eastAsia="zh-CN"/>
              </w:rPr>
            </w:pPr>
            <w:r>
              <w:rPr>
                <w:rFonts w:hint="eastAsia"/>
                <w:u w:val="none"/>
                <w:lang w:val="en-US" w:eastAsia="zh-CN"/>
              </w:rPr>
              <w:t>⑤覆盖措施a.施工过程中使用水泥、石灰、砂石等易产生扬尘的建筑材料，应采取密闭存储、或设置围挡或堆砌围墙、或采用防尘布苫盖等及其他有效的防尘措施；b.进场土料必须及时填筑，时间超过48小时的土质工料堆放必须采取履盖、固化措施，工地不得有松散裸露土体；c.施工工程中产生的弃土、弃料及其他建筑垃圾，应及时清运。若在工地内堆置超过一周的，则应采取覆盖防尘布、防尘网，定期喷洒抑尘剂，定期喷水压尘等措施之一防止风蚀起尘及水蚀迁移；d.进出工地运输车辆的防尘措施、运输路线和时间：进出工地的运输车辆，尽可能采用密闭车斗，若无密闭车斗，装载高度不得超过车辆槽帮上沿，车斗应用苫布遮盖严实，苫布边缘至少要遮住槽帮上沿以下15厘米，保证物料、渣土、垃圾等不露出。车辆应按照批准的路线和时间进行物料、渣土、垃圾的运输。</w:t>
            </w:r>
          </w:p>
          <w:p>
            <w:pPr>
              <w:bidi w:val="0"/>
              <w:rPr>
                <w:rFonts w:hint="eastAsia"/>
                <w:u w:val="none"/>
                <w:lang w:val="en-US" w:eastAsia="zh-CN"/>
              </w:rPr>
            </w:pPr>
            <w:r>
              <w:rPr>
                <w:rFonts w:hint="eastAsia"/>
                <w:u w:val="none"/>
                <w:lang w:val="en-US" w:eastAsia="zh-CN"/>
              </w:rPr>
              <w:t>⑥现场管理a.进出工地的土工物料和渣土等垃圾运输应使用规定的运输车辆，车斗须配置封闭装置，车辆行驶过程中，严禁垃圾撒漏污染城市路面和市容环境；b.工地应有专人负责逸散性材料、垃圾、渣土、裸地等密闭、覆盖、洒水作业以及车辆清洗作业等，并记录扬尘控制措施的实施情况。c.施工现场应按规定建立视频监控系統，扬尘在线监测系统，并与相关行政主管部门联网，数据实时传输；d.工地竣工后应及时清理和平整场地，并对因施工损坏的周边公共设施、绿化及时进行修复。</w:t>
            </w:r>
          </w:p>
          <w:p>
            <w:pPr>
              <w:bidi w:val="0"/>
              <w:rPr>
                <w:rFonts w:hint="eastAsia"/>
                <w:u w:val="single"/>
                <w:lang w:val="en-US" w:eastAsia="zh-CN"/>
              </w:rPr>
            </w:pPr>
            <w:r>
              <w:rPr>
                <w:rFonts w:hint="eastAsia"/>
                <w:u w:val="single"/>
                <w:lang w:val="en-US" w:eastAsia="zh-CN"/>
              </w:rPr>
              <w:t>（6）根据</w:t>
            </w:r>
            <w:r>
              <w:rPr>
                <w:rFonts w:hint="default"/>
                <w:color w:val="auto"/>
                <w:highlight w:val="none"/>
                <w:u w:val="single"/>
                <w:lang w:eastAsia="zh-CN"/>
              </w:rPr>
              <w:t>《岳阳市人民政府关于控制市城区扬尘污染的通告》（岳政告[2009]8号）、《岳阳市贯彻落实&lt;大气污染防治行动计划&gt;实施方案》（岳阳市人民政府办公室2014年9月3日）和《岳阳市扬尘污染防治条例》（2019年12月1日实施）等文件精神要求</w:t>
            </w:r>
            <w:r>
              <w:rPr>
                <w:rFonts w:hint="eastAsia"/>
                <w:u w:val="single"/>
                <w:lang w:val="en-US" w:eastAsia="zh-CN"/>
              </w:rPr>
              <w:t>，本项目还需要采取以下防治措施：</w:t>
            </w:r>
          </w:p>
          <w:p>
            <w:pPr>
              <w:bidi w:val="0"/>
              <w:rPr>
                <w:rFonts w:hint="eastAsia"/>
                <w:u w:val="single"/>
                <w:lang w:val="en-US" w:eastAsia="zh-CN"/>
              </w:rPr>
            </w:pPr>
            <w:r>
              <w:rPr>
                <w:rFonts w:hint="eastAsia"/>
                <w:u w:val="single"/>
                <w:lang w:val="en-US" w:eastAsia="zh-CN"/>
              </w:rPr>
              <w:t>①施工单位应当向负责监督管理扬尘污染防治的主管部门备案。施工单位应当在施工工地公示扬尘污染防治措施、负责人、扬尘监督管理主管部门等信息。</w:t>
            </w:r>
          </w:p>
          <w:p>
            <w:pPr>
              <w:bidi w:val="0"/>
              <w:rPr>
                <w:rFonts w:hint="eastAsia"/>
                <w:u w:val="single"/>
                <w:lang w:val="en-US" w:eastAsia="zh-CN"/>
              </w:rPr>
            </w:pPr>
            <w:r>
              <w:rPr>
                <w:rFonts w:hint="eastAsia"/>
                <w:u w:val="single"/>
                <w:lang w:val="en-US" w:eastAsia="zh-CN"/>
              </w:rPr>
              <w:t>②实施路面挖掘、切割、铣刨等作业时，采取洒水、喷雾等抑尘措施；</w:t>
            </w:r>
          </w:p>
          <w:p>
            <w:pPr>
              <w:bidi w:val="0"/>
              <w:rPr>
                <w:rFonts w:hint="eastAsia"/>
                <w:u w:val="single"/>
                <w:lang w:val="en-US" w:eastAsia="zh-CN"/>
              </w:rPr>
            </w:pPr>
            <w:r>
              <w:rPr>
                <w:rFonts w:hint="eastAsia"/>
                <w:u w:val="single"/>
                <w:lang w:val="en-US" w:eastAsia="zh-CN"/>
              </w:rPr>
              <w:t>③采取分段开挖、分段回填的方式施工，已回填的沟槽，采取覆盖或者洒水等抑尘措施；</w:t>
            </w:r>
          </w:p>
          <w:p>
            <w:pPr>
              <w:bidi w:val="0"/>
              <w:rPr>
                <w:rFonts w:hint="eastAsia"/>
                <w:u w:val="single"/>
                <w:lang w:val="en-US" w:eastAsia="zh-CN"/>
              </w:rPr>
            </w:pPr>
            <w:r>
              <w:rPr>
                <w:rFonts w:hint="eastAsia"/>
                <w:u w:val="single"/>
                <w:lang w:val="en-US" w:eastAsia="zh-CN"/>
              </w:rPr>
              <w:t>④使用风钻挖掘地面、清扫施工现场时，采取喷淋洒水等方式降尘；</w:t>
            </w:r>
          </w:p>
          <w:p>
            <w:pPr>
              <w:bidi w:val="0"/>
              <w:rPr>
                <w:rFonts w:hint="eastAsia"/>
                <w:u w:val="single"/>
                <w:lang w:val="en-US" w:eastAsia="zh-CN"/>
              </w:rPr>
            </w:pPr>
            <w:r>
              <w:rPr>
                <w:rFonts w:hint="eastAsia"/>
                <w:u w:val="single"/>
                <w:lang w:val="en-US" w:eastAsia="zh-CN"/>
              </w:rPr>
              <w:t>⑤道路等工程施工时，对机动车辆通行的临时道路实施硬化、洒水和清扫。</w:t>
            </w:r>
          </w:p>
          <w:p>
            <w:pPr>
              <w:bidi w:val="0"/>
              <w:rPr>
                <w:rFonts w:hint="eastAsia"/>
                <w:u w:val="single"/>
                <w:lang w:val="en-US" w:eastAsia="zh-CN"/>
              </w:rPr>
            </w:pPr>
            <w:r>
              <w:rPr>
                <w:rFonts w:hint="eastAsia"/>
                <w:u w:val="single"/>
                <w:lang w:val="en-US" w:eastAsia="zh-CN"/>
              </w:rPr>
              <w:t>⑥加强扬尘污染治理。强化建筑扬尘治理管控，施工工地达到“六个100%”</w:t>
            </w:r>
          </w:p>
          <w:p>
            <w:pPr>
              <w:bidi w:val="0"/>
              <w:ind w:left="0" w:leftChars="0" w:firstLine="0" w:firstLineChars="0"/>
              <w:rPr>
                <w:rFonts w:hint="eastAsia"/>
                <w:u w:val="single"/>
                <w:lang w:val="en-US" w:eastAsia="zh-CN"/>
              </w:rPr>
            </w:pPr>
            <w:r>
              <w:rPr>
                <w:rFonts w:hint="eastAsia"/>
                <w:u w:val="single"/>
                <w:lang w:val="en-US" w:eastAsia="zh-CN"/>
              </w:rPr>
              <w:t>（工地周边围挡、裸露土地和物料堆放覆盖、土方开挖湿法作业、路面硬化、出入车辆清洗、渣土车辆密闭运输达到100%）；</w:t>
            </w:r>
          </w:p>
          <w:p>
            <w:pPr>
              <w:bidi w:val="0"/>
              <w:rPr>
                <w:rFonts w:hint="eastAsia"/>
                <w:u w:val="single"/>
                <w:lang w:val="en-US" w:eastAsia="zh-CN"/>
              </w:rPr>
            </w:pPr>
            <w:r>
              <w:rPr>
                <w:rFonts w:hint="eastAsia"/>
                <w:u w:val="single"/>
                <w:lang w:val="en-US" w:eastAsia="zh-CN"/>
              </w:rPr>
              <w:t>通过上述措施，施工扬尘的影响可以得到较大程度的缓解，施工结束后，扬尘影响随即消失。</w:t>
            </w:r>
          </w:p>
          <w:p>
            <w:pPr>
              <w:bidi w:val="0"/>
              <w:rPr>
                <w:rFonts w:hint="eastAsia"/>
                <w:u w:val="none"/>
                <w:lang w:val="en-US" w:eastAsia="zh-CN"/>
              </w:rPr>
            </w:pPr>
            <w:r>
              <w:rPr>
                <w:rFonts w:hint="eastAsia"/>
                <w:u w:val="none"/>
                <w:lang w:val="en-US" w:eastAsia="zh-CN"/>
              </w:rPr>
              <w:t>（2）敏感点防治措施</w:t>
            </w:r>
          </w:p>
          <w:p>
            <w:pPr>
              <w:bidi w:val="0"/>
              <w:rPr>
                <w:rFonts w:hint="eastAsia"/>
                <w:u w:val="none"/>
                <w:lang w:val="en-US" w:eastAsia="zh-CN"/>
              </w:rPr>
            </w:pPr>
            <w:r>
              <w:rPr>
                <w:rFonts w:hint="eastAsia"/>
                <w:u w:val="none"/>
                <w:lang w:val="en-US" w:eastAsia="zh-CN"/>
              </w:rPr>
              <w:t>为了更好的减小施工期扬尘对敏感点的影响，要求施工单位注意防尘问题，</w:t>
            </w:r>
          </w:p>
          <w:p>
            <w:pPr>
              <w:bidi w:val="0"/>
              <w:rPr>
                <w:rFonts w:hint="eastAsia"/>
                <w:u w:val="none"/>
                <w:lang w:val="en-US" w:eastAsia="zh-CN"/>
              </w:rPr>
            </w:pPr>
            <w:r>
              <w:rPr>
                <w:rFonts w:hint="eastAsia"/>
                <w:u w:val="none"/>
                <w:lang w:val="en-US" w:eastAsia="zh-CN"/>
              </w:rPr>
              <w:t>有针对性地采取抑尘措施，具体措施如下：</w:t>
            </w:r>
          </w:p>
          <w:p>
            <w:pPr>
              <w:bidi w:val="0"/>
              <w:rPr>
                <w:rFonts w:hint="eastAsia"/>
                <w:u w:val="none"/>
                <w:lang w:val="en-US" w:eastAsia="zh-CN"/>
              </w:rPr>
            </w:pPr>
            <w:r>
              <w:rPr>
                <w:rFonts w:hint="eastAsia"/>
                <w:u w:val="none"/>
                <w:lang w:val="en-US" w:eastAsia="zh-CN"/>
              </w:rPr>
              <w:t>A建设工地采用封闭式施工方法，即将工地与周围环境分隔，在工地四周修建围墙、采用密目安全网，以起到隔阻工地扬尘和飞灰对周围环境的影响。</w:t>
            </w:r>
          </w:p>
          <w:p>
            <w:pPr>
              <w:bidi w:val="0"/>
              <w:rPr>
                <w:rFonts w:hint="eastAsia"/>
                <w:u w:val="none"/>
                <w:lang w:val="en-US" w:eastAsia="zh-CN"/>
              </w:rPr>
            </w:pPr>
            <w:r>
              <w:rPr>
                <w:rFonts w:hint="eastAsia"/>
                <w:u w:val="none"/>
                <w:lang w:val="en-US" w:eastAsia="zh-CN"/>
              </w:rPr>
              <w:t>B在靠近敏感点处，在围墙上加强防护网的密度和防护墙的高度，及时进行洒水降尘，减小项目施工期扬尘对敏感点的影响。</w:t>
            </w:r>
          </w:p>
          <w:p>
            <w:pPr>
              <w:numPr>
                <w:ilvl w:val="0"/>
                <w:numId w:val="0"/>
              </w:numPr>
              <w:bidi w:val="0"/>
              <w:ind w:left="720" w:leftChars="0"/>
              <w:rPr>
                <w:rFonts w:hint="eastAsia"/>
                <w:u w:val="none"/>
                <w:lang w:val="en-US" w:eastAsia="zh-CN"/>
              </w:rPr>
            </w:pPr>
            <w:r>
              <w:rPr>
                <w:rFonts w:hint="eastAsia"/>
                <w:u w:val="none"/>
                <w:lang w:val="en-US" w:eastAsia="zh-CN"/>
              </w:rPr>
              <w:t>（3）施工废气防治措施</w:t>
            </w:r>
          </w:p>
          <w:p>
            <w:pPr>
              <w:bidi w:val="0"/>
              <w:rPr>
                <w:rFonts w:hint="eastAsia"/>
                <w:lang w:val="en-US" w:eastAsia="zh-CN"/>
              </w:rPr>
            </w:pPr>
            <w:r>
              <w:rPr>
                <w:rFonts w:hint="eastAsia"/>
                <w:lang w:val="en-US" w:eastAsia="zh-CN"/>
              </w:rPr>
              <w:t>①采用新型环保型设备并加强施工机械的维护，提高机械的正常使用率；</w:t>
            </w:r>
          </w:p>
          <w:p>
            <w:pPr>
              <w:bidi w:val="0"/>
              <w:rPr>
                <w:rFonts w:hint="eastAsia"/>
                <w:lang w:val="en-US" w:eastAsia="zh-CN"/>
              </w:rPr>
            </w:pPr>
            <w:r>
              <w:rPr>
                <w:rFonts w:hint="eastAsia"/>
                <w:lang w:val="en-US" w:eastAsia="zh-CN"/>
              </w:rPr>
              <w:t>②加强对施工机械、车辆的管理，禁止以柴油为燃料的施工机械超负荷工作，减少油烟和颗粒物排放；</w:t>
            </w:r>
          </w:p>
          <w:p>
            <w:pPr>
              <w:bidi w:val="0"/>
              <w:rPr>
                <w:rFonts w:hint="eastAsia"/>
                <w:lang w:val="en-US" w:eastAsia="zh-CN"/>
              </w:rPr>
            </w:pPr>
            <w:r>
              <w:rPr>
                <w:rFonts w:hint="eastAsia"/>
                <w:lang w:val="en-US" w:eastAsia="zh-CN"/>
              </w:rPr>
              <w:t>③动力机械多选择使用电动工具，严格控制内燃机械的使用，场内施工内燃机械（如铲车、挖掘机等）安置有效的空气滤清装置，并定期清理。</w:t>
            </w:r>
          </w:p>
          <w:p>
            <w:pPr>
              <w:bidi w:val="0"/>
              <w:rPr>
                <w:lang w:val="en-US" w:eastAsia="zh-CN"/>
              </w:rPr>
            </w:pPr>
            <w:r>
              <w:rPr>
                <w:rFonts w:hint="eastAsia"/>
                <w:lang w:val="en-US" w:eastAsia="zh-CN"/>
              </w:rPr>
              <w:t>综上，建设单位应坚持文明施工，严格执行上述污染控制措施，只要加强管理，切实落实好这些措施，施工扬尘对环境的影响将会大大降低。施工期废气通过一系列有效措施后，能有效减轻施工期废气对周边环境的影响，降低至可接受水平。且施工期是短暂的、偶然的，项目施工期废气的不利影响会随着施工期的结束而消失。</w:t>
            </w:r>
          </w:p>
          <w:p>
            <w:pPr>
              <w:pStyle w:val="8"/>
              <w:numPr>
                <w:ilvl w:val="0"/>
                <w:numId w:val="8"/>
              </w:numPr>
              <w:rPr>
                <w:rFonts w:hint="eastAsia" w:ascii="Times New Roman" w:hAnsi="Times New Roman" w:eastAsia="宋体"/>
                <w:b/>
                <w:bCs/>
                <w:kern w:val="2"/>
                <w:sz w:val="24"/>
                <w:szCs w:val="24"/>
                <w:u w:val="none"/>
                <w:lang w:val="en-US" w:eastAsia="zh-CN" w:bidi="ar-SA"/>
              </w:rPr>
            </w:pPr>
            <w:r>
              <w:rPr>
                <w:rFonts w:hint="eastAsia" w:ascii="Times New Roman" w:hAnsi="Times New Roman" w:eastAsia="宋体"/>
                <w:b/>
                <w:bCs/>
                <w:kern w:val="2"/>
                <w:sz w:val="24"/>
                <w:szCs w:val="24"/>
                <w:u w:val="none"/>
                <w:lang w:val="en-US" w:eastAsia="zh-CN" w:bidi="ar-SA"/>
              </w:rPr>
              <w:t>施工期废水污染防治措施</w:t>
            </w:r>
          </w:p>
          <w:p>
            <w:pPr>
              <w:ind w:firstLine="480"/>
              <w:rPr>
                <w:rFonts w:ascii="Times New Roman" w:hAnsi="Times New Roman" w:cs="Times New Roman"/>
                <w:color w:val="auto"/>
                <w:highlight w:val="none"/>
                <w:u w:val="none"/>
                <w:lang w:val="zh-CN"/>
              </w:rPr>
            </w:pPr>
            <w:r>
              <w:rPr>
                <w:rFonts w:ascii="Times New Roman" w:hAnsi="Times New Roman" w:cs="Times New Roman"/>
                <w:color w:val="auto"/>
                <w:highlight w:val="none"/>
                <w:u w:val="none"/>
                <w:lang w:val="zh-CN"/>
              </w:rPr>
              <w:t>项目施工</w:t>
            </w:r>
            <w:r>
              <w:rPr>
                <w:rFonts w:ascii="Times New Roman" w:hAnsi="Times New Roman" w:cs="Times New Roman"/>
                <w:color w:val="auto"/>
                <w:highlight w:val="none"/>
                <w:u w:val="none"/>
              </w:rPr>
              <w:t>必须严禁未经任何处理将水排放，同时做好建筑材料和建筑废料的管理，避免地面水体二次污染</w:t>
            </w:r>
            <w:r>
              <w:rPr>
                <w:rFonts w:ascii="Times New Roman" w:hAnsi="Times New Roman" w:cs="Times New Roman"/>
                <w:color w:val="auto"/>
                <w:highlight w:val="none"/>
                <w:u w:val="none"/>
                <w:lang w:val="zh-CN"/>
              </w:rPr>
              <w:t>，同时设置隔油沉淀池，施工废水经隔油沉淀处理后，循环使用，用于生产、路面养护或洒水抑尘，不外排。生产中尽量采购清洗好的砾石直接用于生产，以减少砾石洗涤废水的产生，少量的砾石洗涤废水与设备清洗废水、场地冲洗废水和施工场地初期雨水，经隔油沉淀处理后用于生产或者路面养护。</w:t>
            </w:r>
          </w:p>
          <w:p>
            <w:pPr>
              <w:bidi w:val="0"/>
              <w:rPr>
                <w:rFonts w:hint="default"/>
                <w:u w:val="none"/>
                <w:lang w:val="en-US" w:eastAsia="zh-CN"/>
              </w:rPr>
            </w:pPr>
            <w:r>
              <w:rPr>
                <w:u w:val="none"/>
                <w:lang w:val="zh-CN"/>
              </w:rPr>
              <w:t>为了减少养护废水对水环境的影响，在养护洒水过程中，采取少量多次，确保路面湿润而水不溢流到环境中</w:t>
            </w:r>
            <w:r>
              <w:rPr>
                <w:rFonts w:hint="eastAsia"/>
                <w:u w:val="none"/>
                <w:lang w:val="zh-CN"/>
              </w:rPr>
              <w:t>。</w:t>
            </w:r>
          </w:p>
          <w:p>
            <w:pPr>
              <w:bidi w:val="0"/>
              <w:rPr>
                <w:rFonts w:hint="eastAsia"/>
                <w:b/>
                <w:bCs/>
                <w:u w:val="none"/>
                <w:lang w:val="en-US" w:eastAsia="zh-CN"/>
              </w:rPr>
            </w:pPr>
            <w:r>
              <w:rPr>
                <w:rFonts w:hint="eastAsia"/>
                <w:b/>
                <w:bCs/>
                <w:u w:val="none"/>
                <w:lang w:val="en-US" w:eastAsia="zh-CN"/>
              </w:rPr>
              <w:t>3、施工期</w:t>
            </w:r>
            <w:r>
              <w:rPr>
                <w:rFonts w:hint="eastAsia"/>
                <w:b/>
                <w:bCs/>
                <w:u w:val="none"/>
                <w:lang w:eastAsia="zh-CN"/>
              </w:rPr>
              <w:t>噪声</w:t>
            </w:r>
            <w:r>
              <w:rPr>
                <w:rFonts w:hint="eastAsia"/>
                <w:b/>
                <w:bCs/>
                <w:u w:val="none"/>
                <w:lang w:val="en-US" w:eastAsia="zh-CN"/>
              </w:rPr>
              <w:t>污染防治措施</w:t>
            </w:r>
          </w:p>
          <w:p>
            <w:pPr>
              <w:bidi w:val="0"/>
              <w:rPr>
                <w:u w:val="none"/>
              </w:rPr>
            </w:pPr>
            <w:r>
              <w:rPr>
                <w:rFonts w:hint="eastAsia"/>
                <w:u w:val="none"/>
                <w:lang w:val="en-US" w:eastAsia="zh-CN"/>
              </w:rPr>
              <w:t>为了减少项目施工期噪声对附近敏感点和施工人员产生的影响，环评要求采取以下噪声防治措施：</w:t>
            </w:r>
          </w:p>
          <w:p>
            <w:pPr>
              <w:bidi w:val="0"/>
              <w:rPr>
                <w:u w:val="none"/>
              </w:rPr>
            </w:pPr>
            <w:r>
              <w:rPr>
                <w:rFonts w:hint="eastAsia"/>
                <w:u w:val="none"/>
                <w:lang w:val="en-US" w:eastAsia="zh-CN"/>
              </w:rPr>
              <w:t>①施工开始前进行公示，告之施工附近住户等，与其进行有效沟通，取得周围住户等的理解，同时建设单位应要求施工单位在现场张贴通告和投诉电话，建设单位在接到投诉电话后及时与当地环保部门联系，以便及时处理各种环境纠纷；</w:t>
            </w:r>
          </w:p>
          <w:p>
            <w:pPr>
              <w:bidi w:val="0"/>
              <w:rPr>
                <w:u w:val="none"/>
              </w:rPr>
            </w:pPr>
            <w:r>
              <w:rPr>
                <w:rFonts w:hint="eastAsia"/>
                <w:u w:val="none"/>
                <w:lang w:val="en-US" w:eastAsia="zh-CN"/>
              </w:rPr>
              <w:t>②施工总平面布置时，施工进行合理布局，尽可能将高噪声源安排在远离项目周围的环境敏感点，防止噪声扰民现象的发生。在施工生产场地设置隔声屏障，可降噪</w:t>
            </w:r>
            <w:r>
              <w:rPr>
                <w:rFonts w:hint="default"/>
                <w:u w:val="none"/>
                <w:lang w:val="en-US" w:eastAsia="zh-CN"/>
              </w:rPr>
              <w:t>15~20dB(A)</w:t>
            </w:r>
            <w:r>
              <w:rPr>
                <w:rFonts w:hint="eastAsia"/>
                <w:u w:val="none"/>
                <w:lang w:val="en-US" w:eastAsia="zh-CN"/>
              </w:rPr>
              <w:t>。</w:t>
            </w:r>
          </w:p>
          <w:p>
            <w:pPr>
              <w:bidi w:val="0"/>
              <w:rPr>
                <w:u w:val="none"/>
              </w:rPr>
            </w:pPr>
            <w:r>
              <w:rPr>
                <w:rFonts w:hint="eastAsia"/>
                <w:u w:val="none"/>
                <w:lang w:val="en-US" w:eastAsia="zh-CN"/>
              </w:rPr>
              <w:t>③加强运输车辆的管理，合理安排运输路线和时间，物料运输通道尽量避开居民区和环境噪声敏感区；在途经有居民和学校路段，减速慢行、禁止鸣笛；</w:t>
            </w:r>
          </w:p>
          <w:p>
            <w:pPr>
              <w:bidi w:val="0"/>
              <w:rPr>
                <w:u w:val="none"/>
              </w:rPr>
            </w:pPr>
            <w:r>
              <w:rPr>
                <w:rFonts w:hint="eastAsia"/>
                <w:u w:val="none"/>
                <w:lang w:val="en-US" w:eastAsia="zh-CN"/>
              </w:rPr>
              <w:t>④合理安排施工计划和施工机械设备组合以及施工时间，禁止在中午（</w:t>
            </w:r>
            <w:r>
              <w:rPr>
                <w:rFonts w:hint="default"/>
                <w:u w:val="none"/>
                <w:lang w:val="en-US" w:eastAsia="zh-CN"/>
              </w:rPr>
              <w:t>12:00~14:00</w:t>
            </w:r>
            <w:r>
              <w:rPr>
                <w:rFonts w:hint="eastAsia"/>
                <w:u w:val="none"/>
                <w:lang w:val="en-US" w:eastAsia="zh-CN"/>
              </w:rPr>
              <w:t>）和夜间（</w:t>
            </w:r>
            <w:r>
              <w:rPr>
                <w:rFonts w:hint="default"/>
                <w:u w:val="none"/>
                <w:lang w:val="en-US" w:eastAsia="zh-CN"/>
              </w:rPr>
              <w:t>20:00~8:00</w:t>
            </w:r>
            <w:r>
              <w:rPr>
                <w:rFonts w:hint="eastAsia"/>
                <w:u w:val="none"/>
                <w:lang w:val="en-US" w:eastAsia="zh-CN"/>
              </w:rPr>
              <w:t>）施工，避免在同一时间集中使用大量的动力机械设备。在施工过程中，尽量减少运行动力机械设备的数量，尽可能动力机械比较均匀的使用；</w:t>
            </w:r>
          </w:p>
          <w:p>
            <w:pPr>
              <w:bidi w:val="0"/>
              <w:rPr>
                <w:u w:val="none"/>
              </w:rPr>
            </w:pPr>
            <w:r>
              <w:rPr>
                <w:rFonts w:hint="eastAsia"/>
                <w:u w:val="none"/>
                <w:lang w:val="en-US" w:eastAsia="zh-CN"/>
              </w:rPr>
              <w:t>⑤尽量采用低噪声机械，工程施工所用的施工机械设备应事先对其常规工作状态下的噪声测量，超过国家标准的机械应禁止入场施工。施工过程中还应经常对设备进行维修保养，避免因使用的设备性能差而使噪声增加的现象发生；</w:t>
            </w:r>
          </w:p>
          <w:p>
            <w:pPr>
              <w:bidi w:val="0"/>
              <w:rPr>
                <w:u w:val="none"/>
              </w:rPr>
            </w:pPr>
            <w:r>
              <w:rPr>
                <w:rFonts w:hint="eastAsia"/>
                <w:u w:val="none"/>
                <w:lang w:val="en-US" w:eastAsia="zh-CN"/>
              </w:rPr>
              <w:t>⑥要求施工单位通过文明施工、加强有效管理加以缓解敲击、人的喊叫等作为施工活动的声源。施工方应该合理有效的制定施工计划，提高工作效率，把施工时间控制在最短范围内。</w:t>
            </w:r>
          </w:p>
          <w:p>
            <w:pPr>
              <w:bidi w:val="0"/>
              <w:rPr>
                <w:u w:val="none"/>
              </w:rPr>
            </w:pPr>
            <w:r>
              <w:rPr>
                <w:rFonts w:hint="eastAsia"/>
                <w:u w:val="none"/>
                <w:lang w:val="en-US" w:eastAsia="zh-CN"/>
              </w:rPr>
              <w:t>⑦施工工场应选择于住户较少的区域，尽量安置在当地常年主导风向的下风向，同时合理安排时间。</w:t>
            </w:r>
          </w:p>
          <w:p>
            <w:pPr>
              <w:bidi w:val="0"/>
              <w:rPr>
                <w:u w:val="none"/>
              </w:rPr>
            </w:pPr>
            <w:r>
              <w:rPr>
                <w:rFonts w:hint="eastAsia"/>
                <w:u w:val="none"/>
                <w:lang w:val="en-US" w:eastAsia="zh-CN"/>
              </w:rPr>
              <w:t>⑧加强施工人员素质管理，材料运输轻拿轻放，严禁高声喧哗。</w:t>
            </w:r>
          </w:p>
          <w:p>
            <w:pPr>
              <w:bidi w:val="0"/>
              <w:rPr>
                <w:u w:val="none"/>
              </w:rPr>
            </w:pPr>
            <w:r>
              <w:rPr>
                <w:rFonts w:hint="eastAsia"/>
                <w:u w:val="none"/>
                <w:lang w:val="en-US" w:eastAsia="zh-CN"/>
              </w:rPr>
              <w:t>参考其他除险加固施工经验，通过设置隔声障（降噪</w:t>
            </w:r>
            <w:r>
              <w:rPr>
                <w:rFonts w:hint="default"/>
                <w:u w:val="none"/>
                <w:lang w:val="en-US" w:eastAsia="zh-CN"/>
              </w:rPr>
              <w:t>15~20dB(A)</w:t>
            </w:r>
            <w:r>
              <w:rPr>
                <w:rFonts w:hint="eastAsia"/>
                <w:u w:val="none"/>
                <w:lang w:val="en-US" w:eastAsia="zh-CN"/>
              </w:rPr>
              <w:t>）及禁止夜间（</w:t>
            </w:r>
            <w:r>
              <w:rPr>
                <w:rFonts w:hint="default"/>
                <w:u w:val="none"/>
                <w:lang w:val="en-US" w:eastAsia="zh-CN"/>
              </w:rPr>
              <w:t>20:00~</w:t>
            </w:r>
            <w:r>
              <w:rPr>
                <w:rFonts w:hint="eastAsia"/>
                <w:u w:val="none"/>
                <w:lang w:val="en-US" w:eastAsia="zh-CN"/>
              </w:rPr>
              <w:t>次日</w:t>
            </w:r>
            <w:r>
              <w:rPr>
                <w:rFonts w:hint="default"/>
                <w:u w:val="none"/>
                <w:lang w:val="en-US" w:eastAsia="zh-CN"/>
              </w:rPr>
              <w:t>8.00</w:t>
            </w:r>
            <w:r>
              <w:rPr>
                <w:rFonts w:hint="eastAsia"/>
                <w:u w:val="none"/>
                <w:lang w:val="en-US" w:eastAsia="zh-CN"/>
              </w:rPr>
              <w:t>）和午间（</w:t>
            </w:r>
            <w:r>
              <w:rPr>
                <w:rFonts w:hint="default"/>
                <w:u w:val="none"/>
                <w:lang w:val="en-US" w:eastAsia="zh-CN"/>
              </w:rPr>
              <w:t>12:00~14:00</w:t>
            </w:r>
            <w:r>
              <w:rPr>
                <w:rFonts w:hint="eastAsia"/>
                <w:u w:val="none"/>
                <w:lang w:val="en-US" w:eastAsia="zh-CN"/>
              </w:rPr>
              <w:t>）的施工措施后，敏感点处声环境满足《声环境质量标准》（</w:t>
            </w:r>
            <w:r>
              <w:rPr>
                <w:rFonts w:hint="default"/>
                <w:u w:val="none"/>
                <w:lang w:val="en-US" w:eastAsia="zh-CN"/>
              </w:rPr>
              <w:t>GB3096-2008</w:t>
            </w:r>
            <w:r>
              <w:rPr>
                <w:rFonts w:hint="eastAsia"/>
                <w:u w:val="none"/>
                <w:lang w:val="en-US" w:eastAsia="zh-CN"/>
              </w:rPr>
              <w:t>）中的2类标准。</w:t>
            </w:r>
          </w:p>
          <w:p>
            <w:pPr>
              <w:bidi w:val="0"/>
              <w:rPr>
                <w:u w:val="none"/>
              </w:rPr>
            </w:pPr>
            <w:r>
              <w:rPr>
                <w:rFonts w:hint="eastAsia"/>
                <w:u w:val="none"/>
                <w:lang w:val="en-US" w:eastAsia="zh-CN"/>
              </w:rPr>
              <w:t>综上所述，施工期噪声对环境的不利影响是暂时、短期的行为，项目完工后，施工噪声的影响将不再存在，因此，在采取以上环保措施后，施工期对周边声环境质量影响较小。</w:t>
            </w:r>
          </w:p>
          <w:p>
            <w:pPr>
              <w:bidi w:val="0"/>
              <w:rPr>
                <w:rFonts w:hint="default"/>
                <w:b/>
                <w:bCs/>
                <w:u w:val="none"/>
                <w:lang w:val="en-US" w:eastAsia="zh-CN"/>
              </w:rPr>
            </w:pPr>
            <w:r>
              <w:rPr>
                <w:rFonts w:hint="eastAsia"/>
                <w:b/>
                <w:bCs/>
                <w:u w:val="none"/>
                <w:lang w:val="en-US" w:eastAsia="zh-CN"/>
              </w:rPr>
              <w:t>4、施工期固体废物防治措施</w:t>
            </w:r>
          </w:p>
          <w:p>
            <w:pPr>
              <w:bidi w:val="0"/>
              <w:rPr>
                <w:rFonts w:hint="eastAsia"/>
                <w:u w:val="none"/>
                <w:lang w:val="en-US" w:eastAsia="zh-CN"/>
              </w:rPr>
            </w:pPr>
            <w:r>
              <w:rPr>
                <w:rFonts w:hint="eastAsia"/>
                <w:u w:val="none"/>
                <w:lang w:val="en-US" w:eastAsia="zh-CN"/>
              </w:rPr>
              <w:t>工程施工过程中产生的固体废弃物主要来自于工程开挖产生的土石方，临时木材、钢材加工厂废钢筋、废木料，施工过程产生的建筑垃圾以及施工人员生活垃圾。</w:t>
            </w:r>
          </w:p>
          <w:p>
            <w:pPr>
              <w:bidi w:val="0"/>
              <w:rPr>
                <w:rFonts w:hint="eastAsia"/>
                <w:u w:val="none"/>
                <w:lang w:val="en-US" w:eastAsia="zh-CN"/>
              </w:rPr>
            </w:pPr>
            <w:r>
              <w:rPr>
                <w:rFonts w:hint="eastAsia"/>
                <w:u w:val="single"/>
                <w:lang w:val="en-US" w:eastAsia="zh-CN"/>
              </w:rPr>
              <w:t>本项目施工期产生的施工工程弃渣需要清除至库外，在库外集中收集交</w:t>
            </w:r>
            <w:r>
              <w:rPr>
                <w:rFonts w:ascii="宋体" w:hAnsi="宋体" w:eastAsia="宋体" w:cs="宋体"/>
                <w:spacing w:val="-7"/>
                <w:sz w:val="24"/>
                <w:szCs w:val="24"/>
                <w:u w:val="single"/>
              </w:rPr>
              <w:t>湖南</w:t>
            </w:r>
            <w:r>
              <w:rPr>
                <w:rFonts w:ascii="宋体" w:hAnsi="宋体" w:eastAsia="宋体" w:cs="宋体"/>
                <w:spacing w:val="1"/>
                <w:sz w:val="24"/>
                <w:szCs w:val="24"/>
                <w:u w:val="single"/>
              </w:rPr>
              <w:t>科凡再生资源综合利用有限公司用作建筑垃圾综合治</w:t>
            </w:r>
            <w:r>
              <w:rPr>
                <w:rFonts w:ascii="宋体" w:hAnsi="宋体" w:eastAsia="宋体" w:cs="宋体"/>
                <w:sz w:val="24"/>
                <w:szCs w:val="24"/>
                <w:u w:val="single"/>
              </w:rPr>
              <w:t>理及其再生利用材料来源</w:t>
            </w:r>
            <w:r>
              <w:rPr>
                <w:rFonts w:hint="eastAsia"/>
                <w:u w:val="single"/>
                <w:lang w:val="en-US" w:eastAsia="zh-CN"/>
              </w:rPr>
              <w:t>、施工完后经过平整后恢复植被。</w:t>
            </w:r>
            <w:r>
              <w:rPr>
                <w:rFonts w:hint="eastAsia"/>
                <w:u w:val="none"/>
                <w:lang w:val="en-US" w:eastAsia="zh-CN"/>
              </w:rPr>
              <w:t>临时木材、钢材加工厂废钢筋、废木料收集后交由物资回收公司回收利用。生活垃圾交由环卫部门转运处置等措施；加强对废弃物的收集和管理，将建筑垃圾和能回收的废材料、废包装袋分别收集堆放，废材料、废包装袋及时出售给废品回收公司处理，不能回收的建筑垃圾外运至政府指定收纳场所。环评要求做好车辆运输过程中的管理防护工作。车辆运输土方、建筑垃圾时应配备篷布，防止运输过程中的风吹扬尘；设置专人管理，文明施工，规范土方、建筑垃圾的堆放场所，严禁将开挖土石方、建筑垃圾堆放在路上。项目固体废物经统一收集、及时清运后，对周边环境影响较小。</w:t>
            </w:r>
          </w:p>
          <w:p>
            <w:pPr>
              <w:bidi w:val="0"/>
            </w:pPr>
            <w:r>
              <w:rPr>
                <w:rFonts w:hint="eastAsia"/>
                <w:lang w:val="en-US" w:eastAsia="zh-CN"/>
              </w:rPr>
              <w:t>4</w:t>
            </w:r>
            <w:r>
              <w:t>、施工期</w:t>
            </w:r>
            <w:r>
              <w:rPr>
                <w:rFonts w:hint="eastAsia"/>
                <w:lang w:val="en-US" w:eastAsia="zh-CN"/>
              </w:rPr>
              <w:t>溢洪道</w:t>
            </w:r>
            <w:r>
              <w:rPr>
                <w:rFonts w:hint="eastAsia"/>
                <w:lang w:eastAsia="zh-CN"/>
              </w:rPr>
              <w:t>建设</w:t>
            </w:r>
            <w:r>
              <w:t>对生态环境的影响及防治措施</w:t>
            </w:r>
          </w:p>
          <w:p>
            <w:pPr>
              <w:spacing w:line="360" w:lineRule="auto"/>
              <w:ind w:firstLine="480" w:firstLineChars="200"/>
              <w:rPr>
                <w:sz w:val="24"/>
                <w:u w:val="none"/>
              </w:rPr>
            </w:pPr>
            <w:r>
              <w:rPr>
                <w:bCs/>
                <w:sz w:val="24"/>
                <w:u w:val="none"/>
              </w:rPr>
              <w:t>项目</w:t>
            </w:r>
            <w:r>
              <w:rPr>
                <w:rFonts w:hint="eastAsia"/>
                <w:bCs/>
                <w:sz w:val="24"/>
                <w:u w:val="none"/>
              </w:rPr>
              <w:t>溢洪道</w:t>
            </w:r>
            <w:r>
              <w:rPr>
                <w:bCs/>
                <w:sz w:val="24"/>
                <w:u w:val="none"/>
              </w:rPr>
              <w:t>铺设采</w:t>
            </w:r>
            <w:r>
              <w:rPr>
                <w:sz w:val="24"/>
                <w:u w:val="none"/>
              </w:rPr>
              <w:t>用埋沟敷设，其中管沟中心两侧0.6m范围内为开挖区，该范围内的植被将遭到彻底破坏，地表植被基本消失。管沟两侧1.0m~3.5m范围内，各种机具车辆碾压和施工人员的践踏及土石的堆放，对植被也会造成较为严重的破坏和影响；管沟两侧3.5m范围外车辆和人员活动较少，对植被的破坏程度较轻。项目占地全部为临时占地，管线沿道路铺设时主要敷设在人行道下，一般在行道树和人行道绿化带之间，不会造成大面积绿地的破坏，但不可避免的会造成局部绿化带的破坏，并可能挖断路边树木的根部，造成树木死亡。</w:t>
            </w:r>
          </w:p>
          <w:p>
            <w:pPr>
              <w:spacing w:line="360" w:lineRule="auto"/>
              <w:ind w:firstLine="480" w:firstLineChars="200"/>
              <w:rPr>
                <w:sz w:val="24"/>
                <w:u w:val="none"/>
              </w:rPr>
            </w:pPr>
            <w:r>
              <w:rPr>
                <w:sz w:val="24"/>
                <w:u w:val="none"/>
              </w:rPr>
              <w:t>为减少施工对沿线植被及占地的影响，首先要优化线路，尽量避开植被稠密地段，减少对植被的破坏。其次施工时应尽可能缩小工作面宽度，将对植被和土体结构的影响降低到最小程度。最后工程完成后应及时恢复原貌，特别是原为植被覆盖的地段，应采取各种措施，尽快恢复植被，同时要注意土壤表层的保护，尽量保护土地的生产力，管线两侧5m以内改种浅根系农作物或灌木、草本植物。</w:t>
            </w:r>
          </w:p>
          <w:p>
            <w:pPr>
              <w:bidi w:val="0"/>
              <w:rPr>
                <w:rFonts w:hint="eastAsia"/>
                <w:b/>
                <w:bCs/>
                <w:u w:val="none"/>
                <w:lang w:val="en-US" w:eastAsia="zh-CN"/>
              </w:rPr>
            </w:pPr>
            <w:r>
              <w:rPr>
                <w:sz w:val="24"/>
                <w:u w:val="none"/>
              </w:rPr>
              <w:t>在采取以上措施后，施工期对沿线植被及占地的影响可以降低到最小程度。</w:t>
            </w:r>
          </w:p>
          <w:p>
            <w:pPr>
              <w:bidi w:val="0"/>
              <w:rPr>
                <w:rFonts w:hint="eastAsia"/>
                <w:b/>
                <w:bCs/>
                <w:u w:val="none"/>
                <w:lang w:val="en-US" w:eastAsia="zh-CN"/>
              </w:rPr>
            </w:pPr>
            <w:r>
              <w:rPr>
                <w:rFonts w:hint="eastAsia"/>
                <w:b/>
                <w:bCs/>
                <w:u w:val="none"/>
                <w:lang w:val="en-US" w:eastAsia="zh-CN"/>
              </w:rPr>
              <w:t>5、生态保护措施</w:t>
            </w:r>
          </w:p>
          <w:p>
            <w:pPr>
              <w:bidi w:val="0"/>
              <w:rPr>
                <w:u w:val="none"/>
              </w:rPr>
            </w:pPr>
            <w:r>
              <w:rPr>
                <w:u w:val="none"/>
              </w:rPr>
              <w:t>为尽量减小项目施工对对动、植物的影响，本项目拟采取的生态保护措施为</w:t>
            </w:r>
            <w:r>
              <w:rPr>
                <w:rFonts w:hint="eastAsia"/>
                <w:u w:val="none"/>
                <w:lang w:eastAsia="zh-CN"/>
              </w:rPr>
              <w:t>；</w:t>
            </w:r>
            <w:r>
              <w:rPr>
                <w:u w:val="none"/>
              </w:rPr>
              <w:t>①对于陆生生态保护</w:t>
            </w:r>
            <w:r>
              <w:rPr>
                <w:rFonts w:hint="eastAsia"/>
                <w:u w:val="none"/>
                <w:lang w:eastAsia="zh-CN"/>
              </w:rPr>
              <w:t>：</w:t>
            </w:r>
            <w:r>
              <w:rPr>
                <w:u w:val="none"/>
              </w:rPr>
              <w:t>优化施工程序，减少施工占地及其对区域植被的破坏</w:t>
            </w:r>
            <w:r>
              <w:rPr>
                <w:rFonts w:hint="eastAsia"/>
                <w:u w:val="none"/>
                <w:lang w:eastAsia="zh-CN"/>
              </w:rPr>
              <w:t>；</w:t>
            </w:r>
            <w:r>
              <w:rPr>
                <w:u w:val="none"/>
              </w:rPr>
              <w:t>在野生动物可能出没的水域设置标志牌，划定一定区域禁止人为干扰。项目完建后对施工区进行及时清理，废弃物统一堆放至弃渣场，对</w:t>
            </w:r>
            <w:r>
              <w:rPr>
                <w:rFonts w:hint="eastAsia"/>
                <w:u w:val="none"/>
                <w:lang w:val="en-US" w:eastAsia="zh-CN"/>
              </w:rPr>
              <w:t>取土场、施工区域</w:t>
            </w:r>
            <w:r>
              <w:rPr>
                <w:u w:val="none"/>
              </w:rPr>
              <w:t>进行植树种草、迹地恢复。加强对施工人员的管理，督促其安全施工、文明施工。</w:t>
            </w:r>
          </w:p>
          <w:p>
            <w:pPr>
              <w:bidi w:val="0"/>
              <w:rPr>
                <w:rFonts w:hint="eastAsia"/>
                <w:u w:val="none"/>
              </w:rPr>
            </w:pPr>
            <w:r>
              <w:rPr>
                <w:u w:val="none"/>
              </w:rPr>
              <w:t>②水生生态保护</w:t>
            </w:r>
            <w:r>
              <w:rPr>
                <w:rFonts w:hint="eastAsia"/>
                <w:u w:val="none"/>
                <w:lang w:eastAsia="zh-CN"/>
              </w:rPr>
              <w:t>：</w:t>
            </w:r>
            <w:r>
              <w:rPr>
                <w:u w:val="none"/>
              </w:rPr>
              <w:t>水库放水前，就项目工期、性质、规模等提前做好宣传工作</w:t>
            </w:r>
            <w:r>
              <w:rPr>
                <w:rFonts w:hint="eastAsia"/>
                <w:u w:val="none"/>
                <w:lang w:eastAsia="zh-CN"/>
              </w:rPr>
              <w:t>；</w:t>
            </w:r>
            <w:r>
              <w:rPr>
                <w:u w:val="none"/>
              </w:rPr>
              <w:t>水库放水期间，加强法制宣传，禁止趁水库低水位期间非法捕捞及滥捕</w:t>
            </w:r>
            <w:r>
              <w:rPr>
                <w:rFonts w:hint="eastAsia"/>
                <w:u w:val="none"/>
                <w:lang w:eastAsia="zh-CN"/>
              </w:rPr>
              <w:t>；</w:t>
            </w:r>
            <w:r>
              <w:rPr>
                <w:u w:val="none"/>
              </w:rPr>
              <w:t>制定联合巡查、管理、保护机制，杜绝不法行为。</w:t>
            </w:r>
            <w:r>
              <w:rPr>
                <w:rFonts w:hint="eastAsia"/>
                <w:u w:val="none"/>
              </w:rPr>
              <w:t>对于工程施工时，施工扰动会造成局部河段水体混浊，透明度下降，水质下降，对仔幼鱼的栖息不利。因此提出以下管理措施：</w:t>
            </w:r>
          </w:p>
          <w:p>
            <w:pPr>
              <w:bidi w:val="0"/>
              <w:rPr>
                <w:rFonts w:hint="eastAsia"/>
                <w:u w:val="none"/>
              </w:rPr>
            </w:pPr>
            <w:r>
              <w:rPr>
                <w:rFonts w:hint="eastAsia"/>
                <w:u w:val="none"/>
              </w:rPr>
              <w:t>（1）加强施工人员鱼类保护宣传</w:t>
            </w:r>
          </w:p>
          <w:p>
            <w:pPr>
              <w:bidi w:val="0"/>
              <w:rPr>
                <w:rFonts w:hint="eastAsia"/>
                <w:u w:val="none"/>
              </w:rPr>
            </w:pPr>
            <w:r>
              <w:rPr>
                <w:rFonts w:hint="eastAsia"/>
                <w:u w:val="none"/>
              </w:rPr>
              <w:t>施工期间，加强宣传，制定生态环境保护手册，设置水生生物保护警示牌，增强施工人员的环保意识。</w:t>
            </w:r>
          </w:p>
          <w:p>
            <w:pPr>
              <w:bidi w:val="0"/>
              <w:rPr>
                <w:rFonts w:hint="eastAsia"/>
                <w:u w:val="none"/>
              </w:rPr>
            </w:pPr>
            <w:r>
              <w:rPr>
                <w:rFonts w:hint="eastAsia"/>
                <w:u w:val="none"/>
              </w:rPr>
              <w:t>（2）建立和完善鱼类资源保护的规章，严禁施工人员下</w:t>
            </w:r>
            <w:r>
              <w:rPr>
                <w:rFonts w:hint="eastAsia"/>
                <w:u w:val="none"/>
                <w:lang w:val="en-US" w:eastAsia="zh-CN"/>
              </w:rPr>
              <w:t>燎原水库</w:t>
            </w:r>
            <w:r>
              <w:rPr>
                <w:rFonts w:hint="eastAsia"/>
                <w:u w:val="none"/>
              </w:rPr>
              <w:t>捕捞。</w:t>
            </w:r>
          </w:p>
          <w:p>
            <w:pPr>
              <w:bidi w:val="0"/>
              <w:rPr>
                <w:u w:val="none"/>
              </w:rPr>
            </w:pPr>
            <w:r>
              <w:rPr>
                <w:rFonts w:hint="eastAsia"/>
                <w:u w:val="none"/>
              </w:rPr>
              <w:t>（3）加强监管，严格按环保要求施工，施工生产废水和生活污水按环保要求进行处理，防止影响水生生物生境的污染事故发生。</w:t>
            </w:r>
          </w:p>
          <w:p>
            <w:pPr>
              <w:bidi w:val="0"/>
              <w:rPr>
                <w:u w:val="none"/>
              </w:rPr>
            </w:pPr>
            <w:r>
              <w:rPr>
                <w:u w:val="none"/>
              </w:rPr>
              <w:t>③项目建设对动物的影响主要表现在工程行为和工程设施对动物栖息环境的改变和干扰，施工噪声对一贯生活在宁静环境中的动物受到干扰</w:t>
            </w:r>
            <w:r>
              <w:rPr>
                <w:rFonts w:hint="eastAsia"/>
                <w:u w:val="none"/>
                <w:lang w:eastAsia="zh-CN"/>
              </w:rPr>
              <w:t>；</w:t>
            </w:r>
            <w:r>
              <w:rPr>
                <w:u w:val="none"/>
              </w:rPr>
              <w:t>局部地区树木，灌草的砍伐以及施工现场扬尘、有害气体对地表水、植被的污染，可能导致动物的迁移。项目所在区域现有动物均为适应能力较强的小动物，因此项目不会对动物的迁徙产生较大影响。</w:t>
            </w:r>
          </w:p>
          <w:p>
            <w:pPr>
              <w:bidi w:val="0"/>
              <w:rPr>
                <w:b/>
                <w:bCs/>
                <w:u w:val="none"/>
              </w:rPr>
            </w:pPr>
            <w:r>
              <w:rPr>
                <w:rFonts w:hint="eastAsia"/>
                <w:b/>
                <w:bCs/>
                <w:u w:val="none"/>
                <w:lang w:val="en-US" w:eastAsia="zh-CN"/>
              </w:rPr>
              <w:t>6、</w:t>
            </w:r>
            <w:r>
              <w:rPr>
                <w:b/>
                <w:bCs/>
                <w:u w:val="none"/>
              </w:rPr>
              <w:t>生态减缓补偿措施</w:t>
            </w:r>
          </w:p>
          <w:p>
            <w:pPr>
              <w:bidi w:val="0"/>
              <w:rPr>
                <w:u w:val="none"/>
              </w:rPr>
            </w:pPr>
            <w:r>
              <w:rPr>
                <w:u w:val="none"/>
              </w:rPr>
              <w:t>主体工程施工期间充分考虑以大限度的减少工程占地为原则，将占用的水土资源和损坏的水土设施降到低限度。且项目建设地块为水利设施用地，非基本农田保护区</w:t>
            </w:r>
            <w:r>
              <w:rPr>
                <w:rFonts w:hint="eastAsia"/>
                <w:u w:val="none"/>
                <w:lang w:eastAsia="zh-CN"/>
              </w:rPr>
              <w:t>。</w:t>
            </w:r>
            <w:r>
              <w:rPr>
                <w:u w:val="none"/>
              </w:rPr>
              <w:t>工程建成后，主体工程区除了工程建筑物占据或者硬化外，其余裸露用地也全部采用绿化措施，水土流失情况将会在工程建成后得到有效控制，绿化部分也将会回复原地类的部分生态功能。有地类的生态功能。因此，本工程主体工程区占地类型、面积和性质及施工结束后的恢复是符合水土保持要求的，符合水土保持技术规范相关规定，不存在水土保持制约因素。</w:t>
            </w:r>
          </w:p>
          <w:p>
            <w:pPr>
              <w:bidi w:val="0"/>
              <w:rPr>
                <w:u w:val="none"/>
              </w:rPr>
            </w:pPr>
            <w:r>
              <w:rPr>
                <w:u w:val="none"/>
              </w:rPr>
              <w:t>为了保证水土保持工程的顺利实施，在工程建设过程中必须严格落实各项制度。按照方案中的监测要求。编制监测计划并实施;监测成果要定期向建设单位和水行政主管部门报告;水土保持设施竣工验收时要提交监测专项报告。</w:t>
            </w:r>
          </w:p>
          <w:p>
            <w:pPr>
              <w:bidi w:val="0"/>
              <w:rPr>
                <w:b/>
                <w:bCs/>
                <w:u w:val="none"/>
              </w:rPr>
            </w:pPr>
            <w:r>
              <w:rPr>
                <w:rFonts w:hint="eastAsia"/>
                <w:b/>
                <w:bCs/>
                <w:u w:val="none"/>
                <w:lang w:val="en-US" w:eastAsia="zh-CN"/>
              </w:rPr>
              <w:t>7、</w:t>
            </w:r>
            <w:r>
              <w:rPr>
                <w:b/>
                <w:bCs/>
                <w:u w:val="none"/>
              </w:rPr>
              <w:t>施工现场恢复措施</w:t>
            </w:r>
          </w:p>
          <w:p>
            <w:pPr>
              <w:bidi w:val="0"/>
              <w:rPr>
                <w:u w:val="none"/>
              </w:rPr>
            </w:pPr>
            <w:r>
              <w:rPr>
                <w:u w:val="none"/>
              </w:rPr>
              <w:t>施工现场的清理和恢复措施主要有;</w:t>
            </w:r>
          </w:p>
          <w:p>
            <w:pPr>
              <w:bidi w:val="0"/>
              <w:rPr>
                <w:u w:val="none"/>
              </w:rPr>
            </w:pPr>
            <w:r>
              <w:rPr>
                <w:u w:val="none"/>
              </w:rPr>
              <w:t>①施工临时占地在工程结束后必须及时种树植草，尽量恢复原来的地貌。对于永久占地，施工后要覆盖土层，再植上草皮或灌木。</w:t>
            </w:r>
          </w:p>
          <w:p>
            <w:pPr>
              <w:bidi w:val="0"/>
              <w:rPr>
                <w:u w:val="none"/>
              </w:rPr>
            </w:pPr>
            <w:r>
              <w:rPr>
                <w:u w:val="none"/>
              </w:rPr>
              <w:t>②工程建成投产后，项目区的永久道路要进行绿化，种植适应性和抗污染力强、病虫害少的树种。</w:t>
            </w:r>
          </w:p>
          <w:p>
            <w:pPr>
              <w:bidi w:val="0"/>
              <w:rPr>
                <w:u w:val="none"/>
              </w:rPr>
            </w:pPr>
            <w:r>
              <w:rPr>
                <w:u w:val="none"/>
              </w:rPr>
              <w:t>③对堆渣的荒坳，表面要进行植被重建，并定期维护直至植被完全恢复为止。</w:t>
            </w:r>
          </w:p>
          <w:p>
            <w:pPr>
              <w:bidi w:val="0"/>
              <w:rPr>
                <w:rFonts w:hint="eastAsia"/>
                <w:lang w:val="en-US" w:eastAsia="zh-CN"/>
              </w:rPr>
            </w:pPr>
            <w:r>
              <w:rPr>
                <w:u w:val="none"/>
              </w:rPr>
              <w:t>④所有施工人员的临时工棚必须及时拆除，临时居住区的粪便、垃圾和受污染的水沟、场地必须做好消毒灭菌工作，并用净土覆盖、压实和恢复植被。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noWrap w:val="0"/>
            <w:tcMar>
              <w:left w:w="28" w:type="dxa"/>
              <w:right w:w="28" w:type="dxa"/>
            </w:tcMar>
            <w:vAlign w:val="center"/>
          </w:tcPr>
          <w:p>
            <w:pPr>
              <w:adjustRightInd w:val="0"/>
              <w:snapToGrid w:val="0"/>
              <w:ind w:left="0" w:leftChars="0" w:firstLine="0" w:firstLineChars="0"/>
              <w:jc w:val="center"/>
              <w:rPr>
                <w:rFonts w:ascii="宋体" w:hAnsi="宋体" w:cs="宋体"/>
                <w:bCs/>
                <w:spacing w:val="10"/>
                <w:szCs w:val="21"/>
              </w:rPr>
            </w:pPr>
            <w:r>
              <w:rPr>
                <w:rFonts w:hint="eastAsia" w:ascii="宋体" w:hAnsi="宋体" w:cs="宋体"/>
                <w:bCs/>
                <w:spacing w:val="10"/>
                <w:szCs w:val="21"/>
              </w:rPr>
              <w:t>运营期生态环境保护措施</w:t>
            </w:r>
          </w:p>
        </w:tc>
        <w:tc>
          <w:tcPr>
            <w:tcW w:w="8457" w:type="dxa"/>
            <w:noWrap w:val="0"/>
            <w:vAlign w:val="top"/>
          </w:tcPr>
          <w:p>
            <w:pPr>
              <w:bidi w:val="0"/>
              <w:rPr>
                <w:rFonts w:hint="eastAsia"/>
                <w:lang w:val="en-US" w:eastAsia="zh-CN"/>
              </w:rPr>
            </w:pPr>
            <w:r>
              <w:rPr>
                <w:rFonts w:hint="eastAsia"/>
                <w:lang w:val="en-US" w:eastAsia="zh-CN"/>
              </w:rPr>
              <w:t>本项目为水库除险加固工程，主要是解决水库目前存在的安全隐患，不改变水库现有的工程任务，项目施工不改变水库防洪等级，本项目水库除险加固工程实施后，水库的水位、防洪标准和泄洪流量、灌溉水量和河道内生态流量都不发生改变。因此本项目水库除险加固工程实施后，对水库库区及坝下游水体的稀释扩散能力、水质均不会发生变化。</w:t>
            </w:r>
          </w:p>
          <w:p>
            <w:pPr>
              <w:numPr>
                <w:ilvl w:val="0"/>
                <w:numId w:val="9"/>
              </w:numPr>
              <w:bidi w:val="0"/>
              <w:jc w:val="both"/>
              <w:rPr>
                <w:rFonts w:hint="eastAsia"/>
                <w:b/>
                <w:bCs/>
                <w:lang w:val="en-US" w:eastAsia="zh-CN"/>
              </w:rPr>
            </w:pPr>
            <w:r>
              <w:rPr>
                <w:rFonts w:hint="eastAsia"/>
                <w:b/>
                <w:bCs/>
                <w:lang w:val="en-US" w:eastAsia="zh-CN"/>
              </w:rPr>
              <w:t>大气环境保护措施</w:t>
            </w:r>
          </w:p>
          <w:p>
            <w:pPr>
              <w:bidi w:val="0"/>
              <w:rPr>
                <w:rFonts w:hint="eastAsia"/>
                <w:lang w:val="en-US" w:eastAsia="zh-CN"/>
              </w:rPr>
            </w:pPr>
            <w:r>
              <w:rPr>
                <w:rFonts w:hint="eastAsia"/>
                <w:lang w:val="en-US" w:eastAsia="zh-CN"/>
              </w:rPr>
              <w:t>该项目食堂采用液化气作为能源，为清洁能源，食堂油烟采用油烟净化器处理后经专用烟道外排，对周围大气环境影响较小；在道路上运行的车辆应按照有关法规进行严格管理，对不符合现行汽车相关大气污染物排放标准的车辆不允许其上路，并要求限期治理；严格控制运载容易产生扬尘物品的车辆上路，如果这类车辆上路时，必须对其运载货物进行覆盖保护，以免产生的扬尘污染周围的大气环境。</w:t>
            </w:r>
          </w:p>
          <w:p>
            <w:pPr>
              <w:bidi w:val="0"/>
              <w:rPr>
                <w:rFonts w:hint="eastAsia"/>
                <w:b/>
                <w:bCs/>
                <w:lang w:val="en-US" w:eastAsia="zh-CN"/>
              </w:rPr>
            </w:pPr>
            <w:r>
              <w:rPr>
                <w:rFonts w:hint="eastAsia"/>
                <w:lang w:val="en-US" w:eastAsia="zh-CN"/>
              </w:rPr>
              <w:t>2、</w:t>
            </w:r>
            <w:r>
              <w:rPr>
                <w:rFonts w:hint="eastAsia"/>
                <w:b/>
                <w:bCs/>
                <w:lang w:val="en-US" w:eastAsia="zh-CN"/>
              </w:rPr>
              <w:t>水环境保护措施</w:t>
            </w:r>
          </w:p>
          <w:p>
            <w:pPr>
              <w:bidi w:val="0"/>
              <w:rPr>
                <w:rFonts w:hint="eastAsia"/>
                <w:lang w:val="en-US" w:eastAsia="zh-CN"/>
              </w:rPr>
            </w:pPr>
            <w:r>
              <w:rPr>
                <w:rFonts w:hint="eastAsia"/>
                <w:lang w:val="en-US" w:eastAsia="zh-CN"/>
              </w:rPr>
              <w:t>管理局工作人员生活污水经化粪池处理后用于管理局周边林地灌溉，不外排。</w:t>
            </w:r>
          </w:p>
          <w:p>
            <w:pPr>
              <w:bidi w:val="0"/>
              <w:rPr>
                <w:rFonts w:hint="eastAsia"/>
                <w:b/>
                <w:bCs/>
                <w:lang w:val="en-US" w:eastAsia="zh-CN"/>
              </w:rPr>
            </w:pPr>
            <w:r>
              <w:rPr>
                <w:rFonts w:hint="eastAsia"/>
                <w:lang w:val="en-US" w:eastAsia="zh-CN"/>
              </w:rPr>
              <w:t>3、</w:t>
            </w:r>
            <w:r>
              <w:rPr>
                <w:rFonts w:hint="eastAsia"/>
                <w:b/>
                <w:bCs/>
                <w:lang w:val="en-US" w:eastAsia="zh-CN"/>
              </w:rPr>
              <w:t>声环境保护措施</w:t>
            </w:r>
          </w:p>
          <w:p>
            <w:pPr>
              <w:bidi w:val="0"/>
              <w:rPr>
                <w:rFonts w:hint="eastAsia"/>
                <w:lang w:val="en-US" w:eastAsia="zh-CN"/>
              </w:rPr>
            </w:pPr>
            <w:r>
              <w:rPr>
                <w:rFonts w:hint="eastAsia"/>
                <w:lang w:val="en-US" w:eastAsia="zh-CN"/>
              </w:rPr>
              <w:t>本项目正常运营期间产生的噪声来源于防洪公路来往车辆运行产生的噪声，通过加强道路交通管理，避免因管理不当造成塞车而车主长时间鸣按喇嘛；在居民集中区域等敏感点设置相应的标志或者减速带，同时，禁止车辆在该路段鸣喇叭等措施。</w:t>
            </w:r>
          </w:p>
          <w:p>
            <w:pPr>
              <w:bidi w:val="0"/>
              <w:rPr>
                <w:rFonts w:hint="eastAsia"/>
                <w:b/>
                <w:bCs/>
                <w:lang w:val="en-US" w:eastAsia="zh-CN"/>
              </w:rPr>
            </w:pPr>
            <w:r>
              <w:rPr>
                <w:rFonts w:hint="eastAsia"/>
                <w:lang w:val="en-US" w:eastAsia="zh-CN"/>
              </w:rPr>
              <w:t>4、</w:t>
            </w:r>
            <w:r>
              <w:rPr>
                <w:rFonts w:hint="eastAsia"/>
                <w:b/>
                <w:bCs/>
                <w:lang w:val="en-US" w:eastAsia="zh-CN"/>
              </w:rPr>
              <w:t>固废环境保护措施</w:t>
            </w:r>
          </w:p>
          <w:p>
            <w:pPr>
              <w:bidi w:val="0"/>
              <w:rPr>
                <w:rFonts w:hint="eastAsia"/>
                <w:lang w:val="en-US" w:eastAsia="zh-CN"/>
              </w:rPr>
            </w:pPr>
            <w:r>
              <w:rPr>
                <w:rFonts w:hint="eastAsia"/>
                <w:lang w:val="en-US" w:eastAsia="zh-CN"/>
              </w:rPr>
              <w:t>运营期固体废物主要为大坝管理人员产生的生活垃圾，产生的生活垃圾集中收集交由环卫部门统一清运处理。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53" w:type="dxa"/>
            <w:noWrap w:val="0"/>
            <w:vAlign w:val="center"/>
          </w:tcPr>
          <w:p>
            <w:pPr>
              <w:adjustRightInd w:val="0"/>
              <w:snapToGrid w:val="0"/>
              <w:ind w:left="0" w:leftChars="0" w:firstLine="0" w:firstLineChars="0"/>
              <w:jc w:val="both"/>
              <w:rPr>
                <w:rFonts w:ascii="宋体" w:hAnsi="宋体" w:cs="宋体"/>
                <w:bCs/>
                <w:spacing w:val="10"/>
                <w:szCs w:val="21"/>
              </w:rPr>
            </w:pPr>
            <w:r>
              <w:rPr>
                <w:rFonts w:hint="eastAsia" w:ascii="宋体" w:hAnsi="宋体"/>
                <w:bCs/>
                <w:szCs w:val="21"/>
              </w:rPr>
              <w:t>其他</w:t>
            </w:r>
          </w:p>
        </w:tc>
        <w:tc>
          <w:tcPr>
            <w:tcW w:w="8457" w:type="dxa"/>
            <w:noWrap w:val="0"/>
            <w:vAlign w:val="top"/>
          </w:tcPr>
          <w:p>
            <w:pPr>
              <w:adjustRightInd w:val="0"/>
              <w:snapToGrid w:val="0"/>
              <w:rPr>
                <w:rFonts w:hint="default" w:ascii="宋体" w:hAnsi="宋体" w:eastAsia="宋体" w:cs="宋体"/>
                <w:bCs/>
                <w:spacing w:val="10"/>
                <w:szCs w:val="21"/>
                <w:lang w:val="en-US" w:eastAsia="zh-CN"/>
              </w:rPr>
            </w:pPr>
            <w:r>
              <w:rPr>
                <w:rFonts w:hint="eastAsia" w:ascii="宋体" w:hAnsi="宋体" w:cs="宋体"/>
                <w:bCs/>
                <w:spacing w:val="1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adjustRightInd w:val="0"/>
              <w:snapToGrid w:val="0"/>
              <w:ind w:left="0" w:leftChars="0" w:firstLine="0" w:firstLineChars="0"/>
              <w:jc w:val="both"/>
              <w:rPr>
                <w:rFonts w:ascii="宋体" w:hAnsi="宋体" w:cs="宋体"/>
                <w:bCs/>
                <w:spacing w:val="10"/>
                <w:szCs w:val="21"/>
              </w:rPr>
            </w:pPr>
            <w:r>
              <w:rPr>
                <w:rFonts w:hint="eastAsia" w:ascii="宋体" w:hAnsi="宋体"/>
                <w:bCs/>
                <w:szCs w:val="21"/>
              </w:rPr>
              <w:t>环保投资</w:t>
            </w:r>
          </w:p>
        </w:tc>
        <w:tc>
          <w:tcPr>
            <w:tcW w:w="8457" w:type="dxa"/>
            <w:noWrap w:val="0"/>
            <w:vAlign w:val="top"/>
          </w:tcPr>
          <w:p>
            <w:pPr>
              <w:tabs>
                <w:tab w:val="left" w:pos="560"/>
              </w:tabs>
              <w:spacing w:line="360" w:lineRule="auto"/>
              <w:ind w:firstLine="480" w:firstLineChars="200"/>
              <w:rPr>
                <w:rFonts w:hint="default"/>
              </w:rPr>
            </w:pPr>
            <w:r>
              <w:rPr>
                <w:rFonts w:hint="default"/>
              </w:rPr>
              <w:t>基于本评价提出的各项环保措施进行估算，本项目</w:t>
            </w:r>
            <w:r>
              <w:rPr>
                <w:rFonts w:hint="eastAsia"/>
                <w:lang w:eastAsia="zh-CN"/>
              </w:rPr>
              <w:t>总投资</w:t>
            </w:r>
            <w:r>
              <w:rPr>
                <w:rFonts w:hint="eastAsia"/>
                <w:lang w:val="en-US" w:eastAsia="zh-CN"/>
              </w:rPr>
              <w:t>6686.20万元，其中</w:t>
            </w:r>
            <w:r>
              <w:rPr>
                <w:rFonts w:hint="default"/>
              </w:rPr>
              <w:t>环保投资约为</w:t>
            </w:r>
            <w:r>
              <w:rPr>
                <w:rFonts w:hint="eastAsia"/>
                <w:lang w:val="en-US" w:eastAsia="zh-CN"/>
              </w:rPr>
              <w:t>74.63</w:t>
            </w:r>
            <w:r>
              <w:rPr>
                <w:rFonts w:hint="default"/>
              </w:rPr>
              <w:t>万元，占总投资的</w:t>
            </w:r>
            <w:r>
              <w:rPr>
                <w:rFonts w:hint="eastAsia"/>
                <w:lang w:val="en-US" w:eastAsia="zh-CN"/>
              </w:rPr>
              <w:t>1.12</w:t>
            </w:r>
            <w:r>
              <w:rPr>
                <w:rFonts w:hint="default"/>
              </w:rPr>
              <w:t>%，详见下表</w:t>
            </w:r>
            <w:r>
              <w:rPr>
                <w:rFonts w:hint="eastAsia"/>
                <w:lang w:val="en-US" w:eastAsia="zh-CN"/>
              </w:rPr>
              <w:t>5-1</w:t>
            </w:r>
            <w:r>
              <w:rPr>
                <w:rFonts w:hint="default"/>
              </w:rPr>
              <w:t>。</w:t>
            </w:r>
          </w:p>
          <w:p>
            <w:pPr>
              <w:pStyle w:val="28"/>
              <w:bidi w:val="0"/>
              <w:rPr>
                <w:rFonts w:hint="default"/>
              </w:rPr>
            </w:pPr>
            <w:r>
              <w:rPr>
                <w:rFonts w:hint="default"/>
              </w:rPr>
              <w:t>表5</w:t>
            </w:r>
            <w:r>
              <w:rPr>
                <w:rFonts w:hint="eastAsia"/>
                <w:lang w:val="en-US" w:eastAsia="zh-CN"/>
              </w:rPr>
              <w:t>-1</w:t>
            </w:r>
            <w:r>
              <w:rPr>
                <w:rFonts w:hint="default"/>
              </w:rPr>
              <w:t>项目环保投资</w:t>
            </w:r>
          </w:p>
          <w:tbl>
            <w:tblPr>
              <w:tblStyle w:val="18"/>
              <w:tblW w:w="8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7"/>
              <w:gridCol w:w="1331"/>
              <w:gridCol w:w="4551"/>
              <w:gridCol w:w="1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587" w:type="dxa"/>
                  <w:tcBorders>
                    <w:tl2br w:val="nil"/>
                    <w:tr2bl w:val="nil"/>
                  </w:tcBorders>
                  <w:noWrap w:val="0"/>
                  <w:vAlign w:val="center"/>
                </w:tcPr>
                <w:p>
                  <w:pPr>
                    <w:pStyle w:val="45"/>
                    <w:bidi w:val="0"/>
                    <w:rPr>
                      <w:rFonts w:hint="default"/>
                    </w:rPr>
                  </w:pPr>
                  <w:r>
                    <w:rPr>
                      <w:rFonts w:hint="default"/>
                    </w:rPr>
                    <w:t>类别</w:t>
                  </w:r>
                </w:p>
              </w:tc>
              <w:tc>
                <w:tcPr>
                  <w:tcW w:w="1331" w:type="dxa"/>
                  <w:tcBorders>
                    <w:tl2br w:val="nil"/>
                    <w:tr2bl w:val="nil"/>
                  </w:tcBorders>
                  <w:noWrap w:val="0"/>
                  <w:vAlign w:val="center"/>
                </w:tcPr>
                <w:p>
                  <w:pPr>
                    <w:pStyle w:val="45"/>
                    <w:bidi w:val="0"/>
                    <w:rPr>
                      <w:rFonts w:hint="default"/>
                    </w:rPr>
                  </w:pPr>
                  <w:r>
                    <w:rPr>
                      <w:rFonts w:hint="default"/>
                    </w:rPr>
                    <w:t>污染源</w:t>
                  </w:r>
                </w:p>
              </w:tc>
              <w:tc>
                <w:tcPr>
                  <w:tcW w:w="4551" w:type="dxa"/>
                  <w:tcBorders>
                    <w:tl2br w:val="nil"/>
                    <w:tr2bl w:val="nil"/>
                  </w:tcBorders>
                  <w:noWrap w:val="0"/>
                  <w:vAlign w:val="center"/>
                </w:tcPr>
                <w:p>
                  <w:pPr>
                    <w:pStyle w:val="45"/>
                    <w:bidi w:val="0"/>
                    <w:rPr>
                      <w:rFonts w:hint="default"/>
                    </w:rPr>
                  </w:pPr>
                  <w:r>
                    <w:rPr>
                      <w:rFonts w:hint="default"/>
                    </w:rPr>
                    <w:t>环保设施设备</w:t>
                  </w:r>
                </w:p>
              </w:tc>
              <w:tc>
                <w:tcPr>
                  <w:tcW w:w="1829" w:type="dxa"/>
                  <w:tcBorders>
                    <w:tl2br w:val="nil"/>
                    <w:tr2bl w:val="nil"/>
                  </w:tcBorders>
                  <w:noWrap w:val="0"/>
                  <w:vAlign w:val="center"/>
                </w:tcPr>
                <w:p>
                  <w:pPr>
                    <w:pStyle w:val="45"/>
                    <w:bidi w:val="0"/>
                    <w:rPr>
                      <w:rFonts w:hint="default"/>
                    </w:rPr>
                  </w:pPr>
                  <w:r>
                    <w:rPr>
                      <w:rFonts w:hint="default"/>
                    </w:rPr>
                    <w:t>投资概算(万元)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587" w:type="dxa"/>
                  <w:vMerge w:val="restart"/>
                  <w:tcBorders>
                    <w:tl2br w:val="nil"/>
                    <w:tr2bl w:val="nil"/>
                  </w:tcBorders>
                  <w:noWrap w:val="0"/>
                  <w:vAlign w:val="center"/>
                </w:tcPr>
                <w:p>
                  <w:pPr>
                    <w:pStyle w:val="45"/>
                    <w:bidi w:val="0"/>
                    <w:rPr>
                      <w:rFonts w:hint="eastAsia" w:eastAsia="宋体"/>
                      <w:lang w:eastAsia="zh-CN"/>
                    </w:rPr>
                  </w:pPr>
                  <w:r>
                    <w:rPr>
                      <w:rFonts w:hint="eastAsia"/>
                      <w:lang w:val="en-US" w:eastAsia="zh-CN"/>
                    </w:rPr>
                    <w:t>施工期</w:t>
                  </w:r>
                </w:p>
              </w:tc>
              <w:tc>
                <w:tcPr>
                  <w:tcW w:w="1331" w:type="dxa"/>
                  <w:tcBorders>
                    <w:tl2br w:val="nil"/>
                    <w:tr2bl w:val="nil"/>
                  </w:tcBorders>
                  <w:noWrap w:val="0"/>
                  <w:vAlign w:val="center"/>
                </w:tcPr>
                <w:p>
                  <w:pPr>
                    <w:pStyle w:val="45"/>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施工废水</w:t>
                  </w:r>
                </w:p>
              </w:tc>
              <w:tc>
                <w:tcPr>
                  <w:tcW w:w="4551" w:type="dxa"/>
                  <w:tcBorders>
                    <w:tl2br w:val="nil"/>
                    <w:tr2bl w:val="nil"/>
                  </w:tcBorders>
                  <w:noWrap w:val="0"/>
                  <w:vAlign w:val="center"/>
                </w:tcPr>
                <w:p>
                  <w:pPr>
                    <w:pStyle w:val="45"/>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施工废水处理设施：沉淀池、清水池、基坑废水处理设施、含油废水处理设施</w:t>
                  </w:r>
                </w:p>
              </w:tc>
              <w:tc>
                <w:tcPr>
                  <w:tcW w:w="1829" w:type="dxa"/>
                  <w:tcBorders>
                    <w:tl2br w:val="nil"/>
                    <w:tr2bl w:val="nil"/>
                  </w:tcBorders>
                  <w:noWrap w:val="0"/>
                  <w:vAlign w:val="center"/>
                </w:tcPr>
                <w:p>
                  <w:pPr>
                    <w:pStyle w:val="45"/>
                    <w:bidi w:val="0"/>
                    <w:ind w:firstLine="0" w:firstLineChars="0"/>
                    <w:rPr>
                      <w:rFonts w:hint="default" w:ascii="Times New Roman" w:hAnsi="Times New Roman" w:eastAsia="宋体"/>
                      <w:kern w:val="2"/>
                      <w:sz w:val="21"/>
                      <w:szCs w:val="21"/>
                      <w:lang w:val="en-US" w:eastAsia="zh-CN" w:bidi="ar-SA"/>
                    </w:rPr>
                  </w:pPr>
                  <w:r>
                    <w:rPr>
                      <w:rFonts w:hint="eastAsia"/>
                      <w:kern w:val="2"/>
                      <w:sz w:val="21"/>
                      <w:szCs w:val="21"/>
                      <w:lang w:val="en-US" w:eastAsia="zh-CN" w:bidi="ar-SA"/>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废气</w:t>
                  </w:r>
                </w:p>
              </w:tc>
              <w:tc>
                <w:tcPr>
                  <w:tcW w:w="4551" w:type="dxa"/>
                  <w:tcBorders>
                    <w:tl2br w:val="nil"/>
                    <w:tr2bl w:val="nil"/>
                  </w:tcBorders>
                  <w:noWrap w:val="0"/>
                  <w:vAlign w:val="center"/>
                </w:tcPr>
                <w:p>
                  <w:pPr>
                    <w:pStyle w:val="45"/>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临时堆场和</w:t>
                  </w:r>
                  <w:r>
                    <w:rPr>
                      <w:rFonts w:hint="default" w:ascii="Times New Roman" w:hAnsi="Times New Roman" w:eastAsia="宋体" w:cs="Times New Roman"/>
                      <w:kern w:val="2"/>
                      <w:sz w:val="21"/>
                      <w:szCs w:val="24"/>
                      <w:lang w:val="en-US" w:eastAsia="zh-CN" w:bidi="ar-SA"/>
                    </w:rPr>
                    <w:t>路面硬化、</w:t>
                  </w:r>
                  <w:r>
                    <w:rPr>
                      <w:rFonts w:hint="eastAsia" w:ascii="Times New Roman" w:hAnsi="Times New Roman" w:eastAsia="宋体" w:cs="Times New Roman"/>
                      <w:kern w:val="2"/>
                      <w:sz w:val="21"/>
                      <w:szCs w:val="24"/>
                      <w:lang w:val="en-US" w:eastAsia="zh-CN" w:bidi="ar-SA"/>
                    </w:rPr>
                    <w:t>堆场</w:t>
                  </w:r>
                  <w:r>
                    <w:rPr>
                      <w:rFonts w:hint="default" w:ascii="Times New Roman" w:hAnsi="Times New Roman" w:eastAsia="宋体" w:cs="Times New Roman"/>
                      <w:kern w:val="2"/>
                      <w:sz w:val="21"/>
                      <w:szCs w:val="24"/>
                      <w:lang w:val="en-US" w:eastAsia="zh-CN" w:bidi="ar-SA"/>
                    </w:rPr>
                    <w:t>防尘网、</w:t>
                  </w:r>
                  <w:r>
                    <w:rPr>
                      <w:rFonts w:hint="eastAsia" w:ascii="Times New Roman" w:hAnsi="Times New Roman" w:eastAsia="宋体" w:cs="Times New Roman"/>
                      <w:kern w:val="2"/>
                      <w:sz w:val="21"/>
                      <w:szCs w:val="24"/>
                      <w:lang w:val="en-US" w:eastAsia="zh-CN" w:bidi="ar-SA"/>
                    </w:rPr>
                    <w:t>施工</w:t>
                  </w:r>
                  <w:r>
                    <w:rPr>
                      <w:rFonts w:hint="default" w:ascii="Times New Roman" w:hAnsi="Times New Roman" w:eastAsia="宋体" w:cs="Times New Roman"/>
                      <w:kern w:val="2"/>
                      <w:sz w:val="21"/>
                      <w:szCs w:val="24"/>
                      <w:lang w:val="en-US" w:eastAsia="zh-CN" w:bidi="ar-SA"/>
                    </w:rPr>
                    <w:t>洒水降尘、围墙</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default"/>
                      <w:lang w:val="en-US" w:eastAsia="zh-CN"/>
                    </w:rPr>
                  </w:pPr>
                  <w:r>
                    <w:rPr>
                      <w:rFonts w:hint="eastAsia"/>
                      <w:lang w:val="en-US" w:eastAsia="zh-CN"/>
                    </w:rPr>
                    <w:t>建筑垃圾</w:t>
                  </w:r>
                </w:p>
              </w:tc>
              <w:tc>
                <w:tcPr>
                  <w:tcW w:w="4551" w:type="dxa"/>
                  <w:tcBorders>
                    <w:tl2br w:val="nil"/>
                    <w:tr2bl w:val="nil"/>
                  </w:tcBorders>
                  <w:noWrap w:val="0"/>
                  <w:vAlign w:val="center"/>
                </w:tcPr>
                <w:p>
                  <w:pPr>
                    <w:pStyle w:val="45"/>
                    <w:bidi w:val="0"/>
                    <w:rPr>
                      <w:rFonts w:hint="default" w:ascii="Times New Roman" w:hAnsi="Times New Roman" w:eastAsia="宋体" w:cs="Times New Roman"/>
                    </w:rPr>
                  </w:pPr>
                  <w:r>
                    <w:rPr>
                      <w:rFonts w:hint="default" w:ascii="Times New Roman" w:hAnsi="Times New Roman" w:eastAsia="宋体" w:cs="Times New Roman"/>
                      <w:kern w:val="2"/>
                      <w:sz w:val="21"/>
                      <w:szCs w:val="24"/>
                      <w:lang w:val="en-US" w:eastAsia="zh-CN" w:bidi="ar-SA"/>
                    </w:rPr>
                    <w:t>分类收集分类处理</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5"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default"/>
                      <w:lang w:val="en-US" w:eastAsia="zh-CN"/>
                    </w:rPr>
                  </w:pPr>
                  <w:r>
                    <w:rPr>
                      <w:rFonts w:hint="eastAsia"/>
                      <w:lang w:val="en-US" w:eastAsia="zh-CN"/>
                    </w:rPr>
                    <w:t>渣土</w:t>
                  </w:r>
                </w:p>
              </w:tc>
              <w:tc>
                <w:tcPr>
                  <w:tcW w:w="4551" w:type="dxa"/>
                  <w:tcBorders>
                    <w:tl2br w:val="nil"/>
                    <w:tr2bl w:val="nil"/>
                  </w:tcBorders>
                  <w:noWrap w:val="0"/>
                  <w:vAlign w:val="center"/>
                </w:tcPr>
                <w:p>
                  <w:pPr>
                    <w:pStyle w:val="45"/>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交</w:t>
                  </w:r>
                  <w:r>
                    <w:rPr>
                      <w:rFonts w:hint="default" w:ascii="Times New Roman" w:hAnsi="Times New Roman" w:eastAsia="宋体" w:cs="Times New Roman"/>
                      <w:kern w:val="2"/>
                      <w:sz w:val="21"/>
                      <w:szCs w:val="24"/>
                      <w:lang w:val="en-US" w:eastAsia="zh-CN" w:bidi="ar-SA"/>
                    </w:rPr>
                    <w:t>湖南科凡再生资源综合利用有限公司</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施工机械噪声</w:t>
                  </w:r>
                </w:p>
              </w:tc>
              <w:tc>
                <w:tcPr>
                  <w:tcW w:w="4551" w:type="dxa"/>
                  <w:tcBorders>
                    <w:tl2br w:val="nil"/>
                    <w:tr2bl w:val="nil"/>
                  </w:tcBorders>
                  <w:noWrap w:val="0"/>
                  <w:vAlign w:val="center"/>
                </w:tcPr>
                <w:p>
                  <w:pPr>
                    <w:pStyle w:val="45"/>
                    <w:bidi w:val="0"/>
                    <w:rPr>
                      <w:rFonts w:hint="default"/>
                    </w:rPr>
                  </w:pPr>
                  <w:r>
                    <w:rPr>
                      <w:rFonts w:hint="default" w:ascii="Times New Roman" w:hAnsi="Times New Roman" w:eastAsia="宋体" w:cs="Times New Roman"/>
                      <w:szCs w:val="24"/>
                    </w:rPr>
                    <w:t>选用低噪声设备，</w:t>
                  </w:r>
                  <w:r>
                    <w:rPr>
                      <w:rFonts w:hint="eastAsia" w:cs="Times New Roman"/>
                      <w:szCs w:val="24"/>
                      <w:lang w:val="en-US" w:eastAsia="zh-CN"/>
                    </w:rPr>
                    <w:t>施工围栏、机械保养、</w:t>
                  </w:r>
                  <w:r>
                    <w:rPr>
                      <w:rFonts w:hint="default" w:ascii="Times New Roman" w:hAnsi="Times New Roman" w:eastAsia="宋体" w:cs="Times New Roman"/>
                      <w:szCs w:val="24"/>
                    </w:rPr>
                    <w:t>合理安排施工时间，夜间禁止高噪声作业</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587" w:type="dxa"/>
                  <w:vMerge w:val="restart"/>
                  <w:tcBorders>
                    <w:tl2br w:val="nil"/>
                    <w:tr2bl w:val="nil"/>
                  </w:tcBorders>
                  <w:noWrap w:val="0"/>
                  <w:vAlign w:val="center"/>
                </w:tcPr>
                <w:p>
                  <w:pPr>
                    <w:pStyle w:val="45"/>
                    <w:bidi w:val="0"/>
                    <w:rPr>
                      <w:rFonts w:hint="default" w:eastAsia="宋体"/>
                      <w:lang w:val="en-US" w:eastAsia="zh-CN"/>
                    </w:rPr>
                  </w:pPr>
                  <w:r>
                    <w:rPr>
                      <w:rFonts w:hint="eastAsia"/>
                      <w:lang w:val="en-US" w:eastAsia="zh-CN"/>
                    </w:rPr>
                    <w:t>营运营期</w:t>
                  </w:r>
                </w:p>
              </w:tc>
              <w:tc>
                <w:tcPr>
                  <w:tcW w:w="1331"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生活污水</w:t>
                  </w:r>
                </w:p>
              </w:tc>
              <w:tc>
                <w:tcPr>
                  <w:tcW w:w="4551" w:type="dxa"/>
                  <w:tcBorders>
                    <w:tl2br w:val="nil"/>
                    <w:tr2bl w:val="nil"/>
                  </w:tcBorders>
                  <w:noWrap w:val="0"/>
                  <w:vAlign w:val="center"/>
                </w:tcPr>
                <w:p>
                  <w:pPr>
                    <w:pStyle w:val="45"/>
                    <w:bidi w:val="0"/>
                    <w:rPr>
                      <w:rFonts w:hint="eastAsia" w:eastAsia="宋体"/>
                      <w:lang w:eastAsia="zh-CN"/>
                    </w:rPr>
                  </w:pPr>
                  <w:r>
                    <w:rPr>
                      <w:rFonts w:hint="eastAsia"/>
                      <w:lang w:val="en-US" w:eastAsia="zh-CN"/>
                    </w:rPr>
                    <w:t>化粪池</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依托燎原水库管理所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生活垃圾</w:t>
                  </w:r>
                </w:p>
              </w:tc>
              <w:tc>
                <w:tcPr>
                  <w:tcW w:w="4551"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统一收集交环卫部门处理</w:t>
                  </w:r>
                </w:p>
              </w:tc>
              <w:tc>
                <w:tcPr>
                  <w:tcW w:w="1829" w:type="dxa"/>
                  <w:tcBorders>
                    <w:tl2br w:val="nil"/>
                    <w:tr2bl w:val="nil"/>
                  </w:tcBorders>
                  <w:noWrap w:val="0"/>
                  <w:vAlign w:val="center"/>
                </w:tcPr>
                <w:p>
                  <w:pPr>
                    <w:pStyle w:val="45"/>
                    <w:bidi w:val="0"/>
                    <w:rPr>
                      <w:rFonts w:hint="default" w:eastAsia="宋体"/>
                      <w:lang w:val="en-US" w:eastAsia="zh-CN"/>
                    </w:rPr>
                  </w:pPr>
                  <w:r>
                    <w:rPr>
                      <w:rFonts w:hint="eastAsia"/>
                      <w:lang w:val="en-US" w:eastAsia="zh-CN"/>
                    </w:rPr>
                    <w:t>依托燎原水库管理所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587" w:type="dxa"/>
                  <w:vMerge w:val="continue"/>
                  <w:tcBorders>
                    <w:tl2br w:val="nil"/>
                    <w:tr2bl w:val="nil"/>
                  </w:tcBorders>
                  <w:noWrap w:val="0"/>
                  <w:vAlign w:val="center"/>
                </w:tcPr>
                <w:p>
                  <w:pPr>
                    <w:pStyle w:val="45"/>
                    <w:bidi w:val="0"/>
                    <w:rPr>
                      <w:rFonts w:hint="default"/>
                    </w:rPr>
                  </w:pPr>
                </w:p>
              </w:tc>
              <w:tc>
                <w:tcPr>
                  <w:tcW w:w="1331" w:type="dxa"/>
                  <w:tcBorders>
                    <w:tl2br w:val="nil"/>
                    <w:tr2bl w:val="nil"/>
                  </w:tcBorders>
                  <w:noWrap w:val="0"/>
                  <w:vAlign w:val="center"/>
                </w:tcPr>
                <w:p>
                  <w:pPr>
                    <w:pStyle w:val="45"/>
                    <w:bidi w:val="0"/>
                    <w:rPr>
                      <w:rFonts w:hint="default"/>
                      <w:lang w:val="en-US" w:eastAsia="zh-CN"/>
                    </w:rPr>
                  </w:pPr>
                  <w:r>
                    <w:rPr>
                      <w:rFonts w:hint="eastAsia"/>
                      <w:lang w:val="en-US" w:eastAsia="zh-CN"/>
                    </w:rPr>
                    <w:t>生态恢复</w:t>
                  </w:r>
                </w:p>
              </w:tc>
              <w:tc>
                <w:tcPr>
                  <w:tcW w:w="4551" w:type="dxa"/>
                  <w:tcBorders>
                    <w:tl2br w:val="nil"/>
                    <w:tr2bl w:val="nil"/>
                  </w:tcBorders>
                  <w:noWrap w:val="0"/>
                  <w:vAlign w:val="center"/>
                </w:tcPr>
                <w:p>
                  <w:pPr>
                    <w:pStyle w:val="45"/>
                    <w:bidi w:val="0"/>
                    <w:rPr>
                      <w:rFonts w:hint="default"/>
                      <w:lang w:val="en-US" w:eastAsia="zh-CN"/>
                    </w:rPr>
                  </w:pPr>
                  <w:r>
                    <w:rPr>
                      <w:rFonts w:hint="eastAsia"/>
                      <w:lang w:val="en-US" w:eastAsia="zh-CN"/>
                    </w:rPr>
                    <w:t>对施工场地、取土场进行植被恢复</w:t>
                  </w:r>
                </w:p>
              </w:tc>
              <w:tc>
                <w:tcPr>
                  <w:tcW w:w="1829" w:type="dxa"/>
                  <w:tcBorders>
                    <w:tl2br w:val="nil"/>
                    <w:tr2bl w:val="nil"/>
                  </w:tcBorders>
                  <w:noWrap w:val="0"/>
                  <w:vAlign w:val="center"/>
                </w:tcPr>
                <w:p>
                  <w:pPr>
                    <w:pStyle w:val="45"/>
                    <w:bidi w:val="0"/>
                    <w:rPr>
                      <w:rFonts w:hint="default"/>
                      <w:lang w:val="en-US" w:eastAsia="zh-CN"/>
                    </w:rPr>
                  </w:pPr>
                  <w:r>
                    <w:rPr>
                      <w:rFonts w:hint="eastAsia"/>
                      <w:lang w:val="en-US" w:eastAsia="zh-CN"/>
                    </w:rPr>
                    <w:t>48.63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1" w:hRule="atLeast"/>
                <w:jc w:val="center"/>
              </w:trPr>
              <w:tc>
                <w:tcPr>
                  <w:tcW w:w="6469" w:type="dxa"/>
                  <w:gridSpan w:val="3"/>
                  <w:tcBorders>
                    <w:tl2br w:val="nil"/>
                    <w:tr2bl w:val="nil"/>
                  </w:tcBorders>
                  <w:noWrap w:val="0"/>
                  <w:vAlign w:val="center"/>
                </w:tcPr>
                <w:p>
                  <w:pPr>
                    <w:pStyle w:val="45"/>
                    <w:bidi w:val="0"/>
                    <w:rPr>
                      <w:rFonts w:hint="eastAsia" w:eastAsia="宋体"/>
                      <w:lang w:val="en-US" w:eastAsia="zh-CN"/>
                    </w:rPr>
                  </w:pPr>
                  <w:r>
                    <w:rPr>
                      <w:rFonts w:hint="eastAsia"/>
                      <w:lang w:val="en-US" w:eastAsia="zh-CN"/>
                    </w:rPr>
                    <w:t>合计</w:t>
                  </w:r>
                </w:p>
              </w:tc>
              <w:tc>
                <w:tcPr>
                  <w:tcW w:w="1829" w:type="dxa"/>
                  <w:tcBorders>
                    <w:tl2br w:val="nil"/>
                    <w:tr2bl w:val="nil"/>
                  </w:tcBorders>
                  <w:noWrap w:val="0"/>
                  <w:vAlign w:val="center"/>
                </w:tcPr>
                <w:p>
                  <w:pPr>
                    <w:pStyle w:val="45"/>
                    <w:bidi w:val="0"/>
                    <w:rPr>
                      <w:rFonts w:hint="default"/>
                      <w:lang w:val="en-US" w:eastAsia="zh-CN"/>
                    </w:rPr>
                  </w:pPr>
                  <w:r>
                    <w:rPr>
                      <w:rFonts w:hint="eastAsia"/>
                      <w:lang w:val="en-US" w:eastAsia="zh-CN"/>
                    </w:rPr>
                    <w:t>74.63</w:t>
                  </w:r>
                </w:p>
              </w:tc>
            </w:tr>
          </w:tbl>
          <w:p>
            <w:pPr>
              <w:rPr>
                <w:rFonts w:hint="default" w:ascii="宋体" w:hAnsi="宋体" w:eastAsia="宋体" w:cs="宋体"/>
                <w:bCs/>
                <w:spacing w:val="10"/>
                <w:szCs w:val="21"/>
                <w:lang w:val="en-US" w:eastAsia="zh-CN"/>
              </w:rPr>
            </w:pPr>
          </w:p>
        </w:tc>
      </w:tr>
    </w:tbl>
    <w:p>
      <w:p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spacing w:line="240" w:lineRule="auto"/>
        <w:ind w:left="0" w:leftChars="0" w:firstLine="0" w:firstLineChars="0"/>
        <w:jc w:val="both"/>
        <w:outlineLvl w:val="0"/>
        <w:rPr>
          <w:rFonts w:ascii="黑体" w:hAnsi="黑体" w:eastAsia="黑体"/>
          <w:snapToGrid w:val="0"/>
          <w:sz w:val="30"/>
          <w:szCs w:val="30"/>
        </w:rPr>
      </w:pPr>
      <w:bookmarkStart w:id="56" w:name="_Toc3961"/>
      <w:r>
        <w:rPr>
          <w:rFonts w:hint="eastAsia" w:ascii="黑体" w:hAnsi="黑体" w:eastAsia="黑体"/>
          <w:snapToGrid w:val="0"/>
          <w:sz w:val="30"/>
          <w:szCs w:val="30"/>
        </w:rPr>
        <w:t>六、生态环境保护措施监督检查清单</w:t>
      </w:r>
      <w:bookmarkEnd w:id="56"/>
    </w:p>
    <w:tbl>
      <w:tblPr>
        <w:tblStyle w:val="1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2564"/>
        <w:gridCol w:w="1922"/>
        <w:gridCol w:w="1034"/>
        <w:gridCol w:w="19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3" w:type="pct"/>
            <w:vMerge w:val="restart"/>
            <w:tcBorders>
              <w:tl2br w:val="single" w:color="auto" w:sz="4" w:space="0"/>
            </w:tcBorders>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57" w:name="_Toc1711"/>
            <w:r>
              <w:rPr>
                <w:rFonts w:hint="eastAsia" w:ascii="黑体" w:hAnsi="黑体" w:eastAsia="黑体" w:cs="宋体"/>
                <w:kern w:val="2"/>
                <w:sz w:val="24"/>
                <w:szCs w:val="24"/>
              </w:rPr>
              <w:t>内容</w:t>
            </w:r>
            <w:bookmarkEnd w:id="57"/>
          </w:p>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hint="eastAsia" w:ascii="黑体" w:hAnsi="黑体" w:eastAsia="黑体" w:cs="宋体"/>
                <w:kern w:val="2"/>
                <w:sz w:val="24"/>
                <w:szCs w:val="24"/>
              </w:rPr>
            </w:pPr>
            <w:bookmarkStart w:id="58" w:name="_Toc1947"/>
            <w:r>
              <w:rPr>
                <w:rFonts w:hint="eastAsia" w:ascii="黑体" w:hAnsi="黑体" w:eastAsia="黑体" w:cs="宋体"/>
                <w:kern w:val="2"/>
                <w:sz w:val="24"/>
                <w:szCs w:val="24"/>
              </w:rPr>
              <w:t>要素</w:t>
            </w:r>
            <w:bookmarkEnd w:id="58"/>
          </w:p>
        </w:tc>
        <w:tc>
          <w:tcPr>
            <w:tcW w:w="2632" w:type="pct"/>
            <w:gridSpan w:val="2"/>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59" w:name="_Toc2978"/>
            <w:r>
              <w:rPr>
                <w:rFonts w:hint="eastAsia" w:ascii="黑体" w:hAnsi="黑体" w:eastAsia="黑体" w:cs="宋体"/>
                <w:kern w:val="2"/>
                <w:sz w:val="24"/>
                <w:szCs w:val="24"/>
              </w:rPr>
              <w:t>施工期</w:t>
            </w:r>
            <w:bookmarkEnd w:id="59"/>
          </w:p>
        </w:tc>
        <w:tc>
          <w:tcPr>
            <w:tcW w:w="1724" w:type="pct"/>
            <w:gridSpan w:val="2"/>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60" w:name="_Toc31704"/>
            <w:r>
              <w:rPr>
                <w:rFonts w:hint="eastAsia" w:ascii="黑体" w:hAnsi="黑体" w:eastAsia="黑体" w:cs="宋体"/>
                <w:kern w:val="2"/>
                <w:sz w:val="24"/>
                <w:szCs w:val="24"/>
              </w:rPr>
              <w:t>运营期</w:t>
            </w:r>
            <w:bookmarkEnd w:id="6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vMerge w:val="continue"/>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p>
        </w:tc>
        <w:tc>
          <w:tcPr>
            <w:tcW w:w="1504" w:type="pct"/>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61" w:name="_Toc17477"/>
            <w:r>
              <w:rPr>
                <w:rFonts w:hint="eastAsia" w:ascii="黑体" w:hAnsi="黑体" w:eastAsia="黑体" w:cs="宋体"/>
                <w:kern w:val="2"/>
                <w:sz w:val="24"/>
                <w:szCs w:val="24"/>
              </w:rPr>
              <w:t>环境保护措施</w:t>
            </w:r>
            <w:bookmarkEnd w:id="61"/>
          </w:p>
        </w:tc>
        <w:tc>
          <w:tcPr>
            <w:tcW w:w="1127" w:type="pct"/>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62" w:name="_Toc13825"/>
            <w:r>
              <w:rPr>
                <w:rFonts w:hint="eastAsia" w:ascii="黑体" w:hAnsi="黑体" w:eastAsia="黑体" w:cs="宋体"/>
                <w:kern w:val="2"/>
                <w:sz w:val="24"/>
                <w:szCs w:val="24"/>
              </w:rPr>
              <w:t>验收要求</w:t>
            </w:r>
            <w:bookmarkEnd w:id="62"/>
          </w:p>
        </w:tc>
        <w:tc>
          <w:tcPr>
            <w:tcW w:w="606" w:type="pct"/>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63" w:name="_Toc32059"/>
            <w:r>
              <w:rPr>
                <w:rFonts w:hint="eastAsia" w:ascii="黑体" w:hAnsi="黑体" w:eastAsia="黑体" w:cs="宋体"/>
                <w:kern w:val="2"/>
                <w:sz w:val="24"/>
                <w:szCs w:val="24"/>
              </w:rPr>
              <w:t>环境保护措施</w:t>
            </w:r>
            <w:bookmarkEnd w:id="63"/>
          </w:p>
        </w:tc>
        <w:tc>
          <w:tcPr>
            <w:tcW w:w="1117" w:type="pct"/>
            <w:noWrap w:val="0"/>
            <w:vAlign w:val="center"/>
          </w:tcPr>
          <w:p>
            <w:pPr>
              <w:pStyle w:val="15"/>
              <w:keepNext w:val="0"/>
              <w:keepLines w:val="0"/>
              <w:pageBreakBefore w:val="0"/>
              <w:kinsoku/>
              <w:wordWrap/>
              <w:overflowPunct/>
              <w:topLinePunct w:val="0"/>
              <w:autoSpaceDE/>
              <w:autoSpaceDN/>
              <w:bidi w:val="0"/>
              <w:adjustRightInd w:val="0"/>
              <w:snapToGrid/>
              <w:spacing w:before="0" w:beforeAutospacing="0" w:after="0" w:afterAutospacing="0" w:line="240" w:lineRule="auto"/>
              <w:ind w:firstLine="0" w:firstLineChars="0"/>
              <w:jc w:val="center"/>
              <w:textAlignment w:val="auto"/>
              <w:outlineLvl w:val="0"/>
              <w:rPr>
                <w:rFonts w:ascii="黑体" w:hAnsi="黑体" w:eastAsia="黑体" w:cs="宋体"/>
                <w:kern w:val="2"/>
                <w:sz w:val="24"/>
                <w:szCs w:val="24"/>
              </w:rPr>
            </w:pPr>
            <w:bookmarkStart w:id="64" w:name="_Toc6642"/>
            <w:r>
              <w:rPr>
                <w:rFonts w:hint="eastAsia" w:ascii="黑体" w:hAnsi="黑体" w:eastAsia="黑体" w:cs="宋体"/>
                <w:kern w:val="2"/>
                <w:sz w:val="24"/>
                <w:szCs w:val="24"/>
              </w:rPr>
              <w:t>验收要求</w:t>
            </w:r>
            <w:bookmarkEnd w:id="6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陆生生态</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①加强施工人员的教育，规范施工人员的行为，爱护花草树木，严禁砍伐、破坏施工区以外的植物和植被，严禁采摘花果。②划定施工范围，严格限制施工人员及施工机械的活动范围，尽可能缩小施工作业带宽度。③保护植被，施工期结束后进行复垦和抚育生等；防止滥砍乱伐；④加强植被及野生动物保护宣传教育，禁止施工人员猎杀野生动物，在施工区设宣传警示牌。⑤采用多种途径广泛开展保护野生动物的宣传和法制教育，使当地居民能自觉保护重点保护动物；提高施工人员的保护意识，严禁捕猎野生动物；优选施工时间，避开野生动物活动的高峰时段。</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验收生态恢复的落实情况，临时占地基本恢复原有功能；绿化成活率高；验收水土保持措施落实情况和运行效</w:t>
            </w:r>
          </w:p>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果，</w:t>
            </w:r>
            <w:r>
              <w:rPr>
                <w:rFonts w:hint="eastAsia" w:ascii="宋体" w:hAnsi="宋体" w:cs="宋体"/>
                <w:sz w:val="24"/>
                <w:szCs w:val="24"/>
                <w:lang w:val="en-US" w:eastAsia="zh-CN"/>
              </w:rPr>
              <w:t>取土</w:t>
            </w:r>
            <w:r>
              <w:rPr>
                <w:rFonts w:hint="default" w:ascii="宋体" w:hAnsi="宋体" w:eastAsia="宋体" w:cs="宋体"/>
                <w:sz w:val="24"/>
                <w:szCs w:val="24"/>
                <w:lang w:val="en-US" w:eastAsia="zh-CN"/>
              </w:rPr>
              <w:t>场防护工程按设计完成且效果较好，</w:t>
            </w:r>
          </w:p>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无明显水土流失和安全隐患。</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水生生态</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①加强宣传，制定生态环境保护手册，增强环保人员环保意识。②加强监管，严格按照环保要求施工，防止废(污)水事故排放影响水生生物生境事故发生。③加强对涉水工程施工的管理，及时将污泥、泥浆、渣土、建筑垃圾等运出至渣场堆放，最大限度减少施工废物对水库水质的不利影响。</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地表水环境</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隔油沉淀池</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施工废水禁止外排</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化粪池</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不外排，用于周边林地肥料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地下水及土壤环境</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声环境</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①选用低噪声机械设备，通过排气管消声器和隔离发动机振动部件降低固定机械设备噪声；②对动力机械设备进行定期维护，避免因部件松动或损坏而增加其噪声源强；暂不使用的设备及时关闭；选用符合国家环境标准的施工机械和运输车辆，使用符合标准的油料或清洁能源。③在各个进场路口，特别是居民点处设置警示牌，限制车速，禁止鸣笛，提醒来往车辆减速慢行；④加强道路养护和车辆维修保养，禁止使用高噪声车辆；</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default"/>
                <w:sz w:val="24"/>
                <w:szCs w:val="24"/>
              </w:rPr>
              <w:t>《建筑施工场界环境噪声排放标准》（GB12523-2011）</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设备运营噪声</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厂界噪声满足《工业企业厂界环境噪声排放标准》（GB12348-2008）2类标准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cs="宋体"/>
                <w:sz w:val="24"/>
                <w:szCs w:val="24"/>
              </w:rPr>
            </w:pPr>
            <w:r>
              <w:rPr>
                <w:rFonts w:hint="eastAsia" w:ascii="宋体" w:hAnsi="宋体" w:cs="宋体"/>
                <w:sz w:val="24"/>
                <w:szCs w:val="24"/>
              </w:rPr>
              <w:t>振动</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大气环境</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rPr>
              <w:t>①设置围挡，降低扬尘对施工场地周边及临近居民的影响；设置洗车平台，场地地面硬化，配备洒水车，对施工场地或进出道路洒水；②物料堆放时加盖蓬布、物料运输采用罐装或袋装运输；③控制车速，选用燃烧效率高的施工机械和运输工具，加强对机械设备的</w:t>
            </w:r>
            <w:r>
              <w:rPr>
                <w:rFonts w:hint="eastAsia" w:ascii="宋体" w:hAnsi="宋体" w:cs="宋体"/>
                <w:sz w:val="24"/>
                <w:szCs w:val="24"/>
                <w:lang w:val="en-US" w:eastAsia="zh-CN"/>
              </w:rPr>
              <w:t>养护</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《大气污染物综合排放标准》（GB16297-1996）中表2中的新污染源无组织排放监控浓度限值</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固体废物</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施工弃土弃渣</w:t>
            </w:r>
            <w:r>
              <w:rPr>
                <w:rFonts w:hint="eastAsia" w:ascii="宋体" w:hAnsi="宋体" w:cs="宋体"/>
                <w:sz w:val="24"/>
                <w:szCs w:val="24"/>
                <w:lang w:val="en-US" w:eastAsia="zh-CN"/>
              </w:rPr>
              <w:t>交</w:t>
            </w:r>
            <w:r>
              <w:rPr>
                <w:rFonts w:ascii="宋体" w:hAnsi="宋体" w:eastAsia="宋体" w:cs="宋体"/>
                <w:spacing w:val="-7"/>
                <w:sz w:val="24"/>
                <w:szCs w:val="24"/>
              </w:rPr>
              <w:t>湖南</w:t>
            </w:r>
            <w:r>
              <w:rPr>
                <w:rFonts w:ascii="宋体" w:hAnsi="宋体" w:eastAsia="宋体" w:cs="宋体"/>
                <w:spacing w:val="1"/>
                <w:sz w:val="24"/>
                <w:szCs w:val="24"/>
              </w:rPr>
              <w:t>科凡再生资源综合利用有限公司</w:t>
            </w:r>
            <w:r>
              <w:rPr>
                <w:rFonts w:hint="eastAsia" w:ascii="宋体" w:hAnsi="宋体" w:eastAsia="宋体" w:cs="宋体"/>
                <w:spacing w:val="1"/>
                <w:sz w:val="24"/>
                <w:szCs w:val="24"/>
                <w:lang w:val="en-US" w:eastAsia="zh-CN"/>
              </w:rPr>
              <w:t>综合利用</w:t>
            </w:r>
            <w:r>
              <w:rPr>
                <w:rFonts w:hint="default" w:ascii="宋体" w:hAnsi="宋体" w:eastAsia="宋体" w:cs="宋体"/>
                <w:sz w:val="24"/>
                <w:szCs w:val="24"/>
                <w:lang w:val="en-US" w:eastAsia="zh-CN"/>
              </w:rPr>
              <w:t>：按照水土保持要求采取相应的拦挡防护措施，并考虑场内排水。施工完毕后对</w:t>
            </w:r>
            <w:r>
              <w:rPr>
                <w:rFonts w:hint="eastAsia" w:ascii="宋体" w:hAnsi="宋体" w:cs="宋体"/>
                <w:sz w:val="24"/>
                <w:szCs w:val="24"/>
                <w:lang w:val="en-US" w:eastAsia="zh-CN"/>
              </w:rPr>
              <w:t>取土场</w:t>
            </w:r>
            <w:r>
              <w:rPr>
                <w:rFonts w:hint="default" w:ascii="宋体" w:hAnsi="宋体" w:eastAsia="宋体" w:cs="宋体"/>
                <w:sz w:val="24"/>
                <w:szCs w:val="24"/>
                <w:lang w:val="en-US" w:eastAsia="zh-CN"/>
              </w:rPr>
              <w:t>进行迹地恢复；临时木材、钢材加工厂废钢筋、废木料收集后交由物资回收公司回收利用。生活垃圾每天定时由地方环卫部门进行清运至地方垃圾处理站，严禁随意倾倒。</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default" w:ascii="Times New Roman" w:hAnsi="Times New Roman" w:cs="Times New Roman"/>
                <w:color w:val="auto"/>
                <w:sz w:val="24"/>
                <w:szCs w:val="24"/>
              </w:rPr>
              <w:t>《一般工业固体废物贮存和填埋污染控制标准》（GB18599-20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电磁环境</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环境风险</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环境监测</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燎原水库水质监测</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eastAsia="zh-CN"/>
              </w:rPr>
              <w:t>《地表水</w:t>
            </w:r>
            <w:r>
              <w:rPr>
                <w:rFonts w:hint="eastAsia" w:ascii="宋体" w:hAnsi="宋体" w:cs="宋体"/>
                <w:sz w:val="24"/>
                <w:szCs w:val="24"/>
                <w:lang w:val="en-US" w:eastAsia="zh-CN"/>
              </w:rPr>
              <w:t>环境质量标准</w:t>
            </w:r>
            <w:r>
              <w:rPr>
                <w:rFonts w:hint="eastAsia" w:ascii="宋体" w:hAnsi="宋体" w:cs="宋体"/>
                <w:sz w:val="24"/>
                <w:szCs w:val="24"/>
                <w:lang w:eastAsia="zh-CN"/>
              </w:rPr>
              <w:t>》（</w:t>
            </w:r>
            <w:r>
              <w:rPr>
                <w:rFonts w:hint="eastAsia" w:ascii="宋体" w:hAnsi="宋体" w:cs="宋体"/>
                <w:sz w:val="24"/>
                <w:szCs w:val="24"/>
                <w:lang w:val="en-US" w:eastAsia="zh-CN"/>
              </w:rPr>
              <w:t>GB3838-2202</w:t>
            </w:r>
            <w:r>
              <w:rPr>
                <w:rFonts w:hint="eastAsia" w:ascii="宋体" w:hAnsi="宋体" w:cs="宋体"/>
                <w:sz w:val="24"/>
                <w:szCs w:val="24"/>
                <w:lang w:eastAsia="zh-CN"/>
              </w:rPr>
              <w:t>）</w:t>
            </w:r>
            <w:r>
              <w:rPr>
                <w:rFonts w:hint="eastAsia" w:ascii="宋体" w:hAnsi="宋体" w:cs="宋体"/>
                <w:sz w:val="24"/>
                <w:szCs w:val="24"/>
                <w:lang w:val="en-US" w:eastAsia="zh-CN"/>
              </w:rPr>
              <w:t>Ⅲ类标准</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0" w:hRule="atLeast"/>
        </w:trPr>
        <w:tc>
          <w:tcPr>
            <w:tcW w:w="643"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ascii="宋体" w:hAnsi="宋体" w:cs="宋体"/>
                <w:sz w:val="24"/>
                <w:szCs w:val="24"/>
              </w:rPr>
            </w:pPr>
            <w:r>
              <w:rPr>
                <w:rFonts w:hint="eastAsia" w:ascii="宋体" w:hAnsi="宋体" w:cs="宋体"/>
                <w:sz w:val="24"/>
                <w:szCs w:val="24"/>
              </w:rPr>
              <w:t>其他</w:t>
            </w:r>
          </w:p>
        </w:tc>
        <w:tc>
          <w:tcPr>
            <w:tcW w:w="1504"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112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w:t>
            </w:r>
          </w:p>
        </w:tc>
        <w:tc>
          <w:tcPr>
            <w:tcW w:w="606"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c>
          <w:tcPr>
            <w:tcW w:w="1117" w:type="pct"/>
            <w:noWrap w:val="0"/>
            <w:vAlign w:val="center"/>
          </w:tcPr>
          <w:p>
            <w:pPr>
              <w:keepNext w:val="0"/>
              <w:keepLines w:val="0"/>
              <w:pageBreakBefore w:val="0"/>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w:t>
            </w:r>
          </w:p>
        </w:tc>
      </w:tr>
    </w:tbl>
    <w:p>
      <w:pPr>
        <w:pStyle w:val="15"/>
        <w:spacing w:before="0" w:beforeAutospacing="0" w:line="14" w:lineRule="auto"/>
        <w:jc w:val="center"/>
        <w:outlineLvl w:val="0"/>
        <w:rPr>
          <w:rFonts w:hint="eastAsia" w:ascii="黑体" w:hAnsi="黑体" w:eastAsia="黑体"/>
          <w:snapToGrid w:val="0"/>
          <w:sz w:val="30"/>
          <w:szCs w:val="30"/>
        </w:rPr>
      </w:pPr>
      <w:r>
        <w:rPr>
          <w:rFonts w:ascii="黑体" w:hAnsi="黑体" w:eastAsia="黑体"/>
          <w:snapToGrid w:val="0"/>
          <w:sz w:val="30"/>
          <w:szCs w:val="30"/>
        </w:rPr>
        <w:br w:type="page"/>
      </w:r>
    </w:p>
    <w:p>
      <w:pPr>
        <w:pStyle w:val="15"/>
        <w:spacing w:before="192" w:beforeLines="80" w:beforeAutospacing="0" w:line="240" w:lineRule="auto"/>
        <w:ind w:left="0" w:leftChars="0" w:firstLine="0" w:firstLineChars="0"/>
        <w:jc w:val="both"/>
        <w:outlineLvl w:val="0"/>
        <w:rPr>
          <w:rFonts w:ascii="黑体" w:hAnsi="黑体" w:eastAsia="黑体"/>
          <w:snapToGrid w:val="0"/>
          <w:sz w:val="30"/>
          <w:szCs w:val="30"/>
        </w:rPr>
      </w:pPr>
      <w:bookmarkStart w:id="65" w:name="_Toc21899"/>
      <w:r>
        <w:rPr>
          <w:rFonts w:hint="eastAsia" w:ascii="黑体" w:hAnsi="黑体" w:eastAsia="黑体"/>
          <w:snapToGrid w:val="0"/>
          <w:sz w:val="30"/>
          <w:szCs w:val="30"/>
        </w:rPr>
        <w:t>七、结论</w:t>
      </w:r>
      <w:bookmarkEnd w:id="65"/>
    </w:p>
    <w:tbl>
      <w:tblPr>
        <w:tblStyle w:val="18"/>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pPr>
              <w:spacing w:line="360" w:lineRule="auto"/>
              <w:ind w:firstLine="482" w:firstLineChars="200"/>
              <w:rPr>
                <w:rFonts w:hint="default" w:ascii="Times New Roman" w:hAnsi="Times New Roman" w:eastAsia="宋体" w:cs="Times New Roman"/>
                <w:b/>
                <w:bCs/>
                <w:sz w:val="24"/>
                <w:szCs w:val="24"/>
                <w:lang w:val="en-US" w:eastAsia="zh-CN"/>
              </w:rPr>
            </w:pPr>
          </w:p>
          <w:p>
            <w:pPr>
              <w:spacing w:line="360" w:lineRule="auto"/>
              <w:ind w:firstLine="480" w:firstLineChars="200"/>
              <w:rPr>
                <w:rFonts w:hint="default" w:ascii="Times New Roman" w:hAnsi="Times New Roman" w:eastAsia="宋体" w:cs="Times New Roman"/>
                <w:sz w:val="24"/>
              </w:rPr>
            </w:pP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综上所述，本项目符合区域规划要求，符合国家相关产业政策，选址合理。项目的建设对周围的环境影响可控制在允许的范围内，在保证严格执行建设项目环境保护“三同时制度”、对各项污染防治措施和上述建议切实逐项予以落实、并加强生产和污染治理设施的运行管理、保证各种污染物达标排放的前提下，本项目在总体上对周围环境质量的影响可以得到有效控制，符合国家、地方环保标准。因此，从环保角度而言，本项目的建设是可行的。</w:t>
            </w:r>
          </w:p>
          <w:p>
            <w:pPr>
              <w:adjustRightInd w:val="0"/>
              <w:snapToGrid w:val="0"/>
              <w:ind w:firstLine="315"/>
              <w:rPr>
                <w:rFonts w:ascii="宋体" w:hAnsi="宋体" w:cs="宋体"/>
                <w:szCs w:val="21"/>
              </w:rPr>
            </w:pPr>
          </w:p>
        </w:tc>
      </w:tr>
    </w:tbl>
    <w:p>
      <w:pPr>
        <w:rPr>
          <w:rFonts w:ascii="宋体"/>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2"/>
      </w:rPr>
    </w:pPr>
    <w:r>
      <w:fldChar w:fldCharType="begin"/>
    </w:r>
    <w:r>
      <w:rPr>
        <w:rStyle w:val="22"/>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rPqN0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t9w5oSlgV++f7v8+HX5+ZUt&#10;kzx9gIqy7gPl4fDKD7Q0sx/ImVgPbbTpT3wYxUnc81VcNSCT6dJ6tV6XFJIUmw+EXzxcDxHwjfKW&#10;JaPmkaaXRRWnd4Bj6pySqjl/p43JEzTuLwdhJk+Reh97TBYO+2EitPfNmfjQM6A6nY9fOOtpCWru&#10;aOc5M28daZz2ZTbibOxnQzhJF2uOnI3maxz36hiiPnR501JTEF4e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8Kz6jdAQAAvgMAAA4AAAAAAAAA&#10;AQAgAAAAHgEAAGRycy9lMm9Eb2MueG1sUEsFBgAAAAAGAAYAWQEAAG0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CE0FB"/>
    <w:multiLevelType w:val="singleLevel"/>
    <w:tmpl w:val="AD7CE0FB"/>
    <w:lvl w:ilvl="0" w:tentative="0">
      <w:start w:val="5"/>
      <w:numFmt w:val="decimal"/>
      <w:suff w:val="nothing"/>
      <w:lvlText w:val="（%1）"/>
      <w:lvlJc w:val="left"/>
    </w:lvl>
  </w:abstractNum>
  <w:abstractNum w:abstractNumId="1">
    <w:nsid w:val="BAFB053E"/>
    <w:multiLevelType w:val="multilevel"/>
    <w:tmpl w:val="BAFB053E"/>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BE140639"/>
    <w:multiLevelType w:val="singleLevel"/>
    <w:tmpl w:val="BE140639"/>
    <w:lvl w:ilvl="0" w:tentative="0">
      <w:start w:val="1"/>
      <w:numFmt w:val="decimal"/>
      <w:suff w:val="nothing"/>
      <w:lvlText w:val="（%1）"/>
      <w:lvlJc w:val="left"/>
      <w:pPr>
        <w:ind w:left="720"/>
      </w:pPr>
    </w:lvl>
  </w:abstractNum>
  <w:abstractNum w:abstractNumId="3">
    <w:nsid w:val="CECF7907"/>
    <w:multiLevelType w:val="singleLevel"/>
    <w:tmpl w:val="CECF7907"/>
    <w:lvl w:ilvl="0" w:tentative="0">
      <w:start w:val="1"/>
      <w:numFmt w:val="decimal"/>
      <w:suff w:val="nothing"/>
      <w:lvlText w:val="%1、"/>
      <w:lvlJc w:val="left"/>
    </w:lvl>
  </w:abstractNum>
  <w:abstractNum w:abstractNumId="4">
    <w:nsid w:val="D2A036E2"/>
    <w:multiLevelType w:val="singleLevel"/>
    <w:tmpl w:val="D2A036E2"/>
    <w:lvl w:ilvl="0" w:tentative="0">
      <w:start w:val="2"/>
      <w:numFmt w:val="decimal"/>
      <w:suff w:val="nothing"/>
      <w:lvlText w:val="%1、"/>
      <w:lvlJc w:val="left"/>
    </w:lvl>
  </w:abstractNum>
  <w:abstractNum w:abstractNumId="5">
    <w:nsid w:val="D542D14E"/>
    <w:multiLevelType w:val="multilevel"/>
    <w:tmpl w:val="D542D14E"/>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E37DC5B7"/>
    <w:multiLevelType w:val="singleLevel"/>
    <w:tmpl w:val="E37DC5B7"/>
    <w:lvl w:ilvl="0" w:tentative="0">
      <w:start w:val="2"/>
      <w:numFmt w:val="decimal"/>
      <w:suff w:val="nothing"/>
      <w:lvlText w:val="%1、"/>
      <w:lvlJc w:val="left"/>
    </w:lvl>
  </w:abstractNum>
  <w:abstractNum w:abstractNumId="7">
    <w:nsid w:val="30FB61FC"/>
    <w:multiLevelType w:val="singleLevel"/>
    <w:tmpl w:val="30FB61FC"/>
    <w:lvl w:ilvl="0" w:tentative="0">
      <w:start w:val="2"/>
      <w:numFmt w:val="chineseCounting"/>
      <w:suff w:val="nothing"/>
      <w:lvlText w:val="（%1）"/>
      <w:lvlJc w:val="left"/>
      <w:rPr>
        <w:rFonts w:hint="eastAsia"/>
      </w:rPr>
    </w:lvl>
  </w:abstractNum>
  <w:abstractNum w:abstractNumId="8">
    <w:nsid w:val="7DA63235"/>
    <w:multiLevelType w:val="singleLevel"/>
    <w:tmpl w:val="7DA63235"/>
    <w:lvl w:ilvl="0" w:tentative="0">
      <w:start w:val="6"/>
      <w:numFmt w:val="decimal"/>
      <w:suff w:val="nothing"/>
      <w:lvlText w:val="%1、"/>
      <w:lvlJc w:val="left"/>
    </w:lvl>
  </w:abstractNum>
  <w:num w:numId="1">
    <w:abstractNumId w:val="5"/>
  </w:num>
  <w:num w:numId="2">
    <w:abstractNumId w:val="1"/>
  </w:num>
  <w:num w:numId="3">
    <w:abstractNumId w:val="7"/>
  </w:num>
  <w:num w:numId="4">
    <w:abstractNumId w:val="8"/>
  </w:num>
  <w:num w:numId="5">
    <w:abstractNumId w:val="4"/>
  </w:num>
  <w:num w:numId="6">
    <w:abstractNumId w:val="2"/>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xZThlZTFiYWQ4MGVlNjhhZDI3ZjE1MjMyNThlNTg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5A1B"/>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4628"/>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C52454"/>
    <w:rsid w:val="023836C8"/>
    <w:rsid w:val="026E67B7"/>
    <w:rsid w:val="027E4FEB"/>
    <w:rsid w:val="02DA7062"/>
    <w:rsid w:val="036838A5"/>
    <w:rsid w:val="05140CAA"/>
    <w:rsid w:val="05742AC8"/>
    <w:rsid w:val="05BF32AE"/>
    <w:rsid w:val="06284D83"/>
    <w:rsid w:val="06352F05"/>
    <w:rsid w:val="063E7D85"/>
    <w:rsid w:val="070875E0"/>
    <w:rsid w:val="070B5FB8"/>
    <w:rsid w:val="07293586"/>
    <w:rsid w:val="07295285"/>
    <w:rsid w:val="07770C56"/>
    <w:rsid w:val="092217DD"/>
    <w:rsid w:val="093630F3"/>
    <w:rsid w:val="093A7294"/>
    <w:rsid w:val="0ACD4D2D"/>
    <w:rsid w:val="0B265415"/>
    <w:rsid w:val="0B9D0A15"/>
    <w:rsid w:val="0BD27BF6"/>
    <w:rsid w:val="0C622354"/>
    <w:rsid w:val="0C8C6AF8"/>
    <w:rsid w:val="0D2A40FB"/>
    <w:rsid w:val="0DB06FF7"/>
    <w:rsid w:val="0DE97E53"/>
    <w:rsid w:val="0E0B0D81"/>
    <w:rsid w:val="0E110D06"/>
    <w:rsid w:val="0E446121"/>
    <w:rsid w:val="0E464928"/>
    <w:rsid w:val="0E8B4E38"/>
    <w:rsid w:val="0F13775A"/>
    <w:rsid w:val="0F663F3A"/>
    <w:rsid w:val="0F9A112B"/>
    <w:rsid w:val="0FE80FAE"/>
    <w:rsid w:val="104011D2"/>
    <w:rsid w:val="1064474E"/>
    <w:rsid w:val="106D2F64"/>
    <w:rsid w:val="10B63710"/>
    <w:rsid w:val="10B670B9"/>
    <w:rsid w:val="10E2151E"/>
    <w:rsid w:val="10FE14EA"/>
    <w:rsid w:val="111C2F7A"/>
    <w:rsid w:val="113013DE"/>
    <w:rsid w:val="113F222E"/>
    <w:rsid w:val="11607FA7"/>
    <w:rsid w:val="11EC4DB8"/>
    <w:rsid w:val="122B06C2"/>
    <w:rsid w:val="13951726"/>
    <w:rsid w:val="13A5651F"/>
    <w:rsid w:val="14396509"/>
    <w:rsid w:val="14447B5C"/>
    <w:rsid w:val="1447165C"/>
    <w:rsid w:val="15AA1E57"/>
    <w:rsid w:val="15F72D2D"/>
    <w:rsid w:val="15F85E33"/>
    <w:rsid w:val="164B55BA"/>
    <w:rsid w:val="166B13D0"/>
    <w:rsid w:val="17151C17"/>
    <w:rsid w:val="17497FF4"/>
    <w:rsid w:val="17735226"/>
    <w:rsid w:val="189B0E06"/>
    <w:rsid w:val="19600F21"/>
    <w:rsid w:val="19746DD7"/>
    <w:rsid w:val="1A1C66C0"/>
    <w:rsid w:val="1A42393B"/>
    <w:rsid w:val="1A427D10"/>
    <w:rsid w:val="1A74738D"/>
    <w:rsid w:val="1AAE47D3"/>
    <w:rsid w:val="1AF74691"/>
    <w:rsid w:val="1AFD05DB"/>
    <w:rsid w:val="1B046F80"/>
    <w:rsid w:val="1B27055F"/>
    <w:rsid w:val="1B3267B5"/>
    <w:rsid w:val="1BA12886"/>
    <w:rsid w:val="1BC25DC8"/>
    <w:rsid w:val="1BF6473C"/>
    <w:rsid w:val="1C2E54E7"/>
    <w:rsid w:val="1C3E2954"/>
    <w:rsid w:val="1C50698D"/>
    <w:rsid w:val="1C5E7925"/>
    <w:rsid w:val="1C887FC8"/>
    <w:rsid w:val="1D5F6196"/>
    <w:rsid w:val="1D6132A5"/>
    <w:rsid w:val="1D8E56D5"/>
    <w:rsid w:val="1DAB0625"/>
    <w:rsid w:val="1DF40CCC"/>
    <w:rsid w:val="1E0570F2"/>
    <w:rsid w:val="1E345403"/>
    <w:rsid w:val="1E7A43DA"/>
    <w:rsid w:val="1E7F430C"/>
    <w:rsid w:val="1E8D1659"/>
    <w:rsid w:val="1EB277FE"/>
    <w:rsid w:val="1EE56BF9"/>
    <w:rsid w:val="1FE7539E"/>
    <w:rsid w:val="20963CB8"/>
    <w:rsid w:val="20B07FB6"/>
    <w:rsid w:val="20CC20C7"/>
    <w:rsid w:val="213B74B1"/>
    <w:rsid w:val="215A2310"/>
    <w:rsid w:val="21DE318A"/>
    <w:rsid w:val="21EF5B80"/>
    <w:rsid w:val="22576990"/>
    <w:rsid w:val="229C4EAB"/>
    <w:rsid w:val="22DF607A"/>
    <w:rsid w:val="23454B5D"/>
    <w:rsid w:val="24040F0A"/>
    <w:rsid w:val="252D53FE"/>
    <w:rsid w:val="257E6A8B"/>
    <w:rsid w:val="25EC2D81"/>
    <w:rsid w:val="26396DF4"/>
    <w:rsid w:val="264528BD"/>
    <w:rsid w:val="26A8395B"/>
    <w:rsid w:val="26E265C8"/>
    <w:rsid w:val="272D35FA"/>
    <w:rsid w:val="275235E7"/>
    <w:rsid w:val="27D15DD1"/>
    <w:rsid w:val="28910EA0"/>
    <w:rsid w:val="289A4CFE"/>
    <w:rsid w:val="28A76295"/>
    <w:rsid w:val="29206EB8"/>
    <w:rsid w:val="295B670C"/>
    <w:rsid w:val="299F0AA1"/>
    <w:rsid w:val="29E325E0"/>
    <w:rsid w:val="2A22205F"/>
    <w:rsid w:val="2A452503"/>
    <w:rsid w:val="2A6C482F"/>
    <w:rsid w:val="2AAB70B7"/>
    <w:rsid w:val="2BA936A8"/>
    <w:rsid w:val="2C315A5A"/>
    <w:rsid w:val="2CAB19EB"/>
    <w:rsid w:val="2D752F40"/>
    <w:rsid w:val="2D9E56F5"/>
    <w:rsid w:val="2E667F96"/>
    <w:rsid w:val="2E8226AB"/>
    <w:rsid w:val="2EC50924"/>
    <w:rsid w:val="2F394F0B"/>
    <w:rsid w:val="2F6C2DD2"/>
    <w:rsid w:val="2F832C79"/>
    <w:rsid w:val="2FEF2D58"/>
    <w:rsid w:val="2FF410B3"/>
    <w:rsid w:val="30135F84"/>
    <w:rsid w:val="30580BC9"/>
    <w:rsid w:val="306B3FE8"/>
    <w:rsid w:val="311E2ED7"/>
    <w:rsid w:val="315C449C"/>
    <w:rsid w:val="316E1A54"/>
    <w:rsid w:val="31804EB6"/>
    <w:rsid w:val="31B47D1E"/>
    <w:rsid w:val="31B82709"/>
    <w:rsid w:val="32264170"/>
    <w:rsid w:val="32400B34"/>
    <w:rsid w:val="324338A6"/>
    <w:rsid w:val="325C524E"/>
    <w:rsid w:val="329E6876"/>
    <w:rsid w:val="32A70EBC"/>
    <w:rsid w:val="32DB1E67"/>
    <w:rsid w:val="32DB4D72"/>
    <w:rsid w:val="3350494B"/>
    <w:rsid w:val="33C2094E"/>
    <w:rsid w:val="33D934D4"/>
    <w:rsid w:val="33FE2F6A"/>
    <w:rsid w:val="35AD67BA"/>
    <w:rsid w:val="35D703D8"/>
    <w:rsid w:val="35DA065A"/>
    <w:rsid w:val="36074A7F"/>
    <w:rsid w:val="3691107A"/>
    <w:rsid w:val="36923549"/>
    <w:rsid w:val="36B75FBF"/>
    <w:rsid w:val="36FB4891"/>
    <w:rsid w:val="37991624"/>
    <w:rsid w:val="37CD4314"/>
    <w:rsid w:val="37DE318C"/>
    <w:rsid w:val="37FD2892"/>
    <w:rsid w:val="388373F3"/>
    <w:rsid w:val="38F12CD3"/>
    <w:rsid w:val="38F94775"/>
    <w:rsid w:val="392971ED"/>
    <w:rsid w:val="394951E9"/>
    <w:rsid w:val="39F951F1"/>
    <w:rsid w:val="3A290BF1"/>
    <w:rsid w:val="3AF41080"/>
    <w:rsid w:val="3B1B1B34"/>
    <w:rsid w:val="3B301FCA"/>
    <w:rsid w:val="3B3763D1"/>
    <w:rsid w:val="3B88150A"/>
    <w:rsid w:val="3B9624DD"/>
    <w:rsid w:val="3BB04A8C"/>
    <w:rsid w:val="3BF9515B"/>
    <w:rsid w:val="3CDA245A"/>
    <w:rsid w:val="3CEE0A37"/>
    <w:rsid w:val="3DBB6FA9"/>
    <w:rsid w:val="3E996F4D"/>
    <w:rsid w:val="3F150C64"/>
    <w:rsid w:val="3F660E74"/>
    <w:rsid w:val="3FA812B4"/>
    <w:rsid w:val="403D7799"/>
    <w:rsid w:val="407A6407"/>
    <w:rsid w:val="4154517D"/>
    <w:rsid w:val="41965B40"/>
    <w:rsid w:val="41B52C4C"/>
    <w:rsid w:val="42232DA8"/>
    <w:rsid w:val="423A3BCC"/>
    <w:rsid w:val="423E0B4D"/>
    <w:rsid w:val="42760003"/>
    <w:rsid w:val="433A6FE6"/>
    <w:rsid w:val="4350713C"/>
    <w:rsid w:val="436653E0"/>
    <w:rsid w:val="44CD14E0"/>
    <w:rsid w:val="44E64193"/>
    <w:rsid w:val="458946E9"/>
    <w:rsid w:val="45AB786E"/>
    <w:rsid w:val="46D955A7"/>
    <w:rsid w:val="46EC47D1"/>
    <w:rsid w:val="46F633C3"/>
    <w:rsid w:val="47133957"/>
    <w:rsid w:val="4779329E"/>
    <w:rsid w:val="47A07E0C"/>
    <w:rsid w:val="484904C2"/>
    <w:rsid w:val="4870272E"/>
    <w:rsid w:val="48E27902"/>
    <w:rsid w:val="48EE34CF"/>
    <w:rsid w:val="49DC7715"/>
    <w:rsid w:val="4A023139"/>
    <w:rsid w:val="4A27084C"/>
    <w:rsid w:val="4A7B576F"/>
    <w:rsid w:val="4C4A0649"/>
    <w:rsid w:val="4CE470D3"/>
    <w:rsid w:val="4DEC4FB0"/>
    <w:rsid w:val="4DF41B79"/>
    <w:rsid w:val="4E075D8A"/>
    <w:rsid w:val="4E117556"/>
    <w:rsid w:val="4E951B51"/>
    <w:rsid w:val="4FC62A8C"/>
    <w:rsid w:val="4FE20F0D"/>
    <w:rsid w:val="50504C4B"/>
    <w:rsid w:val="509C6E7C"/>
    <w:rsid w:val="50A5257F"/>
    <w:rsid w:val="5162104E"/>
    <w:rsid w:val="516C6DD3"/>
    <w:rsid w:val="519526E6"/>
    <w:rsid w:val="535C4B7C"/>
    <w:rsid w:val="53A039CC"/>
    <w:rsid w:val="53A1505A"/>
    <w:rsid w:val="54063E08"/>
    <w:rsid w:val="541A6B87"/>
    <w:rsid w:val="543437E8"/>
    <w:rsid w:val="551B268C"/>
    <w:rsid w:val="5599230F"/>
    <w:rsid w:val="559B174B"/>
    <w:rsid w:val="55CE0CF4"/>
    <w:rsid w:val="55D97B35"/>
    <w:rsid w:val="55F33F7A"/>
    <w:rsid w:val="56545C25"/>
    <w:rsid w:val="56694C24"/>
    <w:rsid w:val="56846A7E"/>
    <w:rsid w:val="5694781D"/>
    <w:rsid w:val="56B22A9C"/>
    <w:rsid w:val="56EB388B"/>
    <w:rsid w:val="57B72A76"/>
    <w:rsid w:val="58B14612"/>
    <w:rsid w:val="58BA3515"/>
    <w:rsid w:val="5A305AE1"/>
    <w:rsid w:val="5A3C747D"/>
    <w:rsid w:val="5A904199"/>
    <w:rsid w:val="5ABA4A7C"/>
    <w:rsid w:val="5ABE2233"/>
    <w:rsid w:val="5B276D18"/>
    <w:rsid w:val="5B9654FA"/>
    <w:rsid w:val="5BDF5D95"/>
    <w:rsid w:val="5C0B6F98"/>
    <w:rsid w:val="5D7B096A"/>
    <w:rsid w:val="5DF87A0F"/>
    <w:rsid w:val="5DFC51FB"/>
    <w:rsid w:val="5E787004"/>
    <w:rsid w:val="5F1A2B43"/>
    <w:rsid w:val="5F607E64"/>
    <w:rsid w:val="5F9A28EF"/>
    <w:rsid w:val="5FB837BB"/>
    <w:rsid w:val="613A04D2"/>
    <w:rsid w:val="61FF4639"/>
    <w:rsid w:val="62364782"/>
    <w:rsid w:val="623F0B7F"/>
    <w:rsid w:val="632A58EA"/>
    <w:rsid w:val="6344440D"/>
    <w:rsid w:val="63D40BE9"/>
    <w:rsid w:val="63E0211F"/>
    <w:rsid w:val="6445382C"/>
    <w:rsid w:val="6498428B"/>
    <w:rsid w:val="65373578"/>
    <w:rsid w:val="67367EE7"/>
    <w:rsid w:val="673F2C7A"/>
    <w:rsid w:val="681F6961"/>
    <w:rsid w:val="68491692"/>
    <w:rsid w:val="68610A2F"/>
    <w:rsid w:val="686F373A"/>
    <w:rsid w:val="68805514"/>
    <w:rsid w:val="694E2071"/>
    <w:rsid w:val="697A3B33"/>
    <w:rsid w:val="697A77EA"/>
    <w:rsid w:val="699E2456"/>
    <w:rsid w:val="6A42118F"/>
    <w:rsid w:val="6AD05C45"/>
    <w:rsid w:val="6B0C185C"/>
    <w:rsid w:val="6B322639"/>
    <w:rsid w:val="6B4F21E3"/>
    <w:rsid w:val="6BDE6041"/>
    <w:rsid w:val="6C0134DD"/>
    <w:rsid w:val="6C244550"/>
    <w:rsid w:val="6C3F33C7"/>
    <w:rsid w:val="6C4D6722"/>
    <w:rsid w:val="6C636C38"/>
    <w:rsid w:val="6C886059"/>
    <w:rsid w:val="6CF46689"/>
    <w:rsid w:val="6D0C2DF1"/>
    <w:rsid w:val="6DB34098"/>
    <w:rsid w:val="6DB545B6"/>
    <w:rsid w:val="6E1443BA"/>
    <w:rsid w:val="6E4375A0"/>
    <w:rsid w:val="6E514CED"/>
    <w:rsid w:val="6E79491A"/>
    <w:rsid w:val="6EB563D5"/>
    <w:rsid w:val="6F102B4B"/>
    <w:rsid w:val="6F225983"/>
    <w:rsid w:val="6F78650A"/>
    <w:rsid w:val="6FFC5590"/>
    <w:rsid w:val="701D77FC"/>
    <w:rsid w:val="70301DA3"/>
    <w:rsid w:val="706D1DD0"/>
    <w:rsid w:val="70856B87"/>
    <w:rsid w:val="70D527EE"/>
    <w:rsid w:val="70EE7B51"/>
    <w:rsid w:val="715B5300"/>
    <w:rsid w:val="715F4BD7"/>
    <w:rsid w:val="719B1805"/>
    <w:rsid w:val="71D27F8A"/>
    <w:rsid w:val="71F744C6"/>
    <w:rsid w:val="71F960CF"/>
    <w:rsid w:val="723113F3"/>
    <w:rsid w:val="72D305D9"/>
    <w:rsid w:val="72E40370"/>
    <w:rsid w:val="731F5D5E"/>
    <w:rsid w:val="73377096"/>
    <w:rsid w:val="740B464C"/>
    <w:rsid w:val="741E793C"/>
    <w:rsid w:val="75642295"/>
    <w:rsid w:val="758D75E2"/>
    <w:rsid w:val="76AA7E20"/>
    <w:rsid w:val="76F82BFD"/>
    <w:rsid w:val="77762421"/>
    <w:rsid w:val="77835D53"/>
    <w:rsid w:val="780F09F4"/>
    <w:rsid w:val="789C4F47"/>
    <w:rsid w:val="78A90480"/>
    <w:rsid w:val="79811327"/>
    <w:rsid w:val="7A364017"/>
    <w:rsid w:val="7A8265E1"/>
    <w:rsid w:val="7AC10A3B"/>
    <w:rsid w:val="7B455D27"/>
    <w:rsid w:val="7B686D42"/>
    <w:rsid w:val="7B707FF1"/>
    <w:rsid w:val="7B841746"/>
    <w:rsid w:val="7C5C1F5D"/>
    <w:rsid w:val="7C69302E"/>
    <w:rsid w:val="7D0239FF"/>
    <w:rsid w:val="7D23483C"/>
    <w:rsid w:val="7D5E40CD"/>
    <w:rsid w:val="7D693BED"/>
    <w:rsid w:val="7D7D65AB"/>
    <w:rsid w:val="7E444252"/>
    <w:rsid w:val="7F26405D"/>
    <w:rsid w:val="7FC74BC1"/>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47"/>
    <w:qFormat/>
    <w:locked/>
    <w:uiPriority w:val="0"/>
    <w:pPr>
      <w:keepNext/>
      <w:keepLines/>
      <w:numPr>
        <w:ilvl w:val="1"/>
        <w:numId w:val="1"/>
      </w:numPr>
      <w:spacing w:beforeLines="0" w:beforeAutospacing="0" w:afterLines="0" w:afterAutospacing="0" w:line="360" w:lineRule="auto"/>
      <w:ind w:left="575" w:hanging="575" w:firstLineChars="0"/>
      <w:outlineLvl w:val="1"/>
    </w:pPr>
    <w:rPr>
      <w:rFonts w:ascii="Arial" w:hAnsi="Arial" w:eastAsia="宋体" w:cs="Times New Roman"/>
      <w:b/>
      <w:sz w:val="30"/>
      <w:szCs w:val="24"/>
    </w:rPr>
  </w:style>
  <w:style w:type="paragraph" w:styleId="6">
    <w:name w:val="heading 3"/>
    <w:basedOn w:val="1"/>
    <w:next w:val="1"/>
    <w:qFormat/>
    <w:locked/>
    <w:uiPriority w:val="0"/>
    <w:pPr>
      <w:keepNext/>
      <w:keepLines/>
      <w:numPr>
        <w:ilvl w:val="2"/>
        <w:numId w:val="2"/>
      </w:numPr>
      <w:spacing w:beforeLines="0" w:beforeAutospacing="0" w:afterLines="0" w:afterAutospacing="0" w:line="360" w:lineRule="auto"/>
      <w:ind w:left="0" w:firstLine="0" w:firstLineChars="0"/>
      <w:outlineLvl w:val="2"/>
    </w:pPr>
    <w:rPr>
      <w:rFonts w:ascii="Times New Roman" w:hAnsi="Times New Roman" w:eastAsia="宋体" w:cs="Times New Roman"/>
      <w:b/>
      <w:sz w:val="24"/>
      <w:szCs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210" w:firstLineChars="200"/>
    </w:pPr>
    <w:rPr>
      <w:kern w:val="2"/>
      <w:sz w:val="21"/>
      <w:szCs w:val="24"/>
    </w:rPr>
  </w:style>
  <w:style w:type="paragraph" w:styleId="3">
    <w:name w:val="Body Text Indent"/>
    <w:basedOn w:val="1"/>
    <w:link w:val="31"/>
    <w:semiHidden/>
    <w:qFormat/>
    <w:uiPriority w:val="0"/>
    <w:pPr>
      <w:spacing w:after="120"/>
      <w:ind w:left="420" w:leftChars="200"/>
    </w:pPr>
  </w:style>
  <w:style w:type="paragraph" w:styleId="7">
    <w:name w:val="annotation text"/>
    <w:basedOn w:val="1"/>
    <w:link w:val="29"/>
    <w:semiHidden/>
    <w:qFormat/>
    <w:uiPriority w:val="0"/>
    <w:pPr>
      <w:jc w:val="left"/>
    </w:pPr>
    <w:rPr>
      <w:kern w:val="0"/>
      <w:sz w:val="20"/>
    </w:rPr>
  </w:style>
  <w:style w:type="paragraph" w:styleId="8">
    <w:name w:val="Body Text"/>
    <w:basedOn w:val="1"/>
    <w:next w:val="9"/>
    <w:link w:val="30"/>
    <w:qFormat/>
    <w:uiPriority w:val="0"/>
    <w:pPr>
      <w:widowControl/>
      <w:snapToGrid w:val="0"/>
      <w:spacing w:before="60" w:after="160" w:line="259" w:lineRule="auto"/>
      <w:ind w:right="113"/>
    </w:pPr>
    <w:rPr>
      <w:kern w:val="0"/>
      <w:sz w:val="18"/>
      <w:szCs w:val="18"/>
    </w:rPr>
  </w:style>
  <w:style w:type="paragraph" w:customStyle="1" w:styleId="9">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paragraph" w:styleId="10">
    <w:name w:val="Date"/>
    <w:basedOn w:val="1"/>
    <w:next w:val="1"/>
    <w:link w:val="32"/>
    <w:qFormat/>
    <w:uiPriority w:val="0"/>
    <w:pPr>
      <w:ind w:left="100" w:leftChars="2500"/>
    </w:pPr>
    <w:rPr>
      <w:kern w:val="0"/>
      <w:sz w:val="20"/>
    </w:rPr>
  </w:style>
  <w:style w:type="paragraph" w:styleId="11">
    <w:name w:val="Balloon Text"/>
    <w:basedOn w:val="1"/>
    <w:link w:val="33"/>
    <w:semiHidden/>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locked/>
    <w:uiPriority w:val="0"/>
    <w:pPr>
      <w:tabs>
        <w:tab w:val="right" w:leader="dot" w:pos="8720"/>
      </w:tabs>
      <w:spacing w:before="120" w:after="120"/>
      <w:jc w:val="left"/>
    </w:pPr>
    <w:rPr>
      <w:rFonts w:ascii="Times New Roman" w:hAnsi="Times New Roman" w:cs="Times New Roman"/>
      <w:bCs/>
      <w:caps/>
      <w:lang w:val="zh-CN" w:bidi="zh-CN"/>
    </w:rPr>
  </w:style>
  <w:style w:type="paragraph" w:styleId="15">
    <w:name w:val="Normal (Web)"/>
    <w:basedOn w:val="1"/>
    <w:link w:val="36"/>
    <w:qFormat/>
    <w:uiPriority w:val="0"/>
    <w:pPr>
      <w:widowControl/>
      <w:spacing w:before="100" w:beforeAutospacing="1" w:after="100" w:afterAutospacing="1"/>
      <w:jc w:val="left"/>
    </w:pPr>
    <w:rPr>
      <w:rFonts w:ascii="宋体" w:hAnsi="宋体"/>
      <w:kern w:val="0"/>
      <w:sz w:val="24"/>
    </w:rPr>
  </w:style>
  <w:style w:type="paragraph" w:styleId="16">
    <w:name w:val="annotation subject"/>
    <w:basedOn w:val="7"/>
    <w:next w:val="7"/>
    <w:link w:val="37"/>
    <w:semiHidden/>
    <w:qFormat/>
    <w:uiPriority w:val="0"/>
    <w:rPr>
      <w:b/>
      <w:bCs/>
    </w:rPr>
  </w:style>
  <w:style w:type="paragraph" w:styleId="17">
    <w:name w:val="Body Text First Indent"/>
    <w:basedOn w:val="8"/>
    <w:qFormat/>
    <w:uiPriority w:val="0"/>
    <w:pPr>
      <w:adjustRightInd w:val="0"/>
      <w:snapToGrid w:val="0"/>
      <w:spacing w:before="156" w:beforeLines="50" w:after="0" w:afterLines="0" w:line="360" w:lineRule="auto"/>
      <w:ind w:firstLine="200" w:firstLineChars="200"/>
    </w:pPr>
    <w:rPr>
      <w:sz w:val="24"/>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locked/>
    <w:uiPriority w:val="0"/>
    <w:rPr>
      <w:b/>
    </w:rPr>
  </w:style>
  <w:style w:type="character" w:styleId="22">
    <w:name w:val="page number"/>
    <w:basedOn w:val="20"/>
    <w:qFormat/>
    <w:uiPriority w:val="0"/>
  </w:style>
  <w:style w:type="character" w:styleId="23">
    <w:name w:val="FollowedHyperlink"/>
    <w:basedOn w:val="20"/>
    <w:qFormat/>
    <w:uiPriority w:val="0"/>
    <w:rPr>
      <w:color w:val="333333"/>
      <w:u w:val="none"/>
    </w:rPr>
  </w:style>
  <w:style w:type="character" w:styleId="24">
    <w:name w:val="Emphasis"/>
    <w:basedOn w:val="20"/>
    <w:qFormat/>
    <w:locked/>
    <w:uiPriority w:val="0"/>
  </w:style>
  <w:style w:type="character" w:styleId="25">
    <w:name w:val="Hyperlink"/>
    <w:basedOn w:val="20"/>
    <w:qFormat/>
    <w:uiPriority w:val="0"/>
    <w:rPr>
      <w:color w:val="333333"/>
      <w:u w:val="none"/>
    </w:rPr>
  </w:style>
  <w:style w:type="character" w:styleId="26">
    <w:name w:val="annotation reference"/>
    <w:basedOn w:val="20"/>
    <w:semiHidden/>
    <w:qFormat/>
    <w:uiPriority w:val="0"/>
    <w:rPr>
      <w:sz w:val="21"/>
    </w:rPr>
  </w:style>
  <w:style w:type="paragraph" w:customStyle="1" w:styleId="27">
    <w:name w:val="表格文字"/>
    <w:basedOn w:val="17"/>
    <w:next w:val="1"/>
    <w:semiHidden/>
    <w:qFormat/>
    <w:uiPriority w:val="0"/>
    <w:pPr>
      <w:adjustRightInd w:val="0"/>
      <w:snapToGrid w:val="0"/>
      <w:spacing w:line="240" w:lineRule="auto"/>
      <w:ind w:firstLine="0" w:firstLineChars="0"/>
      <w:jc w:val="center"/>
      <w:textAlignment w:val="center"/>
    </w:pPr>
    <w:rPr>
      <w:rFonts w:ascii="Times New Roman" w:hAnsi="Times New Roman" w:eastAsia="宋体" w:cs="Times New Roman"/>
      <w:sz w:val="21"/>
    </w:rPr>
  </w:style>
  <w:style w:type="paragraph" w:customStyle="1" w:styleId="28">
    <w:name w:val="表格标题"/>
    <w:basedOn w:val="17"/>
    <w:qFormat/>
    <w:uiPriority w:val="0"/>
    <w:pPr>
      <w:spacing w:before="0" w:beforeLines="0" w:line="360" w:lineRule="auto"/>
      <w:ind w:firstLine="0" w:firstLineChars="0"/>
      <w:jc w:val="center"/>
    </w:pPr>
    <w:rPr>
      <w:rFonts w:ascii="Times New Roman" w:hAnsi="Times New Roman" w:eastAsia="黑体" w:cs="Times New Roman"/>
      <w:sz w:val="24"/>
    </w:rPr>
  </w:style>
  <w:style w:type="character" w:customStyle="1" w:styleId="29">
    <w:name w:val="Comment Text Char"/>
    <w:link w:val="7"/>
    <w:qFormat/>
    <w:locked/>
    <w:uiPriority w:val="0"/>
    <w:rPr>
      <w:rFonts w:ascii="Times New Roman" w:hAnsi="Times New Roman" w:eastAsia="宋体"/>
      <w:sz w:val="24"/>
    </w:rPr>
  </w:style>
  <w:style w:type="character" w:customStyle="1" w:styleId="30">
    <w:name w:val="Body Text Char"/>
    <w:link w:val="8"/>
    <w:qFormat/>
    <w:locked/>
    <w:uiPriority w:val="0"/>
    <w:rPr>
      <w:sz w:val="18"/>
    </w:rPr>
  </w:style>
  <w:style w:type="character" w:customStyle="1" w:styleId="31">
    <w:name w:val="Body Text Indent Char"/>
    <w:basedOn w:val="20"/>
    <w:link w:val="3"/>
    <w:semiHidden/>
    <w:qFormat/>
    <w:locked/>
    <w:uiPriority w:val="0"/>
    <w:rPr>
      <w:rFonts w:ascii="Times New Roman" w:hAnsi="Times New Roman" w:eastAsia="宋体" w:cs="Times New Roman"/>
      <w:sz w:val="24"/>
      <w:szCs w:val="24"/>
    </w:rPr>
  </w:style>
  <w:style w:type="character" w:customStyle="1" w:styleId="32">
    <w:name w:val="Date Char"/>
    <w:link w:val="10"/>
    <w:qFormat/>
    <w:locked/>
    <w:uiPriority w:val="0"/>
    <w:rPr>
      <w:rFonts w:ascii="Times New Roman" w:hAnsi="Times New Roman" w:eastAsia="宋体"/>
      <w:sz w:val="24"/>
    </w:rPr>
  </w:style>
  <w:style w:type="character" w:customStyle="1" w:styleId="33">
    <w:name w:val="Balloon Text Char"/>
    <w:basedOn w:val="20"/>
    <w:link w:val="11"/>
    <w:semiHidden/>
    <w:qFormat/>
    <w:locked/>
    <w:uiPriority w:val="0"/>
    <w:rPr>
      <w:rFonts w:ascii="Times New Roman" w:hAnsi="Times New Roman" w:eastAsia="宋体" w:cs="Times New Roman"/>
      <w:sz w:val="18"/>
      <w:szCs w:val="18"/>
    </w:rPr>
  </w:style>
  <w:style w:type="character" w:customStyle="1" w:styleId="34">
    <w:name w:val="Footer Char"/>
    <w:basedOn w:val="20"/>
    <w:link w:val="12"/>
    <w:qFormat/>
    <w:locked/>
    <w:uiPriority w:val="0"/>
    <w:rPr>
      <w:rFonts w:cs="Times New Roman"/>
      <w:sz w:val="18"/>
      <w:szCs w:val="18"/>
    </w:rPr>
  </w:style>
  <w:style w:type="character" w:customStyle="1" w:styleId="35">
    <w:name w:val="Header Char"/>
    <w:basedOn w:val="20"/>
    <w:link w:val="13"/>
    <w:qFormat/>
    <w:locked/>
    <w:uiPriority w:val="0"/>
    <w:rPr>
      <w:rFonts w:cs="Times New Roman"/>
      <w:sz w:val="18"/>
      <w:szCs w:val="18"/>
    </w:rPr>
  </w:style>
  <w:style w:type="character" w:customStyle="1" w:styleId="36">
    <w:name w:val="Normal (Web) Char"/>
    <w:link w:val="15"/>
    <w:qFormat/>
    <w:locked/>
    <w:uiPriority w:val="0"/>
    <w:rPr>
      <w:rFonts w:ascii="宋体" w:hAnsi="宋体" w:eastAsia="宋体"/>
      <w:sz w:val="24"/>
    </w:rPr>
  </w:style>
  <w:style w:type="character" w:customStyle="1" w:styleId="37">
    <w:name w:val="Comment Subject Char"/>
    <w:basedOn w:val="29"/>
    <w:link w:val="16"/>
    <w:semiHidden/>
    <w:qFormat/>
    <w:locked/>
    <w:uiPriority w:val="0"/>
    <w:rPr>
      <w:rFonts w:cs="Times New Roman"/>
      <w:b/>
      <w:bCs/>
      <w:kern w:val="2"/>
      <w:szCs w:val="24"/>
    </w:rPr>
  </w:style>
  <w:style w:type="paragraph" w:customStyle="1" w:styleId="38">
    <w:name w:val="表格"/>
    <w:basedOn w:val="1"/>
    <w:next w:val="1"/>
    <w:link w:val="39"/>
    <w:qFormat/>
    <w:uiPriority w:val="0"/>
    <w:pPr>
      <w:adjustRightInd w:val="0"/>
      <w:snapToGrid w:val="0"/>
      <w:spacing w:beforeLines="10" w:afterLines="10" w:line="259" w:lineRule="auto"/>
      <w:jc w:val="center"/>
    </w:pPr>
    <w:rPr>
      <w:rFonts w:ascii="宋体"/>
      <w:kern w:val="0"/>
      <w:sz w:val="20"/>
      <w:szCs w:val="21"/>
    </w:rPr>
  </w:style>
  <w:style w:type="character" w:customStyle="1" w:styleId="39">
    <w:name w:val="表格 Char"/>
    <w:link w:val="38"/>
    <w:qFormat/>
    <w:locked/>
    <w:uiPriority w:val="0"/>
    <w:rPr>
      <w:rFonts w:ascii="宋体"/>
      <w:sz w:val="21"/>
    </w:rPr>
  </w:style>
  <w:style w:type="character" w:customStyle="1" w:styleId="40">
    <w:name w:val="批注文字 字符1"/>
    <w:basedOn w:val="20"/>
    <w:semiHidden/>
    <w:qFormat/>
    <w:uiPriority w:val="0"/>
    <w:rPr>
      <w:rFonts w:ascii="Times New Roman" w:hAnsi="Times New Roman" w:eastAsia="宋体" w:cs="Times New Roman"/>
      <w:sz w:val="24"/>
      <w:szCs w:val="24"/>
    </w:rPr>
  </w:style>
  <w:style w:type="character" w:customStyle="1" w:styleId="41">
    <w:name w:val="日期 字符"/>
    <w:basedOn w:val="20"/>
    <w:semiHidden/>
    <w:qFormat/>
    <w:uiPriority w:val="0"/>
    <w:rPr>
      <w:rFonts w:ascii="Times New Roman" w:hAnsi="Times New Roman" w:eastAsia="宋体" w:cs="Times New Roman"/>
      <w:sz w:val="24"/>
      <w:szCs w:val="24"/>
    </w:rPr>
  </w:style>
  <w:style w:type="character" w:customStyle="1" w:styleId="42">
    <w:name w:val="正文文本 字符1"/>
    <w:basedOn w:val="20"/>
    <w:semiHidden/>
    <w:qFormat/>
    <w:uiPriority w:val="0"/>
    <w:rPr>
      <w:rFonts w:ascii="Times New Roman" w:hAnsi="Times New Roman" w:eastAsia="宋体" w:cs="Times New Roman"/>
      <w:sz w:val="24"/>
      <w:szCs w:val="24"/>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4">
    <w:name w:val="图表标题"/>
    <w:basedOn w:val="1"/>
    <w:next w:val="1"/>
    <w:qFormat/>
    <w:uiPriority w:val="0"/>
    <w:pPr>
      <w:adjustRightInd/>
      <w:spacing w:line="500" w:lineRule="exact"/>
      <w:ind w:firstLine="0" w:firstLineChars="0"/>
      <w:jc w:val="center"/>
    </w:pPr>
    <w:rPr>
      <w:rFonts w:hAnsi="Calibri"/>
      <w:b/>
      <w:bCs/>
      <w:snapToGrid w:val="0"/>
      <w:kern w:val="0"/>
      <w:sz w:val="21"/>
      <w:szCs w:val="21"/>
    </w:rPr>
  </w:style>
  <w:style w:type="paragraph" w:customStyle="1" w:styleId="45">
    <w:name w:val="表内文字"/>
    <w:basedOn w:val="1"/>
    <w:qFormat/>
    <w:uiPriority w:val="0"/>
    <w:pPr>
      <w:spacing w:line="240" w:lineRule="auto"/>
      <w:ind w:firstLine="0" w:firstLineChars="0"/>
      <w:jc w:val="center"/>
    </w:pPr>
    <w:rPr>
      <w:rFonts w:ascii="Times New Roman" w:hAnsi="Times New Roman" w:eastAsia="宋体"/>
      <w:sz w:val="21"/>
      <w:szCs w:val="21"/>
    </w:rPr>
  </w:style>
  <w:style w:type="table" w:customStyle="1" w:styleId="46">
    <w:name w:val="Table Normal"/>
    <w:semiHidden/>
    <w:unhideWhenUsed/>
    <w:qFormat/>
    <w:uiPriority w:val="0"/>
    <w:tblPr>
      <w:tblCellMar>
        <w:top w:w="0" w:type="dxa"/>
        <w:left w:w="0" w:type="dxa"/>
        <w:bottom w:w="0" w:type="dxa"/>
        <w:right w:w="0" w:type="dxa"/>
      </w:tblCellMar>
    </w:tblPr>
  </w:style>
  <w:style w:type="character" w:customStyle="1" w:styleId="47">
    <w:name w:val="标题 2 字符"/>
    <w:basedOn w:val="20"/>
    <w:link w:val="5"/>
    <w:qFormat/>
    <w:uiPriority w:val="9"/>
    <w:rPr>
      <w:rFonts w:ascii="Arial" w:hAnsi="Arial" w:eastAsia="宋体" w:cs="Times New Roman"/>
      <w:b/>
      <w:sz w:val="30"/>
      <w:szCs w:val="24"/>
    </w:rPr>
  </w:style>
  <w:style w:type="paragraph" w:customStyle="1" w:styleId="4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91</Pages>
  <Words>53108</Words>
  <Characters>61572</Characters>
  <Lines>9</Lines>
  <Paragraphs>2</Paragraphs>
  <TotalTime>0</TotalTime>
  <ScaleCrop>false</ScaleCrop>
  <LinksUpToDate>false</LinksUpToDate>
  <CharactersWithSpaces>61783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旖旎</cp:lastModifiedBy>
  <cp:lastPrinted>2021-08-26T03:39:00Z</cp:lastPrinted>
  <dcterms:modified xsi:type="dcterms:W3CDTF">2022-09-13T08:08:46Z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33C049851E234033B5BD646A3EBB1F18</vt:lpwstr>
  </property>
</Properties>
</file>