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83"/>
          <w:tab w:val="right" w:pos="8844"/>
        </w:tabs>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湘阴县2022年中小学阳光招生工作方案</w:t>
      </w:r>
    </w:p>
    <w:p>
      <w:pPr>
        <w:spacing w:line="600" w:lineRule="exact"/>
        <w:ind w:firstLine="620" w:firstLineChars="200"/>
        <w:jc w:val="center"/>
        <w:rPr>
          <w:rFonts w:hint="eastAsia" w:ascii="仿宋_GB2312" w:hAnsi="仿宋_GB2312" w:eastAsia="仿宋_GB2312" w:cs="仿宋_GB2312"/>
          <w:sz w:val="32"/>
          <w:szCs w:val="32"/>
        </w:rPr>
      </w:pPr>
      <w:bookmarkStart w:id="0" w:name="_GoBack"/>
      <w:bookmarkEnd w:id="0"/>
      <w:r>
        <w:rPr>
          <w:rFonts w:hint="default" w:ascii="仿宋_GB2312" w:hAnsi="微软雅黑" w:eastAsia="仿宋_GB2312" w:cs="仿宋_GB2312"/>
          <w:i w:val="0"/>
          <w:iCs w:val="0"/>
          <w:caps w:val="0"/>
          <w:color w:val="333333"/>
          <w:spacing w:val="0"/>
          <w:sz w:val="31"/>
          <w:szCs w:val="31"/>
          <w:shd w:val="clear" w:fill="FFFFFF"/>
        </w:rPr>
        <w:t>（征求意见稿）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sz w:val="32"/>
          <w:szCs w:val="32"/>
        </w:rPr>
        <w:t>为深入推进“阳光招生”，全面规范普通中小学招生行为，坚决遏制违规招生</w:t>
      </w:r>
      <w:r>
        <w:rPr>
          <w:rFonts w:ascii="仿宋_GB2312" w:hAnsi="宋体" w:eastAsia="仿宋_GB2312" w:cs="宋体"/>
          <w:sz w:val="32"/>
          <w:szCs w:val="32"/>
          <w:lang w:val="en"/>
        </w:rPr>
        <w:t>，</w:t>
      </w:r>
      <w:r>
        <w:rPr>
          <w:rFonts w:hint="eastAsia" w:ascii="仿宋_GB2312" w:hAnsi="宋体" w:eastAsia="仿宋_GB2312" w:cs="宋体"/>
          <w:sz w:val="32"/>
          <w:szCs w:val="32"/>
        </w:rPr>
        <w:t>健全公平入学长效机制</w:t>
      </w:r>
      <w:r>
        <w:rPr>
          <w:rFonts w:ascii="仿宋_GB2312" w:hAnsi="宋体" w:eastAsia="仿宋_GB2312" w:cs="宋体"/>
          <w:sz w:val="32"/>
          <w:szCs w:val="32"/>
          <w:lang w:val="en"/>
        </w:rPr>
        <w:t>，</w:t>
      </w:r>
      <w:r>
        <w:rPr>
          <w:rFonts w:hint="eastAsia" w:ascii="仿宋_GB2312" w:hAnsi="宋体" w:eastAsia="仿宋_GB2312" w:cs="宋体"/>
          <w:sz w:val="32"/>
          <w:szCs w:val="32"/>
        </w:rPr>
        <w:t>助推“双减”政策落地见效</w:t>
      </w:r>
      <w:r>
        <w:rPr>
          <w:rFonts w:ascii="仿宋_GB2312" w:hAnsi="宋体" w:eastAsia="仿宋_GB2312" w:cs="宋体"/>
          <w:sz w:val="32"/>
          <w:szCs w:val="32"/>
          <w:lang w:val="en"/>
        </w:rPr>
        <w:t>，</w:t>
      </w:r>
      <w:r>
        <w:rPr>
          <w:rFonts w:hint="eastAsia" w:ascii="仿宋_GB2312" w:hAnsi="宋体" w:eastAsia="仿宋_GB2312" w:cs="宋体"/>
          <w:sz w:val="32"/>
          <w:szCs w:val="32"/>
        </w:rPr>
        <w:t>营造良好教育生态</w:t>
      </w:r>
      <w:r>
        <w:rPr>
          <w:rFonts w:ascii="仿宋_GB2312" w:hAnsi="宋体" w:eastAsia="仿宋_GB2312" w:cs="宋体"/>
          <w:sz w:val="32"/>
          <w:szCs w:val="32"/>
          <w:lang w:val="en"/>
        </w:rPr>
        <w:t>，</w:t>
      </w:r>
      <w:r>
        <w:rPr>
          <w:rFonts w:hint="eastAsia" w:ascii="仿宋_GB2312" w:hAnsi="宋体" w:eastAsia="仿宋_GB2312" w:cs="宋体"/>
          <w:sz w:val="32"/>
          <w:szCs w:val="32"/>
        </w:rPr>
        <w:t>根据《湖南省教育厅关于进一步规范普通中小学招生入学工作的通知》（湘教通〔2022〕102号）</w:t>
      </w:r>
      <w:r>
        <w:rPr>
          <w:rFonts w:hint="eastAsia" w:ascii="仿宋_GB2312" w:hAnsi="仿宋_GB2312" w:eastAsia="仿宋_GB2312" w:cs="仿宋_GB2312"/>
          <w:sz w:val="32"/>
          <w:szCs w:val="32"/>
        </w:rPr>
        <w:t>和《岳阳市教育体育局关于做好2022年全市普通中小学招生入学工作通知》（岳教体发〔2022〕6号）文件要求，结合我县实际，制定本方案。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一、基本原则</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（一）坚持育人为本</w:t>
      </w:r>
      <w:r>
        <w:rPr>
          <w:rFonts w:hint="eastAsia" w:ascii="仿宋_GB2312" w:hAnsi="仿宋_GB2312" w:eastAsia="仿宋_GB2312" w:cs="仿宋_GB2312"/>
          <w:sz w:val="32"/>
          <w:szCs w:val="32"/>
        </w:rPr>
        <w:t>。全面贯彻党的教育方针，落实立德树人根本任务，把促进学生健康成长作为工作的出发点和落脚点，努力培养德智体美劳全面发展的社会主义建设者和接班人。</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（二）坚持依法依规</w:t>
      </w:r>
      <w:r>
        <w:rPr>
          <w:rFonts w:hint="eastAsia" w:ascii="仿宋_GB2312" w:hAnsi="仿宋_GB2312" w:eastAsia="仿宋_GB2312" w:cs="仿宋_GB2312"/>
          <w:sz w:val="32"/>
          <w:szCs w:val="32"/>
        </w:rPr>
        <w:t>。严格遵守《教育法》《中华人民共和国义务教育法》《中华人民共和国民办教育促进法》和《中华人民共和国未成年人保护法》等法律法规，贯彻落实《中共中央国务院关于深化教育教学改革全面提高义务教育质量的意见》（中发〔2019〕26号）、《教育部办公厅关于进一步做好普通中小学招生入学工作的通知》（教基厅〔2022〕1号）、</w:t>
      </w:r>
      <w:r>
        <w:rPr>
          <w:rFonts w:hint="eastAsia" w:ascii="仿宋_GB2312" w:hAnsi="宋体" w:eastAsia="仿宋_GB2312" w:cs="宋体"/>
          <w:sz w:val="32"/>
          <w:szCs w:val="32"/>
        </w:rPr>
        <w:t>《湖南省教育厅关于进一步规范普通中小学招生入学工作的通知》（湘教通〔2022〕102号）</w:t>
      </w:r>
      <w:r>
        <w:rPr>
          <w:rFonts w:hint="eastAsia" w:ascii="仿宋_GB2312" w:hAnsi="仿宋_GB2312" w:eastAsia="仿宋_GB2312" w:cs="仿宋_GB2312"/>
          <w:sz w:val="32"/>
          <w:szCs w:val="32"/>
        </w:rPr>
        <w:t>、《岳阳市教育体育局关于做好2022年全市普通中小学招生入学工作通知》（岳教发〔2022〕6号）文件精神，坚决遏制违规招生入学行为。</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（三）坚持公开、公平、公正</w:t>
      </w:r>
      <w:r>
        <w:rPr>
          <w:rFonts w:hint="eastAsia" w:ascii="仿宋_GB2312" w:hAnsi="仿宋_GB2312" w:eastAsia="仿宋_GB2312" w:cs="仿宋_GB2312"/>
          <w:sz w:val="32"/>
          <w:szCs w:val="32"/>
        </w:rPr>
        <w:t>。全面推行阳光招生，加强招生工作的组织和指导，招生政策、计划、程序、方法、结果向社会公开，自觉接受社会监督。</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（四）坚持统一管理</w:t>
      </w:r>
      <w:r>
        <w:rPr>
          <w:rFonts w:hint="eastAsia" w:ascii="仿宋_GB2312" w:hAnsi="仿宋_GB2312" w:eastAsia="仿宋_GB2312" w:cs="仿宋_GB2312"/>
          <w:sz w:val="32"/>
          <w:szCs w:val="32"/>
        </w:rPr>
        <w:t>。高中阶段由市教育招生平台、义务教育阶段由县教育招生平台实行统一招生、统一录取、统一注册、统一管理。</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（五）坚持分类指导</w:t>
      </w:r>
      <w:r>
        <w:rPr>
          <w:rFonts w:hint="eastAsia" w:ascii="仿宋_GB2312" w:hAnsi="仿宋_GB2312" w:eastAsia="仿宋_GB2312" w:cs="仿宋_GB2312"/>
          <w:sz w:val="32"/>
          <w:szCs w:val="32"/>
        </w:rPr>
        <w:t>。义务教育阶段坚持公民办同招、划块招生，免试就近入学，巩固大班额化解成果；高中阶段招生确保普、职协调发展，考生根据成绩填报志愿学校，学校根据考生志愿和成绩进行择优录取。</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二、组织领导</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湘阴县2022年中小学阳光招生工作领导小组，由县人民政府副县长张亚玲同志任组长，杨建伟、曾维光、彭汉军、王征宇、罗建红、胡向红、杨建军同志任副组长，县教育局各股室长、高中校长、初中校长等为成员，统筹负责全县2022年阳光招生工作。领导小组下设综合招生办公室（以下简称“县综招办”），由县教育局李刚泰同志任办公室主任，负责阳光招生工作的具体实施。</w:t>
      </w:r>
    </w:p>
    <w:p>
      <w:pPr>
        <w:numPr>
          <w:ilvl w:val="0"/>
          <w:numId w:val="1"/>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招生办法</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（一）高中阶段招生办法</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全县普通高中学校和中等职业学校通过岳阳市高中阶段学校招生录取平台</w:t>
      </w:r>
      <w:r>
        <w:rPr>
          <w:rFonts w:hint="eastAsia" w:ascii="仿宋_GB2312" w:hAnsi="微软雅黑" w:eastAsia="仿宋_GB2312" w:cs="宋体"/>
          <w:kern w:val="0"/>
          <w:sz w:val="32"/>
          <w:szCs w:val="32"/>
        </w:rPr>
        <w:t>（网址为http://wszs.yysedu.cn/wish/）</w:t>
      </w:r>
      <w:r>
        <w:rPr>
          <w:rFonts w:ascii="仿宋_GB2312" w:hAnsi="微软雅黑" w:eastAsia="仿宋_GB2312" w:cs="宋体"/>
          <w:kern w:val="0"/>
          <w:sz w:val="32"/>
          <w:szCs w:val="32"/>
        </w:rPr>
        <w:t>统一发布招生信息</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rPr>
        <w:t>统一填报志愿、统一招录、统一公布招生录取结果。</w:t>
      </w:r>
      <w:r>
        <w:rPr>
          <w:rFonts w:ascii="仿宋_GB2312" w:hAnsi="微软雅黑" w:eastAsia="仿宋_GB2312" w:cs="宋体"/>
          <w:kern w:val="0"/>
          <w:sz w:val="32"/>
          <w:szCs w:val="32"/>
        </w:rPr>
        <w:t>公办民办普通高中按</w:t>
      </w:r>
      <w:r>
        <w:rPr>
          <w:rFonts w:hint="eastAsia" w:ascii="仿宋_GB2312" w:hAnsi="微软雅黑" w:eastAsia="仿宋_GB2312" w:cs="宋体"/>
          <w:kern w:val="0"/>
          <w:sz w:val="32"/>
          <w:szCs w:val="32"/>
        </w:rPr>
        <w:t>市教体局</w:t>
      </w:r>
      <w:r>
        <w:rPr>
          <w:rFonts w:ascii="仿宋_GB2312" w:hAnsi="微软雅黑" w:eastAsia="仿宋_GB2312" w:cs="宋体"/>
          <w:kern w:val="0"/>
          <w:sz w:val="32"/>
          <w:szCs w:val="32"/>
        </w:rPr>
        <w:t>统一批准的招生计划、范围、标准和方式同步招生。</w:t>
      </w:r>
      <w:r>
        <w:rPr>
          <w:rFonts w:hint="eastAsia" w:ascii="仿宋_GB2312" w:hAnsi="微软雅黑" w:eastAsia="仿宋_GB2312" w:cs="宋体"/>
          <w:kern w:val="0"/>
          <w:sz w:val="32"/>
          <w:szCs w:val="32"/>
        </w:rPr>
        <w:t>县、市</w:t>
      </w:r>
      <w:r>
        <w:rPr>
          <w:rFonts w:hint="eastAsia" w:ascii="仿宋_GB2312" w:hAnsi="仿宋_GB2312" w:eastAsia="仿宋_GB2312" w:cs="仿宋_GB2312"/>
          <w:sz w:val="32"/>
          <w:szCs w:val="32"/>
        </w:rPr>
        <w:t>教育行政部门以全市高中招生录取平台信息为依据，审核高中学校新生信息，注册高中学籍。</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招生范围及计划</w:t>
      </w:r>
      <w:r>
        <w:rPr>
          <w:rFonts w:hint="eastAsia" w:ascii="仿宋_GB2312" w:hAnsi="仿宋_GB2312" w:eastAsia="仿宋_GB2312" w:cs="仿宋_GB2312"/>
          <w:sz w:val="32"/>
          <w:szCs w:val="32"/>
        </w:rPr>
        <w:t>。</w:t>
      </w:r>
    </w:p>
    <w:p>
      <w:pPr>
        <w:spacing w:line="580" w:lineRule="exact"/>
        <w:ind w:firstLine="643" w:firstLineChars="200"/>
        <w:rPr>
          <w:rFonts w:ascii="仿宋_GB2312" w:hAnsi="微软雅黑" w:eastAsia="仿宋_GB2312" w:cs="宋体"/>
          <w:kern w:val="0"/>
          <w:sz w:val="32"/>
          <w:szCs w:val="32"/>
        </w:rPr>
      </w:pPr>
      <w:r>
        <w:rPr>
          <w:rFonts w:hint="eastAsia" w:ascii="仿宋_GB2312" w:hAnsi="仿宋_GB2312" w:eastAsia="仿宋_GB2312" w:cs="仿宋_GB2312"/>
          <w:b/>
          <w:bCs/>
          <w:sz w:val="32"/>
          <w:szCs w:val="32"/>
        </w:rPr>
        <w:t>（1）招生范围</w:t>
      </w:r>
      <w:r>
        <w:rPr>
          <w:rFonts w:hint="eastAsia" w:ascii="仿宋_GB2312" w:hAnsi="仿宋_GB2312" w:eastAsia="仿宋_GB2312" w:cs="仿宋_GB2312"/>
          <w:sz w:val="32"/>
          <w:szCs w:val="32"/>
        </w:rPr>
        <w:t>。参加2022年初中学业水平考试的县内应届毕业生。公办高中不得跨区域招生，民办普通高中遵循学生自愿的原则，在符合招生政策的基础上，公开公平公正录取学生，录取分数不得低于县综招办确定的普通高中最低录取控制分数线，严禁将录取分数与收费挂钩。民办普通高中</w:t>
      </w:r>
      <w:r>
        <w:rPr>
          <w:rFonts w:hint="eastAsia" w:ascii="仿宋_GB2312" w:hAnsi="微软雅黑" w:eastAsia="仿宋_GB2312" w:cs="宋体"/>
          <w:kern w:val="0"/>
          <w:sz w:val="32"/>
          <w:szCs w:val="32"/>
        </w:rPr>
        <w:t>生源不足的</w:t>
      </w:r>
      <w:r>
        <w:rPr>
          <w:rFonts w:ascii="仿宋_GB2312" w:hAnsi="微软雅黑" w:eastAsia="仿宋_GB2312" w:cs="宋体"/>
          <w:kern w:val="0"/>
          <w:sz w:val="32"/>
          <w:szCs w:val="32"/>
          <w:lang w:val="en"/>
        </w:rPr>
        <w:t>，</w:t>
      </w:r>
      <w:r>
        <w:rPr>
          <w:rFonts w:hint="eastAsia" w:ascii="仿宋_GB2312" w:hAnsi="微软雅黑" w:eastAsia="仿宋_GB2312" w:cs="宋体"/>
          <w:kern w:val="0"/>
          <w:sz w:val="32"/>
          <w:szCs w:val="32"/>
        </w:rPr>
        <w:t>经市教育体育局同意，可在全市范围内统筹调剂安排招生，</w:t>
      </w:r>
      <w:r>
        <w:rPr>
          <w:rFonts w:hint="eastAsia" w:ascii="仿宋_GB2312" w:hAnsi="仿宋_GB2312" w:eastAsia="仿宋_GB2312" w:cs="仿宋_GB2312"/>
          <w:sz w:val="32"/>
          <w:szCs w:val="32"/>
        </w:rPr>
        <w:t>在市域内调剂招生计划的一律不得掐尖，也不得录取分数低于湘阴县普通高中最低录取控制分数线的学生，所有注册普高学籍的学生均不得低于市最低录取控制分数线。</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）招生计划</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各高中学校自主申报招生计划后，按国家普职协调发展、巩固大班额化解成果和新高考改革的要求，由县教育局综招办根据各高中学校基本办学条件和师资情况确定，报市教体局核定并统一下达招生计划（见附件1、2）。</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招生程序</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（1）招生考试</w:t>
      </w:r>
      <w:r>
        <w:rPr>
          <w:rFonts w:hint="eastAsia" w:ascii="仿宋_GB2312" w:hAnsi="仿宋_GB2312" w:eastAsia="仿宋_GB2312" w:cs="仿宋_GB2312"/>
          <w:sz w:val="32"/>
          <w:szCs w:val="32"/>
        </w:rPr>
        <w:t>。高中阶段招生（含自主招生）的文化考试与初中学业水平考试合二为一。各高中学校不得以招生为目的另行组织文化考试。</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（2）志愿填报</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①填报时间</w:t>
      </w:r>
      <w:r>
        <w:rPr>
          <w:rFonts w:hint="eastAsia" w:ascii="仿宋_GB2312" w:hAnsi="仿宋_GB2312" w:eastAsia="仿宋_GB2312" w:cs="仿宋_GB2312"/>
          <w:sz w:val="32"/>
          <w:szCs w:val="32"/>
        </w:rPr>
        <w:t>。2022年7月2日至7月4日。</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②填报方式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考生登陆</w:t>
      </w:r>
      <w:r>
        <w:rPr>
          <w:rFonts w:hint="eastAsia" w:ascii="仿宋_GB2312" w:hAnsi="仿宋_GB2312" w:eastAsia="仿宋_GB2312" w:cs="仿宋_GB2312"/>
          <w:sz w:val="32"/>
          <w:szCs w:val="32"/>
        </w:rPr>
        <w:t>岳阳市高中阶段学校招生录取平台自主填报。考生在填报志愿时要慎重，学生志愿纸质材料必须由学生本人、家长、班主任、校长签字确认，学校加盖单位公章汇总后于7月4日17:00前上报县综招办。考生志愿一经确认上报后任何人不得更改。未按时填报志愿视为学生自动放弃高中录取资格，不予录取，未按时填报调剂志愿的学生，不能参加高中招生调剂录取。</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③志愿类别</w:t>
      </w:r>
      <w:r>
        <w:rPr>
          <w:rFonts w:hint="eastAsia" w:ascii="仿宋_GB2312" w:hAnsi="仿宋_GB2312" w:eastAsia="仿宋_GB2312" w:cs="仿宋_GB2312"/>
          <w:sz w:val="32"/>
          <w:szCs w:val="32"/>
        </w:rPr>
        <w:t>。考生志愿分普高志愿、职高志愿（含对口升学志愿）、调剂志愿三类。</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④填报说明</w:t>
      </w:r>
      <w:r>
        <w:rPr>
          <w:rFonts w:hint="eastAsia" w:ascii="仿宋_GB2312" w:hAnsi="仿宋_GB2312" w:eastAsia="仿宋_GB2312" w:cs="仿宋_GB2312"/>
          <w:sz w:val="32"/>
          <w:szCs w:val="32"/>
        </w:rPr>
        <w:t>。学生在填报普高志愿时，第一志愿可填报湘阴一中、湘阴二中、知源学校、文郡洋沙湖中学等四所普通高中学校中的任意一所。第二志愿可填报湘阴二中、知源学校、文郡洋沙湖中学等三所普通高中学校中的任意一所，且第一、第二志愿不得填报同一所学校。填报职高志愿时，职高对口升学班（计划350人，其中一职300人，二职50人）纳入提前批次录取。各学校在动员毕业生填报志愿时，原则上必须保证有40%以上毕业生填报纯职高志愿，20%的毕业生普职兼报。填报调剂志愿时，原则上要求所有毕业生填报调剂志愿。调剂志愿分公办、民办普高（知源学校或文郡洋沙湖中学）和职高三类进行填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湘阴二中本年度招收“珍珠班”学生，计划招生50人，招收对象为“双特”（成绩“特优”，家庭“特困”）学生，免学费和住宿费，补助生活费，学生报到时由湘阴二中根据条件审核编班。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民办学校收费按照报经县教育、发改部门备案同意的收费标准（含学费标准和住宿标准）执行。其中，知源学校学费标准为8500元/生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期（专业生13800元/生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期），住宿标准为1400元/生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期；文郡洋沙湖中学学费标准为9800元/生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期（专业生19800/生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期），住宿标准为1400元/生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期；中山职校学费标准为7800元/生</w:t>
      </w:r>
      <w:r>
        <w:rPr>
          <w:rFonts w:hint="eastAsia" w:ascii="华文行楷" w:hAnsi="华文行楷" w:eastAsia="华文行楷" w:cs="华文行楷"/>
          <w:sz w:val="32"/>
          <w:szCs w:val="32"/>
        </w:rPr>
        <w:t>·</w:t>
      </w:r>
      <w:r>
        <w:rPr>
          <w:rFonts w:hint="eastAsia" w:ascii="仿宋_GB2312" w:hAnsi="仿宋_GB2312" w:eastAsia="仿宋_GB2312" w:cs="仿宋_GB2312"/>
          <w:sz w:val="32"/>
          <w:szCs w:val="32"/>
        </w:rPr>
        <w:t>期（含住宿费）。</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（3）录取办法</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①录取时间</w:t>
      </w:r>
      <w:r>
        <w:rPr>
          <w:rFonts w:hint="eastAsia" w:ascii="仿宋_GB2312" w:hAnsi="仿宋_GB2312" w:eastAsia="仿宋_GB2312" w:cs="仿宋_GB2312"/>
          <w:sz w:val="32"/>
          <w:szCs w:val="32"/>
        </w:rPr>
        <w:t>。2022年7月5日至7月6日。</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②录取条件</w:t>
      </w:r>
      <w:r>
        <w:rPr>
          <w:rFonts w:hint="eastAsia" w:ascii="仿宋_GB2312" w:hAnsi="仿宋_GB2312" w:eastAsia="仿宋_GB2312" w:cs="仿宋_GB2312"/>
          <w:sz w:val="32"/>
          <w:szCs w:val="32"/>
        </w:rPr>
        <w:t>。高中阶段招生录取以初中学业水平考试成绩为主要依据，并将音乐、美术等考查科目成绩和综合素质评定结果作为重要依据。其中，学业水平考试成绩总分为1070分，具体包括：语文120分、数学120分、外语120分、物理100分（文化折合90分，实验操作考试10分）、化学100分（文化折合90分，实验操作考试10分）、政治100分、历史100分、生物100分（文化折合90分，实验操作考试10分）、地理100分、信息技术考试10分、体育100分。</w:t>
      </w:r>
      <w:r>
        <w:rPr>
          <w:rFonts w:ascii="仿宋_GB2312" w:hAnsi="微软雅黑" w:eastAsia="仿宋_GB2312" w:cs="宋体"/>
          <w:kern w:val="0"/>
          <w:sz w:val="32"/>
          <w:szCs w:val="32"/>
        </w:rPr>
        <w:t>全面取消体育、艺术等学生加分或优待项目，相关特长和表现等计入学生综合素质评价档案。根据相关法律法规规定，保留</w:t>
      </w:r>
      <w:r>
        <w:rPr>
          <w:rFonts w:hint="eastAsia" w:ascii="仿宋_GB2312" w:hAnsi="微软雅黑" w:eastAsia="仿宋_GB2312" w:cs="宋体"/>
          <w:kern w:val="0"/>
          <w:sz w:val="32"/>
          <w:szCs w:val="32"/>
        </w:rPr>
        <w:t>对烈士子女，</w:t>
      </w:r>
      <w:r>
        <w:rPr>
          <w:rFonts w:ascii="仿宋_GB2312" w:hAnsi="微软雅黑" w:eastAsia="仿宋_GB2312" w:cs="宋体"/>
          <w:kern w:val="0"/>
          <w:sz w:val="32"/>
          <w:szCs w:val="32"/>
        </w:rPr>
        <w:t>符合条件的</w:t>
      </w:r>
      <w:r>
        <w:rPr>
          <w:rFonts w:hint="eastAsia" w:ascii="仿宋_GB2312" w:hAnsi="微软雅黑" w:eastAsia="仿宋_GB2312" w:cs="宋体"/>
          <w:kern w:val="0"/>
          <w:sz w:val="32"/>
          <w:szCs w:val="32"/>
        </w:rPr>
        <w:t>公安英模子女、</w:t>
      </w:r>
      <w:r>
        <w:rPr>
          <w:rFonts w:ascii="仿宋_GB2312" w:hAnsi="微软雅黑" w:eastAsia="仿宋_GB2312" w:cs="宋体"/>
          <w:kern w:val="0"/>
          <w:sz w:val="32"/>
          <w:szCs w:val="32"/>
        </w:rPr>
        <w:t>因公牺牲</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伤残</w:t>
      </w:r>
      <w:r>
        <w:rPr>
          <w:rFonts w:hint="eastAsia" w:ascii="仿宋_GB2312" w:hAnsi="微软雅黑" w:eastAsia="仿宋_GB2312" w:cs="宋体"/>
          <w:kern w:val="0"/>
          <w:sz w:val="32"/>
          <w:szCs w:val="32"/>
        </w:rPr>
        <w:t>的公安民警</w:t>
      </w:r>
      <w:r>
        <w:rPr>
          <w:rFonts w:ascii="仿宋_GB2312" w:hAnsi="微软雅黑" w:eastAsia="仿宋_GB2312" w:cs="宋体"/>
          <w:kern w:val="0"/>
          <w:sz w:val="32"/>
          <w:szCs w:val="32"/>
        </w:rPr>
        <w:t>子女</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现役军人子女、因公牺牲</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伤残</w:t>
      </w:r>
      <w:r>
        <w:rPr>
          <w:rFonts w:hint="eastAsia" w:ascii="仿宋_GB2312" w:hAnsi="微软雅黑" w:eastAsia="仿宋_GB2312" w:cs="宋体"/>
          <w:kern w:val="0"/>
          <w:sz w:val="32"/>
          <w:szCs w:val="32"/>
        </w:rPr>
        <w:t>的军人</w:t>
      </w:r>
      <w:r>
        <w:rPr>
          <w:rFonts w:ascii="仿宋_GB2312" w:hAnsi="微软雅黑" w:eastAsia="仿宋_GB2312" w:cs="宋体"/>
          <w:kern w:val="0"/>
          <w:sz w:val="32"/>
          <w:szCs w:val="32"/>
        </w:rPr>
        <w:t>子女</w:t>
      </w:r>
      <w:r>
        <w:rPr>
          <w:rFonts w:hint="eastAsia" w:ascii="仿宋_GB2312" w:hAnsi="微软雅黑" w:eastAsia="仿宋_GB2312" w:cs="宋体"/>
          <w:kern w:val="0"/>
          <w:sz w:val="32"/>
          <w:szCs w:val="32"/>
        </w:rPr>
        <w:t>、国家综合性消防救援队伍人员子女，</w:t>
      </w:r>
      <w:r>
        <w:rPr>
          <w:rFonts w:ascii="仿宋_GB2312" w:hAnsi="微软雅黑" w:eastAsia="仿宋_GB2312" w:cs="宋体"/>
          <w:kern w:val="0"/>
          <w:sz w:val="32"/>
          <w:szCs w:val="32"/>
        </w:rPr>
        <w:t>符合政策的高层次人才子女</w:t>
      </w:r>
      <w:r>
        <w:rPr>
          <w:rFonts w:hint="eastAsia" w:ascii="仿宋_GB2312" w:hAnsi="微软雅黑" w:eastAsia="仿宋_GB2312" w:cs="宋体"/>
          <w:kern w:val="0"/>
          <w:sz w:val="32"/>
          <w:szCs w:val="32"/>
        </w:rPr>
        <w:t>以及其他法律法规、国家政策规定的学生</w:t>
      </w:r>
      <w:r>
        <w:rPr>
          <w:rFonts w:ascii="仿宋_GB2312" w:hAnsi="微软雅黑" w:eastAsia="仿宋_GB2312" w:cs="宋体"/>
          <w:kern w:val="0"/>
          <w:sz w:val="32"/>
          <w:szCs w:val="32"/>
        </w:rPr>
        <w:t>加分或优</w:t>
      </w:r>
      <w:r>
        <w:rPr>
          <w:rFonts w:hint="eastAsia" w:ascii="仿宋_GB2312" w:hAnsi="微软雅黑" w:eastAsia="仿宋_GB2312" w:cs="宋体"/>
          <w:kern w:val="0"/>
          <w:sz w:val="32"/>
          <w:szCs w:val="32"/>
        </w:rPr>
        <w:t>惠</w:t>
      </w:r>
      <w:r>
        <w:rPr>
          <w:rFonts w:ascii="仿宋_GB2312" w:hAnsi="微软雅黑" w:eastAsia="仿宋_GB2312" w:cs="宋体"/>
          <w:kern w:val="0"/>
          <w:sz w:val="32"/>
          <w:szCs w:val="32"/>
        </w:rPr>
        <w:t>项目。同一考生如符合多项加分或优惠条件的，只能取其中最高一项计入录取</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rPr>
        <w:t>详见附件5</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rPr>
        <w:t>。未达到初中毕业标准（即全市统一考试十一科平均成绩合格，考查各科成绩合格，综合素质评价合格）且学业水平考试成绩未达到全县最低录取控制分数线以上的，不得录取为普通高中学生。</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③录取批次</w:t>
      </w:r>
      <w:r>
        <w:rPr>
          <w:rFonts w:hint="eastAsia" w:ascii="仿宋_GB2312" w:hAnsi="仿宋_GB2312" w:eastAsia="仿宋_GB2312" w:cs="仿宋_GB2312"/>
          <w:sz w:val="32"/>
          <w:szCs w:val="32"/>
          <w:lang w:val="zh-CN"/>
        </w:rPr>
        <w:t>。分提前批、普通文化生（含普高文化生、公费定向师范生、职高</w:t>
      </w:r>
      <w:r>
        <w:rPr>
          <w:rFonts w:hint="eastAsia" w:ascii="仿宋_GB2312" w:hAnsi="仿宋_GB2312" w:eastAsia="仿宋_GB2312" w:cs="仿宋_GB2312"/>
          <w:sz w:val="32"/>
          <w:szCs w:val="32"/>
        </w:rPr>
        <w:t>对口生</w:t>
      </w:r>
      <w:r>
        <w:rPr>
          <w:rFonts w:hint="eastAsia" w:ascii="仿宋_GB2312" w:hAnsi="仿宋_GB2312" w:eastAsia="仿宋_GB2312" w:cs="仿宋_GB2312"/>
          <w:sz w:val="32"/>
          <w:szCs w:val="32"/>
          <w:lang w:val="zh-CN"/>
        </w:rPr>
        <w:t>）两类。普职高录取顺序为：先录取普高，后录取职高（职高对口升学班除外）。</w:t>
      </w:r>
      <w:r>
        <w:rPr>
          <w:rFonts w:hint="eastAsia" w:ascii="仿宋_GB2312" w:hAnsi="仿宋_GB2312" w:eastAsia="仿宋_GB2312" w:cs="仿宋_GB2312"/>
          <w:sz w:val="32"/>
          <w:szCs w:val="32"/>
        </w:rPr>
        <w:t>普高录取顺序为：湘阴一中，湘阴二中，知源学校，文郡洋沙湖中学。职高录取顺序为：湘阴一职、湘阴二职、中山职校。学生在填报志愿时，</w:t>
      </w:r>
      <w:r>
        <w:rPr>
          <w:rFonts w:hint="eastAsia" w:ascii="仿宋_GB2312" w:hAnsi="仿宋_GB2312" w:eastAsia="仿宋_GB2312" w:cs="仿宋_GB2312"/>
          <w:sz w:val="32"/>
          <w:szCs w:val="32"/>
          <w:lang w:val="zh-CN"/>
        </w:rPr>
        <w:t>第一、第二</w:t>
      </w:r>
      <w:r>
        <w:rPr>
          <w:rFonts w:hint="eastAsia" w:ascii="仿宋_GB2312" w:hAnsi="仿宋_GB2312" w:eastAsia="仿宋_GB2312" w:cs="仿宋_GB2312"/>
          <w:sz w:val="32"/>
          <w:szCs w:val="32"/>
        </w:rPr>
        <w:t>志愿填报须严格按照先高后低批次的顺序填报。</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④录取方式</w:t>
      </w:r>
      <w:r>
        <w:rPr>
          <w:rFonts w:hint="eastAsia" w:ascii="仿宋_GB2312" w:hAnsi="仿宋_GB2312" w:eastAsia="仿宋_GB2312" w:cs="仿宋_GB2312"/>
          <w:sz w:val="32"/>
          <w:szCs w:val="32"/>
          <w:lang w:val="zh-CN"/>
        </w:rPr>
        <w:t>。各</w:t>
      </w: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val="zh-CN"/>
        </w:rPr>
        <w:t>高中学校严格按批次顺序录取。其中，省级示范性高中只录取填报第一志愿的学生，学生第一志愿填报湘阴一中，第二志愿填报其他高中学校，第二志愿视为其他学校第一志愿录取；其他学校第一、第二志愿合并录取，当考生第一、第二志愿填报除湘阴一中以外的其他两所高中学校，且同时达到相应学校录取分数线时，优先录取第一志愿。</w:t>
      </w:r>
    </w:p>
    <w:p>
      <w:pPr>
        <w:spacing w:line="60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（4）提前批</w:t>
      </w:r>
      <w:r>
        <w:rPr>
          <w:rFonts w:hint="eastAsia" w:ascii="仿宋_GB2312" w:hAnsi="仿宋_GB2312" w:eastAsia="仿宋_GB2312" w:cs="仿宋_GB2312"/>
          <w:sz w:val="32"/>
          <w:szCs w:val="32"/>
          <w:lang w:val="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自主招生、指标生、职高对口升学班三类学生参加提前批录取。</w:t>
      </w:r>
      <w:r>
        <w:rPr>
          <w:rFonts w:hint="eastAsia" w:ascii="仿宋_GB2312" w:hAnsi="仿宋_GB2312" w:eastAsia="仿宋_GB2312" w:cs="仿宋_GB2312"/>
          <w:sz w:val="32"/>
          <w:szCs w:val="32"/>
        </w:rPr>
        <w:t>被提前批次录取的学生不再参加后续其他批次录取，未录取的学生按其志愿参加后续普通文化生录取。提前批中自主招生、</w:t>
      </w:r>
      <w:r>
        <w:rPr>
          <w:rFonts w:hint="eastAsia" w:ascii="仿宋_GB2312" w:hAnsi="仿宋_GB2312" w:eastAsia="仿宋_GB2312" w:cs="仿宋_GB2312"/>
          <w:sz w:val="32"/>
          <w:szCs w:val="32"/>
          <w:lang w:val="zh-CN"/>
        </w:rPr>
        <w:t>指标生、职高对口升学班招生等</w:t>
      </w:r>
      <w:r>
        <w:rPr>
          <w:rFonts w:hint="eastAsia" w:ascii="仿宋_GB2312" w:hAnsi="仿宋_GB2312" w:eastAsia="仿宋_GB2312" w:cs="仿宋_GB2312"/>
          <w:sz w:val="32"/>
          <w:szCs w:val="32"/>
        </w:rPr>
        <w:t>计划未录满的，不进行调剂录取，所空缺计划在对应学校的普通文化生、职高生录取计划中补录。</w:t>
      </w:r>
    </w:p>
    <w:p>
      <w:pPr>
        <w:spacing w:line="58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①自主招生</w:t>
      </w:r>
      <w:r>
        <w:rPr>
          <w:rFonts w:hint="eastAsia" w:ascii="仿宋_GB2312" w:hAnsi="仿宋_GB2312" w:eastAsia="仿宋_GB2312" w:cs="仿宋_GB2312"/>
          <w:sz w:val="32"/>
          <w:szCs w:val="32"/>
          <w:lang w:val="zh-CN"/>
        </w:rPr>
        <w:t>。</w:t>
      </w:r>
    </w:p>
    <w:p>
      <w:pPr>
        <w:spacing w:line="580" w:lineRule="exact"/>
        <w:ind w:firstLine="640" w:firstLineChars="200"/>
        <w:rPr>
          <w:rFonts w:ascii="仿宋_GB2312" w:hAnsi="微软雅黑" w:eastAsia="仿宋_GB2312" w:cs="宋体"/>
          <w:kern w:val="0"/>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zh-CN"/>
        </w:rPr>
        <w:t>计划：</w:t>
      </w:r>
      <w:r>
        <w:rPr>
          <w:rFonts w:ascii="仿宋_GB2312" w:hAnsi="微软雅黑" w:eastAsia="仿宋_GB2312" w:cs="宋体"/>
          <w:kern w:val="0"/>
          <w:sz w:val="32"/>
          <w:szCs w:val="32"/>
        </w:rPr>
        <w:t>普通高中可申请自主招生，招收具有学科特长、艺</w:t>
      </w:r>
      <w:r>
        <w:rPr>
          <w:rFonts w:hint="eastAsia" w:ascii="仿宋_GB2312" w:hAnsi="微软雅黑" w:eastAsia="仿宋_GB2312" w:cs="宋体"/>
          <w:kern w:val="0"/>
          <w:sz w:val="32"/>
          <w:szCs w:val="32"/>
        </w:rPr>
        <w:t>体</w:t>
      </w:r>
      <w:r>
        <w:rPr>
          <w:rFonts w:ascii="仿宋_GB2312" w:hAnsi="微软雅黑" w:eastAsia="仿宋_GB2312" w:cs="宋体"/>
          <w:kern w:val="0"/>
          <w:sz w:val="32"/>
          <w:szCs w:val="32"/>
        </w:rPr>
        <w:t>专长、创新潜质的学生，招生方案由主管教育行政部门审核，招生对象为本校招生范围内且在当地参加了初中学业水平考试的符合条件的学生。自主招生的学校须在初中学业水平考试结束后，严格按照自主招生办法和程序组织招生，并主动公开招生的各环节和录取结果。区域内公办普通高中学校自主招生总数原则上不超过当年本区域内公办普通高中招生总计划数的5%。</w:t>
      </w:r>
    </w:p>
    <w:p>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val="zh-CN"/>
        </w:rPr>
        <w:t>报名：学生自愿到招生学校报名。</w:t>
      </w:r>
    </w:p>
    <w:p>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val="zh-CN"/>
        </w:rPr>
        <w:t>条件：</w:t>
      </w:r>
      <w:r>
        <w:rPr>
          <w:rFonts w:hint="eastAsia" w:ascii="仿宋_GB2312" w:hAnsi="仿宋_GB2312" w:eastAsia="仿宋_GB2312" w:cs="仿宋_GB2312"/>
          <w:sz w:val="32"/>
          <w:szCs w:val="32"/>
        </w:rPr>
        <w:t>招生对象为本校招生范围内且在当地参加了初中学业水平考试的符合条件的学生。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zh-CN"/>
        </w:rPr>
        <w:t>办法：</w:t>
      </w:r>
      <w:r>
        <w:rPr>
          <w:rFonts w:hint="eastAsia" w:ascii="仿宋_GB2312" w:hAnsi="仿宋_GB2312" w:eastAsia="仿宋_GB2312" w:cs="仿宋_GB2312"/>
          <w:sz w:val="32"/>
          <w:szCs w:val="32"/>
        </w:rPr>
        <w:t>自主招生由招生学校自行组织，各招生学校要根据实际情况制定切实可行的招生方案，于5月22日前将招生方案报县教育局审核，各普通高中学校须在初中学业水平考试结束后，严格按照自主招生办法和程序组织招生，并主动公开招生的各个环节和录取结果。由县教育局综招办、县纪委驻教育局纪检监察组监督各学校严格按照经审核的自主招生方案执行。</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要求：各普通高中学校要将自主招生结果于6月30日18:00前报县综招办。在填报志愿前，县综招办将提前公布各学校自主招生预录情况，已被预录的考生第一志愿必须填报相应学校，未按要求填报志愿的考生不予正式录取。已正式录取自主招生的学生不再参与其他学校招生录取。</w:t>
      </w:r>
    </w:p>
    <w:p>
      <w:pPr>
        <w:spacing w:line="58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②指标生</w:t>
      </w:r>
      <w:r>
        <w:rPr>
          <w:rFonts w:hint="eastAsia" w:ascii="仿宋_GB2312" w:hAnsi="仿宋_GB2312" w:eastAsia="仿宋_GB2312" w:cs="仿宋_GB2312"/>
          <w:sz w:val="32"/>
          <w:szCs w:val="32"/>
          <w:lang w:val="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A计划：</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1）将省级示范性高中（一中）年度招生计划（自主招生计划除外）的30%实行全县统录，70%按比例分配到各初中学校和区垸（其中50%直接到校，50%到区垸），具体分配计划见附件6。</w:t>
      </w:r>
    </w:p>
    <w:p>
      <w:pPr>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2）湘阴二中年度招生计划的80%实行全县统录，20%按比例分配到各初中学校具体分配计划见附件6。</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B志愿：考生在填报志愿时第一志愿必须填报湘阴一中或湘阴二中及相应代码。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条件：享受湘阴一中指标生政策的学生必须自七年级入学起为所在毕业学校的在籍学生，并在毕业学校实际在籍并就读满三学年，填报对象的中考档分须在全县前1600名。不符合指标生资格条件的学生经查实后，取消其指标生资格。享受湘阴二中指标生的需是毕业学校的在籍学生，填报对象的中考档分须在全县前1600名（举报电话：2229680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办法：各初中学校依据湘阴一中、湘阴二中指标生资格条件进行指标生资格审查，不符合条件的，不能参与指标生录取。各初中学校须在7月3日17:00前将不符合招录条件的学生信息报送至县综招办。录取时按志愿从高分到低分录取，中考十一科总分相同时，按语文、数学、英语三科总成绩从高分到低分优先录取；再相同时，根据中考考查和综合素质评价等级择优录取。计划不足部分从统招中调剂，凡被录取为指标生的学生不再参与其他学校录取。</w:t>
      </w:r>
    </w:p>
    <w:p>
      <w:pPr>
        <w:spacing w:line="58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③职高对口升学班招生</w:t>
      </w:r>
      <w:r>
        <w:rPr>
          <w:rFonts w:hint="eastAsia" w:ascii="仿宋_GB2312" w:hAnsi="仿宋_GB2312" w:eastAsia="仿宋_GB2312" w:cs="仿宋_GB2312"/>
          <w:sz w:val="32"/>
          <w:szCs w:val="32"/>
          <w:lang w:val="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A计划：一职专对口升学班计划招录300人，二职对口升学班计划招录50人。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B志愿：填报志愿表中选择一职专对口升学班或二职对口升学班。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C条件：最低分数控制线不低于普职分流线。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D办法：对口升学班招生按志愿由高分到低分录取，凡已被对口升学班录取的学生不再参与其他学校录取。</w:t>
      </w:r>
    </w:p>
    <w:p>
      <w:pPr>
        <w:spacing w:line="58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（5）普通文化生</w:t>
      </w:r>
      <w:r>
        <w:rPr>
          <w:rFonts w:hint="eastAsia" w:ascii="仿宋_GB2312" w:hAnsi="仿宋_GB2312" w:eastAsia="仿宋_GB2312" w:cs="仿宋_GB2312"/>
          <w:sz w:val="32"/>
          <w:szCs w:val="32"/>
          <w:lang w:val="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普高文化生。录取时以考生初中学业水平考试十一科总分为主要依据，按学生志愿顺序从高分到低分依次录取；十一科总分相同时，语文、数学、英语三科总成绩从高分到低分优先录取；再相同时，根据中考考查和综合素质评价等级择优录取。</w:t>
      </w:r>
    </w:p>
    <w:p>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②公费定向师范生</w:t>
      </w:r>
      <w:r>
        <w:rPr>
          <w:rFonts w:hint="eastAsia" w:ascii="仿宋_GB2312" w:hAnsi="仿宋_GB2312" w:eastAsia="仿宋_GB2312" w:cs="仿宋_GB2312"/>
          <w:sz w:val="32"/>
          <w:szCs w:val="32"/>
        </w:rPr>
        <w:t>。已录取</w:t>
      </w:r>
      <w:r>
        <w:rPr>
          <w:rFonts w:hint="eastAsia" w:ascii="仿宋_GB2312" w:hAnsi="仿宋_GB2312" w:eastAsia="仿宋_GB2312" w:cs="仿宋_GB2312"/>
          <w:sz w:val="32"/>
          <w:szCs w:val="32"/>
          <w:lang w:val="zh-CN"/>
        </w:rPr>
        <w:t>公费定向师范生的考生，不参与其他高中学校招生录取，未</w:t>
      </w:r>
      <w:r>
        <w:rPr>
          <w:rFonts w:hint="eastAsia" w:ascii="仿宋_GB2312" w:hAnsi="仿宋_GB2312" w:eastAsia="仿宋_GB2312" w:cs="仿宋_GB2312"/>
          <w:sz w:val="32"/>
          <w:szCs w:val="32"/>
        </w:rPr>
        <w:t>录取</w:t>
      </w:r>
      <w:r>
        <w:rPr>
          <w:rFonts w:hint="eastAsia" w:ascii="仿宋_GB2312" w:hAnsi="仿宋_GB2312" w:eastAsia="仿宋_GB2312" w:cs="仿宋_GB2312"/>
          <w:sz w:val="32"/>
          <w:szCs w:val="32"/>
          <w:lang w:val="zh-CN"/>
        </w:rPr>
        <w:t>公费定向师范生的考生，根据填报志愿参与高中相应批次的录取。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③职高生。普职兼报的考生按先普高后职高</w:t>
      </w:r>
      <w:r>
        <w:rPr>
          <w:rFonts w:hint="eastAsia" w:ascii="仿宋_GB2312" w:hAnsi="仿宋_GB2312" w:eastAsia="仿宋_GB2312" w:cs="仿宋_GB2312"/>
          <w:sz w:val="32"/>
          <w:szCs w:val="32"/>
        </w:rPr>
        <w:t>（专）</w:t>
      </w:r>
      <w:r>
        <w:rPr>
          <w:rFonts w:hint="eastAsia" w:ascii="仿宋_GB2312" w:hAnsi="仿宋_GB2312" w:eastAsia="仿宋_GB2312" w:cs="仿宋_GB2312"/>
          <w:sz w:val="32"/>
          <w:szCs w:val="32"/>
          <w:lang w:val="zh-CN"/>
        </w:rPr>
        <w:t>的顺序录取。凡报考</w:t>
      </w:r>
      <w:r>
        <w:rPr>
          <w:rFonts w:hint="eastAsia" w:ascii="仿宋_GB2312" w:hAnsi="仿宋_GB2312" w:eastAsia="仿宋_GB2312" w:cs="仿宋_GB2312"/>
          <w:sz w:val="32"/>
          <w:szCs w:val="32"/>
        </w:rPr>
        <w:t>纯职高（专）的考生，按学校和专业的志愿顺序录取。</w:t>
      </w:r>
    </w:p>
    <w:p>
      <w:pPr>
        <w:spacing w:line="600"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zh-CN"/>
        </w:rPr>
        <w:t>报到注册</w:t>
      </w:r>
      <w:r>
        <w:rPr>
          <w:rFonts w:hint="eastAsia" w:ascii="仿宋_GB2312" w:hAnsi="仿宋_GB2312" w:eastAsia="仿宋_GB2312" w:cs="仿宋_GB2312"/>
          <w:sz w:val="32"/>
          <w:szCs w:val="32"/>
          <w:lang w:val="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2022年7月７日－10日</w:t>
      </w:r>
      <w:r>
        <w:rPr>
          <w:rFonts w:hint="eastAsia" w:ascii="仿宋_GB2312" w:hAnsi="仿宋_GB2312" w:eastAsia="仿宋_GB2312" w:cs="仿宋_GB2312"/>
          <w:sz w:val="32"/>
          <w:szCs w:val="32"/>
          <w:lang w:val="zh-CN"/>
        </w:rPr>
        <w:t>，组织学生报到。各高中学校根据县综招办下发的录取名册接受学生报名，县教育局牵头组织生源学校、招生学校根据学籍管理规定办理相应毕业、升学和注册手续</w:t>
      </w:r>
      <w:r>
        <w:rPr>
          <w:rFonts w:hint="eastAsia" w:ascii="仿宋_GB2312" w:hAnsi="仿宋_GB2312" w:eastAsia="仿宋_GB2312" w:cs="仿宋_GB2312"/>
          <w:sz w:val="32"/>
          <w:szCs w:val="32"/>
        </w:rPr>
        <w:t>。</w:t>
      </w:r>
      <w:r>
        <w:rPr>
          <w:rFonts w:ascii="仿宋_GB2312" w:hAnsi="微软雅黑" w:eastAsia="仿宋_GB2312" w:cs="宋体"/>
          <w:kern w:val="0"/>
          <w:sz w:val="32"/>
          <w:szCs w:val="32"/>
        </w:rPr>
        <w:t>公办普通高中不得招收复读生。被普通高中正常录取后未按规定时间报到的学生，视为主动放弃普通高中入学资格，一律不予注册普通高中学籍。任何普通高中学校不得招收已被其他</w:t>
      </w:r>
      <w:r>
        <w:rPr>
          <w:rFonts w:hint="eastAsia" w:ascii="仿宋_GB2312" w:hAnsi="微软雅黑" w:eastAsia="仿宋_GB2312" w:cs="宋体"/>
          <w:kern w:val="0"/>
          <w:sz w:val="32"/>
          <w:szCs w:val="32"/>
        </w:rPr>
        <w:t>普通高中或职业学校</w:t>
      </w:r>
      <w:r>
        <w:rPr>
          <w:rFonts w:ascii="仿宋_GB2312" w:hAnsi="微软雅黑" w:eastAsia="仿宋_GB2312" w:cs="宋体"/>
          <w:kern w:val="0"/>
          <w:sz w:val="32"/>
          <w:szCs w:val="32"/>
        </w:rPr>
        <w:t>录取的学生。教育行政部门和普通高中学校不得为违规跨区域招收的学生办理普通高中学籍</w:t>
      </w:r>
      <w:r>
        <w:rPr>
          <w:rFonts w:hint="eastAsia" w:ascii="仿宋_GB2312" w:hAnsi="微软雅黑" w:eastAsia="仿宋_GB2312" w:cs="宋体"/>
          <w:kern w:val="0"/>
          <w:sz w:val="32"/>
          <w:szCs w:val="32"/>
        </w:rPr>
        <w:t>，不得为</w:t>
      </w:r>
      <w:r>
        <w:rPr>
          <w:rFonts w:hint="eastAsia" w:ascii="仿宋_GB2312" w:hAnsi="仿宋_GB2312" w:eastAsia="仿宋_GB2312" w:cs="仿宋_GB2312"/>
          <w:sz w:val="32"/>
          <w:szCs w:val="32"/>
        </w:rPr>
        <w:t>违规</w:t>
      </w:r>
      <w:r>
        <w:rPr>
          <w:rFonts w:ascii="仿宋_GB2312" w:hAnsi="微软雅黑" w:eastAsia="仿宋_GB2312" w:cs="宋体"/>
          <w:kern w:val="0"/>
          <w:sz w:val="32"/>
          <w:szCs w:val="32"/>
        </w:rPr>
        <w:t>跨区域招收的学生</w:t>
      </w:r>
      <w:r>
        <w:rPr>
          <w:rFonts w:hint="eastAsia" w:ascii="仿宋_GB2312" w:hAnsi="仿宋_GB2312" w:eastAsia="仿宋_GB2312" w:cs="仿宋_GB2312"/>
          <w:sz w:val="32"/>
          <w:szCs w:val="32"/>
        </w:rPr>
        <w:t>办理学籍转接</w:t>
      </w:r>
      <w:r>
        <w:rPr>
          <w:rFonts w:ascii="仿宋_GB2312" w:hAnsi="微软雅黑" w:eastAsia="仿宋_GB2312" w:cs="宋体"/>
          <w:kern w:val="0"/>
          <w:sz w:val="32"/>
          <w:szCs w:val="32"/>
        </w:rPr>
        <w:t>。</w:t>
      </w:r>
      <w:r>
        <w:rPr>
          <w:rFonts w:hint="eastAsia" w:ascii="仿宋_GB2312" w:hAnsi="仿宋_GB2312" w:eastAsia="仿宋_GB2312" w:cs="仿宋_GB2312"/>
          <w:bCs/>
          <w:kern w:val="0"/>
          <w:sz w:val="32"/>
          <w:szCs w:val="32"/>
        </w:rPr>
        <w:t>严禁以任何形式提前组织招生、面试招生、违规跨区域招生；</w:t>
      </w:r>
      <w:r>
        <w:rPr>
          <w:rFonts w:hint="eastAsia" w:ascii="仿宋_GB2312" w:hAnsi="微软雅黑" w:eastAsia="仿宋_GB2312" w:cs="宋体"/>
          <w:kern w:val="0"/>
          <w:sz w:val="32"/>
          <w:szCs w:val="32"/>
        </w:rPr>
        <w:t>严禁以高额物质奖励、免收学费、虚假宣传等方式争抢生源；严禁招收借读生、人籍分离、空挂学籍；</w:t>
      </w:r>
      <w:r>
        <w:rPr>
          <w:rFonts w:ascii="仿宋_GB2312" w:hAnsi="微软雅黑" w:eastAsia="仿宋_GB2312" w:cs="宋体"/>
          <w:kern w:val="0"/>
          <w:sz w:val="32"/>
          <w:szCs w:val="32"/>
        </w:rPr>
        <w:t>严禁同时或者交叉注册普通高中学校和中等职业学校</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双重学籍</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w:t>
      </w:r>
    </w:p>
    <w:p>
      <w:pPr>
        <w:spacing w:line="580" w:lineRule="exact"/>
        <w:ind w:firstLine="643"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（二）义务教育阶段招生</w:t>
      </w:r>
      <w:r>
        <w:rPr>
          <w:rFonts w:hint="eastAsia" w:ascii="仿宋_GB2312" w:hAnsi="仿宋_GB2312" w:eastAsia="仿宋_GB2312" w:cs="仿宋_GB2312"/>
          <w:sz w:val="32"/>
          <w:szCs w:val="32"/>
          <w:lang w:val="zh-CN"/>
        </w:rPr>
        <w:t>。</w:t>
      </w:r>
    </w:p>
    <w:p>
      <w:pPr>
        <w:spacing w:line="580" w:lineRule="exact"/>
        <w:ind w:firstLine="643" w:firstLineChars="200"/>
        <w:rPr>
          <w:rFonts w:hint="eastAsia" w:ascii="仿宋_GB2312" w:hAnsi="微软雅黑" w:eastAsia="仿宋_GB2312" w:cs="宋体"/>
          <w:kern w:val="0"/>
          <w:sz w:val="32"/>
          <w:szCs w:val="32"/>
          <w:u w:val="single"/>
        </w:rPr>
      </w:pPr>
      <w:r>
        <w:rPr>
          <w:rFonts w:hint="eastAsia" w:ascii="仿宋_GB2312" w:hAnsi="仿宋_GB2312" w:eastAsia="仿宋_GB2312" w:cs="仿宋_GB2312"/>
          <w:b/>
          <w:kern w:val="0"/>
          <w:sz w:val="32"/>
          <w:szCs w:val="32"/>
        </w:rPr>
        <w:t>1.坚持免试就近入学</w:t>
      </w:r>
      <w:r>
        <w:rPr>
          <w:rFonts w:hint="eastAsia" w:ascii="仿宋_GB2312" w:hAnsi="微软雅黑" w:eastAsia="仿宋_GB2312" w:cs="宋体"/>
          <w:kern w:val="0"/>
          <w:sz w:val="32"/>
          <w:szCs w:val="32"/>
        </w:rPr>
        <w:t>。全面实施</w:t>
      </w:r>
      <w:r>
        <w:rPr>
          <w:rFonts w:ascii="仿宋_GB2312" w:hAnsi="微软雅黑" w:eastAsia="仿宋_GB2312" w:cs="宋体"/>
          <w:kern w:val="0"/>
          <w:sz w:val="32"/>
          <w:szCs w:val="32"/>
        </w:rPr>
        <w:t>义务教育学校免试就近入学全覆盖，切实保障适龄儿童少年接受义务教育的权利。</w:t>
      </w:r>
      <w:r>
        <w:rPr>
          <w:rFonts w:hint="eastAsia" w:ascii="仿宋_GB2312" w:hAnsi="微软雅黑" w:eastAsia="仿宋_GB2312" w:cs="宋体"/>
          <w:kern w:val="0"/>
          <w:sz w:val="32"/>
          <w:szCs w:val="32"/>
        </w:rPr>
        <w:t>全面取消义务教育学校各类特长生招生。</w:t>
      </w:r>
      <w:r>
        <w:rPr>
          <w:rFonts w:ascii="仿宋_GB2312" w:hAnsi="微软雅黑" w:eastAsia="仿宋_GB2312" w:cs="宋体"/>
          <w:kern w:val="0"/>
          <w:sz w:val="32"/>
          <w:szCs w:val="32"/>
        </w:rPr>
        <w:t>所有义务教育学校均不得以各类考试、竞赛、培训成绩或证书证明等作为招生依据</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不得以面试、面谈、</w:t>
      </w:r>
      <w:r>
        <w:rPr>
          <w:rFonts w:hint="eastAsia" w:ascii="仿宋_GB2312" w:hAnsi="微软雅黑" w:eastAsia="仿宋_GB2312" w:cs="宋体"/>
          <w:kern w:val="0"/>
          <w:sz w:val="32"/>
          <w:szCs w:val="32"/>
        </w:rPr>
        <w:t>测评</w:t>
      </w:r>
      <w:r>
        <w:rPr>
          <w:rFonts w:ascii="仿宋_GB2312" w:hAnsi="微软雅黑" w:eastAsia="仿宋_GB2312" w:cs="宋体"/>
          <w:kern w:val="0"/>
          <w:sz w:val="32"/>
          <w:szCs w:val="32"/>
        </w:rPr>
        <w:t>等名义选拔学生，不得通过举办或参与举办培训班（培训机构）等</w:t>
      </w:r>
      <w:r>
        <w:rPr>
          <w:rFonts w:hint="eastAsia" w:ascii="仿宋_GB2312" w:hAnsi="微软雅黑" w:eastAsia="仿宋_GB2312" w:cs="宋体"/>
          <w:kern w:val="0"/>
          <w:sz w:val="32"/>
          <w:szCs w:val="32"/>
        </w:rPr>
        <w:t>方式</w:t>
      </w:r>
      <w:r>
        <w:rPr>
          <w:rFonts w:ascii="仿宋_GB2312" w:hAnsi="微软雅黑" w:eastAsia="仿宋_GB2312" w:cs="宋体"/>
          <w:kern w:val="0"/>
          <w:sz w:val="32"/>
          <w:szCs w:val="32"/>
        </w:rPr>
        <w:t>进行招生，不得利用中介机构或培训机构等变相违规招生。</w:t>
      </w:r>
    </w:p>
    <w:p>
      <w:pPr>
        <w:spacing w:line="580" w:lineRule="exact"/>
        <w:ind w:firstLine="643" w:firstLineChars="200"/>
        <w:rPr>
          <w:rFonts w:ascii="仿宋_GB2312" w:hAnsi="微软雅黑" w:eastAsia="仿宋_GB2312" w:cs="宋体"/>
          <w:kern w:val="0"/>
          <w:sz w:val="32"/>
          <w:szCs w:val="32"/>
        </w:rPr>
      </w:pPr>
      <w:r>
        <w:rPr>
          <w:rFonts w:hint="eastAsia" w:ascii="仿宋_GB2312" w:hAnsi="仿宋_GB2312" w:eastAsia="仿宋_GB2312" w:cs="仿宋_GB2312"/>
          <w:b/>
          <w:kern w:val="0"/>
          <w:sz w:val="32"/>
          <w:szCs w:val="32"/>
        </w:rPr>
        <w:t>2.合理确定范围规模</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县</w:t>
      </w:r>
      <w:r>
        <w:rPr>
          <w:rFonts w:hint="eastAsia" w:ascii="仿宋_GB2312" w:hAnsi="微软雅黑" w:eastAsia="仿宋_GB2312" w:cs="宋体"/>
          <w:kern w:val="0"/>
          <w:sz w:val="32"/>
          <w:szCs w:val="32"/>
        </w:rPr>
        <w:t>综招办综合考虑</w:t>
      </w:r>
      <w:r>
        <w:rPr>
          <w:rFonts w:ascii="仿宋_GB2312" w:hAnsi="微软雅黑" w:eastAsia="仿宋_GB2312" w:cs="宋体"/>
          <w:kern w:val="0"/>
          <w:sz w:val="32"/>
          <w:szCs w:val="32"/>
        </w:rPr>
        <w:t>适龄学生人数、学校分布、交通状况等</w:t>
      </w:r>
      <w:r>
        <w:rPr>
          <w:rFonts w:hint="eastAsia" w:ascii="仿宋_GB2312" w:hAnsi="微软雅黑" w:eastAsia="仿宋_GB2312" w:cs="宋体"/>
          <w:kern w:val="0"/>
          <w:sz w:val="32"/>
          <w:szCs w:val="32"/>
        </w:rPr>
        <w:t>各种</w:t>
      </w:r>
      <w:r>
        <w:rPr>
          <w:rFonts w:ascii="仿宋_GB2312" w:hAnsi="微软雅黑" w:eastAsia="仿宋_GB2312" w:cs="宋体"/>
          <w:kern w:val="0"/>
          <w:sz w:val="32"/>
          <w:szCs w:val="32"/>
        </w:rPr>
        <w:t>因素，合理划定辖区内所有公办义务教育学校招生</w:t>
      </w:r>
      <w:r>
        <w:rPr>
          <w:rFonts w:hint="eastAsia" w:ascii="仿宋_GB2312" w:hAnsi="微软雅黑" w:eastAsia="仿宋_GB2312" w:cs="宋体"/>
          <w:kern w:val="0"/>
          <w:sz w:val="32"/>
          <w:szCs w:val="32"/>
        </w:rPr>
        <w:t>范围，</w:t>
      </w:r>
      <w:r>
        <w:rPr>
          <w:rFonts w:ascii="仿宋_GB2312" w:hAnsi="微软雅黑" w:eastAsia="仿宋_GB2312" w:cs="宋体"/>
          <w:kern w:val="0"/>
          <w:sz w:val="32"/>
          <w:szCs w:val="32"/>
        </w:rPr>
        <w:t>确保适龄儿童少年整体上相对就近入学</w:t>
      </w:r>
      <w:r>
        <w:rPr>
          <w:rFonts w:hint="eastAsia" w:ascii="仿宋_GB2312" w:hAnsi="微软雅黑" w:eastAsia="仿宋_GB2312" w:cs="宋体"/>
          <w:kern w:val="0"/>
          <w:sz w:val="32"/>
          <w:szCs w:val="32"/>
        </w:rPr>
        <w:t>，并</w:t>
      </w:r>
      <w:r>
        <w:rPr>
          <w:rFonts w:ascii="仿宋_GB2312" w:hAnsi="微软雅黑" w:eastAsia="仿宋_GB2312" w:cs="宋体"/>
          <w:kern w:val="0"/>
          <w:sz w:val="32"/>
          <w:szCs w:val="32"/>
        </w:rPr>
        <w:t>根据学校布局和办学条件，确定</w:t>
      </w:r>
      <w:r>
        <w:rPr>
          <w:rFonts w:hint="eastAsia" w:ascii="仿宋_GB2312" w:hAnsi="微软雅黑" w:eastAsia="仿宋_GB2312" w:cs="宋体"/>
          <w:kern w:val="0"/>
          <w:sz w:val="32"/>
          <w:szCs w:val="32"/>
        </w:rPr>
        <w:t>并下达</w:t>
      </w:r>
      <w:r>
        <w:rPr>
          <w:rFonts w:ascii="仿宋_GB2312" w:hAnsi="微软雅黑" w:eastAsia="仿宋_GB2312" w:cs="宋体"/>
          <w:kern w:val="0"/>
          <w:sz w:val="32"/>
          <w:szCs w:val="32"/>
        </w:rPr>
        <w:t>所辖公办民办义务教育学校招生计划并严格执行。</w:t>
      </w:r>
      <w:r>
        <w:rPr>
          <w:rFonts w:hint="eastAsia" w:ascii="仿宋_GB2312" w:hAnsi="仿宋_GB2312" w:eastAsia="仿宋_GB2312" w:cs="仿宋_GB2312"/>
          <w:kern w:val="0"/>
          <w:sz w:val="32"/>
          <w:szCs w:val="32"/>
        </w:rPr>
        <w:t>确因生源变化或学校规模调整需调整招生计划的，报县教育局党组批准后实施。</w:t>
      </w:r>
      <w:r>
        <w:rPr>
          <w:rFonts w:ascii="仿宋_GB2312" w:hAnsi="微软雅黑" w:eastAsia="仿宋_GB2312" w:cs="宋体"/>
          <w:kern w:val="0"/>
          <w:sz w:val="32"/>
          <w:szCs w:val="32"/>
        </w:rPr>
        <w:t>九年一贯制、十二年一贯制学校的初中部</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可采用直升方式入学</w:t>
      </w:r>
      <w:r>
        <w:rPr>
          <w:rFonts w:hint="eastAsia" w:ascii="仿宋_GB2312" w:hAnsi="微软雅黑" w:eastAsia="仿宋_GB2312" w:cs="宋体"/>
          <w:kern w:val="0"/>
          <w:sz w:val="32"/>
          <w:szCs w:val="32"/>
        </w:rPr>
        <w:t>，但民办学校报名人数超过该校计划数时，将采取摇号方式进行派位</w:t>
      </w:r>
      <w:r>
        <w:rPr>
          <w:rFonts w:ascii="仿宋_GB2312" w:hAnsi="微软雅黑" w:eastAsia="仿宋_GB2312" w:cs="宋体"/>
          <w:kern w:val="0"/>
          <w:sz w:val="32"/>
          <w:szCs w:val="32"/>
        </w:rPr>
        <w:t>。</w:t>
      </w:r>
    </w:p>
    <w:p>
      <w:pPr>
        <w:spacing w:line="580" w:lineRule="exact"/>
        <w:ind w:firstLine="643" w:firstLineChars="200"/>
        <w:rPr>
          <w:rFonts w:hint="eastAsia" w:ascii="仿宋_GB2312" w:hAnsi="微软雅黑" w:eastAsia="仿宋_GB2312" w:cs="宋体"/>
          <w:kern w:val="0"/>
          <w:sz w:val="32"/>
          <w:szCs w:val="32"/>
        </w:rPr>
      </w:pPr>
      <w:r>
        <w:rPr>
          <w:rFonts w:hint="eastAsia" w:ascii="仿宋_GB2312" w:hAnsi="仿宋_GB2312" w:eastAsia="仿宋_GB2312" w:cs="仿宋_GB2312"/>
          <w:b/>
          <w:kern w:val="0"/>
          <w:sz w:val="32"/>
          <w:szCs w:val="32"/>
        </w:rPr>
        <w:t>3.统一组织报名入学</w:t>
      </w:r>
      <w:r>
        <w:rPr>
          <w:rFonts w:hint="eastAsia" w:ascii="仿宋_GB2312" w:hAnsi="微软雅黑" w:eastAsia="仿宋_GB2312" w:cs="宋体"/>
          <w:kern w:val="0"/>
          <w:sz w:val="32"/>
          <w:szCs w:val="32"/>
        </w:rPr>
        <w:t>。公</w:t>
      </w:r>
      <w:r>
        <w:rPr>
          <w:rFonts w:ascii="仿宋_GB2312" w:hAnsi="微软雅黑" w:eastAsia="仿宋_GB2312" w:cs="宋体"/>
          <w:kern w:val="0"/>
          <w:sz w:val="32"/>
          <w:szCs w:val="32"/>
        </w:rPr>
        <w:t>办民办义务教育学校招生</w:t>
      </w:r>
      <w:r>
        <w:rPr>
          <w:rFonts w:hint="eastAsia" w:ascii="仿宋_GB2312" w:hAnsi="微软雅黑" w:eastAsia="仿宋_GB2312" w:cs="宋体"/>
          <w:kern w:val="0"/>
          <w:sz w:val="32"/>
          <w:szCs w:val="32"/>
        </w:rPr>
        <w:t>入学</w:t>
      </w:r>
      <w:r>
        <w:rPr>
          <w:rFonts w:ascii="仿宋_GB2312" w:hAnsi="微软雅黑" w:eastAsia="仿宋_GB2312" w:cs="宋体"/>
          <w:kern w:val="0"/>
          <w:sz w:val="32"/>
          <w:szCs w:val="32"/>
        </w:rPr>
        <w:t>，由</w:t>
      </w:r>
      <w:r>
        <w:rPr>
          <w:rFonts w:hint="eastAsia" w:ascii="仿宋_GB2312" w:hAnsi="微软雅黑" w:eastAsia="仿宋_GB2312" w:cs="宋体"/>
          <w:kern w:val="0"/>
          <w:sz w:val="32"/>
          <w:szCs w:val="32"/>
        </w:rPr>
        <w:t>县综招办</w:t>
      </w:r>
      <w:r>
        <w:rPr>
          <w:rFonts w:ascii="仿宋_GB2312" w:hAnsi="微软雅黑" w:eastAsia="仿宋_GB2312" w:cs="宋体"/>
          <w:kern w:val="0"/>
          <w:sz w:val="32"/>
          <w:szCs w:val="32"/>
        </w:rPr>
        <w:t>统一组织</w:t>
      </w:r>
      <w:r>
        <w:rPr>
          <w:rFonts w:hint="eastAsia" w:ascii="仿宋_GB2312" w:hAnsi="微软雅黑" w:eastAsia="仿宋_GB2312" w:cs="宋体"/>
          <w:kern w:val="0"/>
          <w:sz w:val="32"/>
          <w:szCs w:val="32"/>
        </w:rPr>
        <w:t>实施</w:t>
      </w:r>
      <w:r>
        <w:rPr>
          <w:rFonts w:ascii="仿宋_GB2312" w:hAnsi="微软雅黑" w:eastAsia="仿宋_GB2312" w:cs="宋体"/>
          <w:kern w:val="0"/>
          <w:sz w:val="32"/>
          <w:szCs w:val="32"/>
        </w:rPr>
        <w:t>，学校不得自行接受报名</w:t>
      </w:r>
      <w:r>
        <w:rPr>
          <w:rFonts w:hint="eastAsia" w:ascii="仿宋_GB2312" w:hAnsi="微软雅黑" w:eastAsia="仿宋_GB2312" w:cs="宋体"/>
          <w:kern w:val="0"/>
          <w:sz w:val="32"/>
          <w:szCs w:val="32"/>
        </w:rPr>
        <w:t>。义务教育学校招生入学必须使用统一的平台进行报名、审核、录取。</w:t>
      </w:r>
      <w:r>
        <w:rPr>
          <w:rFonts w:ascii="仿宋_GB2312" w:hAnsi="微软雅黑" w:eastAsia="仿宋_GB2312" w:cs="宋体"/>
          <w:kern w:val="0"/>
          <w:sz w:val="32"/>
          <w:szCs w:val="32"/>
        </w:rPr>
        <w:t>任何学校不得以任何形式组织提前招生</w:t>
      </w:r>
      <w:r>
        <w:rPr>
          <w:rFonts w:hint="eastAsia" w:ascii="仿宋_GB2312" w:hAnsi="微软雅黑" w:eastAsia="仿宋_GB2312" w:cs="宋体"/>
          <w:kern w:val="0"/>
          <w:sz w:val="32"/>
          <w:szCs w:val="32"/>
        </w:rPr>
        <w:t>，健全义务教育入学报名登记制度</w:t>
      </w:r>
      <w:r>
        <w:rPr>
          <w:rFonts w:ascii="仿宋_GB2312" w:hAnsi="微软雅黑" w:eastAsia="仿宋_GB2312" w:cs="宋体"/>
          <w:kern w:val="0"/>
          <w:sz w:val="32"/>
          <w:szCs w:val="32"/>
          <w:lang w:val="en"/>
        </w:rPr>
        <w:t>，</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rPr>
        <w:t>材料非必要不提供、信息非必要不采集</w:t>
      </w:r>
      <w:r>
        <w:rPr>
          <w:rFonts w:hint="eastAsia"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rPr>
        <w:t>的原则</w:t>
      </w:r>
      <w:r>
        <w:rPr>
          <w:rFonts w:hint="eastAsia" w:ascii="仿宋_GB2312" w:hAnsi="仿宋_GB2312" w:eastAsia="仿宋_GB2312" w:cs="仿宋_GB2312"/>
          <w:kern w:val="0"/>
          <w:sz w:val="32"/>
          <w:szCs w:val="32"/>
          <w:lang w:val="en"/>
        </w:rPr>
        <w:t>，全面清理取消无谓证明材料，</w:t>
      </w:r>
      <w:r>
        <w:rPr>
          <w:rFonts w:hint="eastAsia" w:ascii="仿宋_GB2312" w:hAnsi="仿宋_GB2312" w:eastAsia="仿宋_GB2312" w:cs="仿宋_GB2312"/>
          <w:kern w:val="0"/>
          <w:sz w:val="32"/>
          <w:szCs w:val="32"/>
        </w:rPr>
        <w:t>提前明</w:t>
      </w:r>
      <w:r>
        <w:rPr>
          <w:rFonts w:hint="eastAsia" w:ascii="仿宋_GB2312" w:hAnsi="微软雅黑" w:eastAsia="仿宋_GB2312" w:cs="宋体"/>
          <w:kern w:val="0"/>
          <w:sz w:val="32"/>
          <w:szCs w:val="32"/>
        </w:rPr>
        <w:t>确、广泛宣传报名登记所需材料、报名时间和办理方式。</w:t>
      </w:r>
    </w:p>
    <w:p>
      <w:pPr>
        <w:spacing w:line="580" w:lineRule="exact"/>
        <w:ind w:firstLine="643" w:firstLineChars="200"/>
        <w:rPr>
          <w:rFonts w:ascii="仿宋_GB2312" w:hAnsi="微软雅黑" w:eastAsia="仿宋_GB2312" w:cs="宋体"/>
          <w:kern w:val="0"/>
          <w:sz w:val="32"/>
          <w:szCs w:val="32"/>
        </w:rPr>
      </w:pPr>
      <w:r>
        <w:rPr>
          <w:rFonts w:hint="eastAsia" w:ascii="仿宋_GB2312" w:hAnsi="仿宋_GB2312" w:eastAsia="仿宋_GB2312" w:cs="仿宋_GB2312"/>
          <w:b/>
          <w:kern w:val="0"/>
          <w:sz w:val="32"/>
          <w:szCs w:val="32"/>
        </w:rPr>
        <w:t>4.规范民办学校招生</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民办义务教育学校招生</w:t>
      </w:r>
      <w:r>
        <w:rPr>
          <w:rFonts w:hint="eastAsia" w:ascii="仿宋_GB2312" w:hAnsi="微软雅黑" w:eastAsia="仿宋_GB2312" w:cs="宋体"/>
          <w:kern w:val="0"/>
          <w:sz w:val="32"/>
          <w:szCs w:val="32"/>
        </w:rPr>
        <w:t>纳入</w:t>
      </w:r>
      <w:r>
        <w:rPr>
          <w:rFonts w:ascii="仿宋_GB2312" w:hAnsi="微软雅黑" w:eastAsia="仿宋_GB2312" w:cs="宋体"/>
          <w:kern w:val="0"/>
          <w:sz w:val="32"/>
          <w:szCs w:val="32"/>
        </w:rPr>
        <w:t>审批地统一管理</w:t>
      </w:r>
      <w:r>
        <w:rPr>
          <w:rFonts w:hint="eastAsia" w:ascii="仿宋_GB2312" w:hAnsi="微软雅黑" w:eastAsia="仿宋_GB2312" w:cs="宋体"/>
          <w:kern w:val="0"/>
          <w:sz w:val="32"/>
          <w:szCs w:val="32"/>
        </w:rPr>
        <w:t>，非起始年级按“严格管控，只出不进”的原则进行，起始年级</w:t>
      </w:r>
      <w:r>
        <w:rPr>
          <w:rFonts w:ascii="仿宋_GB2312" w:hAnsi="微软雅黑" w:eastAsia="仿宋_GB2312" w:cs="宋体"/>
          <w:kern w:val="0"/>
          <w:sz w:val="32"/>
          <w:szCs w:val="32"/>
        </w:rPr>
        <w:t>按</w:t>
      </w:r>
      <w:r>
        <w:rPr>
          <w:rFonts w:hint="eastAsia" w:ascii="仿宋_GB2312" w:hAnsi="微软雅黑" w:eastAsia="仿宋_GB2312" w:cs="宋体"/>
          <w:kern w:val="0"/>
          <w:sz w:val="32"/>
          <w:szCs w:val="32"/>
        </w:rPr>
        <w:t>主管教育行政部门</w:t>
      </w:r>
      <w:r>
        <w:rPr>
          <w:rFonts w:ascii="仿宋_GB2312" w:hAnsi="微软雅黑" w:eastAsia="仿宋_GB2312" w:cs="宋体"/>
          <w:kern w:val="0"/>
          <w:sz w:val="32"/>
          <w:szCs w:val="32"/>
        </w:rPr>
        <w:t>统一规定的</w:t>
      </w:r>
      <w:r>
        <w:rPr>
          <w:rFonts w:hint="eastAsia" w:ascii="仿宋_GB2312" w:hAnsi="微软雅黑" w:eastAsia="仿宋_GB2312" w:cs="宋体"/>
          <w:kern w:val="0"/>
          <w:sz w:val="32"/>
          <w:szCs w:val="32"/>
        </w:rPr>
        <w:t>计划、</w:t>
      </w:r>
      <w:r>
        <w:rPr>
          <w:rFonts w:ascii="仿宋_GB2312" w:hAnsi="微软雅黑" w:eastAsia="仿宋_GB2312" w:cs="宋体"/>
          <w:kern w:val="0"/>
          <w:sz w:val="32"/>
          <w:szCs w:val="32"/>
        </w:rPr>
        <w:t>时间</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与公办义务教育学校同步招生。若报名人数超过招生计划，</w:t>
      </w:r>
      <w:r>
        <w:rPr>
          <w:rFonts w:hint="eastAsia" w:ascii="仿宋_GB2312" w:hAnsi="微软雅黑" w:eastAsia="仿宋_GB2312" w:cs="宋体"/>
          <w:kern w:val="0"/>
          <w:sz w:val="32"/>
          <w:szCs w:val="32"/>
        </w:rPr>
        <w:t>已</w:t>
      </w:r>
      <w:r>
        <w:rPr>
          <w:rFonts w:ascii="仿宋_GB2312" w:hAnsi="微软雅黑" w:eastAsia="仿宋_GB2312" w:cs="宋体"/>
          <w:kern w:val="0"/>
          <w:sz w:val="32"/>
          <w:szCs w:val="32"/>
        </w:rPr>
        <w:t>报名学生全部参加电脑随机派位，根据派位结果确定录取名单。</w:t>
      </w:r>
    </w:p>
    <w:p>
      <w:pPr>
        <w:spacing w:line="580" w:lineRule="exact"/>
        <w:ind w:firstLine="643" w:firstLineChars="200"/>
        <w:rPr>
          <w:rFonts w:ascii="楷体" w:hAnsi="楷体" w:eastAsia="楷体" w:cs="宋体"/>
          <w:b/>
          <w:kern w:val="0"/>
          <w:sz w:val="32"/>
          <w:szCs w:val="32"/>
        </w:rPr>
      </w:pPr>
      <w:r>
        <w:rPr>
          <w:rFonts w:hint="eastAsia" w:ascii="仿宋_GB2312" w:hAnsi="仿宋_GB2312" w:eastAsia="仿宋_GB2312" w:cs="仿宋_GB2312"/>
          <w:b/>
          <w:kern w:val="0"/>
          <w:sz w:val="32"/>
          <w:szCs w:val="32"/>
        </w:rPr>
        <w:t>5.完善随迁子女政策</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深入推进“两为主、两纳入、以居住证为主要依据”的随迁子女义务教育入学政策</w:t>
      </w:r>
      <w:r>
        <w:rPr>
          <w:rFonts w:hint="eastAsia" w:ascii="仿宋_GB2312" w:hAnsi="微软雅黑" w:eastAsia="仿宋_GB2312" w:cs="宋体"/>
          <w:kern w:val="0"/>
          <w:sz w:val="32"/>
          <w:szCs w:val="32"/>
        </w:rPr>
        <w:t>，认真贯彻《湘阴县高层次人才子女入学就读实施方案》，</w:t>
      </w:r>
      <w:r>
        <w:rPr>
          <w:rFonts w:ascii="仿宋_GB2312" w:hAnsi="微软雅黑" w:eastAsia="仿宋_GB2312" w:cs="宋体"/>
          <w:kern w:val="0"/>
          <w:sz w:val="32"/>
          <w:szCs w:val="32"/>
        </w:rPr>
        <w:t>合理确定入学条件，</w:t>
      </w:r>
      <w:r>
        <w:rPr>
          <w:rFonts w:hint="eastAsia" w:ascii="仿宋_GB2312" w:hAnsi="微软雅黑" w:eastAsia="仿宋_GB2312" w:cs="宋体"/>
          <w:kern w:val="0"/>
          <w:sz w:val="32"/>
          <w:szCs w:val="32"/>
        </w:rPr>
        <w:t>简化入学流程和证明要求，</w:t>
      </w:r>
      <w:r>
        <w:rPr>
          <w:rFonts w:ascii="仿宋_GB2312" w:hAnsi="微软雅黑" w:eastAsia="仿宋_GB2312" w:cs="宋体"/>
          <w:kern w:val="0"/>
          <w:sz w:val="32"/>
          <w:szCs w:val="32"/>
        </w:rPr>
        <w:t>确保符合条件的学生有序入学。建立和完善随迁子女身份认定程序，严格工作要求，有效防止假冒随迁子女就读的择校行为。</w:t>
      </w:r>
    </w:p>
    <w:p>
      <w:pPr>
        <w:spacing w:line="580" w:lineRule="exact"/>
        <w:ind w:firstLine="643" w:firstLineChars="200"/>
        <w:rPr>
          <w:rFonts w:hint="eastAsia" w:ascii="仿宋_GB2312" w:hAnsi="微软雅黑" w:eastAsia="仿宋_GB2312" w:cs="宋体"/>
          <w:kern w:val="0"/>
          <w:sz w:val="32"/>
          <w:szCs w:val="32"/>
        </w:rPr>
      </w:pPr>
      <w:r>
        <w:rPr>
          <w:rFonts w:hint="eastAsia" w:ascii="仿宋_GB2312" w:hAnsi="仿宋_GB2312" w:eastAsia="仿宋_GB2312" w:cs="仿宋_GB2312"/>
          <w:b/>
          <w:kern w:val="0"/>
          <w:sz w:val="32"/>
          <w:szCs w:val="32"/>
        </w:rPr>
        <w:t>6.保障特殊群体入学</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通过特殊教育学校就读、普通学校</w:t>
      </w:r>
      <w:r>
        <w:rPr>
          <w:rFonts w:hint="eastAsia" w:ascii="仿宋_GB2312" w:hAnsi="微软雅黑" w:eastAsia="仿宋_GB2312" w:cs="宋体"/>
          <w:kern w:val="0"/>
          <w:sz w:val="32"/>
          <w:szCs w:val="32"/>
        </w:rPr>
        <w:t>随班</w:t>
      </w:r>
      <w:r>
        <w:rPr>
          <w:rFonts w:ascii="仿宋_GB2312" w:hAnsi="微软雅黑" w:eastAsia="仿宋_GB2312" w:cs="宋体"/>
          <w:kern w:val="0"/>
          <w:sz w:val="32"/>
          <w:szCs w:val="32"/>
        </w:rPr>
        <w:t>就读、儿童福利机构（含未成年人救助保护机构）特教班就读、送教上门等多种方式，落实</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一人一案</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，保障适龄残疾儿童</w:t>
      </w:r>
      <w:r>
        <w:rPr>
          <w:rFonts w:hint="eastAsia" w:ascii="仿宋_GB2312" w:hAnsi="微软雅黑" w:eastAsia="仿宋_GB2312" w:cs="宋体"/>
          <w:kern w:val="0"/>
          <w:sz w:val="32"/>
          <w:szCs w:val="32"/>
        </w:rPr>
        <w:t>少年</w:t>
      </w:r>
      <w:r>
        <w:rPr>
          <w:rFonts w:ascii="仿宋_GB2312" w:hAnsi="微软雅黑" w:eastAsia="仿宋_GB2312" w:cs="宋体"/>
          <w:kern w:val="0"/>
          <w:sz w:val="32"/>
          <w:szCs w:val="32"/>
        </w:rPr>
        <w:t>义务教育入学权利。</w:t>
      </w:r>
      <w:r>
        <w:rPr>
          <w:rFonts w:hint="eastAsia" w:ascii="仿宋_GB2312" w:hAnsi="微软雅黑" w:eastAsia="仿宋_GB2312" w:cs="宋体"/>
          <w:kern w:val="0"/>
          <w:sz w:val="32"/>
          <w:szCs w:val="32"/>
        </w:rPr>
        <w:t>根据有关政策法规规定，对</w:t>
      </w:r>
      <w:r>
        <w:rPr>
          <w:rFonts w:ascii="仿宋_GB2312" w:hAnsi="微软雅黑" w:eastAsia="仿宋_GB2312" w:cs="宋体"/>
          <w:kern w:val="0"/>
          <w:sz w:val="32"/>
          <w:szCs w:val="32"/>
        </w:rPr>
        <w:t>符合条件的各类优抚对象</w:t>
      </w:r>
      <w:r>
        <w:rPr>
          <w:rFonts w:hint="eastAsia" w:ascii="仿宋_GB2312" w:hAnsi="微软雅黑" w:eastAsia="仿宋_GB2312" w:cs="宋体"/>
          <w:kern w:val="0"/>
          <w:sz w:val="32"/>
          <w:szCs w:val="32"/>
        </w:rPr>
        <w:t>子女</w:t>
      </w:r>
      <w:r>
        <w:rPr>
          <w:rFonts w:ascii="仿宋_GB2312" w:hAnsi="微软雅黑" w:eastAsia="仿宋_GB2312" w:cs="宋体"/>
          <w:kern w:val="0"/>
          <w:sz w:val="32"/>
          <w:szCs w:val="32"/>
        </w:rPr>
        <w:t>，落实教育优待政策</w:t>
      </w:r>
      <w:r>
        <w:rPr>
          <w:rFonts w:hint="eastAsia" w:ascii="仿宋_GB2312" w:hAnsi="微软雅黑" w:eastAsia="仿宋_GB2312" w:cs="宋体"/>
          <w:kern w:val="0"/>
          <w:sz w:val="32"/>
          <w:szCs w:val="32"/>
        </w:rPr>
        <w:t>。</w:t>
      </w:r>
    </w:p>
    <w:p>
      <w:pPr>
        <w:spacing w:line="580" w:lineRule="exact"/>
        <w:ind w:firstLine="643" w:firstLineChars="200"/>
        <w:rPr>
          <w:rFonts w:ascii="仿宋_GB2312" w:hAnsi="微软雅黑" w:eastAsia="仿宋_GB2312" w:cs="宋体"/>
          <w:kern w:val="0"/>
          <w:sz w:val="32"/>
          <w:szCs w:val="32"/>
          <w:u w:val="single"/>
        </w:rPr>
      </w:pPr>
      <w:r>
        <w:rPr>
          <w:rFonts w:hint="eastAsia" w:ascii="仿宋_GB2312" w:hAnsi="仿宋_GB2312" w:eastAsia="仿宋_GB2312" w:cs="仿宋_GB2312"/>
          <w:b/>
          <w:kern w:val="0"/>
          <w:sz w:val="32"/>
          <w:szCs w:val="32"/>
        </w:rPr>
        <w:t>7.科学设置派位程序</w:t>
      </w:r>
      <w:r>
        <w:rPr>
          <w:rFonts w:hint="eastAsia" w:ascii="仿宋_GB2312" w:hAnsi="微软雅黑" w:eastAsia="仿宋_GB2312" w:cs="宋体"/>
          <w:kern w:val="0"/>
          <w:sz w:val="32"/>
          <w:szCs w:val="32"/>
        </w:rPr>
        <w:t>。县级</w:t>
      </w:r>
      <w:r>
        <w:rPr>
          <w:rFonts w:ascii="仿宋_GB2312" w:hAnsi="微软雅黑" w:eastAsia="仿宋_GB2312" w:cs="宋体"/>
          <w:kern w:val="0"/>
          <w:sz w:val="32"/>
          <w:szCs w:val="32"/>
        </w:rPr>
        <w:t>教育行政部门应制定电脑随机派位录取的具体工作办法，科学设置工作程序、摇号批次、志愿填报等要求</w:t>
      </w:r>
      <w:r>
        <w:rPr>
          <w:rFonts w:hint="eastAsia" w:ascii="仿宋_GB2312" w:hAnsi="微软雅黑" w:eastAsia="仿宋_GB2312" w:cs="宋体"/>
          <w:kern w:val="0"/>
          <w:sz w:val="32"/>
          <w:szCs w:val="32"/>
        </w:rPr>
        <w:t>，做到程序规范，过程公开，监督到位，公平公正。被电脑随机派位录取到民办学校的学生，不再参加其他学校的录取，确因各种特殊原因放弃录取资格的，须经录取学校同意，报教育行政部门批准，调剂到有空余学位的学校就读，不再按就近原则分配。</w:t>
      </w:r>
      <w:r>
        <w:rPr>
          <w:rFonts w:ascii="仿宋_GB2312" w:hAnsi="微软雅黑" w:eastAsia="仿宋_GB2312" w:cs="宋体"/>
          <w:kern w:val="0"/>
          <w:sz w:val="32"/>
          <w:szCs w:val="32"/>
        </w:rPr>
        <w:t>电脑随机派位录取工作由主管教育行政部门统一组织。</w:t>
      </w:r>
    </w:p>
    <w:p>
      <w:pPr>
        <w:spacing w:line="580" w:lineRule="exact"/>
        <w:ind w:firstLine="643" w:firstLineChars="200"/>
        <w:rPr>
          <w:rFonts w:hint="eastAsia" w:ascii="楷体" w:hAnsi="楷体" w:eastAsia="楷体" w:cs="宋体"/>
          <w:b/>
          <w:kern w:val="0"/>
          <w:sz w:val="32"/>
          <w:szCs w:val="32"/>
        </w:rPr>
      </w:pPr>
      <w:r>
        <w:rPr>
          <w:rFonts w:hint="eastAsia" w:ascii="仿宋_GB2312" w:hAnsi="仿宋_GB2312" w:eastAsia="仿宋_GB2312" w:cs="仿宋_GB2312"/>
          <w:b/>
          <w:kern w:val="0"/>
          <w:sz w:val="32"/>
          <w:szCs w:val="32"/>
        </w:rPr>
        <w:t>8.义务教育学校不得以“国际部”“国际课程班”“境外班”等名义招生</w:t>
      </w:r>
      <w:r>
        <w:rPr>
          <w:rFonts w:hint="eastAsia" w:ascii="仿宋_GB2312" w:hAnsi="微软雅黑" w:eastAsia="仿宋_GB2312" w:cs="宋体"/>
          <w:kern w:val="0"/>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9.文星街道办事处辖区内的义务教育阶段小一、初一新生入学升学，由县教育局统一规范管理，具体实施县综招办负责</w:t>
      </w:r>
      <w:r>
        <w:rPr>
          <w:rFonts w:hint="eastAsia" w:ascii="仿宋_GB2312" w:hAnsi="微软雅黑" w:eastAsia="仿宋_GB2312" w:cs="宋体"/>
          <w:kern w:val="0"/>
          <w:sz w:val="32"/>
          <w:szCs w:val="32"/>
        </w:rPr>
        <w:t>。</w:t>
      </w:r>
      <w:r>
        <w:rPr>
          <w:rFonts w:hint="eastAsia" w:ascii="仿宋_GB2312" w:hAnsi="仿宋_GB2312" w:eastAsia="仿宋_GB2312" w:cs="仿宋_GB2312"/>
          <w:sz w:val="32"/>
          <w:szCs w:val="32"/>
        </w:rPr>
        <w:t>（另见《2022年秋季学期湘阴县文星街道义务教育阶段阳光招生工作方案》，计划见附件8）。</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四、工作要求</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（一）广泛宣传招生政策</w:t>
      </w:r>
      <w:r>
        <w:rPr>
          <w:rFonts w:hint="eastAsia" w:ascii="仿宋_GB2312" w:hAnsi="仿宋_GB2312" w:eastAsia="仿宋_GB2312" w:cs="仿宋_GB2312"/>
          <w:sz w:val="32"/>
          <w:szCs w:val="32"/>
        </w:rPr>
        <w:t>。县综招办在湘阴县人民政府门户网和</w:t>
      </w:r>
      <w:r>
        <w:rPr>
          <w:rFonts w:hint="eastAsia" w:ascii="仿宋_GB2312" w:hAnsi="仿宋_GB2312" w:eastAsia="仿宋_GB2312" w:cs="仿宋_GB2312"/>
          <w:sz w:val="32"/>
          <w:szCs w:val="32"/>
          <w:lang w:eastAsia="zh-CN"/>
        </w:rPr>
        <w:t>“掌上湘阴”</w:t>
      </w:r>
      <w:r>
        <w:rPr>
          <w:rFonts w:hint="eastAsia" w:ascii="仿宋_GB2312" w:hAnsi="仿宋_GB2312" w:eastAsia="仿宋_GB2312" w:cs="仿宋_GB2312"/>
          <w:sz w:val="32"/>
          <w:szCs w:val="32"/>
        </w:rPr>
        <w:t>微信公众号开设湘阴县阳光招生专栏，公布招生政策、方案、程序和办法等。各学校要通过宣传橱窗、微信和告家长书等多种形式，宣传义务教育学校和高中学校阳光招生政策，使之家喻户晓，推动全社会共同支持和监督阳光招生工作实施，努力营造良好的舆论氛围。</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（二）严格执行招生计划</w:t>
      </w:r>
      <w:r>
        <w:rPr>
          <w:rFonts w:hint="eastAsia" w:ascii="仿宋_GB2312" w:hAnsi="仿宋_GB2312" w:eastAsia="仿宋_GB2312" w:cs="仿宋_GB2312"/>
          <w:sz w:val="32"/>
          <w:szCs w:val="32"/>
        </w:rPr>
        <w:t>。各招生学校要严格执行招生政策，努力完成招生录取计划，不得擅自跨区域招收学生和超计划招收学生，违规招收的学生应及时清退，对由此造成的不良后果由招生学校负责。</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（三）严肃招生工作纪律</w:t>
      </w:r>
      <w:r>
        <w:rPr>
          <w:rFonts w:hint="eastAsia" w:ascii="仿宋_GB2312" w:hAnsi="仿宋_GB2312" w:eastAsia="仿宋_GB2312" w:cs="仿宋_GB2312"/>
          <w:sz w:val="32"/>
          <w:szCs w:val="32"/>
        </w:rPr>
        <w:t>。任何学校不得进行诱导性的招生宣传，不得进行功利性的招生行动，不得组织选拔性招生考试。严禁设立重点班、实验班、特长班。严禁各招生学校乱发招生广告，凡需在媒体上公开发布的招生广告，事前须报县教育局审批后发布。严禁泄露学生信息。严禁未备案的职业学校或招生中介进校宣传招生和开展招生活动，坚决杜绝“买卖生源”行为。对违反规定的单位和个人，依法依规依纪交由相关监督执纪执法部门严肃问责查处。</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（四）建立责任追究制度</w:t>
      </w:r>
      <w:r>
        <w:rPr>
          <w:rFonts w:hint="eastAsia" w:ascii="仿宋_GB2312" w:hAnsi="仿宋_GB2312" w:eastAsia="仿宋_GB2312" w:cs="仿宋_GB2312"/>
          <w:sz w:val="32"/>
          <w:szCs w:val="32"/>
        </w:rPr>
        <w:t>。明确各招生学校校长为本单位阳光招生工作第一责任人，必须认真履职履责，维护阳光招生工作的纪律和秩序，着力营造风清气正的教育发展环境。由县教育局将阳光招生工作纳入各学校年度教育工作目标管理评估，凡在招生工作中因履职落实不力、操作实施不当造成安全责任事故等重大负面影响问题的，坚决追究相关单位和责任人责任。</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监督举报方式：县纪委监委驻教育局纪检监察组：2219823</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县教育督导中心：2882666</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县教育局阳光服务中心：2219671</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附件：1.湘阴县2022年高中阶段招生计划 </w:t>
      </w: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2.湘阴县2022年各职业学校专业设置表</w:t>
      </w:r>
    </w:p>
    <w:p>
      <w:pPr>
        <w:spacing w:line="60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3.湘阴县2022届初中毕业生报考普高（职高）志愿</w:t>
      </w:r>
    </w:p>
    <w:p>
      <w:pPr>
        <w:spacing w:line="60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登记表</w:t>
      </w: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4.湘阴县2022届初毕业生填报志愿须知</w:t>
      </w: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5.湘阴县2022年高中招生优惠加分审批表</w:t>
      </w:r>
    </w:p>
    <w:p>
      <w:pPr>
        <w:spacing w:line="60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6.湘阴县2022年优质公办高中招生分配到区垸和</w:t>
      </w:r>
    </w:p>
    <w:p>
      <w:pPr>
        <w:spacing w:line="60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学校计划安排</w:t>
      </w: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7.湘阴县2022年高中阳光招生工作日程表</w:t>
      </w:r>
    </w:p>
    <w:p>
      <w:pPr>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8.湘阴县2022年秋季城区义务教育学校招生计划</w:t>
      </w:r>
    </w:p>
    <w:p>
      <w:pPr>
        <w:spacing w:line="600" w:lineRule="exact"/>
        <w:ind w:left="1596" w:leftChars="760"/>
        <w:jc w:val="left"/>
        <w:rPr>
          <w:rFonts w:hint="eastAsia" w:ascii="仿宋_GB2312" w:hAnsi="仿宋_GB2312" w:eastAsia="仿宋_GB2312" w:cs="仿宋_GB2312"/>
          <w:sz w:val="32"/>
          <w:szCs w:val="32"/>
        </w:rPr>
        <w:sectPr>
          <w:headerReference r:id="rId3" w:type="default"/>
          <w:footerReference r:id="rId4" w:type="default"/>
          <w:pgSz w:w="11910" w:h="16840"/>
          <w:pgMar w:top="2098" w:right="1474" w:bottom="1984" w:left="1587" w:header="850" w:footer="1417" w:gutter="0"/>
          <w:pgNumType w:fmt="numberInDash" w:start="2"/>
          <w:cols w:space="720" w:num="1"/>
        </w:sectPr>
      </w:pPr>
    </w:p>
    <w:p>
      <w:pPr>
        <w:adjustRightInd w:val="0"/>
        <w:snapToGrid w:val="0"/>
        <w:jc w:val="left"/>
        <w:rPr>
          <w:rFonts w:hint="eastAsia" w:ascii="黑体" w:hAnsi="黑体" w:eastAsia="黑体" w:cs="黑体"/>
          <w:sz w:val="28"/>
          <w:szCs w:val="28"/>
        </w:rPr>
      </w:pPr>
      <w:r>
        <w:rPr>
          <w:rFonts w:hint="eastAsia" w:ascii="黑体" w:hAnsi="黑体" w:eastAsia="黑体" w:cs="黑体"/>
          <w:sz w:val="28"/>
          <w:szCs w:val="28"/>
        </w:rPr>
        <w:t>附件1</w:t>
      </w:r>
    </w:p>
    <w:p>
      <w:pPr>
        <w:adjustRightInd w:val="0"/>
        <w:snapToGrid w:val="0"/>
        <w:spacing w:line="200" w:lineRule="exact"/>
        <w:jc w:val="left"/>
        <w:rPr>
          <w:rFonts w:hint="eastAsia" w:ascii="黑体" w:hAnsi="黑体" w:eastAsia="黑体" w:cs="黑体"/>
          <w:sz w:val="32"/>
          <w:szCs w:val="32"/>
        </w:rPr>
      </w:pPr>
    </w:p>
    <w:p>
      <w:pPr>
        <w:tabs>
          <w:tab w:val="center" w:pos="4483"/>
          <w:tab w:val="right" w:pos="8844"/>
        </w:tabs>
        <w:adjustRightInd w:val="0"/>
        <w:snapToGrid w:val="0"/>
        <w:spacing w:line="400" w:lineRule="exact"/>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t>湘阴县2022年高中阶段招生计划</w:t>
      </w:r>
      <w:r>
        <w:rPr>
          <w:rFonts w:hint="eastAsia" w:ascii="方正小标宋简体" w:hAnsi="方正小标宋简体" w:eastAsia="方正小标宋简体" w:cs="方正小标宋简体"/>
          <w:sz w:val="36"/>
          <w:szCs w:val="36"/>
        </w:rPr>
        <w:tab/>
      </w:r>
    </w:p>
    <w:p>
      <w:pPr>
        <w:adjustRightInd w:val="0"/>
        <w:snapToGrid w:val="0"/>
        <w:spacing w:line="200" w:lineRule="exact"/>
        <w:jc w:val="left"/>
        <w:rPr>
          <w:rFonts w:hint="eastAsia" w:ascii="方正小标宋简体" w:hAnsi="方正小标宋简体" w:eastAsia="方正小标宋简体" w:cs="方正小标宋简体"/>
          <w:sz w:val="36"/>
          <w:szCs w:val="36"/>
        </w:rPr>
      </w:pPr>
    </w:p>
    <w:tbl>
      <w:tblPr>
        <w:tblStyle w:val="5"/>
        <w:tblpPr w:leftFromText="180" w:rightFromText="180" w:vertAnchor="text" w:tblpX="1" w:tblpY="1"/>
        <w:tblOverlap w:val="never"/>
        <w:tblW w:w="87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6"/>
        <w:gridCol w:w="1200"/>
        <w:gridCol w:w="543"/>
        <w:gridCol w:w="557"/>
        <w:gridCol w:w="729"/>
        <w:gridCol w:w="457"/>
        <w:gridCol w:w="471"/>
        <w:gridCol w:w="529"/>
        <w:gridCol w:w="443"/>
        <w:gridCol w:w="557"/>
        <w:gridCol w:w="614"/>
        <w:gridCol w:w="486"/>
        <w:gridCol w:w="44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9" w:hRule="atLeast"/>
        </w:trPr>
        <w:tc>
          <w:tcPr>
            <w:tcW w:w="546" w:type="dxa"/>
            <w:vMerge w:val="restart"/>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类别</w:t>
            </w:r>
          </w:p>
        </w:tc>
        <w:tc>
          <w:tcPr>
            <w:tcW w:w="1200" w:type="dxa"/>
            <w:vMerge w:val="restart"/>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学校</w:t>
            </w:r>
          </w:p>
        </w:tc>
        <w:tc>
          <w:tcPr>
            <w:tcW w:w="543" w:type="dxa"/>
            <w:vMerge w:val="restart"/>
            <w:noWrap w:val="0"/>
            <w:tcMar>
              <w:left w:w="0" w:type="dxa"/>
              <w:right w:w="0" w:type="dxa"/>
            </w:tcMar>
            <w:vAlign w:val="center"/>
          </w:tcPr>
          <w:p>
            <w:pPr>
              <w:widowControl/>
              <w:jc w:val="center"/>
              <w:textAlignment w:val="center"/>
              <w:rPr>
                <w:rFonts w:hint="eastAsia" w:ascii="黑体" w:hAnsi="黑体" w:eastAsia="黑体" w:cs="黑体"/>
                <w:kern w:val="0"/>
                <w:sz w:val="24"/>
                <w:lang w:eastAsia="zh-CN" w:bidi="ar"/>
              </w:rPr>
            </w:pPr>
            <w:r>
              <w:rPr>
                <w:rFonts w:hint="eastAsia" w:ascii="黑体" w:hAnsi="黑体" w:eastAsia="黑体" w:cs="黑体"/>
                <w:kern w:val="0"/>
                <w:sz w:val="24"/>
                <w:lang w:bidi="ar"/>
              </w:rPr>
              <w:t>招生</w:t>
            </w:r>
          </w:p>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班数</w:t>
            </w:r>
          </w:p>
        </w:tc>
        <w:tc>
          <w:tcPr>
            <w:tcW w:w="557" w:type="dxa"/>
            <w:vMerge w:val="restart"/>
            <w:noWrap w:val="0"/>
            <w:tcMar>
              <w:left w:w="0" w:type="dxa"/>
              <w:right w:w="0" w:type="dxa"/>
            </w:tcMar>
            <w:vAlign w:val="center"/>
          </w:tcPr>
          <w:p>
            <w:pPr>
              <w:widowControl/>
              <w:jc w:val="center"/>
              <w:textAlignment w:val="center"/>
              <w:rPr>
                <w:rFonts w:hint="eastAsia" w:ascii="黑体" w:hAnsi="黑体" w:eastAsia="黑体" w:cs="黑体"/>
                <w:kern w:val="0"/>
                <w:sz w:val="24"/>
                <w:lang w:eastAsia="zh-CN" w:bidi="ar"/>
              </w:rPr>
            </w:pPr>
            <w:r>
              <w:rPr>
                <w:rFonts w:hint="eastAsia" w:ascii="黑体" w:hAnsi="黑体" w:eastAsia="黑体" w:cs="黑体"/>
                <w:kern w:val="0"/>
                <w:sz w:val="24"/>
                <w:lang w:bidi="ar"/>
              </w:rPr>
              <w:t>计划</w:t>
            </w:r>
          </w:p>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人数</w:t>
            </w:r>
          </w:p>
        </w:tc>
        <w:tc>
          <w:tcPr>
            <w:tcW w:w="4729" w:type="dxa"/>
            <w:gridSpan w:val="9"/>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录取分布</w:t>
            </w:r>
          </w:p>
        </w:tc>
        <w:tc>
          <w:tcPr>
            <w:tcW w:w="1141" w:type="dxa"/>
            <w:noWrap w:val="0"/>
            <w:tcMar>
              <w:left w:w="0" w:type="dxa"/>
              <w:right w:w="0" w:type="dxa"/>
            </w:tcMar>
            <w:vAlign w:val="center"/>
          </w:tcPr>
          <w:p>
            <w:pPr>
              <w:widowControl/>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trPr>
        <w:tc>
          <w:tcPr>
            <w:tcW w:w="546" w:type="dxa"/>
            <w:vMerge w:val="continue"/>
            <w:noWrap w:val="0"/>
            <w:tcMar>
              <w:left w:w="0" w:type="dxa"/>
              <w:right w:w="0" w:type="dxa"/>
            </w:tcMar>
            <w:vAlign w:val="center"/>
          </w:tcPr>
          <w:p>
            <w:pPr>
              <w:jc w:val="center"/>
              <w:rPr>
                <w:rFonts w:hint="eastAsia" w:ascii="黑体" w:hAnsi="黑体" w:eastAsia="黑体" w:cs="黑体"/>
                <w:sz w:val="24"/>
              </w:rPr>
            </w:pPr>
          </w:p>
        </w:tc>
        <w:tc>
          <w:tcPr>
            <w:tcW w:w="1200" w:type="dxa"/>
            <w:vMerge w:val="continue"/>
            <w:noWrap w:val="0"/>
            <w:tcMar>
              <w:left w:w="0" w:type="dxa"/>
              <w:right w:w="0" w:type="dxa"/>
            </w:tcMar>
            <w:vAlign w:val="center"/>
          </w:tcPr>
          <w:p>
            <w:pPr>
              <w:jc w:val="center"/>
              <w:rPr>
                <w:rFonts w:hint="eastAsia" w:ascii="黑体" w:hAnsi="黑体" w:eastAsia="黑体" w:cs="黑体"/>
                <w:sz w:val="24"/>
              </w:rPr>
            </w:pPr>
          </w:p>
        </w:tc>
        <w:tc>
          <w:tcPr>
            <w:tcW w:w="543" w:type="dxa"/>
            <w:vMerge w:val="continue"/>
            <w:noWrap w:val="0"/>
            <w:tcMar>
              <w:left w:w="0" w:type="dxa"/>
              <w:right w:w="0" w:type="dxa"/>
            </w:tcMar>
            <w:vAlign w:val="center"/>
          </w:tcPr>
          <w:p>
            <w:pPr>
              <w:jc w:val="center"/>
              <w:rPr>
                <w:rFonts w:hint="eastAsia" w:ascii="黑体" w:hAnsi="黑体" w:eastAsia="黑体" w:cs="黑体"/>
                <w:sz w:val="24"/>
              </w:rPr>
            </w:pPr>
          </w:p>
        </w:tc>
        <w:tc>
          <w:tcPr>
            <w:tcW w:w="557" w:type="dxa"/>
            <w:vMerge w:val="continue"/>
            <w:noWrap w:val="0"/>
            <w:tcMar>
              <w:left w:w="0" w:type="dxa"/>
              <w:right w:w="0" w:type="dxa"/>
            </w:tcMar>
            <w:vAlign w:val="center"/>
          </w:tcPr>
          <w:p>
            <w:pPr>
              <w:jc w:val="center"/>
              <w:rPr>
                <w:rFonts w:hint="eastAsia" w:ascii="黑体" w:hAnsi="黑体" w:eastAsia="黑体" w:cs="黑体"/>
                <w:sz w:val="24"/>
              </w:rPr>
            </w:pPr>
          </w:p>
        </w:tc>
        <w:tc>
          <w:tcPr>
            <w:tcW w:w="729" w:type="dxa"/>
            <w:vMerge w:val="restart"/>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文化</w:t>
            </w:r>
          </w:p>
        </w:tc>
        <w:tc>
          <w:tcPr>
            <w:tcW w:w="4000" w:type="dxa"/>
            <w:gridSpan w:val="8"/>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自主招生</w:t>
            </w:r>
          </w:p>
        </w:tc>
        <w:tc>
          <w:tcPr>
            <w:tcW w:w="1141" w:type="dxa"/>
            <w:noWrap w:val="0"/>
            <w:tcMar>
              <w:left w:w="0" w:type="dxa"/>
              <w:right w:w="0" w:type="dxa"/>
            </w:tcMar>
            <w:vAlign w:val="center"/>
          </w:tcPr>
          <w:p>
            <w:pPr>
              <w:widowControl/>
              <w:jc w:val="center"/>
              <w:textAlignment w:val="center"/>
              <w:rPr>
                <w:rFonts w:hint="eastAsia" w:ascii="黑体" w:hAnsi="黑体" w:eastAsia="黑体" w:cs="黑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6" w:hRule="atLeast"/>
        </w:trPr>
        <w:tc>
          <w:tcPr>
            <w:tcW w:w="546" w:type="dxa"/>
            <w:vMerge w:val="continue"/>
            <w:noWrap w:val="0"/>
            <w:tcMar>
              <w:left w:w="0" w:type="dxa"/>
              <w:right w:w="0" w:type="dxa"/>
            </w:tcMar>
            <w:vAlign w:val="center"/>
          </w:tcPr>
          <w:p>
            <w:pPr>
              <w:jc w:val="center"/>
              <w:rPr>
                <w:rFonts w:hint="eastAsia" w:ascii="黑体" w:hAnsi="黑体" w:eastAsia="黑体" w:cs="黑体"/>
                <w:sz w:val="24"/>
              </w:rPr>
            </w:pPr>
          </w:p>
        </w:tc>
        <w:tc>
          <w:tcPr>
            <w:tcW w:w="1200" w:type="dxa"/>
            <w:vMerge w:val="continue"/>
            <w:noWrap w:val="0"/>
            <w:tcMar>
              <w:left w:w="0" w:type="dxa"/>
              <w:right w:w="0" w:type="dxa"/>
            </w:tcMar>
            <w:vAlign w:val="center"/>
          </w:tcPr>
          <w:p>
            <w:pPr>
              <w:jc w:val="center"/>
              <w:rPr>
                <w:rFonts w:hint="eastAsia" w:ascii="黑体" w:hAnsi="黑体" w:eastAsia="黑体" w:cs="黑体"/>
                <w:sz w:val="24"/>
              </w:rPr>
            </w:pPr>
          </w:p>
        </w:tc>
        <w:tc>
          <w:tcPr>
            <w:tcW w:w="543" w:type="dxa"/>
            <w:vMerge w:val="continue"/>
            <w:noWrap w:val="0"/>
            <w:tcMar>
              <w:left w:w="0" w:type="dxa"/>
              <w:right w:w="0" w:type="dxa"/>
            </w:tcMar>
            <w:vAlign w:val="center"/>
          </w:tcPr>
          <w:p>
            <w:pPr>
              <w:jc w:val="center"/>
              <w:rPr>
                <w:rFonts w:hint="eastAsia" w:ascii="黑体" w:hAnsi="黑体" w:eastAsia="黑体" w:cs="黑体"/>
                <w:sz w:val="24"/>
              </w:rPr>
            </w:pPr>
          </w:p>
        </w:tc>
        <w:tc>
          <w:tcPr>
            <w:tcW w:w="557" w:type="dxa"/>
            <w:vMerge w:val="continue"/>
            <w:noWrap w:val="0"/>
            <w:tcMar>
              <w:left w:w="0" w:type="dxa"/>
              <w:right w:w="0" w:type="dxa"/>
            </w:tcMar>
            <w:vAlign w:val="center"/>
          </w:tcPr>
          <w:p>
            <w:pPr>
              <w:jc w:val="center"/>
              <w:rPr>
                <w:rFonts w:hint="eastAsia" w:ascii="黑体" w:hAnsi="黑体" w:eastAsia="黑体" w:cs="黑体"/>
                <w:sz w:val="24"/>
              </w:rPr>
            </w:pPr>
          </w:p>
        </w:tc>
        <w:tc>
          <w:tcPr>
            <w:tcW w:w="729" w:type="dxa"/>
            <w:vMerge w:val="continue"/>
            <w:noWrap w:val="0"/>
            <w:tcMar>
              <w:left w:w="0" w:type="dxa"/>
              <w:right w:w="0" w:type="dxa"/>
            </w:tcMar>
            <w:vAlign w:val="center"/>
          </w:tcPr>
          <w:p>
            <w:pPr>
              <w:jc w:val="center"/>
              <w:rPr>
                <w:rFonts w:hint="eastAsia" w:ascii="黑体" w:hAnsi="黑体" w:eastAsia="黑体" w:cs="黑体"/>
                <w:sz w:val="24"/>
              </w:rPr>
            </w:pPr>
          </w:p>
        </w:tc>
        <w:tc>
          <w:tcPr>
            <w:tcW w:w="457" w:type="dxa"/>
            <w:vMerge w:val="restart"/>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合计</w:t>
            </w:r>
          </w:p>
        </w:tc>
        <w:tc>
          <w:tcPr>
            <w:tcW w:w="2614" w:type="dxa"/>
            <w:gridSpan w:val="5"/>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体艺特长生</w:t>
            </w:r>
          </w:p>
        </w:tc>
        <w:tc>
          <w:tcPr>
            <w:tcW w:w="486" w:type="dxa"/>
            <w:vMerge w:val="restart"/>
            <w:noWrap w:val="0"/>
            <w:vAlign w:val="center"/>
          </w:tcPr>
          <w:p>
            <w:pPr>
              <w:widowControl/>
              <w:jc w:val="center"/>
              <w:textAlignment w:val="center"/>
              <w:rPr>
                <w:rFonts w:hint="eastAsia" w:ascii="黑体" w:hAnsi="黑体" w:eastAsia="黑体" w:cs="黑体"/>
                <w:kern w:val="0"/>
                <w:sz w:val="24"/>
                <w:lang w:eastAsia="zh-CN" w:bidi="ar"/>
              </w:rPr>
            </w:pPr>
            <w:r>
              <w:rPr>
                <w:rFonts w:hint="eastAsia" w:ascii="黑体" w:hAnsi="黑体" w:eastAsia="黑体" w:cs="黑体"/>
                <w:kern w:val="0"/>
                <w:sz w:val="24"/>
                <w:lang w:bidi="ar"/>
              </w:rPr>
              <w:t>学科</w:t>
            </w:r>
          </w:p>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特长生</w:t>
            </w:r>
          </w:p>
        </w:tc>
        <w:tc>
          <w:tcPr>
            <w:tcW w:w="443"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潜能生</w:t>
            </w:r>
          </w:p>
        </w:tc>
        <w:tc>
          <w:tcPr>
            <w:tcW w:w="1141" w:type="dxa"/>
            <w:noWrap w:val="0"/>
            <w:vAlign w:val="center"/>
          </w:tcPr>
          <w:p>
            <w:pPr>
              <w:widowControl/>
              <w:jc w:val="center"/>
              <w:textAlignment w:val="center"/>
              <w:rPr>
                <w:rFonts w:hint="eastAsia" w:ascii="黑体" w:hAnsi="黑体" w:eastAsia="黑体" w:cs="黑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黑体" w:hAnsi="黑体" w:eastAsia="黑体" w:cs="黑体"/>
                <w:sz w:val="24"/>
              </w:rPr>
            </w:pPr>
          </w:p>
        </w:tc>
        <w:tc>
          <w:tcPr>
            <w:tcW w:w="1200" w:type="dxa"/>
            <w:vMerge w:val="continue"/>
            <w:noWrap w:val="0"/>
            <w:tcMar>
              <w:left w:w="0" w:type="dxa"/>
              <w:right w:w="0" w:type="dxa"/>
            </w:tcMar>
            <w:vAlign w:val="center"/>
          </w:tcPr>
          <w:p>
            <w:pPr>
              <w:jc w:val="center"/>
              <w:rPr>
                <w:rFonts w:hint="eastAsia" w:ascii="黑体" w:hAnsi="黑体" w:eastAsia="黑体" w:cs="黑体"/>
                <w:sz w:val="24"/>
              </w:rPr>
            </w:pPr>
          </w:p>
        </w:tc>
        <w:tc>
          <w:tcPr>
            <w:tcW w:w="543" w:type="dxa"/>
            <w:vMerge w:val="continue"/>
            <w:noWrap w:val="0"/>
            <w:tcMar>
              <w:left w:w="0" w:type="dxa"/>
              <w:right w:w="0" w:type="dxa"/>
            </w:tcMar>
            <w:vAlign w:val="center"/>
          </w:tcPr>
          <w:p>
            <w:pPr>
              <w:jc w:val="center"/>
              <w:rPr>
                <w:rFonts w:hint="eastAsia" w:ascii="黑体" w:hAnsi="黑体" w:eastAsia="黑体" w:cs="黑体"/>
                <w:sz w:val="24"/>
              </w:rPr>
            </w:pPr>
          </w:p>
        </w:tc>
        <w:tc>
          <w:tcPr>
            <w:tcW w:w="557" w:type="dxa"/>
            <w:vMerge w:val="continue"/>
            <w:noWrap w:val="0"/>
            <w:tcMar>
              <w:left w:w="0" w:type="dxa"/>
              <w:right w:w="0" w:type="dxa"/>
            </w:tcMar>
            <w:vAlign w:val="center"/>
          </w:tcPr>
          <w:p>
            <w:pPr>
              <w:jc w:val="center"/>
              <w:rPr>
                <w:rFonts w:hint="eastAsia" w:ascii="黑体" w:hAnsi="黑体" w:eastAsia="黑体" w:cs="黑体"/>
                <w:sz w:val="24"/>
                <w:lang w:bidi="zh-CN"/>
              </w:rPr>
            </w:pPr>
          </w:p>
        </w:tc>
        <w:tc>
          <w:tcPr>
            <w:tcW w:w="729" w:type="dxa"/>
            <w:vMerge w:val="continue"/>
            <w:noWrap w:val="0"/>
            <w:tcMar>
              <w:left w:w="0" w:type="dxa"/>
              <w:right w:w="0" w:type="dxa"/>
            </w:tcMar>
            <w:vAlign w:val="center"/>
          </w:tcPr>
          <w:p>
            <w:pPr>
              <w:jc w:val="center"/>
              <w:rPr>
                <w:rFonts w:hint="eastAsia" w:ascii="黑体" w:hAnsi="黑体" w:eastAsia="黑体" w:cs="黑体"/>
                <w:sz w:val="24"/>
              </w:rPr>
            </w:pPr>
          </w:p>
        </w:tc>
        <w:tc>
          <w:tcPr>
            <w:tcW w:w="457" w:type="dxa"/>
            <w:vMerge w:val="continue"/>
            <w:noWrap w:val="0"/>
            <w:tcMar>
              <w:left w:w="0" w:type="dxa"/>
              <w:right w:w="0" w:type="dxa"/>
            </w:tcMar>
            <w:vAlign w:val="center"/>
          </w:tcPr>
          <w:p>
            <w:pPr>
              <w:jc w:val="center"/>
              <w:rPr>
                <w:rFonts w:hint="eastAsia" w:ascii="黑体" w:hAnsi="黑体" w:eastAsia="黑体" w:cs="黑体"/>
                <w:sz w:val="24"/>
              </w:rPr>
            </w:pPr>
          </w:p>
        </w:tc>
        <w:tc>
          <w:tcPr>
            <w:tcW w:w="471"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音</w:t>
            </w:r>
          </w:p>
        </w:tc>
        <w:tc>
          <w:tcPr>
            <w:tcW w:w="529"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体</w:t>
            </w:r>
          </w:p>
        </w:tc>
        <w:tc>
          <w:tcPr>
            <w:tcW w:w="443"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美</w:t>
            </w:r>
          </w:p>
        </w:tc>
        <w:tc>
          <w:tcPr>
            <w:tcW w:w="557"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书法</w:t>
            </w:r>
          </w:p>
        </w:tc>
        <w:tc>
          <w:tcPr>
            <w:tcW w:w="614" w:type="dxa"/>
            <w:vMerge w:val="restart"/>
            <w:noWrap w:val="0"/>
            <w:vAlign w:val="center"/>
          </w:tcPr>
          <w:p>
            <w:pPr>
              <w:widowControl/>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传媒</w:t>
            </w:r>
          </w:p>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（E）</w:t>
            </w:r>
          </w:p>
        </w:tc>
        <w:tc>
          <w:tcPr>
            <w:tcW w:w="486" w:type="dxa"/>
            <w:vMerge w:val="continue"/>
            <w:noWrap w:val="0"/>
            <w:vAlign w:val="center"/>
          </w:tcPr>
          <w:p>
            <w:pPr>
              <w:jc w:val="center"/>
              <w:rPr>
                <w:rFonts w:hint="eastAsia" w:ascii="黑体" w:hAnsi="黑体" w:eastAsia="黑体" w:cs="黑体"/>
                <w:sz w:val="24"/>
              </w:rPr>
            </w:pPr>
          </w:p>
        </w:tc>
        <w:tc>
          <w:tcPr>
            <w:tcW w:w="443" w:type="dxa"/>
            <w:vMerge w:val="continue"/>
            <w:noWrap w:val="0"/>
            <w:vAlign w:val="center"/>
          </w:tcPr>
          <w:p>
            <w:pPr>
              <w:jc w:val="center"/>
              <w:rPr>
                <w:rFonts w:hint="eastAsia" w:ascii="黑体" w:hAnsi="黑体" w:eastAsia="黑体" w:cs="黑体"/>
                <w:sz w:val="24"/>
              </w:rPr>
            </w:pPr>
          </w:p>
        </w:tc>
        <w:tc>
          <w:tcPr>
            <w:tcW w:w="1141" w:type="dxa"/>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546" w:type="dxa"/>
            <w:vMerge w:val="continue"/>
            <w:noWrap w:val="0"/>
            <w:tcMar>
              <w:left w:w="0" w:type="dxa"/>
              <w:right w:w="0" w:type="dxa"/>
            </w:tcMar>
            <w:vAlign w:val="center"/>
          </w:tcPr>
          <w:p>
            <w:pPr>
              <w:jc w:val="center"/>
              <w:rPr>
                <w:rFonts w:hint="eastAsia" w:ascii="黑体" w:hAnsi="黑体" w:eastAsia="黑体" w:cs="黑体"/>
                <w:sz w:val="24"/>
              </w:rPr>
            </w:pPr>
          </w:p>
        </w:tc>
        <w:tc>
          <w:tcPr>
            <w:tcW w:w="1200" w:type="dxa"/>
            <w:vMerge w:val="continue"/>
            <w:noWrap w:val="0"/>
            <w:tcMar>
              <w:left w:w="0" w:type="dxa"/>
              <w:right w:w="0" w:type="dxa"/>
            </w:tcMar>
            <w:vAlign w:val="center"/>
          </w:tcPr>
          <w:p>
            <w:pPr>
              <w:jc w:val="center"/>
              <w:rPr>
                <w:rFonts w:hint="eastAsia" w:ascii="黑体" w:hAnsi="黑体" w:eastAsia="黑体" w:cs="黑体"/>
                <w:sz w:val="24"/>
              </w:rPr>
            </w:pPr>
          </w:p>
        </w:tc>
        <w:tc>
          <w:tcPr>
            <w:tcW w:w="543" w:type="dxa"/>
            <w:vMerge w:val="continue"/>
            <w:noWrap w:val="0"/>
            <w:tcMar>
              <w:left w:w="0" w:type="dxa"/>
              <w:right w:w="0" w:type="dxa"/>
            </w:tcMar>
            <w:vAlign w:val="center"/>
          </w:tcPr>
          <w:p>
            <w:pPr>
              <w:jc w:val="center"/>
              <w:rPr>
                <w:rFonts w:hint="eastAsia" w:ascii="黑体" w:hAnsi="黑体" w:eastAsia="黑体" w:cs="黑体"/>
                <w:sz w:val="24"/>
              </w:rPr>
            </w:pPr>
          </w:p>
        </w:tc>
        <w:tc>
          <w:tcPr>
            <w:tcW w:w="557" w:type="dxa"/>
            <w:vMerge w:val="continue"/>
            <w:noWrap w:val="0"/>
            <w:tcMar>
              <w:left w:w="0" w:type="dxa"/>
              <w:right w:w="0" w:type="dxa"/>
            </w:tcMar>
            <w:vAlign w:val="center"/>
          </w:tcPr>
          <w:p>
            <w:pPr>
              <w:jc w:val="center"/>
              <w:rPr>
                <w:rFonts w:hint="eastAsia" w:ascii="黑体" w:hAnsi="黑体" w:eastAsia="黑体" w:cs="黑体"/>
                <w:sz w:val="24"/>
                <w:lang w:val="zh-CN" w:bidi="zh-CN"/>
              </w:rPr>
            </w:pPr>
          </w:p>
        </w:tc>
        <w:tc>
          <w:tcPr>
            <w:tcW w:w="729" w:type="dxa"/>
            <w:vMerge w:val="continue"/>
            <w:noWrap w:val="0"/>
            <w:tcMar>
              <w:left w:w="0" w:type="dxa"/>
              <w:right w:w="0" w:type="dxa"/>
            </w:tcMar>
            <w:vAlign w:val="center"/>
          </w:tcPr>
          <w:p>
            <w:pPr>
              <w:jc w:val="center"/>
              <w:rPr>
                <w:rFonts w:hint="eastAsia" w:ascii="黑体" w:hAnsi="黑体" w:eastAsia="黑体" w:cs="黑体"/>
                <w:sz w:val="24"/>
              </w:rPr>
            </w:pPr>
          </w:p>
        </w:tc>
        <w:tc>
          <w:tcPr>
            <w:tcW w:w="457" w:type="dxa"/>
            <w:vMerge w:val="continue"/>
            <w:noWrap w:val="0"/>
            <w:tcMar>
              <w:left w:w="0" w:type="dxa"/>
              <w:right w:w="0" w:type="dxa"/>
            </w:tcMar>
            <w:vAlign w:val="center"/>
          </w:tcPr>
          <w:p>
            <w:pPr>
              <w:jc w:val="center"/>
              <w:rPr>
                <w:rFonts w:hint="eastAsia" w:ascii="黑体" w:hAnsi="黑体" w:eastAsia="黑体" w:cs="黑体"/>
                <w:sz w:val="24"/>
              </w:rPr>
            </w:pPr>
          </w:p>
        </w:tc>
        <w:tc>
          <w:tcPr>
            <w:tcW w:w="471"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(A)</w:t>
            </w:r>
          </w:p>
        </w:tc>
        <w:tc>
          <w:tcPr>
            <w:tcW w:w="529"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(B)</w:t>
            </w:r>
          </w:p>
        </w:tc>
        <w:tc>
          <w:tcPr>
            <w:tcW w:w="443" w:type="dxa"/>
            <w:noWrap w:val="0"/>
            <w:tcMar>
              <w:left w:w="0" w:type="dxa"/>
              <w:right w:w="0" w:type="dxa"/>
            </w:tcMar>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(C)</w:t>
            </w:r>
          </w:p>
        </w:tc>
        <w:tc>
          <w:tcPr>
            <w:tcW w:w="557"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(D)</w:t>
            </w:r>
          </w:p>
        </w:tc>
        <w:tc>
          <w:tcPr>
            <w:tcW w:w="614" w:type="dxa"/>
            <w:vMerge w:val="continue"/>
            <w:noWrap w:val="0"/>
            <w:vAlign w:val="center"/>
          </w:tcPr>
          <w:p>
            <w:pPr>
              <w:jc w:val="center"/>
              <w:rPr>
                <w:rFonts w:hint="eastAsia" w:ascii="黑体" w:hAnsi="黑体" w:eastAsia="黑体" w:cs="黑体"/>
                <w:sz w:val="24"/>
              </w:rPr>
            </w:pPr>
          </w:p>
        </w:tc>
        <w:tc>
          <w:tcPr>
            <w:tcW w:w="486" w:type="dxa"/>
            <w:vMerge w:val="continue"/>
            <w:noWrap w:val="0"/>
            <w:vAlign w:val="center"/>
          </w:tcPr>
          <w:p>
            <w:pPr>
              <w:jc w:val="center"/>
              <w:rPr>
                <w:rFonts w:hint="eastAsia" w:ascii="黑体" w:hAnsi="黑体" w:eastAsia="黑体" w:cs="黑体"/>
                <w:sz w:val="24"/>
              </w:rPr>
            </w:pPr>
          </w:p>
        </w:tc>
        <w:tc>
          <w:tcPr>
            <w:tcW w:w="443" w:type="dxa"/>
            <w:vMerge w:val="continue"/>
            <w:noWrap w:val="0"/>
            <w:vAlign w:val="center"/>
          </w:tcPr>
          <w:p>
            <w:pPr>
              <w:jc w:val="center"/>
              <w:rPr>
                <w:rFonts w:hint="eastAsia" w:ascii="黑体" w:hAnsi="黑体" w:eastAsia="黑体" w:cs="黑体"/>
                <w:sz w:val="24"/>
              </w:rPr>
            </w:pPr>
          </w:p>
        </w:tc>
        <w:tc>
          <w:tcPr>
            <w:tcW w:w="1141" w:type="dxa"/>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restart"/>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普高</w:t>
            </w: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一中</w:t>
            </w:r>
          </w:p>
        </w:tc>
        <w:tc>
          <w:tcPr>
            <w:tcW w:w="543"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18</w:t>
            </w:r>
          </w:p>
        </w:tc>
        <w:tc>
          <w:tcPr>
            <w:tcW w:w="557" w:type="dxa"/>
            <w:noWrap w:val="0"/>
            <w:tcMar>
              <w:left w:w="0" w:type="dxa"/>
              <w:right w:w="0" w:type="dxa"/>
            </w:tcMar>
            <w:vAlign w:val="center"/>
          </w:tcPr>
          <w:p>
            <w:pPr>
              <w:widowControl/>
              <w:jc w:val="center"/>
              <w:textAlignment w:val="center"/>
              <w:rPr>
                <w:rFonts w:ascii="仿宋_GB2312" w:hAnsi="仿宋_GB2312" w:eastAsia="仿宋_GB2312" w:cs="仿宋_GB2312"/>
                <w:sz w:val="24"/>
                <w:lang w:bidi="zh-CN"/>
              </w:rPr>
            </w:pPr>
            <w:r>
              <w:rPr>
                <w:rFonts w:hint="eastAsia" w:ascii="仿宋_GB2312" w:hAnsi="仿宋_GB2312" w:eastAsia="仿宋_GB2312" w:cs="仿宋_GB2312"/>
                <w:kern w:val="0"/>
                <w:sz w:val="24"/>
                <w:lang w:bidi="ar"/>
              </w:rPr>
              <w:t>920</w:t>
            </w:r>
          </w:p>
        </w:tc>
        <w:tc>
          <w:tcPr>
            <w:tcW w:w="729"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880</w:t>
            </w:r>
          </w:p>
        </w:tc>
        <w:tc>
          <w:tcPr>
            <w:tcW w:w="457"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40</w:t>
            </w:r>
          </w:p>
        </w:tc>
        <w:tc>
          <w:tcPr>
            <w:tcW w:w="471" w:type="dxa"/>
            <w:noWrap w:val="0"/>
            <w:tcMar>
              <w:left w:w="0" w:type="dxa"/>
              <w:right w:w="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12</w:t>
            </w:r>
          </w:p>
        </w:tc>
        <w:tc>
          <w:tcPr>
            <w:tcW w:w="529"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w:t>
            </w:r>
          </w:p>
        </w:tc>
        <w:tc>
          <w:tcPr>
            <w:tcW w:w="443"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w:t>
            </w:r>
          </w:p>
        </w:tc>
        <w:tc>
          <w:tcPr>
            <w:tcW w:w="557"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w:t>
            </w:r>
          </w:p>
        </w:tc>
        <w:tc>
          <w:tcPr>
            <w:tcW w:w="614" w:type="dxa"/>
            <w:noWrap w:val="0"/>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w:t>
            </w:r>
          </w:p>
        </w:tc>
        <w:tc>
          <w:tcPr>
            <w:tcW w:w="486" w:type="dxa"/>
            <w:noWrap w:val="0"/>
            <w:vAlign w:val="center"/>
          </w:tcPr>
          <w:p>
            <w:pPr>
              <w:jc w:val="center"/>
              <w:rPr>
                <w:rFonts w:hint="eastAsia" w:ascii="仿宋_GB2312" w:hAnsi="仿宋_GB2312" w:eastAsia="仿宋_GB2312" w:cs="仿宋_GB2312"/>
                <w:sz w:val="24"/>
              </w:rPr>
            </w:pPr>
          </w:p>
        </w:tc>
        <w:tc>
          <w:tcPr>
            <w:tcW w:w="443" w:type="dxa"/>
            <w:noWrap w:val="0"/>
            <w:vAlign w:val="center"/>
          </w:tcPr>
          <w:p>
            <w:pPr>
              <w:jc w:val="center"/>
              <w:rPr>
                <w:rFonts w:hint="eastAsia" w:ascii="仿宋_GB2312" w:hAnsi="仿宋_GB2312" w:eastAsia="仿宋_GB2312" w:cs="仿宋_GB2312"/>
                <w:sz w:val="24"/>
              </w:rPr>
            </w:pPr>
          </w:p>
        </w:tc>
        <w:tc>
          <w:tcPr>
            <w:tcW w:w="1141" w:type="dxa"/>
            <w:noWrap w:val="0"/>
            <w:vAlign w:val="center"/>
          </w:tcPr>
          <w:p>
            <w:pPr>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二中</w:t>
            </w:r>
          </w:p>
        </w:tc>
        <w:tc>
          <w:tcPr>
            <w:tcW w:w="543"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557" w:type="dxa"/>
            <w:noWrap w:val="0"/>
            <w:tcMar>
              <w:left w:w="0" w:type="dxa"/>
              <w:right w:w="0" w:type="dxa"/>
            </w:tcMar>
            <w:vAlign w:val="center"/>
          </w:tcPr>
          <w:p>
            <w:pPr>
              <w:widowControl/>
              <w:jc w:val="center"/>
              <w:textAlignment w:val="center"/>
              <w:rPr>
                <w:rFonts w:ascii="仿宋_GB2312" w:hAnsi="仿宋_GB2312" w:eastAsia="仿宋_GB2312" w:cs="仿宋_GB2312"/>
                <w:sz w:val="24"/>
                <w:lang w:bidi="zh-CN"/>
              </w:rPr>
            </w:pPr>
            <w:r>
              <w:rPr>
                <w:rFonts w:hint="eastAsia" w:ascii="仿宋_GB2312" w:hAnsi="仿宋_GB2312" w:eastAsia="仿宋_GB2312" w:cs="仿宋_GB2312"/>
                <w:kern w:val="0"/>
                <w:sz w:val="24"/>
                <w:lang w:bidi="ar"/>
              </w:rPr>
              <w:t>1000</w:t>
            </w:r>
          </w:p>
        </w:tc>
        <w:tc>
          <w:tcPr>
            <w:tcW w:w="729"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950</w:t>
            </w:r>
          </w:p>
        </w:tc>
        <w:tc>
          <w:tcPr>
            <w:tcW w:w="457"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50</w:t>
            </w:r>
          </w:p>
        </w:tc>
        <w:tc>
          <w:tcPr>
            <w:tcW w:w="471"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w:t>
            </w:r>
          </w:p>
        </w:tc>
        <w:tc>
          <w:tcPr>
            <w:tcW w:w="529"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w:t>
            </w:r>
          </w:p>
        </w:tc>
        <w:tc>
          <w:tcPr>
            <w:tcW w:w="443"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w:t>
            </w:r>
          </w:p>
        </w:tc>
        <w:tc>
          <w:tcPr>
            <w:tcW w:w="557" w:type="dxa"/>
            <w:noWrap w:val="0"/>
            <w:vAlign w:val="center"/>
          </w:tcPr>
          <w:p>
            <w:pPr>
              <w:jc w:val="center"/>
              <w:rPr>
                <w:rFonts w:hint="eastAsia" w:ascii="仿宋_GB2312" w:hAnsi="仿宋_GB2312" w:eastAsia="仿宋_GB2312" w:cs="仿宋_GB2312"/>
                <w:kern w:val="0"/>
                <w:sz w:val="24"/>
                <w:lang w:bidi="ar"/>
              </w:rPr>
            </w:pPr>
          </w:p>
        </w:tc>
        <w:tc>
          <w:tcPr>
            <w:tcW w:w="614" w:type="dxa"/>
            <w:noWrap w:val="0"/>
            <w:vAlign w:val="center"/>
          </w:tcPr>
          <w:p>
            <w:pPr>
              <w:jc w:val="center"/>
              <w:rPr>
                <w:rFonts w:hint="eastAsia" w:ascii="仿宋_GB2312" w:hAnsi="仿宋_GB2312" w:eastAsia="仿宋_GB2312" w:cs="仿宋_GB2312"/>
                <w:sz w:val="24"/>
              </w:rPr>
            </w:pPr>
          </w:p>
        </w:tc>
        <w:tc>
          <w:tcPr>
            <w:tcW w:w="486" w:type="dxa"/>
            <w:noWrap w:val="0"/>
            <w:vAlign w:val="center"/>
          </w:tcPr>
          <w:p>
            <w:pPr>
              <w:jc w:val="center"/>
              <w:rPr>
                <w:rFonts w:hint="eastAsia" w:ascii="仿宋_GB2312" w:hAnsi="仿宋_GB2312" w:eastAsia="仿宋_GB2312" w:cs="仿宋_GB2312"/>
                <w:b/>
                <w:bCs/>
                <w:sz w:val="24"/>
              </w:rPr>
            </w:pPr>
          </w:p>
        </w:tc>
        <w:tc>
          <w:tcPr>
            <w:tcW w:w="443" w:type="dxa"/>
            <w:noWrap w:val="0"/>
            <w:vAlign w:val="center"/>
          </w:tcPr>
          <w:p>
            <w:pPr>
              <w:jc w:val="center"/>
              <w:rPr>
                <w:rFonts w:hint="eastAsia" w:ascii="仿宋_GB2312" w:hAnsi="仿宋_GB2312" w:eastAsia="仿宋_GB2312" w:cs="仿宋_GB2312"/>
                <w:sz w:val="24"/>
              </w:rPr>
            </w:pPr>
          </w:p>
        </w:tc>
        <w:tc>
          <w:tcPr>
            <w:tcW w:w="1141" w:type="dxa"/>
            <w:noWrap w:val="0"/>
            <w:vAlign w:val="center"/>
          </w:tcPr>
          <w:p>
            <w:pPr>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知源</w:t>
            </w:r>
          </w:p>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学校</w:t>
            </w:r>
          </w:p>
        </w:tc>
        <w:tc>
          <w:tcPr>
            <w:tcW w:w="543"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12</w:t>
            </w:r>
          </w:p>
        </w:tc>
        <w:tc>
          <w:tcPr>
            <w:tcW w:w="557"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600</w:t>
            </w:r>
          </w:p>
        </w:tc>
        <w:tc>
          <w:tcPr>
            <w:tcW w:w="729"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570</w:t>
            </w:r>
          </w:p>
        </w:tc>
        <w:tc>
          <w:tcPr>
            <w:tcW w:w="457"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30</w:t>
            </w:r>
          </w:p>
        </w:tc>
        <w:tc>
          <w:tcPr>
            <w:tcW w:w="47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w:t>
            </w:r>
          </w:p>
        </w:tc>
        <w:tc>
          <w:tcPr>
            <w:tcW w:w="529"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w:t>
            </w:r>
          </w:p>
        </w:tc>
        <w:tc>
          <w:tcPr>
            <w:tcW w:w="443"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557"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w:t>
            </w:r>
          </w:p>
        </w:tc>
        <w:tc>
          <w:tcPr>
            <w:tcW w:w="614"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w:t>
            </w:r>
          </w:p>
        </w:tc>
        <w:tc>
          <w:tcPr>
            <w:tcW w:w="486" w:type="dxa"/>
            <w:noWrap w:val="0"/>
            <w:vAlign w:val="center"/>
          </w:tcPr>
          <w:p>
            <w:pPr>
              <w:jc w:val="center"/>
              <w:rPr>
                <w:rFonts w:hint="eastAsia" w:ascii="仿宋_GB2312" w:hAnsi="仿宋_GB2312" w:eastAsia="仿宋_GB2312" w:cs="仿宋_GB2312"/>
                <w:b/>
                <w:bCs/>
                <w:sz w:val="24"/>
              </w:rPr>
            </w:pPr>
          </w:p>
        </w:tc>
        <w:tc>
          <w:tcPr>
            <w:tcW w:w="443" w:type="dxa"/>
            <w:noWrap w:val="0"/>
            <w:vAlign w:val="center"/>
          </w:tcPr>
          <w:p>
            <w:pPr>
              <w:jc w:val="center"/>
              <w:rPr>
                <w:rFonts w:hint="eastAsia" w:ascii="仿宋_GB2312" w:hAnsi="仿宋_GB2312" w:eastAsia="仿宋_GB2312" w:cs="仿宋_GB2312"/>
                <w:sz w:val="24"/>
              </w:rPr>
            </w:pPr>
          </w:p>
        </w:tc>
        <w:tc>
          <w:tcPr>
            <w:tcW w:w="1141" w:type="dxa"/>
            <w:noWrap w:val="0"/>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文郡洋沙湖中学</w:t>
            </w:r>
          </w:p>
        </w:tc>
        <w:tc>
          <w:tcPr>
            <w:tcW w:w="543"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12</w:t>
            </w:r>
          </w:p>
        </w:tc>
        <w:tc>
          <w:tcPr>
            <w:tcW w:w="557"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600</w:t>
            </w:r>
          </w:p>
        </w:tc>
        <w:tc>
          <w:tcPr>
            <w:tcW w:w="729"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570</w:t>
            </w:r>
          </w:p>
        </w:tc>
        <w:tc>
          <w:tcPr>
            <w:tcW w:w="457"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30</w:t>
            </w:r>
          </w:p>
        </w:tc>
        <w:tc>
          <w:tcPr>
            <w:tcW w:w="471"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w:t>
            </w:r>
          </w:p>
        </w:tc>
        <w:tc>
          <w:tcPr>
            <w:tcW w:w="529"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w:t>
            </w:r>
          </w:p>
        </w:tc>
        <w:tc>
          <w:tcPr>
            <w:tcW w:w="443"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w:t>
            </w:r>
          </w:p>
        </w:tc>
        <w:tc>
          <w:tcPr>
            <w:tcW w:w="557" w:type="dxa"/>
            <w:noWrap w:val="0"/>
            <w:tcMar>
              <w:left w:w="0" w:type="dxa"/>
              <w:right w:w="0" w:type="dxa"/>
            </w:tcMar>
            <w:vAlign w:val="center"/>
          </w:tcPr>
          <w:p>
            <w:pPr>
              <w:jc w:val="center"/>
              <w:rPr>
                <w:rFonts w:hint="eastAsia" w:ascii="仿宋_GB2312" w:hAnsi="仿宋_GB2312" w:eastAsia="仿宋_GB2312" w:cs="仿宋_GB2312"/>
                <w:kern w:val="0"/>
                <w:sz w:val="24"/>
                <w:lang w:bidi="ar"/>
              </w:rPr>
            </w:pPr>
          </w:p>
        </w:tc>
        <w:tc>
          <w:tcPr>
            <w:tcW w:w="614" w:type="dxa"/>
            <w:noWrap w:val="0"/>
            <w:tcMar>
              <w:left w:w="0" w:type="dxa"/>
              <w:right w:w="0" w:type="dxa"/>
            </w:tcMar>
            <w:vAlign w:val="center"/>
          </w:tcPr>
          <w:p>
            <w:pPr>
              <w:jc w:val="center"/>
              <w:rPr>
                <w:rFonts w:hint="eastAsia" w:ascii="仿宋_GB2312" w:hAnsi="仿宋_GB2312" w:eastAsia="仿宋_GB2312" w:cs="仿宋_GB2312"/>
                <w:sz w:val="24"/>
              </w:rPr>
            </w:pPr>
          </w:p>
        </w:tc>
        <w:tc>
          <w:tcPr>
            <w:tcW w:w="486" w:type="dxa"/>
            <w:noWrap w:val="0"/>
            <w:tcMar>
              <w:left w:w="0" w:type="dxa"/>
              <w:right w:w="0" w:type="dxa"/>
            </w:tcMar>
            <w:vAlign w:val="center"/>
          </w:tcPr>
          <w:p>
            <w:pPr>
              <w:jc w:val="center"/>
              <w:rPr>
                <w:rFonts w:hint="eastAsia" w:ascii="仿宋_GB2312" w:hAnsi="仿宋_GB2312" w:eastAsia="仿宋_GB2312" w:cs="仿宋_GB2312"/>
                <w:b/>
                <w:bCs/>
                <w:sz w:val="24"/>
              </w:rPr>
            </w:pPr>
          </w:p>
        </w:tc>
        <w:tc>
          <w:tcPr>
            <w:tcW w:w="443" w:type="dxa"/>
            <w:noWrap w:val="0"/>
            <w:tcMar>
              <w:left w:w="0" w:type="dxa"/>
              <w:right w:w="0" w:type="dxa"/>
            </w:tcMar>
            <w:vAlign w:val="center"/>
          </w:tcPr>
          <w:p>
            <w:pPr>
              <w:jc w:val="center"/>
              <w:rPr>
                <w:rFonts w:hint="eastAsia" w:ascii="仿宋_GB2312" w:hAnsi="仿宋_GB2312" w:eastAsia="仿宋_GB2312" w:cs="仿宋_GB2312"/>
                <w:sz w:val="24"/>
              </w:rPr>
            </w:pPr>
          </w:p>
        </w:tc>
        <w:tc>
          <w:tcPr>
            <w:tcW w:w="1141" w:type="dxa"/>
            <w:noWrap w:val="0"/>
            <w:tcMar>
              <w:left w:w="0" w:type="dxa"/>
              <w:right w:w="0" w:type="dxa"/>
            </w:tcMar>
            <w:vAlign w:val="center"/>
          </w:tcPr>
          <w:p>
            <w:pPr>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小计</w:t>
            </w:r>
          </w:p>
        </w:tc>
        <w:tc>
          <w:tcPr>
            <w:tcW w:w="543"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557"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3120</w:t>
            </w:r>
          </w:p>
        </w:tc>
        <w:tc>
          <w:tcPr>
            <w:tcW w:w="729" w:type="dxa"/>
            <w:noWrap w:val="0"/>
            <w:tcMar>
              <w:left w:w="0" w:type="dxa"/>
              <w:right w:w="0"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2970</w:t>
            </w:r>
          </w:p>
        </w:tc>
        <w:tc>
          <w:tcPr>
            <w:tcW w:w="457"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w:t>
            </w:r>
          </w:p>
        </w:tc>
        <w:tc>
          <w:tcPr>
            <w:tcW w:w="471" w:type="dxa"/>
            <w:noWrap w:val="0"/>
            <w:tcMar>
              <w:left w:w="0" w:type="dxa"/>
              <w:right w:w="0" w:type="dxa"/>
            </w:tcMar>
            <w:vAlign w:val="center"/>
          </w:tcPr>
          <w:p>
            <w:pPr>
              <w:jc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48</w:t>
            </w:r>
          </w:p>
        </w:tc>
        <w:tc>
          <w:tcPr>
            <w:tcW w:w="529" w:type="dxa"/>
            <w:noWrap w:val="0"/>
            <w:tcMar>
              <w:left w:w="0" w:type="dxa"/>
              <w:right w:w="0" w:type="dxa"/>
            </w:tcMar>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4</w:t>
            </w:r>
            <w:r>
              <w:rPr>
                <w:rFonts w:hint="eastAsia" w:ascii="仿宋_GB2312" w:hAnsi="仿宋_GB2312" w:eastAsia="仿宋_GB2312" w:cs="仿宋_GB2312"/>
                <w:kern w:val="0"/>
                <w:sz w:val="24"/>
                <w:lang w:bidi="ar"/>
              </w:rPr>
              <w:t>8</w:t>
            </w:r>
          </w:p>
        </w:tc>
        <w:tc>
          <w:tcPr>
            <w:tcW w:w="443" w:type="dxa"/>
            <w:noWrap w:val="0"/>
            <w:tcMar>
              <w:left w:w="0" w:type="dxa"/>
              <w:right w:w="0" w:type="dxa"/>
            </w:tcMar>
            <w:vAlign w:val="center"/>
          </w:tcPr>
          <w:p>
            <w:pPr>
              <w:jc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43</w:t>
            </w:r>
          </w:p>
        </w:tc>
        <w:tc>
          <w:tcPr>
            <w:tcW w:w="557" w:type="dxa"/>
            <w:noWrap w:val="0"/>
            <w:tcMar>
              <w:left w:w="0" w:type="dxa"/>
              <w:right w:w="0" w:type="dxa"/>
            </w:tcMar>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w:t>
            </w:r>
          </w:p>
        </w:tc>
        <w:tc>
          <w:tcPr>
            <w:tcW w:w="614" w:type="dxa"/>
            <w:noWrap w:val="0"/>
            <w:tcMar>
              <w:left w:w="0" w:type="dxa"/>
              <w:right w:w="0" w:type="dxa"/>
            </w:tcMar>
            <w:vAlign w:val="center"/>
          </w:tcPr>
          <w:p>
            <w:pPr>
              <w:jc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5</w:t>
            </w:r>
          </w:p>
        </w:tc>
        <w:tc>
          <w:tcPr>
            <w:tcW w:w="486" w:type="dxa"/>
            <w:noWrap w:val="0"/>
            <w:tcMar>
              <w:left w:w="0" w:type="dxa"/>
              <w:right w:w="0" w:type="dxa"/>
            </w:tcMar>
            <w:vAlign w:val="center"/>
          </w:tcPr>
          <w:p>
            <w:pPr>
              <w:jc w:val="center"/>
              <w:rPr>
                <w:rFonts w:hint="eastAsia" w:ascii="仿宋_GB2312" w:hAnsi="仿宋_GB2312" w:eastAsia="仿宋_GB2312" w:cs="仿宋_GB2312"/>
                <w:b/>
                <w:bCs/>
                <w:sz w:val="24"/>
              </w:rPr>
            </w:pPr>
          </w:p>
        </w:tc>
        <w:tc>
          <w:tcPr>
            <w:tcW w:w="443" w:type="dxa"/>
            <w:noWrap w:val="0"/>
            <w:tcMar>
              <w:left w:w="0" w:type="dxa"/>
              <w:right w:w="0" w:type="dxa"/>
            </w:tcMar>
            <w:vAlign w:val="center"/>
          </w:tcPr>
          <w:p>
            <w:pPr>
              <w:jc w:val="center"/>
              <w:rPr>
                <w:rFonts w:hint="eastAsia" w:ascii="仿宋_GB2312" w:hAnsi="仿宋_GB2312" w:eastAsia="仿宋_GB2312" w:cs="仿宋_GB2312"/>
                <w:sz w:val="24"/>
              </w:rPr>
            </w:pPr>
          </w:p>
        </w:tc>
        <w:tc>
          <w:tcPr>
            <w:tcW w:w="1141" w:type="dxa"/>
            <w:noWrap w:val="0"/>
            <w:tcMar>
              <w:left w:w="0" w:type="dxa"/>
              <w:right w:w="0" w:type="dxa"/>
            </w:tcMar>
            <w:vAlign w:val="center"/>
          </w:tcPr>
          <w:p>
            <w:pPr>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trPr>
        <w:tc>
          <w:tcPr>
            <w:tcW w:w="7575" w:type="dxa"/>
            <w:gridSpan w:val="13"/>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546" w:type="dxa"/>
            <w:vMerge w:val="restart"/>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职高</w:t>
            </w: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学校</w:t>
            </w:r>
          </w:p>
        </w:tc>
        <w:tc>
          <w:tcPr>
            <w:tcW w:w="5829" w:type="dxa"/>
            <w:gridSpan w:val="11"/>
            <w:noWrap w:val="0"/>
            <w:tcMar>
              <w:left w:w="0" w:type="dxa"/>
              <w:right w:w="0"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计划人数</w:t>
            </w: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一职专</w:t>
            </w:r>
          </w:p>
        </w:tc>
        <w:tc>
          <w:tcPr>
            <w:tcW w:w="5829" w:type="dxa"/>
            <w:gridSpan w:val="11"/>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1500（含对口升学班300人，非全日制300人）</w:t>
            </w: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u w:val="singl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4"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二职专</w:t>
            </w:r>
          </w:p>
        </w:tc>
        <w:tc>
          <w:tcPr>
            <w:tcW w:w="5829" w:type="dxa"/>
            <w:gridSpan w:val="11"/>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400（含对口升学50人）</w:t>
            </w: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9"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中山</w:t>
            </w:r>
          </w:p>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职校</w:t>
            </w:r>
          </w:p>
        </w:tc>
        <w:tc>
          <w:tcPr>
            <w:tcW w:w="5829" w:type="dxa"/>
            <w:gridSpan w:val="11"/>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500（含县外350人）</w:t>
            </w: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6" w:hRule="atLeast"/>
        </w:trPr>
        <w:tc>
          <w:tcPr>
            <w:tcW w:w="546" w:type="dxa"/>
            <w:vMerge w:val="continue"/>
            <w:noWrap w:val="0"/>
            <w:tcMar>
              <w:left w:w="0" w:type="dxa"/>
              <w:right w:w="0" w:type="dxa"/>
            </w:tcMar>
            <w:vAlign w:val="center"/>
          </w:tcPr>
          <w:p>
            <w:pPr>
              <w:jc w:val="center"/>
              <w:rPr>
                <w:rFonts w:hint="eastAsia" w:ascii="仿宋_GB2312" w:hAnsi="仿宋_GB2312" w:eastAsia="仿宋_GB2312" w:cs="仿宋_GB2312"/>
                <w:sz w:val="24"/>
              </w:rPr>
            </w:pPr>
          </w:p>
        </w:tc>
        <w:tc>
          <w:tcPr>
            <w:tcW w:w="1200" w:type="dxa"/>
            <w:noWrap w:val="0"/>
            <w:tcMar>
              <w:left w:w="0" w:type="dxa"/>
              <w:right w:w="0" w:type="dxa"/>
            </w:tcMar>
            <w:vAlign w:val="center"/>
          </w:tcPr>
          <w:p>
            <w:pPr>
              <w:widowControl/>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小计</w:t>
            </w:r>
          </w:p>
        </w:tc>
        <w:tc>
          <w:tcPr>
            <w:tcW w:w="5829" w:type="dxa"/>
            <w:gridSpan w:val="11"/>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2400</w:t>
            </w:r>
          </w:p>
        </w:tc>
        <w:tc>
          <w:tcPr>
            <w:tcW w:w="1141" w:type="dxa"/>
            <w:noWrap w:val="0"/>
            <w:tcMar>
              <w:left w:w="0" w:type="dxa"/>
              <w:right w:w="0" w:type="dxa"/>
            </w:tcMar>
            <w:vAlign w:val="center"/>
          </w:tcPr>
          <w:p>
            <w:pPr>
              <w:widowControl/>
              <w:jc w:val="center"/>
              <w:textAlignment w:val="center"/>
              <w:rPr>
                <w:rFonts w:hint="eastAsia" w:ascii="仿宋_GB2312" w:hAnsi="仿宋_GB2312" w:eastAsia="仿宋_GB2312" w:cs="仿宋_GB2312"/>
                <w:kern w:val="0"/>
                <w:sz w:val="24"/>
                <w:lang w:bidi="ar"/>
              </w:rPr>
            </w:pPr>
          </w:p>
        </w:tc>
      </w:tr>
    </w:tbl>
    <w:p>
      <w:pPr>
        <w:tabs>
          <w:tab w:val="left" w:pos="476"/>
          <w:tab w:val="left" w:pos="1464"/>
          <w:tab w:val="left" w:pos="2339"/>
          <w:tab w:val="left" w:pos="3214"/>
          <w:tab w:val="left" w:pos="4089"/>
          <w:tab w:val="left" w:pos="4964"/>
          <w:tab w:val="left" w:pos="5839"/>
          <w:tab w:val="left" w:pos="6471"/>
          <w:tab w:val="left" w:pos="7080"/>
          <w:tab w:val="left" w:pos="7689"/>
          <w:tab w:val="left" w:pos="8560"/>
        </w:tabs>
        <w:adjustRightInd w:val="0"/>
        <w:snapToGrid w:val="0"/>
        <w:jc w:val="left"/>
        <w:rPr>
          <w:rFonts w:hint="eastAsia" w:ascii="仿宋_GB2312" w:hAnsi="仿宋_GB2312" w:eastAsia="仿宋_GB2312" w:cs="仿宋_GB2312"/>
          <w:sz w:val="6"/>
          <w:szCs w:val="6"/>
        </w:rPr>
      </w:pPr>
      <w:r>
        <w:rPr>
          <w:rFonts w:hint="eastAsia" w:ascii="仿宋_GB2312" w:hAnsi="仿宋_GB2312" w:eastAsia="仿宋_GB2312" w:cs="仿宋_GB2312"/>
          <w:sz w:val="2"/>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r>
        <w:rPr>
          <w:rFonts w:hint="eastAsia" w:ascii="仿宋_GB2312" w:hAnsi="仿宋_GB2312" w:eastAsia="仿宋_GB2312" w:cs="仿宋_GB2312"/>
          <w:sz w:val="6"/>
          <w:szCs w:val="6"/>
        </w:rPr>
        <w:tab/>
      </w:r>
    </w:p>
    <w:p>
      <w:pPr>
        <w:adjustRightInd w:val="0"/>
        <w:snapToGrid w:val="0"/>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说明：1.普高3120人计划中不含民办知源学校县外计划招生500人，不含文郡洋沙湖学校县外计划招生600人；2.音体美专业生分布见各学校自主招生方案；３.预计初三毕业生就读免费师范生119人；４.县外中职、高职就读164人</w:t>
      </w:r>
    </w:p>
    <w:p>
      <w:pPr>
        <w:adjustRightInd w:val="0"/>
        <w:snapToGrid w:val="0"/>
        <w:spacing w:line="216" w:lineRule="auto"/>
        <w:jc w:val="left"/>
        <w:rPr>
          <w:rFonts w:hint="eastAsia" w:ascii="黑体" w:hAnsi="黑体" w:eastAsia="黑体" w:cs="黑体"/>
          <w:sz w:val="28"/>
          <w:szCs w:val="28"/>
          <w:u w:val="single"/>
        </w:rPr>
      </w:pPr>
    </w:p>
    <w:p>
      <w:pPr>
        <w:adjustRightInd w:val="0"/>
        <w:snapToGrid w:val="0"/>
        <w:spacing w:line="216" w:lineRule="auto"/>
        <w:jc w:val="left"/>
        <w:rPr>
          <w:rFonts w:hint="eastAsia" w:ascii="黑体" w:hAnsi="黑体" w:eastAsia="黑体" w:cs="黑体"/>
          <w:sz w:val="28"/>
          <w:szCs w:val="28"/>
          <w:u w:val="single"/>
        </w:rPr>
      </w:pPr>
    </w:p>
    <w:p>
      <w:pPr>
        <w:adjustRightInd w:val="0"/>
        <w:snapToGrid w:val="0"/>
        <w:spacing w:line="216" w:lineRule="auto"/>
        <w:jc w:val="left"/>
        <w:rPr>
          <w:rFonts w:hint="eastAsia" w:ascii="黑体" w:hAnsi="黑体" w:eastAsia="黑体" w:cs="黑体"/>
          <w:sz w:val="28"/>
          <w:szCs w:val="28"/>
          <w:u w:val="single"/>
        </w:rPr>
      </w:pPr>
    </w:p>
    <w:p>
      <w:pPr>
        <w:adjustRightInd w:val="0"/>
        <w:snapToGrid w:val="0"/>
        <w:spacing w:line="216" w:lineRule="auto"/>
        <w:jc w:val="left"/>
        <w:rPr>
          <w:rFonts w:hint="eastAsia" w:ascii="黑体" w:hAnsi="黑体" w:eastAsia="黑体" w:cs="黑体"/>
          <w:sz w:val="28"/>
          <w:szCs w:val="28"/>
        </w:rPr>
      </w:pPr>
    </w:p>
    <w:p>
      <w:pPr>
        <w:adjustRightInd w:val="0"/>
        <w:snapToGrid w:val="0"/>
        <w:spacing w:line="216" w:lineRule="auto"/>
        <w:jc w:val="left"/>
        <w:rPr>
          <w:rFonts w:hint="eastAsia" w:ascii="黑体" w:hAnsi="黑体" w:eastAsia="黑体" w:cs="黑体"/>
          <w:sz w:val="28"/>
          <w:szCs w:val="28"/>
        </w:rPr>
      </w:pPr>
    </w:p>
    <w:p>
      <w:pPr>
        <w:adjustRightInd w:val="0"/>
        <w:snapToGrid w:val="0"/>
        <w:spacing w:line="500" w:lineRule="exact"/>
        <w:jc w:val="left"/>
        <w:rPr>
          <w:rFonts w:hint="eastAsia" w:ascii="黑体" w:hAnsi="黑体" w:eastAsia="黑体" w:cs="黑体"/>
          <w:sz w:val="28"/>
          <w:szCs w:val="28"/>
        </w:rPr>
      </w:pPr>
      <w:r>
        <w:rPr>
          <w:rFonts w:hint="eastAsia" w:ascii="黑体" w:hAnsi="黑体" w:eastAsia="黑体" w:cs="黑体"/>
          <w:sz w:val="28"/>
          <w:szCs w:val="28"/>
        </w:rPr>
        <w:t xml:space="preserve">附件2   </w:t>
      </w:r>
    </w:p>
    <w:p>
      <w:pPr>
        <w:adjustRightInd w:val="0"/>
        <w:snapToGrid w:val="0"/>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湘阴县2022年各职业学校专业设置表</w:t>
      </w:r>
    </w:p>
    <w:tbl>
      <w:tblPr>
        <w:tblStyle w:val="5"/>
        <w:tblW w:w="8983" w:type="dxa"/>
        <w:jc w:val="center"/>
        <w:tblLayout w:type="fixed"/>
        <w:tblCellMar>
          <w:top w:w="0" w:type="dxa"/>
          <w:left w:w="108" w:type="dxa"/>
          <w:bottom w:w="0" w:type="dxa"/>
          <w:right w:w="108" w:type="dxa"/>
        </w:tblCellMar>
      </w:tblPr>
      <w:tblGrid>
        <w:gridCol w:w="526"/>
        <w:gridCol w:w="2186"/>
        <w:gridCol w:w="1000"/>
        <w:gridCol w:w="2414"/>
        <w:gridCol w:w="714"/>
        <w:gridCol w:w="900"/>
        <w:gridCol w:w="1243"/>
      </w:tblGrid>
      <w:tr>
        <w:tblPrEx>
          <w:tblCellMar>
            <w:top w:w="0" w:type="dxa"/>
            <w:left w:w="108" w:type="dxa"/>
            <w:bottom w:w="0" w:type="dxa"/>
            <w:right w:w="108" w:type="dxa"/>
          </w:tblCellMar>
        </w:tblPrEx>
        <w:trPr>
          <w:trHeight w:val="617" w:hRule="exact"/>
          <w:jc w:val="center"/>
        </w:trPr>
        <w:tc>
          <w:tcPr>
            <w:tcW w:w="52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学校</w:t>
            </w:r>
          </w:p>
        </w:tc>
        <w:tc>
          <w:tcPr>
            <w:tcW w:w="2186" w:type="dxa"/>
            <w:tcBorders>
              <w:top w:val="single" w:color="auto" w:sz="4" w:space="0"/>
              <w:left w:val="nil"/>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专业类别</w:t>
            </w:r>
          </w:p>
        </w:tc>
        <w:tc>
          <w:tcPr>
            <w:tcW w:w="1000"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代码</w:t>
            </w:r>
          </w:p>
        </w:tc>
        <w:tc>
          <w:tcPr>
            <w:tcW w:w="2414" w:type="dxa"/>
            <w:tcBorders>
              <w:top w:val="single" w:color="auto" w:sz="4" w:space="0"/>
              <w:left w:val="nil"/>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专业名称</w:t>
            </w:r>
          </w:p>
        </w:tc>
        <w:tc>
          <w:tcPr>
            <w:tcW w:w="714" w:type="dxa"/>
            <w:tcBorders>
              <w:top w:val="single" w:color="auto" w:sz="4" w:space="0"/>
              <w:left w:val="nil"/>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招生人数</w:t>
            </w:r>
          </w:p>
        </w:tc>
        <w:tc>
          <w:tcPr>
            <w:tcW w:w="900" w:type="dxa"/>
            <w:tcBorders>
              <w:top w:val="single" w:color="auto" w:sz="4" w:space="0"/>
              <w:left w:val="nil"/>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学制</w:t>
            </w:r>
          </w:p>
        </w:tc>
        <w:tc>
          <w:tcPr>
            <w:tcW w:w="1243" w:type="dxa"/>
            <w:tcBorders>
              <w:top w:val="single" w:color="auto" w:sz="4" w:space="0"/>
              <w:left w:val="nil"/>
              <w:bottom w:val="single" w:color="auto" w:sz="4" w:space="0"/>
              <w:right w:val="single" w:color="auto" w:sz="4" w:space="0"/>
            </w:tcBorders>
            <w:noWrap/>
            <w:vAlign w:val="center"/>
          </w:tcPr>
          <w:p>
            <w:pPr>
              <w:widowControl/>
              <w:snapToGrid w:val="0"/>
              <w:jc w:val="center"/>
              <w:rPr>
                <w:rFonts w:ascii="黑体" w:hAnsi="黑体" w:eastAsia="黑体" w:cs="黑体"/>
                <w:kern w:val="0"/>
                <w:sz w:val="24"/>
              </w:rPr>
            </w:pPr>
            <w:r>
              <w:rPr>
                <w:rFonts w:hint="eastAsia" w:ascii="黑体" w:hAnsi="黑体" w:eastAsia="黑体" w:cs="黑体"/>
                <w:kern w:val="0"/>
                <w:sz w:val="24"/>
              </w:rPr>
              <w:t>含对口专业计划数</w:t>
            </w:r>
          </w:p>
        </w:tc>
      </w:tr>
      <w:tr>
        <w:tblPrEx>
          <w:tblCellMar>
            <w:top w:w="0" w:type="dxa"/>
            <w:left w:w="108" w:type="dxa"/>
            <w:bottom w:w="0" w:type="dxa"/>
            <w:right w:w="108" w:type="dxa"/>
          </w:tblCellMar>
        </w:tblPrEx>
        <w:trPr>
          <w:trHeight w:val="397" w:hRule="exact"/>
          <w:jc w:val="center"/>
        </w:trPr>
        <w:tc>
          <w:tcPr>
            <w:tcW w:w="526"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第一职业中等专业学校</w:t>
            </w:r>
          </w:p>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restart"/>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财经商贸大类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730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会计事务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bidi="zh-CN"/>
              </w:rPr>
            </w:pPr>
            <w:r>
              <w:rPr>
                <w:rFonts w:hint="eastAsia" w:ascii="仿宋_GB2312" w:hAnsi="仿宋_GB2312" w:eastAsia="仿宋_GB2312" w:cs="仿宋_GB2312"/>
                <w:kern w:val="0"/>
                <w:sz w:val="24"/>
                <w:lang w:bidi="zh-CN"/>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bidi="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continue"/>
            <w:tcBorders>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730701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电子商务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611"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spacing w:val="-11"/>
                <w:kern w:val="0"/>
                <w:sz w:val="24"/>
                <w:lang w:val="zh-CN"/>
              </w:rPr>
              <w:t>资源环境与安全大类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620801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环境监测技术</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bidi="zh-CN"/>
              </w:rPr>
            </w:pPr>
            <w:r>
              <w:rPr>
                <w:rFonts w:hint="eastAsia" w:ascii="仿宋_GB2312" w:hAnsi="仿宋_GB2312" w:eastAsia="仿宋_GB2312" w:cs="仿宋_GB2312"/>
                <w:kern w:val="0"/>
                <w:sz w:val="24"/>
                <w:lang w:bidi="zh-CN"/>
              </w:rPr>
              <w:t>50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bidi="zh-CN"/>
              </w:rPr>
            </w:pPr>
            <w:r>
              <w:rPr>
                <w:rFonts w:hint="eastAsia" w:ascii="仿宋_GB2312" w:hAnsi="仿宋_GB2312" w:eastAsia="仿宋_GB2312" w:cs="仿宋_GB2312"/>
                <w:kern w:val="0"/>
                <w:sz w:val="24"/>
                <w:lang w:val="zh-CN"/>
              </w:rPr>
              <w:t>3+2年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restart"/>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装备制造大类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660303</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工业机器人技术应用</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continue"/>
            <w:tcBorders>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660102</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机械加工技术</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continue"/>
            <w:tcBorders>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660103</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数控技术应用</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restart"/>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电子与信息大类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710201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计算机应用</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vMerge w:val="continue"/>
            <w:tcBorders>
              <w:left w:val="nil"/>
              <w:bottom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hint="eastAsia" w:ascii="仿宋_GB2312" w:hAnsi="仿宋_GB2312" w:eastAsia="仿宋_GB2312" w:cs="仿宋_GB2312"/>
                <w:kern w:val="0"/>
                <w:sz w:val="24"/>
                <w:lang w:val="zh-CN"/>
              </w:rPr>
            </w:pP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710103</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电子技术应用</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土木建筑大类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640301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建筑工程施工</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旅游大类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740101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旅游服务与管理</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教育与体育大类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770101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幼儿保育</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1"/>
                <w:kern w:val="0"/>
                <w:sz w:val="24"/>
              </w:rPr>
              <w:t>能源动力与材料大类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630301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光伏工程技术与应用</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lang w:val="zh-CN"/>
              </w:rPr>
            </w:pP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39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全日制短训</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510" w:hRule="exact"/>
          <w:jc w:val="center"/>
        </w:trPr>
        <w:tc>
          <w:tcPr>
            <w:tcW w:w="526"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第二职业技术学校</w:t>
            </w: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财经商贸</w:t>
            </w:r>
            <w:r>
              <w:rPr>
                <w:rFonts w:hint="eastAsia" w:ascii="仿宋_GB2312" w:hAnsi="仿宋_GB2312" w:eastAsia="仿宋_GB2312" w:cs="仿宋_GB2312"/>
                <w:kern w:val="0"/>
                <w:sz w:val="24"/>
              </w:rPr>
              <w:t>大</w:t>
            </w:r>
            <w:r>
              <w:rPr>
                <w:rFonts w:hint="eastAsia" w:ascii="仿宋_GB2312" w:hAnsi="仿宋_GB2312" w:eastAsia="仿宋_GB2312" w:cs="仿宋_GB2312"/>
                <w:kern w:val="0"/>
                <w:sz w:val="24"/>
                <w:lang w:val="zh-CN"/>
              </w:rPr>
              <w:t>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730301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会计事务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510"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财经商贸大类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530701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电子商务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627"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装备制造大</w:t>
            </w:r>
            <w:r>
              <w:rPr>
                <w:rFonts w:hint="eastAsia" w:ascii="仿宋_GB2312" w:hAnsi="仿宋_GB2312" w:eastAsia="仿宋_GB2312" w:cs="仿宋_GB2312"/>
                <w:kern w:val="0"/>
                <w:sz w:val="24"/>
                <w:lang w:val="zh-CN"/>
              </w:rPr>
              <w:t>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660303</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机电技术应用</w:t>
            </w:r>
          </w:p>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（机器人方向）</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510"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after="200"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电子与信息大类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710202</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计算机网络技术</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510"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700206</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汽车运用与维修</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r>
      <w:tr>
        <w:tblPrEx>
          <w:tblCellMar>
            <w:top w:w="0" w:type="dxa"/>
            <w:left w:w="108" w:type="dxa"/>
            <w:bottom w:w="0" w:type="dxa"/>
            <w:right w:w="108" w:type="dxa"/>
          </w:tblCellMar>
        </w:tblPrEx>
        <w:trPr>
          <w:trHeight w:val="794" w:hRule="exact"/>
          <w:jc w:val="center"/>
        </w:trPr>
        <w:tc>
          <w:tcPr>
            <w:tcW w:w="526"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中山职业技术学校</w:t>
            </w: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rPr>
              <w:t>旅游大类（餐饮）</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740201</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中餐烹饪与营养膳食</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794"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财经商贸</w:t>
            </w:r>
            <w:r>
              <w:rPr>
                <w:rFonts w:hint="eastAsia" w:ascii="仿宋_GB2312" w:hAnsi="仿宋_GB2312" w:eastAsia="仿宋_GB2312" w:cs="仿宋_GB2312"/>
                <w:kern w:val="0"/>
                <w:sz w:val="24"/>
              </w:rPr>
              <w:t>大</w:t>
            </w:r>
            <w:r>
              <w:rPr>
                <w:rFonts w:hint="eastAsia" w:ascii="仿宋_GB2312" w:hAnsi="仿宋_GB2312" w:eastAsia="仿宋_GB2312" w:cs="仿宋_GB2312"/>
                <w:kern w:val="0"/>
                <w:sz w:val="24"/>
                <w:lang w:val="zh-CN"/>
              </w:rPr>
              <w:t>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730705</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直播电商服务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794" w:hRule="exact"/>
          <w:jc w:val="center"/>
        </w:trPr>
        <w:tc>
          <w:tcPr>
            <w:tcW w:w="526" w:type="dxa"/>
            <w:vMerge w:val="continue"/>
            <w:tcBorders>
              <w:left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2186" w:type="dxa"/>
            <w:tcBorders>
              <w:top w:val="single" w:color="auto" w:sz="4" w:space="0"/>
              <w:left w:val="nil"/>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教育与体育大类</w:t>
            </w:r>
          </w:p>
        </w:tc>
        <w:tc>
          <w:tcPr>
            <w:tcW w:w="10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770303</w:t>
            </w:r>
          </w:p>
        </w:tc>
        <w:tc>
          <w:tcPr>
            <w:tcW w:w="24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运动训练</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三年</w:t>
            </w: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r>
      <w:tr>
        <w:tblPrEx>
          <w:tblCellMar>
            <w:top w:w="0" w:type="dxa"/>
            <w:left w:w="108" w:type="dxa"/>
            <w:bottom w:w="0" w:type="dxa"/>
            <w:right w:w="108" w:type="dxa"/>
          </w:tblCellMar>
        </w:tblPrEx>
        <w:trPr>
          <w:trHeight w:val="505" w:hRule="exact"/>
          <w:jc w:val="center"/>
        </w:trPr>
        <w:tc>
          <w:tcPr>
            <w:tcW w:w="6126" w:type="dxa"/>
            <w:gridSpan w:val="4"/>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合计</w:t>
            </w:r>
          </w:p>
        </w:tc>
        <w:tc>
          <w:tcPr>
            <w:tcW w:w="714"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2050</w:t>
            </w:r>
          </w:p>
        </w:tc>
        <w:tc>
          <w:tcPr>
            <w:tcW w:w="90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lang w:val="zh-CN"/>
              </w:rPr>
            </w:pPr>
          </w:p>
        </w:tc>
        <w:tc>
          <w:tcPr>
            <w:tcW w:w="124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350</w:t>
            </w:r>
          </w:p>
        </w:tc>
      </w:tr>
    </w:tbl>
    <w:p>
      <w:pPr>
        <w:adjustRightInd w:val="0"/>
        <w:snapToGrid w:val="0"/>
        <w:jc w:val="left"/>
        <w:rPr>
          <w:rFonts w:hint="eastAsia" w:ascii="黑体" w:hAnsi="黑体" w:eastAsia="黑体" w:cs="黑体"/>
          <w:sz w:val="28"/>
          <w:szCs w:val="28"/>
        </w:rPr>
      </w:pPr>
      <w:r>
        <w:rPr>
          <w:rFonts w:hint="eastAsia" w:ascii="黑体" w:hAnsi="黑体" w:eastAsia="黑体" w:cs="黑体"/>
          <w:sz w:val="28"/>
          <w:szCs w:val="28"/>
        </w:rPr>
        <w:t>附件3</w:t>
      </w:r>
    </w:p>
    <w:p>
      <w:pPr>
        <w:adjustRightInd w:val="0"/>
        <w:snapToGrid w:val="0"/>
        <w:spacing w:before="317" w:beforeLines="100" w:after="158" w:afterLines="50" w:line="4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湘阴县2022届初中毕业生报考普高（职高）志愿登记表</w:t>
      </w:r>
    </w:p>
    <w:p>
      <w:pPr>
        <w:adjustRightInd w:val="0"/>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学校：                                   学籍号：</w:t>
      </w:r>
    </w:p>
    <w:tbl>
      <w:tblPr>
        <w:tblStyle w:val="5"/>
        <w:tblW w:w="88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31"/>
        <w:gridCol w:w="585"/>
        <w:gridCol w:w="570"/>
        <w:gridCol w:w="596"/>
        <w:gridCol w:w="210"/>
        <w:gridCol w:w="224"/>
        <w:gridCol w:w="346"/>
        <w:gridCol w:w="200"/>
        <w:gridCol w:w="569"/>
        <w:gridCol w:w="527"/>
        <w:gridCol w:w="582"/>
        <w:gridCol w:w="82"/>
        <w:gridCol w:w="575"/>
        <w:gridCol w:w="58"/>
        <w:gridCol w:w="613"/>
        <w:gridCol w:w="728"/>
        <w:gridCol w:w="645"/>
        <w:gridCol w:w="690"/>
        <w:gridCol w:w="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095" w:hRule="atLeast"/>
        </w:trPr>
        <w:tc>
          <w:tcPr>
            <w:tcW w:w="1686" w:type="dxa"/>
            <w:gridSpan w:val="3"/>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806"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7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769"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27"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582"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57"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671"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2589" w:type="dxa"/>
            <w:gridSpan w:val="4"/>
            <w:vMerge w:val="restart"/>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贴</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相</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19" w:hRule="atLeast"/>
        </w:trPr>
        <w:tc>
          <w:tcPr>
            <w:tcW w:w="1686" w:type="dxa"/>
            <w:gridSpan w:val="3"/>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1376"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769"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联系</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方式</w:t>
            </w:r>
          </w:p>
        </w:tc>
        <w:tc>
          <w:tcPr>
            <w:tcW w:w="2437"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2589" w:type="dxa"/>
            <w:gridSpan w:val="4"/>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19" w:hRule="atLeast"/>
        </w:trPr>
        <w:tc>
          <w:tcPr>
            <w:tcW w:w="1686" w:type="dxa"/>
            <w:gridSpan w:val="3"/>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父亲姓名</w:t>
            </w:r>
          </w:p>
        </w:tc>
        <w:tc>
          <w:tcPr>
            <w:tcW w:w="1376"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769"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联系</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方式</w:t>
            </w:r>
          </w:p>
        </w:tc>
        <w:tc>
          <w:tcPr>
            <w:tcW w:w="2437"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2589" w:type="dxa"/>
            <w:gridSpan w:val="4"/>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19" w:hRule="atLeast"/>
        </w:trPr>
        <w:tc>
          <w:tcPr>
            <w:tcW w:w="1686" w:type="dxa"/>
            <w:gridSpan w:val="3"/>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母亲姓名</w:t>
            </w:r>
          </w:p>
        </w:tc>
        <w:tc>
          <w:tcPr>
            <w:tcW w:w="1376"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769"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联系</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方式</w:t>
            </w:r>
          </w:p>
        </w:tc>
        <w:tc>
          <w:tcPr>
            <w:tcW w:w="2437"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2589" w:type="dxa"/>
            <w:gridSpan w:val="4"/>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5" w:hRule="atLeast"/>
        </w:trPr>
        <w:tc>
          <w:tcPr>
            <w:tcW w:w="2282"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提前批</w:t>
            </w:r>
          </w:p>
        </w:tc>
        <w:tc>
          <w:tcPr>
            <w:tcW w:w="3986" w:type="dxa"/>
            <w:gridSpan w:val="11"/>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普通文化生</w:t>
            </w:r>
          </w:p>
        </w:tc>
        <w:tc>
          <w:tcPr>
            <w:tcW w:w="2589"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调剂志愿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68" w:hRule="atLeast"/>
        </w:trPr>
        <w:tc>
          <w:tcPr>
            <w:tcW w:w="2282" w:type="dxa"/>
            <w:gridSpan w:val="4"/>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职高对口升学班志愿</w:t>
            </w:r>
          </w:p>
        </w:tc>
        <w:tc>
          <w:tcPr>
            <w:tcW w:w="1549" w:type="dxa"/>
            <w:gridSpan w:val="5"/>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普高志愿</w:t>
            </w:r>
          </w:p>
        </w:tc>
        <w:tc>
          <w:tcPr>
            <w:tcW w:w="2437"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职高技能班志愿</w:t>
            </w:r>
          </w:p>
        </w:tc>
        <w:tc>
          <w:tcPr>
            <w:tcW w:w="728" w:type="dxa"/>
            <w:vMerge w:val="restart"/>
            <w:noWrap w:val="0"/>
            <w:tcMar>
              <w:left w:w="28" w:type="dxa"/>
              <w:right w:w="28" w:type="dxa"/>
            </w:tcMar>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湘阴二中</w:t>
            </w:r>
          </w:p>
        </w:tc>
        <w:tc>
          <w:tcPr>
            <w:tcW w:w="1335"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民办普高</w:t>
            </w:r>
          </w:p>
        </w:tc>
        <w:tc>
          <w:tcPr>
            <w:tcW w:w="526" w:type="dxa"/>
            <w:vMerge w:val="restar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7" w:hRule="atLeast"/>
        </w:trPr>
        <w:tc>
          <w:tcPr>
            <w:tcW w:w="531" w:type="dxa"/>
            <w:noWrap w:val="0"/>
            <w:tcMar>
              <w:left w:w="28" w:type="dxa"/>
              <w:right w:w="28" w:type="dxa"/>
            </w:tcMar>
            <w:vAlign w:val="center"/>
          </w:tcPr>
          <w:p>
            <w:pPr>
              <w:widowControl/>
              <w:jc w:val="center"/>
              <w:textAlignment w:val="center"/>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志愿</w:t>
            </w:r>
          </w:p>
        </w:tc>
        <w:tc>
          <w:tcPr>
            <w:tcW w:w="585" w:type="dxa"/>
            <w:noWrap w:val="0"/>
            <w:tcMar>
              <w:left w:w="28" w:type="dxa"/>
              <w:right w:w="28" w:type="dxa"/>
            </w:tcMar>
            <w:vAlign w:val="center"/>
          </w:tcPr>
          <w:p>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学校</w:t>
            </w:r>
          </w:p>
        </w:tc>
        <w:tc>
          <w:tcPr>
            <w:tcW w:w="570" w:type="dxa"/>
            <w:noWrap w:val="0"/>
            <w:tcMar>
              <w:left w:w="28" w:type="dxa"/>
              <w:right w:w="28" w:type="dxa"/>
            </w:tcMar>
            <w:vAlign w:val="center"/>
          </w:tcPr>
          <w:p>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编码</w:t>
            </w:r>
          </w:p>
        </w:tc>
        <w:tc>
          <w:tcPr>
            <w:tcW w:w="596" w:type="dxa"/>
            <w:noWrap w:val="0"/>
            <w:tcMar>
              <w:left w:w="28" w:type="dxa"/>
              <w:right w:w="28" w:type="dxa"/>
            </w:tcMar>
            <w:vAlign w:val="center"/>
          </w:tcPr>
          <w:p>
            <w:pPr>
              <w:widowControl/>
              <w:jc w:val="center"/>
              <w:textAlignment w:val="center"/>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专业</w:t>
            </w:r>
          </w:p>
        </w:tc>
        <w:tc>
          <w:tcPr>
            <w:tcW w:w="434"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志愿</w:t>
            </w:r>
          </w:p>
        </w:tc>
        <w:tc>
          <w:tcPr>
            <w:tcW w:w="546"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学校</w:t>
            </w:r>
          </w:p>
        </w:tc>
        <w:tc>
          <w:tcPr>
            <w:tcW w:w="569"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编码</w:t>
            </w:r>
          </w:p>
        </w:tc>
        <w:tc>
          <w:tcPr>
            <w:tcW w:w="527" w:type="dxa"/>
            <w:noWrap w:val="0"/>
            <w:tcMar>
              <w:left w:w="28" w:type="dxa"/>
              <w:right w:w="28" w:type="dxa"/>
            </w:tcMar>
            <w:vAlign w:val="center"/>
          </w:tcPr>
          <w:p>
            <w:pPr>
              <w:widowControl/>
              <w:jc w:val="center"/>
              <w:textAlignment w:val="center"/>
              <w:rPr>
                <w:rFonts w:hint="eastAsia" w:ascii="仿宋_GB2312" w:hAnsi="宋体" w:eastAsia="仿宋_GB2312" w:cs="仿宋_GB2312"/>
                <w:sz w:val="24"/>
              </w:rPr>
            </w:pPr>
            <w:r>
              <w:rPr>
                <w:rFonts w:ascii="仿宋_GB2312" w:hAnsi="宋体" w:eastAsia="仿宋_GB2312" w:cs="仿宋_GB2312"/>
                <w:kern w:val="0"/>
                <w:sz w:val="24"/>
                <w:lang w:bidi="ar"/>
              </w:rPr>
              <w:t>志愿</w:t>
            </w:r>
          </w:p>
        </w:tc>
        <w:tc>
          <w:tcPr>
            <w:tcW w:w="664" w:type="dxa"/>
            <w:gridSpan w:val="2"/>
            <w:noWrap w:val="0"/>
            <w:tcMar>
              <w:left w:w="28" w:type="dxa"/>
              <w:right w:w="28" w:type="dxa"/>
            </w:tcMar>
            <w:vAlign w:val="center"/>
          </w:tcPr>
          <w:p>
            <w:pPr>
              <w:widowControl/>
              <w:jc w:val="center"/>
              <w:textAlignment w:val="center"/>
              <w:rPr>
                <w:rFonts w:hint="eastAsia" w:ascii="仿宋_GB2312" w:hAnsi="宋体" w:eastAsia="仿宋_GB2312" w:cs="仿宋_GB2312"/>
                <w:sz w:val="24"/>
              </w:rPr>
            </w:pPr>
            <w:r>
              <w:rPr>
                <w:rFonts w:ascii="仿宋_GB2312" w:hAnsi="宋体" w:eastAsia="仿宋_GB2312" w:cs="仿宋_GB2312"/>
                <w:kern w:val="0"/>
                <w:sz w:val="24"/>
                <w:lang w:bidi="ar"/>
              </w:rPr>
              <w:t>学校</w:t>
            </w:r>
          </w:p>
        </w:tc>
        <w:tc>
          <w:tcPr>
            <w:tcW w:w="633" w:type="dxa"/>
            <w:gridSpan w:val="2"/>
            <w:noWrap w:val="0"/>
            <w:tcMar>
              <w:left w:w="28" w:type="dxa"/>
              <w:right w:w="28" w:type="dxa"/>
            </w:tcMar>
            <w:vAlign w:val="center"/>
          </w:tcPr>
          <w:p>
            <w:pPr>
              <w:widowControl/>
              <w:jc w:val="center"/>
              <w:textAlignment w:val="center"/>
              <w:rPr>
                <w:rFonts w:hint="eastAsia" w:ascii="仿宋_GB2312" w:hAnsi="宋体" w:eastAsia="仿宋_GB2312" w:cs="仿宋_GB2312"/>
                <w:sz w:val="24"/>
              </w:rPr>
            </w:pPr>
            <w:r>
              <w:rPr>
                <w:rFonts w:ascii="仿宋_GB2312" w:hAnsi="宋体" w:eastAsia="仿宋_GB2312" w:cs="仿宋_GB2312"/>
                <w:kern w:val="0"/>
                <w:sz w:val="24"/>
                <w:lang w:bidi="ar"/>
              </w:rPr>
              <w:t>编码</w:t>
            </w:r>
          </w:p>
        </w:tc>
        <w:tc>
          <w:tcPr>
            <w:tcW w:w="613" w:type="dxa"/>
            <w:noWrap w:val="0"/>
            <w:tcMar>
              <w:left w:w="28" w:type="dxa"/>
              <w:right w:w="28" w:type="dxa"/>
            </w:tcMar>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728"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45"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知源学校</w:t>
            </w:r>
          </w:p>
        </w:tc>
        <w:tc>
          <w:tcPr>
            <w:tcW w:w="690" w:type="dxa"/>
            <w:noWrap w:val="0"/>
            <w:tcMar>
              <w:left w:w="28" w:type="dxa"/>
              <w:right w:w="28"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文郡</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洋沙湖中学</w:t>
            </w:r>
          </w:p>
        </w:tc>
        <w:tc>
          <w:tcPr>
            <w:tcW w:w="526" w:type="dxa"/>
            <w:vMerge w:val="continue"/>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7" w:hRule="atLeast"/>
        </w:trPr>
        <w:tc>
          <w:tcPr>
            <w:tcW w:w="531"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一志愿</w:t>
            </w:r>
          </w:p>
        </w:tc>
        <w:tc>
          <w:tcPr>
            <w:tcW w:w="585"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70"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96"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434"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一志愿</w:t>
            </w:r>
          </w:p>
        </w:tc>
        <w:tc>
          <w:tcPr>
            <w:tcW w:w="546"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69"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27"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一志愿</w:t>
            </w:r>
          </w:p>
        </w:tc>
        <w:tc>
          <w:tcPr>
            <w:tcW w:w="664"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3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13"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728"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45"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90"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26" w:type="dxa"/>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7" w:hRule="atLeast"/>
        </w:trPr>
        <w:tc>
          <w:tcPr>
            <w:tcW w:w="531"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二志愿</w:t>
            </w:r>
          </w:p>
        </w:tc>
        <w:tc>
          <w:tcPr>
            <w:tcW w:w="585"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70"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96"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434"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二志愿</w:t>
            </w:r>
          </w:p>
        </w:tc>
        <w:tc>
          <w:tcPr>
            <w:tcW w:w="546"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69"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27"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二志愿</w:t>
            </w:r>
          </w:p>
        </w:tc>
        <w:tc>
          <w:tcPr>
            <w:tcW w:w="664"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3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13"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728"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45"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690" w:type="dxa"/>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tc>
        <w:tc>
          <w:tcPr>
            <w:tcW w:w="526" w:type="dxa"/>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41" w:hRule="atLeast"/>
        </w:trPr>
        <w:tc>
          <w:tcPr>
            <w:tcW w:w="8857" w:type="dxa"/>
            <w:gridSpan w:val="19"/>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学生签名：                         家长签名（盖章）：</w:t>
            </w:r>
          </w:p>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89" w:hRule="exact"/>
        </w:trPr>
        <w:tc>
          <w:tcPr>
            <w:tcW w:w="8857" w:type="dxa"/>
            <w:gridSpan w:val="19"/>
            <w:noWrap w:val="0"/>
            <w:tcMar>
              <w:left w:w="28" w:type="dxa"/>
              <w:right w:w="28" w:type="dxa"/>
            </w:tcMar>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班主任签名：                         校长签名（盖章）</w:t>
            </w:r>
          </w:p>
          <w:p>
            <w:pPr>
              <w:adjustRightInd w:val="0"/>
              <w:snapToGrid w:val="0"/>
              <w:ind w:right="12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班主任签名：                 学校盖章：</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adjustRightInd w:val="0"/>
        <w:snapToGrid w:val="0"/>
        <w:jc w:val="left"/>
        <w:rPr>
          <w:rFonts w:hint="eastAsia" w:ascii="黑体" w:hAnsi="黑体" w:eastAsia="黑体" w:cs="黑体"/>
          <w:sz w:val="28"/>
          <w:szCs w:val="28"/>
        </w:rPr>
      </w:pPr>
      <w:r>
        <w:rPr>
          <w:rFonts w:hint="eastAsia" w:ascii="黑体" w:hAnsi="黑体" w:eastAsia="黑体" w:cs="黑体"/>
          <w:sz w:val="28"/>
          <w:szCs w:val="28"/>
        </w:rPr>
        <w:t xml:space="preserve">附件4 </w:t>
      </w:r>
    </w:p>
    <w:p>
      <w:pPr>
        <w:adjustRightInd w:val="0"/>
        <w:snapToGrid w:val="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湘阴县2022届初中毕业生填报志愿须知</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生必须清楚全县高中阶段各校招生的计划，然后根据自己的学业成绩和求学意愿，在老师的指导下，征求家长或监护人的意见并得到同意，然后在三类志愿（普高类、职高类[兼报]、调剂类）中，选择志愿填报学校，由考生本人填表，家长必须亲自签名。</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二、学生志愿填报汇总到县综招办后，任何人不得更改。</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三、填报志愿的学校名称，涉及数字的必须用大写的汉字（即壹、贰、叁…），如“湘阴壹中”等。</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四、填报学校志愿要有梯度。当第一志愿的学校有可能出现未录取情况时，第二个志愿的学校就可能录取。而且还要在调剂志愿选择相应类型填写，未选择调剂志愿的视为不愿意服从分配，就不能参与调剂录取。</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五、学校编码及专业代码如下：</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1、普高类：一中1，二中2，知源8，文郡洋沙湖9。小专业代码：音乐A，体育B，美术C，书法D，传媒E，学科特长生Ｆ。</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2、职高类：一职专10，二职专11，中山职校12。</w:t>
      </w:r>
    </w:p>
    <w:p>
      <w:pPr>
        <w:adjustRightInd w:val="0"/>
        <w:snapToGrid w:val="0"/>
        <w:spacing w:line="560" w:lineRule="exact"/>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sz w:val="28"/>
          <w:szCs w:val="28"/>
        </w:rPr>
        <w:t>专业代码：</w:t>
      </w:r>
      <w:r>
        <w:rPr>
          <w:rFonts w:hint="eastAsia" w:ascii="仿宋_GB2312" w:hAnsi="仿宋_GB2312" w:eastAsia="仿宋_GB2312" w:cs="仿宋_GB2312"/>
          <w:kern w:val="0"/>
          <w:sz w:val="28"/>
          <w:szCs w:val="28"/>
        </w:rPr>
        <w:t>730</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01会计事务，730701电子商务，620801环境监测技术，660303工业机器人技术应用，660102机械加工技术，660103数控技术应用，710201计算机应用，710103电子技术应用，640301建筑工程施工，740101旅游服务与管理，770101幼儿保育，630301光伏工程技术应用，700206汽车运用与维修</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730705直播电商服务</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770303</w:t>
      </w:r>
      <w:r>
        <w:rPr>
          <w:rFonts w:hint="eastAsia" w:ascii="仿宋_GB2312" w:hAnsi="仿宋_GB2312" w:eastAsia="仿宋_GB2312" w:cs="仿宋_GB2312"/>
          <w:kern w:val="0"/>
          <w:sz w:val="28"/>
          <w:szCs w:val="28"/>
          <w:lang w:val="zh-CN"/>
        </w:rPr>
        <w:t>运动训练，</w:t>
      </w:r>
      <w:r>
        <w:rPr>
          <w:rFonts w:hint="eastAsia" w:ascii="仿宋_GB2312" w:hAnsi="仿宋_GB2312" w:eastAsia="仿宋_GB2312" w:cs="仿宋_GB2312"/>
          <w:kern w:val="0"/>
          <w:sz w:val="28"/>
          <w:szCs w:val="28"/>
        </w:rPr>
        <w:t>740201</w:t>
      </w:r>
      <w:r>
        <w:rPr>
          <w:rFonts w:hint="eastAsia" w:ascii="仿宋_GB2312" w:hAnsi="仿宋_GB2312" w:eastAsia="仿宋_GB2312" w:cs="仿宋_GB2312"/>
          <w:kern w:val="0"/>
          <w:sz w:val="28"/>
          <w:szCs w:val="28"/>
          <w:lang w:val="zh-CN"/>
        </w:rPr>
        <w:t>中餐烹饪与营养膳食。</w:t>
      </w:r>
    </w:p>
    <w:p>
      <w:pPr>
        <w:adjustRightInd w:val="0"/>
        <w:snapToGrid w:val="0"/>
        <w:jc w:val="left"/>
        <w:rPr>
          <w:rFonts w:hint="eastAsia" w:ascii="黑体" w:hAnsi="黑体" w:eastAsia="黑体" w:cs="黑体"/>
          <w:sz w:val="28"/>
          <w:szCs w:val="28"/>
        </w:rPr>
      </w:pPr>
    </w:p>
    <w:p>
      <w:pPr>
        <w:adjustRightInd w:val="0"/>
        <w:snapToGrid w:val="0"/>
        <w:jc w:val="left"/>
        <w:rPr>
          <w:rFonts w:hint="eastAsia" w:ascii="黑体" w:hAnsi="黑体" w:eastAsia="黑体" w:cs="黑体"/>
          <w:sz w:val="28"/>
          <w:szCs w:val="28"/>
        </w:rPr>
      </w:pPr>
      <w:r>
        <w:rPr>
          <w:rFonts w:hint="eastAsia" w:ascii="黑体" w:hAnsi="黑体" w:eastAsia="黑体" w:cs="黑体"/>
          <w:sz w:val="28"/>
          <w:szCs w:val="28"/>
        </w:rPr>
        <w:t>附件5</w:t>
      </w:r>
    </w:p>
    <w:p>
      <w:pPr>
        <w:adjustRightInd w:val="0"/>
        <w:snapToGrid w:val="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湘阴县2022年高中招生优惠加分审批表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6"/>
        <w:gridCol w:w="179"/>
        <w:gridCol w:w="856"/>
        <w:gridCol w:w="546"/>
        <w:gridCol w:w="827"/>
        <w:gridCol w:w="669"/>
        <w:gridCol w:w="396"/>
        <w:gridCol w:w="428"/>
        <w:gridCol w:w="290"/>
        <w:gridCol w:w="490"/>
        <w:gridCol w:w="909"/>
        <w:gridCol w:w="1054"/>
        <w:gridCol w:w="13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3" w:hRule="exact"/>
          <w:jc w:val="center"/>
        </w:trPr>
        <w:tc>
          <w:tcPr>
            <w:tcW w:w="1035"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学籍号</w:t>
            </w:r>
          </w:p>
        </w:tc>
        <w:tc>
          <w:tcPr>
            <w:tcW w:w="1402" w:type="dxa"/>
            <w:gridSpan w:val="2"/>
            <w:noWrap w:val="0"/>
            <w:vAlign w:val="center"/>
          </w:tcPr>
          <w:p>
            <w:pPr>
              <w:adjustRightInd w:val="0"/>
              <w:snapToGrid w:val="0"/>
              <w:jc w:val="center"/>
              <w:rPr>
                <w:rFonts w:hint="eastAsia" w:ascii="仿宋_GB2312" w:hAnsi="仿宋_GB2312" w:eastAsia="仿宋_GB2312" w:cs="仿宋_GB2312"/>
                <w:sz w:val="24"/>
              </w:rPr>
            </w:pPr>
          </w:p>
        </w:tc>
        <w:tc>
          <w:tcPr>
            <w:tcW w:w="827" w:type="dxa"/>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493" w:type="dxa"/>
            <w:gridSpan w:val="3"/>
            <w:noWrap w:val="0"/>
            <w:vAlign w:val="center"/>
          </w:tcPr>
          <w:p>
            <w:pPr>
              <w:adjustRightInd w:val="0"/>
              <w:snapToGrid w:val="0"/>
              <w:jc w:val="center"/>
              <w:rPr>
                <w:rFonts w:hint="eastAsia" w:ascii="仿宋_GB2312" w:hAnsi="仿宋_GB2312" w:eastAsia="仿宋_GB2312" w:cs="仿宋_GB2312"/>
                <w:sz w:val="24"/>
              </w:rPr>
            </w:pPr>
          </w:p>
        </w:tc>
        <w:tc>
          <w:tcPr>
            <w:tcW w:w="780"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别</w:t>
            </w:r>
          </w:p>
        </w:tc>
        <w:tc>
          <w:tcPr>
            <w:tcW w:w="909" w:type="dxa"/>
            <w:noWrap w:val="0"/>
            <w:vAlign w:val="center"/>
          </w:tcPr>
          <w:p>
            <w:pPr>
              <w:adjustRightInd w:val="0"/>
              <w:snapToGrid w:val="0"/>
              <w:jc w:val="center"/>
              <w:rPr>
                <w:rFonts w:hint="eastAsia" w:ascii="仿宋_GB2312" w:hAnsi="仿宋_GB2312" w:eastAsia="仿宋_GB2312" w:cs="仿宋_GB2312"/>
                <w:sz w:val="24"/>
              </w:rPr>
            </w:pPr>
          </w:p>
        </w:tc>
        <w:tc>
          <w:tcPr>
            <w:tcW w:w="1054" w:type="dxa"/>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出生</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年月</w:t>
            </w:r>
          </w:p>
        </w:tc>
        <w:tc>
          <w:tcPr>
            <w:tcW w:w="1369" w:type="dxa"/>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1" w:hRule="exact"/>
          <w:jc w:val="center"/>
        </w:trPr>
        <w:tc>
          <w:tcPr>
            <w:tcW w:w="1891" w:type="dxa"/>
            <w:gridSpan w:val="3"/>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毕业中学</w:t>
            </w:r>
          </w:p>
        </w:tc>
        <w:tc>
          <w:tcPr>
            <w:tcW w:w="2042" w:type="dxa"/>
            <w:gridSpan w:val="3"/>
            <w:noWrap w:val="0"/>
            <w:vAlign w:val="center"/>
          </w:tcPr>
          <w:p>
            <w:pPr>
              <w:adjustRightInd w:val="0"/>
              <w:snapToGrid w:val="0"/>
              <w:jc w:val="center"/>
              <w:rPr>
                <w:rFonts w:hint="eastAsia" w:ascii="仿宋_GB2312" w:hAnsi="仿宋_GB2312" w:eastAsia="仿宋_GB2312" w:cs="仿宋_GB2312"/>
                <w:sz w:val="24"/>
              </w:rPr>
            </w:pPr>
          </w:p>
        </w:tc>
        <w:tc>
          <w:tcPr>
            <w:tcW w:w="1604"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3332" w:type="dxa"/>
            <w:gridSpan w:val="3"/>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2" w:hRule="exact"/>
          <w:jc w:val="center"/>
        </w:trPr>
        <w:tc>
          <w:tcPr>
            <w:tcW w:w="856" w:type="dxa"/>
            <w:vMerge w:val="restar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家庭</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成员</w:t>
            </w:r>
          </w:p>
        </w:tc>
        <w:tc>
          <w:tcPr>
            <w:tcW w:w="1035"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父亲</w:t>
            </w:r>
          </w:p>
        </w:tc>
        <w:tc>
          <w:tcPr>
            <w:tcW w:w="2042" w:type="dxa"/>
            <w:gridSpan w:val="3"/>
            <w:noWrap w:val="0"/>
            <w:vAlign w:val="center"/>
          </w:tcPr>
          <w:p>
            <w:pPr>
              <w:adjustRightInd w:val="0"/>
              <w:snapToGrid w:val="0"/>
              <w:jc w:val="center"/>
              <w:rPr>
                <w:rFonts w:hint="eastAsia" w:ascii="仿宋_GB2312" w:hAnsi="仿宋_GB2312" w:eastAsia="仿宋_GB2312" w:cs="仿宋_GB2312"/>
                <w:sz w:val="24"/>
              </w:rPr>
            </w:pPr>
          </w:p>
        </w:tc>
        <w:tc>
          <w:tcPr>
            <w:tcW w:w="1604"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3332" w:type="dxa"/>
            <w:gridSpan w:val="3"/>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1" w:hRule="exact"/>
          <w:jc w:val="center"/>
        </w:trPr>
        <w:tc>
          <w:tcPr>
            <w:tcW w:w="856" w:type="dxa"/>
            <w:vMerge w:val="continue"/>
            <w:noWrap w:val="0"/>
            <w:vAlign w:val="center"/>
          </w:tcPr>
          <w:p>
            <w:pPr>
              <w:adjustRightInd w:val="0"/>
              <w:snapToGrid w:val="0"/>
              <w:jc w:val="center"/>
              <w:rPr>
                <w:rFonts w:hint="eastAsia" w:ascii="仿宋_GB2312" w:hAnsi="仿宋_GB2312" w:eastAsia="仿宋_GB2312" w:cs="仿宋_GB2312"/>
                <w:sz w:val="24"/>
              </w:rPr>
            </w:pPr>
          </w:p>
        </w:tc>
        <w:tc>
          <w:tcPr>
            <w:tcW w:w="1035"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母亲</w:t>
            </w:r>
          </w:p>
        </w:tc>
        <w:tc>
          <w:tcPr>
            <w:tcW w:w="2042" w:type="dxa"/>
            <w:gridSpan w:val="3"/>
            <w:noWrap w:val="0"/>
            <w:vAlign w:val="center"/>
          </w:tcPr>
          <w:p>
            <w:pPr>
              <w:adjustRightInd w:val="0"/>
              <w:snapToGrid w:val="0"/>
              <w:jc w:val="center"/>
              <w:rPr>
                <w:rFonts w:hint="eastAsia" w:ascii="仿宋_GB2312" w:hAnsi="仿宋_GB2312" w:eastAsia="仿宋_GB2312" w:cs="仿宋_GB2312"/>
                <w:sz w:val="24"/>
              </w:rPr>
            </w:pPr>
          </w:p>
        </w:tc>
        <w:tc>
          <w:tcPr>
            <w:tcW w:w="1604"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3332" w:type="dxa"/>
            <w:gridSpan w:val="3"/>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10" w:hRule="exact"/>
          <w:jc w:val="center"/>
        </w:trPr>
        <w:tc>
          <w:tcPr>
            <w:tcW w:w="856" w:type="dxa"/>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优</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惠</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项</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目</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说</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明</w:t>
            </w:r>
          </w:p>
        </w:tc>
        <w:tc>
          <w:tcPr>
            <w:tcW w:w="8013" w:type="dxa"/>
            <w:gridSpan w:val="12"/>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81" w:hRule="atLeast"/>
          <w:jc w:val="center"/>
        </w:trPr>
        <w:tc>
          <w:tcPr>
            <w:tcW w:w="856" w:type="dxa"/>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中</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审</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查</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意</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见</w:t>
            </w:r>
          </w:p>
        </w:tc>
        <w:tc>
          <w:tcPr>
            <w:tcW w:w="3473" w:type="dxa"/>
            <w:gridSpan w:val="6"/>
            <w:noWrap w:val="0"/>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盖 章</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c>
          <w:tcPr>
            <w:tcW w:w="718"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县</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教</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育</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局</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意</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见</w:t>
            </w:r>
          </w:p>
        </w:tc>
        <w:tc>
          <w:tcPr>
            <w:tcW w:w="3822" w:type="dxa"/>
            <w:gridSpan w:val="4"/>
            <w:noWrap w:val="0"/>
            <w:vAlign w:val="center"/>
          </w:tcPr>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盖 章</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adjustRightInd w:val="0"/>
        <w:snapToGrid w:val="0"/>
        <w:jc w:val="left"/>
        <w:rPr>
          <w:rFonts w:hint="eastAsia" w:ascii="仿宋_GB2312" w:hAnsi="仿宋_GB2312" w:eastAsia="仿宋_GB2312" w:cs="仿宋_GB2312"/>
          <w:sz w:val="24"/>
        </w:rPr>
      </w:pPr>
    </w:p>
    <w:p>
      <w:pPr>
        <w:adjustRightInd w:val="0"/>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注：1.须交验原件；2.请于6月10日前将本表及相关材料上交县综招办</w:t>
      </w:r>
    </w:p>
    <w:p>
      <w:pPr>
        <w:adjustRightInd w:val="0"/>
        <w:snapToGrid w:val="0"/>
        <w:jc w:val="left"/>
        <w:rPr>
          <w:rFonts w:hint="eastAsia" w:ascii="黑体" w:hAnsi="黑体" w:eastAsia="黑体" w:cs="黑体"/>
          <w:sz w:val="28"/>
          <w:szCs w:val="28"/>
        </w:rPr>
      </w:pPr>
      <w:r>
        <w:rPr>
          <w:rFonts w:hint="eastAsia" w:ascii="黑体" w:hAnsi="黑体" w:eastAsia="黑体" w:cs="黑体"/>
          <w:sz w:val="28"/>
          <w:szCs w:val="28"/>
        </w:rPr>
        <w:t xml:space="preserve">附件6  </w:t>
      </w:r>
    </w:p>
    <w:p>
      <w:pPr>
        <w:adjustRightInd w:val="0"/>
        <w:snapToGrid w:val="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优质公办高中招生分配到区垸和学校计划</w:t>
      </w:r>
    </w:p>
    <w:tbl>
      <w:tblPr>
        <w:tblStyle w:val="5"/>
        <w:tblW w:w="8878" w:type="dxa"/>
        <w:tblInd w:w="91" w:type="dxa"/>
        <w:tblLayout w:type="autofit"/>
        <w:tblCellMar>
          <w:top w:w="0" w:type="dxa"/>
          <w:left w:w="108" w:type="dxa"/>
          <w:bottom w:w="0" w:type="dxa"/>
          <w:right w:w="108" w:type="dxa"/>
        </w:tblCellMar>
      </w:tblPr>
      <w:tblGrid>
        <w:gridCol w:w="1653"/>
        <w:gridCol w:w="1337"/>
        <w:gridCol w:w="1337"/>
        <w:gridCol w:w="222"/>
        <w:gridCol w:w="1653"/>
        <w:gridCol w:w="1338"/>
        <w:gridCol w:w="1338"/>
      </w:tblGrid>
      <w:tr>
        <w:tblPrEx>
          <w:tblCellMar>
            <w:top w:w="0" w:type="dxa"/>
            <w:left w:w="108" w:type="dxa"/>
            <w:bottom w:w="0" w:type="dxa"/>
            <w:right w:w="108" w:type="dxa"/>
          </w:tblCellMar>
        </w:tblPrEx>
        <w:trPr>
          <w:trHeight w:val="546" w:hRule="exact"/>
        </w:trPr>
        <w:tc>
          <w:tcPr>
            <w:tcW w:w="165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学校</w:t>
            </w:r>
          </w:p>
        </w:tc>
        <w:tc>
          <w:tcPr>
            <w:tcW w:w="13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湘阴一中指标数</w:t>
            </w:r>
          </w:p>
        </w:tc>
        <w:tc>
          <w:tcPr>
            <w:tcW w:w="13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湘阴二中指标数</w:t>
            </w:r>
          </w:p>
        </w:tc>
        <w:tc>
          <w:tcPr>
            <w:tcW w:w="22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黑体" w:hAnsi="黑体" w:eastAsia="黑体" w:cs="黑体"/>
                <w:sz w:val="24"/>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学校</w:t>
            </w:r>
          </w:p>
        </w:tc>
        <w:tc>
          <w:tcPr>
            <w:tcW w:w="133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湘阴一中指标数</w:t>
            </w:r>
          </w:p>
        </w:tc>
        <w:tc>
          <w:tcPr>
            <w:tcW w:w="133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湘阴二中指标数</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石塘中学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白马中学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六塘中学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临资口中学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东塘中学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洞庭中学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黄甲中学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柳潭中学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三塘中学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杨林寨中学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白泥湖中学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湘滨垸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长仑垸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新泉中学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长康中学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新泉垸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玉华中学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铁角嘴中学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金龙中学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沙田中学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袁家铺中学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躲风亭中学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城南中学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东港中学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安静中学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茶湖潭中学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湾河中学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岭北垸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樟树中学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南湖中学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城南垸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南湖四中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浩河中学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南湖垸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南阳中学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城关中学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古塘中学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文星中学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20</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湘临中学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城东中学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鹤龙湖垸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知源学校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28</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左宗棠学校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文星垸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54</w:t>
            </w:r>
          </w:p>
        </w:tc>
      </w:tr>
      <w:tr>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hint="eastAsia" w:ascii="仿宋_GB2312" w:hAnsi="仿宋_GB2312" w:eastAsia="仿宋_GB2312" w:cs="仿宋_GB2312"/>
                <w:sz w:val="24"/>
              </w:rPr>
            </w:pPr>
          </w:p>
        </w:tc>
        <w:tc>
          <w:tcPr>
            <w:tcW w:w="22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_GB2312" w:hAnsi="仿宋_GB2312"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200</w:t>
            </w:r>
          </w:p>
        </w:tc>
      </w:tr>
    </w:tbl>
    <w:p>
      <w:pPr>
        <w:adjustRightInd w:val="0"/>
        <w:snapToGrid w:val="0"/>
        <w:spacing w:line="620" w:lineRule="exact"/>
        <w:jc w:val="left"/>
        <w:rPr>
          <w:rFonts w:hint="eastAsia" w:ascii="黑体" w:hAnsi="黑体" w:eastAsia="黑体" w:cs="黑体"/>
          <w:sz w:val="28"/>
          <w:szCs w:val="28"/>
        </w:rPr>
        <w:sectPr>
          <w:footerReference r:id="rId5" w:type="default"/>
          <w:pgSz w:w="11906" w:h="16838"/>
          <w:pgMar w:top="2154" w:right="1531" w:bottom="1984" w:left="1531" w:header="851" w:footer="1417" w:gutter="0"/>
          <w:pgNumType w:fmt="numberInDash"/>
          <w:cols w:space="720" w:num="1"/>
          <w:docGrid w:type="lines" w:linePitch="317" w:charSpace="0"/>
        </w:sectPr>
      </w:pPr>
    </w:p>
    <w:p>
      <w:pPr>
        <w:adjustRightInd w:val="0"/>
        <w:snapToGrid w:val="0"/>
        <w:spacing w:line="500" w:lineRule="exact"/>
        <w:rPr>
          <w:rFonts w:hint="eastAsia" w:ascii="黑体" w:hAnsi="黑体" w:eastAsia="黑体" w:cs="黑体"/>
          <w:sz w:val="28"/>
          <w:szCs w:val="28"/>
        </w:rPr>
      </w:pPr>
      <w:r>
        <w:rPr>
          <w:rFonts w:hint="eastAsia" w:ascii="黑体" w:hAnsi="黑体" w:eastAsia="黑体" w:cs="黑体"/>
          <w:sz w:val="28"/>
          <w:szCs w:val="28"/>
        </w:rPr>
        <w:t>附件7</w:t>
      </w:r>
    </w:p>
    <w:p>
      <w:pPr>
        <w:adjustRightInd w:val="0"/>
        <w:snapToGrid w:val="0"/>
        <w:spacing w:line="500" w:lineRule="exact"/>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2022年湘阴县高中阳光招生工作日程表</w:t>
      </w:r>
    </w:p>
    <w:tbl>
      <w:tblPr>
        <w:tblStyle w:val="5"/>
        <w:tblpPr w:leftFromText="180" w:rightFromText="180" w:vertAnchor="page" w:horzAnchor="page" w:tblpXSpec="center" w:tblpY="3275"/>
        <w:tblOverlap w:val="never"/>
        <w:tblW w:w="88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6287"/>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828" w:type="dxa"/>
            <w:noWrap w:val="0"/>
            <w:vAlign w:val="center"/>
          </w:tcPr>
          <w:p>
            <w:pPr>
              <w:pStyle w:val="8"/>
              <w:tabs>
                <w:tab w:val="left" w:pos="371"/>
              </w:tabs>
              <w:adjustRightInd w:val="0"/>
              <w:spacing w:before="43"/>
              <w:ind w:left="107"/>
              <w:jc w:val="center"/>
              <w:rPr>
                <w:rFonts w:hint="eastAsia" w:ascii="黑体" w:hAnsi="黑体" w:eastAsia="黑体" w:cs="黑体"/>
                <w:bCs/>
                <w:kern w:val="0"/>
                <w:sz w:val="24"/>
                <w:szCs w:val="22"/>
              </w:rPr>
            </w:pPr>
            <w:r>
              <w:rPr>
                <w:rFonts w:hint="eastAsia" w:ascii="黑体" w:hAnsi="黑体" w:eastAsia="黑体" w:cs="黑体"/>
                <w:bCs/>
                <w:kern w:val="0"/>
                <w:sz w:val="24"/>
                <w:szCs w:val="22"/>
              </w:rPr>
              <w:t>时间</w:t>
            </w:r>
          </w:p>
        </w:tc>
        <w:tc>
          <w:tcPr>
            <w:tcW w:w="6287" w:type="dxa"/>
            <w:noWrap w:val="0"/>
            <w:vAlign w:val="center"/>
          </w:tcPr>
          <w:p>
            <w:pPr>
              <w:pStyle w:val="8"/>
              <w:tabs>
                <w:tab w:val="left" w:pos="371"/>
              </w:tabs>
              <w:adjustRightInd w:val="0"/>
              <w:spacing w:before="43"/>
              <w:ind w:left="107"/>
              <w:jc w:val="center"/>
              <w:rPr>
                <w:rFonts w:hint="eastAsia" w:ascii="黑体" w:hAnsi="黑体" w:eastAsia="黑体" w:cs="黑体"/>
                <w:bCs/>
                <w:kern w:val="0"/>
                <w:sz w:val="24"/>
                <w:szCs w:val="22"/>
              </w:rPr>
            </w:pPr>
            <w:r>
              <w:rPr>
                <w:rFonts w:hint="eastAsia" w:ascii="黑体" w:hAnsi="黑体" w:eastAsia="黑体" w:cs="黑体"/>
                <w:bCs/>
                <w:kern w:val="0"/>
                <w:sz w:val="24"/>
                <w:szCs w:val="22"/>
              </w:rPr>
              <w:t>工作内容</w:t>
            </w:r>
          </w:p>
        </w:tc>
        <w:tc>
          <w:tcPr>
            <w:tcW w:w="1706" w:type="dxa"/>
            <w:noWrap w:val="0"/>
            <w:vAlign w:val="center"/>
          </w:tcPr>
          <w:p>
            <w:pPr>
              <w:pStyle w:val="8"/>
              <w:tabs>
                <w:tab w:val="left" w:pos="371"/>
              </w:tabs>
              <w:adjustRightInd w:val="0"/>
              <w:spacing w:before="43"/>
              <w:ind w:left="107"/>
              <w:jc w:val="center"/>
              <w:rPr>
                <w:rFonts w:hint="eastAsia" w:ascii="黑体" w:hAnsi="黑体" w:eastAsia="黑体" w:cs="黑体"/>
                <w:bCs/>
                <w:kern w:val="0"/>
                <w:sz w:val="24"/>
                <w:szCs w:val="22"/>
              </w:rPr>
            </w:pPr>
            <w:r>
              <w:rPr>
                <w:rFonts w:hint="eastAsia" w:ascii="黑体" w:hAnsi="黑体" w:eastAsia="黑体" w:cs="黑体"/>
                <w:bCs/>
                <w:kern w:val="0"/>
                <w:sz w:val="24"/>
                <w:szCs w:val="22"/>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828" w:type="dxa"/>
            <w:noWrap w:val="0"/>
            <w:vAlign w:val="center"/>
          </w:tcPr>
          <w:p>
            <w:pPr>
              <w:pStyle w:val="8"/>
              <w:tabs>
                <w:tab w:val="left" w:pos="371"/>
              </w:tabs>
              <w:adjustRightInd w:val="0"/>
              <w:spacing w:before="43"/>
              <w:ind w:left="107"/>
              <w:jc w:val="center"/>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5</w:t>
            </w:r>
            <w:r>
              <w:rPr>
                <w:rFonts w:hint="eastAsia" w:ascii="仿宋_GB2312" w:hAnsi="仿宋_GB2312" w:eastAsia="仿宋_GB2312" w:cs="仿宋_GB2312"/>
                <w:bCs/>
                <w:kern w:val="0"/>
                <w:sz w:val="24"/>
                <w:szCs w:val="22"/>
              </w:rPr>
              <w:t>月</w:t>
            </w:r>
          </w:p>
        </w:tc>
        <w:tc>
          <w:tcPr>
            <w:tcW w:w="6287" w:type="dxa"/>
            <w:noWrap w:val="0"/>
            <w:vAlign w:val="center"/>
          </w:tcPr>
          <w:p>
            <w:pPr>
              <w:pStyle w:val="8"/>
              <w:tabs>
                <w:tab w:val="left" w:pos="371"/>
              </w:tabs>
              <w:adjustRightInd w:val="0"/>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1.</w:t>
            </w:r>
            <w:r>
              <w:rPr>
                <w:rFonts w:hint="eastAsia" w:ascii="仿宋_GB2312" w:hAnsi="仿宋_GB2312" w:eastAsia="仿宋_GB2312" w:cs="仿宋_GB2312"/>
                <w:bCs/>
                <w:kern w:val="0"/>
                <w:sz w:val="24"/>
                <w:szCs w:val="22"/>
              </w:rPr>
              <w:t>召开阳光招生领导小组成员会</w:t>
            </w:r>
          </w:p>
          <w:p>
            <w:pPr>
              <w:pStyle w:val="8"/>
              <w:tabs>
                <w:tab w:val="left" w:pos="371"/>
              </w:tabs>
              <w:adjustRightInd w:val="0"/>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2.</w:t>
            </w:r>
            <w:r>
              <w:rPr>
                <w:rFonts w:hint="eastAsia" w:ascii="仿宋_GB2312" w:hAnsi="仿宋_GB2312" w:eastAsia="仿宋_GB2312" w:cs="仿宋_GB2312"/>
                <w:bCs/>
                <w:kern w:val="0"/>
                <w:sz w:val="24"/>
                <w:szCs w:val="22"/>
              </w:rPr>
              <w:t>公布《湘阴县</w:t>
            </w:r>
            <w:r>
              <w:rPr>
                <w:rFonts w:hint="eastAsia" w:ascii="仿宋_GB2312" w:hAnsi="仿宋_GB2312" w:eastAsia="仿宋_GB2312" w:cs="仿宋_GB2312"/>
                <w:bCs/>
                <w:kern w:val="0"/>
                <w:sz w:val="24"/>
                <w:szCs w:val="22"/>
                <w:lang w:val="en-US"/>
              </w:rPr>
              <w:t>2022</w:t>
            </w:r>
            <w:r>
              <w:rPr>
                <w:rFonts w:hint="eastAsia" w:ascii="仿宋_GB2312" w:hAnsi="仿宋_GB2312" w:eastAsia="仿宋_GB2312" w:cs="仿宋_GB2312"/>
                <w:bCs/>
                <w:kern w:val="0"/>
                <w:sz w:val="24"/>
                <w:szCs w:val="22"/>
              </w:rPr>
              <w:t xml:space="preserve"> 年中小学阳光招生方案》</w:t>
            </w:r>
          </w:p>
          <w:p>
            <w:pPr>
              <w:pStyle w:val="8"/>
              <w:tabs>
                <w:tab w:val="left" w:pos="371"/>
              </w:tabs>
              <w:adjustRightInd w:val="0"/>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3.</w:t>
            </w:r>
            <w:r>
              <w:rPr>
                <w:rFonts w:hint="eastAsia" w:ascii="仿宋_GB2312" w:hAnsi="仿宋_GB2312" w:eastAsia="仿宋_GB2312" w:cs="仿宋_GB2312"/>
                <w:bCs/>
                <w:kern w:val="0"/>
                <w:sz w:val="24"/>
                <w:szCs w:val="22"/>
              </w:rPr>
              <w:t>召开全县中小学校招生工作会议</w:t>
            </w:r>
          </w:p>
          <w:p>
            <w:pPr>
              <w:pStyle w:val="8"/>
              <w:tabs>
                <w:tab w:val="left" w:pos="371"/>
              </w:tabs>
              <w:adjustRightInd w:val="0"/>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4.</w:t>
            </w:r>
            <w:r>
              <w:rPr>
                <w:rFonts w:hint="eastAsia" w:ascii="仿宋_GB2312" w:hAnsi="仿宋_GB2312" w:eastAsia="仿宋_GB2312" w:cs="仿宋_GB2312"/>
                <w:bCs/>
                <w:kern w:val="0"/>
                <w:sz w:val="24"/>
                <w:szCs w:val="22"/>
              </w:rPr>
              <w:t>下发招生宣传册到各学校</w:t>
            </w:r>
          </w:p>
        </w:tc>
        <w:tc>
          <w:tcPr>
            <w:tcW w:w="1706" w:type="dxa"/>
            <w:noWrap w:val="0"/>
            <w:vAlign w:val="center"/>
          </w:tcPr>
          <w:p>
            <w:pPr>
              <w:pStyle w:val="8"/>
              <w:tabs>
                <w:tab w:val="left" w:pos="371"/>
              </w:tabs>
              <w:adjustRightInd w:val="0"/>
              <w:spacing w:before="43"/>
              <w:ind w:left="107"/>
              <w:jc w:val="center"/>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5月28日前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828" w:type="dxa"/>
            <w:vMerge w:val="restart"/>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6</w:t>
            </w:r>
            <w:r>
              <w:rPr>
                <w:rFonts w:hint="eastAsia" w:ascii="仿宋_GB2312" w:hAnsi="仿宋_GB2312" w:eastAsia="仿宋_GB2312" w:cs="仿宋_GB2312"/>
                <w:bCs/>
                <w:kern w:val="0"/>
                <w:sz w:val="24"/>
                <w:szCs w:val="22"/>
              </w:rPr>
              <w:t>月</w:t>
            </w: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各普通学校上报自主招生工作方案</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开通招生系统志愿模拟填报功能</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6月24－29日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各相关高中学校上报专业生测试成绩和专业生入围名单</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1.</w:t>
            </w:r>
            <w:r>
              <w:rPr>
                <w:rFonts w:hint="eastAsia" w:ascii="仿宋_GB2312" w:hAnsi="仿宋_GB2312" w:eastAsia="仿宋_GB2312" w:cs="仿宋_GB2312"/>
                <w:bCs/>
                <w:kern w:val="0"/>
                <w:sz w:val="24"/>
                <w:szCs w:val="22"/>
              </w:rPr>
              <w:t>在基础教育管理平台和中招网下发中考成绩</w:t>
            </w:r>
          </w:p>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2.</w:t>
            </w:r>
            <w:r>
              <w:rPr>
                <w:rFonts w:hint="eastAsia" w:ascii="仿宋_GB2312" w:hAnsi="仿宋_GB2312" w:eastAsia="仿宋_GB2312" w:cs="仿宋_GB2312"/>
                <w:bCs/>
                <w:kern w:val="0"/>
                <w:sz w:val="24"/>
                <w:szCs w:val="22"/>
              </w:rPr>
              <w:t>关闭中招招生系统志愿模拟填报功能，清空志愿模拟填报数据</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6月28日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中考查分</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１</w:t>
            </w:r>
            <w:r>
              <w:rPr>
                <w:rFonts w:hint="eastAsia" w:ascii="仿宋_GB2312" w:hAnsi="仿宋_GB2312" w:eastAsia="仿宋_GB2312" w:cs="仿宋_GB2312"/>
                <w:bCs/>
                <w:kern w:val="0"/>
                <w:sz w:val="24"/>
                <w:szCs w:val="22"/>
                <w:lang w:val="en-US"/>
              </w:rPr>
              <w:t>.</w:t>
            </w:r>
            <w:r>
              <w:rPr>
                <w:rFonts w:hint="eastAsia" w:ascii="仿宋_GB2312" w:hAnsi="仿宋_GB2312" w:eastAsia="仿宋_GB2312" w:cs="仿宋_GB2312"/>
                <w:bCs/>
                <w:kern w:val="0"/>
                <w:sz w:val="24"/>
                <w:szCs w:val="22"/>
              </w:rPr>
              <w:t>各初中学校组织召开毕业生志愿填报家长会，县教育局组织招生志愿填报督查。</w:t>
            </w:r>
          </w:p>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２</w:t>
            </w:r>
            <w:r>
              <w:rPr>
                <w:rFonts w:hint="eastAsia" w:ascii="仿宋_GB2312" w:hAnsi="仿宋_GB2312" w:eastAsia="仿宋_GB2312" w:cs="仿宋_GB2312"/>
                <w:bCs/>
                <w:kern w:val="0"/>
                <w:sz w:val="24"/>
                <w:szCs w:val="22"/>
                <w:lang w:val="en-US"/>
              </w:rPr>
              <w:t>.</w:t>
            </w:r>
            <w:r>
              <w:rPr>
                <w:rFonts w:hint="eastAsia" w:ascii="仿宋_GB2312" w:hAnsi="仿宋_GB2312" w:eastAsia="仿宋_GB2312" w:cs="仿宋_GB2312"/>
                <w:bCs/>
                <w:kern w:val="0"/>
                <w:sz w:val="24"/>
                <w:szCs w:val="22"/>
              </w:rPr>
              <w:t>上午 8:00 开通中招网网上招生系统志愿正式填报功能</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6月30日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828" w:type="dxa"/>
            <w:vMerge w:val="restart"/>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7</w:t>
            </w:r>
            <w:r>
              <w:rPr>
                <w:rFonts w:hint="eastAsia" w:ascii="仿宋_GB2312" w:hAnsi="仿宋_GB2312" w:eastAsia="仿宋_GB2312" w:cs="仿宋_GB2312"/>
                <w:bCs/>
                <w:kern w:val="0"/>
                <w:sz w:val="24"/>
                <w:szCs w:val="22"/>
              </w:rPr>
              <w:t>月</w:t>
            </w: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公布自主招生预录情况，</w:t>
            </w:r>
            <w:r>
              <w:rPr>
                <w:rFonts w:hint="eastAsia" w:ascii="仿宋_GB2312" w:hAnsi="仿宋_GB2312" w:eastAsia="仿宋_GB2312" w:cs="仿宋_GB2312"/>
                <w:bCs/>
                <w:kern w:val="0"/>
                <w:sz w:val="24"/>
                <w:szCs w:val="22"/>
                <w:lang w:val="en-US"/>
              </w:rPr>
              <w:t>公布各分数段成绩</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7月1日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rPr>
              <w:t>初中学校组织学生及家长完成志愿填报</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7月2-3日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各初中学校打印学生志愿表，组织家长签字确认；各初中学校上交经家长签字确认的志愿填报表，汇总后交县综招办。</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7月4日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招生录取</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lang w:val="en-US"/>
              </w:rPr>
            </w:pPr>
            <w:r>
              <w:rPr>
                <w:rFonts w:hint="eastAsia" w:ascii="仿宋_GB2312" w:hAnsi="仿宋_GB2312" w:eastAsia="仿宋_GB2312" w:cs="仿宋_GB2312"/>
                <w:bCs/>
                <w:kern w:val="0"/>
                <w:sz w:val="24"/>
                <w:szCs w:val="22"/>
                <w:lang w:val="en-US"/>
              </w:rPr>
              <w:t>7月5-6日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28" w:type="dxa"/>
            <w:vMerge w:val="continue"/>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p>
        </w:tc>
        <w:tc>
          <w:tcPr>
            <w:tcW w:w="6287" w:type="dxa"/>
            <w:noWrap w:val="0"/>
            <w:vAlign w:val="center"/>
          </w:tcPr>
          <w:p>
            <w:pPr>
              <w:pStyle w:val="8"/>
              <w:tabs>
                <w:tab w:val="left" w:pos="371"/>
              </w:tabs>
              <w:spacing w:before="43"/>
              <w:ind w:left="107"/>
              <w:jc w:val="left"/>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rPr>
              <w:t>高一新生报到注册</w:t>
            </w:r>
          </w:p>
        </w:tc>
        <w:tc>
          <w:tcPr>
            <w:tcW w:w="1706" w:type="dxa"/>
            <w:noWrap w:val="0"/>
            <w:vAlign w:val="center"/>
          </w:tcPr>
          <w:p>
            <w:pPr>
              <w:pStyle w:val="8"/>
              <w:tabs>
                <w:tab w:val="left" w:pos="371"/>
              </w:tabs>
              <w:spacing w:before="43"/>
              <w:ind w:left="107"/>
              <w:jc w:val="center"/>
              <w:rPr>
                <w:rFonts w:hint="eastAsia" w:ascii="仿宋_GB2312" w:hAnsi="仿宋_GB2312" w:eastAsia="仿宋_GB2312" w:cs="仿宋_GB2312"/>
                <w:bCs/>
                <w:kern w:val="0"/>
                <w:sz w:val="24"/>
                <w:szCs w:val="22"/>
              </w:rPr>
            </w:pPr>
            <w:r>
              <w:rPr>
                <w:rFonts w:hint="eastAsia" w:ascii="仿宋_GB2312" w:hAnsi="仿宋_GB2312" w:eastAsia="仿宋_GB2312" w:cs="仿宋_GB2312"/>
                <w:bCs/>
                <w:kern w:val="0"/>
                <w:sz w:val="24"/>
                <w:szCs w:val="22"/>
                <w:lang w:val="en-US"/>
              </w:rPr>
              <w:t>7月7-10日</w:t>
            </w:r>
          </w:p>
        </w:tc>
      </w:tr>
    </w:tbl>
    <w:p>
      <w:pPr>
        <w:adjustRightInd w:val="0"/>
        <w:snapToGrid w:val="0"/>
        <w:spacing w:line="620" w:lineRule="exact"/>
        <w:jc w:val="left"/>
        <w:rPr>
          <w:rFonts w:hint="eastAsia" w:ascii="黑体" w:hAnsi="黑体" w:eastAsia="黑体" w:cs="黑体"/>
          <w:sz w:val="28"/>
          <w:szCs w:val="28"/>
        </w:rPr>
        <w:sectPr>
          <w:pgSz w:w="11906" w:h="16838"/>
          <w:pgMar w:top="1984" w:right="1531" w:bottom="1701" w:left="1531" w:header="851" w:footer="1417" w:gutter="0"/>
          <w:pgNumType w:fmt="numberInDash"/>
          <w:cols w:space="720" w:num="1"/>
          <w:docGrid w:type="lines" w:linePitch="317" w:charSpace="0"/>
        </w:sectPr>
      </w:pPr>
    </w:p>
    <w:p>
      <w:pPr>
        <w:snapToGrid w:val="0"/>
        <w:spacing w:line="500" w:lineRule="exact"/>
        <w:rPr>
          <w:rFonts w:hint="eastAsia"/>
          <w:sz w:val="25"/>
        </w:rPr>
      </w:pPr>
      <w:r>
        <w:rPr>
          <w:rFonts w:hint="eastAsia" w:ascii="黑体" w:hAnsi="黑体" w:eastAsia="黑体" w:cs="黑体"/>
          <w:sz w:val="28"/>
          <w:szCs w:val="28"/>
        </w:rPr>
        <w:t>附件 8</w:t>
      </w:r>
      <w:r>
        <w:rPr>
          <w:rFonts w:hint="eastAsia"/>
          <w:sz w:val="25"/>
        </w:rPr>
        <w:t xml:space="preserve">   </w:t>
      </w:r>
    </w:p>
    <w:p>
      <w:pPr>
        <w:snapToGrid w:val="0"/>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湘阴县2022年秋季城区义务教育学校招生计划</w:t>
      </w:r>
    </w:p>
    <w:tbl>
      <w:tblPr>
        <w:tblStyle w:val="5"/>
        <w:tblW w:w="8919" w:type="dxa"/>
        <w:jc w:val="center"/>
        <w:tblLayout w:type="fixed"/>
        <w:tblCellMar>
          <w:top w:w="0" w:type="dxa"/>
          <w:left w:w="108" w:type="dxa"/>
          <w:bottom w:w="0" w:type="dxa"/>
          <w:right w:w="108" w:type="dxa"/>
        </w:tblCellMar>
      </w:tblPr>
      <w:tblGrid>
        <w:gridCol w:w="1352"/>
        <w:gridCol w:w="1127"/>
        <w:gridCol w:w="1089"/>
        <w:gridCol w:w="1197"/>
        <w:gridCol w:w="956"/>
        <w:gridCol w:w="968"/>
        <w:gridCol w:w="1234"/>
        <w:gridCol w:w="996"/>
      </w:tblGrid>
      <w:tr>
        <w:tblPrEx>
          <w:tblCellMar>
            <w:top w:w="0" w:type="dxa"/>
            <w:left w:w="108" w:type="dxa"/>
            <w:bottom w:w="0" w:type="dxa"/>
            <w:right w:w="108" w:type="dxa"/>
          </w:tblCellMar>
        </w:tblPrEx>
        <w:trPr>
          <w:trHeight w:val="748" w:hRule="atLeast"/>
          <w:jc w:val="center"/>
        </w:trPr>
        <w:tc>
          <w:tcPr>
            <w:tcW w:w="1352"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学校名称</w:t>
            </w:r>
          </w:p>
        </w:tc>
        <w:tc>
          <w:tcPr>
            <w:tcW w:w="3413" w:type="dxa"/>
            <w:gridSpan w:val="3"/>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小学一年级招生办班计划</w:t>
            </w:r>
          </w:p>
        </w:tc>
        <w:tc>
          <w:tcPr>
            <w:tcW w:w="3158" w:type="dxa"/>
            <w:gridSpan w:val="3"/>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初中一年级招生办班计划</w:t>
            </w:r>
          </w:p>
        </w:tc>
        <w:tc>
          <w:tcPr>
            <w:tcW w:w="996"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kern w:val="0"/>
                <w:sz w:val="24"/>
              </w:rPr>
            </w:pPr>
            <w:r>
              <w:rPr>
                <w:rFonts w:hint="eastAsia" w:ascii="黑体" w:hAnsi="黑体" w:eastAsia="黑体" w:cs="黑体"/>
                <w:kern w:val="0"/>
                <w:sz w:val="24"/>
              </w:rPr>
              <w:t>备注</w:t>
            </w:r>
          </w:p>
        </w:tc>
      </w:tr>
      <w:tr>
        <w:tblPrEx>
          <w:tblCellMar>
            <w:top w:w="0" w:type="dxa"/>
            <w:left w:w="108" w:type="dxa"/>
            <w:bottom w:w="0" w:type="dxa"/>
            <w:right w:w="108" w:type="dxa"/>
          </w:tblCellMar>
        </w:tblPrEx>
        <w:trPr>
          <w:trHeight w:val="867" w:hRule="atLeast"/>
          <w:jc w:val="center"/>
        </w:trPr>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黑体" w:hAnsi="黑体" w:eastAsia="黑体" w:cs="黑体"/>
                <w:kern w:val="0"/>
                <w:sz w:val="24"/>
              </w:rPr>
            </w:pPr>
          </w:p>
        </w:tc>
        <w:tc>
          <w:tcPr>
            <w:tcW w:w="1127"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计划招</w:t>
            </w:r>
          </w:p>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生人数</w:t>
            </w:r>
          </w:p>
        </w:tc>
        <w:tc>
          <w:tcPr>
            <w:tcW w:w="108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办班数</w:t>
            </w:r>
          </w:p>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（个）</w:t>
            </w:r>
          </w:p>
        </w:tc>
        <w:tc>
          <w:tcPr>
            <w:tcW w:w="1197"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最大班额</w:t>
            </w:r>
          </w:p>
        </w:tc>
        <w:tc>
          <w:tcPr>
            <w:tcW w:w="956"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计划招</w:t>
            </w:r>
          </w:p>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生人数</w:t>
            </w:r>
          </w:p>
        </w:tc>
        <w:tc>
          <w:tcPr>
            <w:tcW w:w="968"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黑体" w:hAnsi="黑体" w:eastAsia="黑体" w:cs="黑体"/>
                <w:kern w:val="0"/>
                <w:sz w:val="24"/>
              </w:rPr>
            </w:pPr>
            <w:r>
              <w:rPr>
                <w:rFonts w:hint="eastAsia" w:ascii="黑体" w:hAnsi="黑体" w:eastAsia="黑体" w:cs="黑体"/>
                <w:kern w:val="0"/>
                <w:sz w:val="24"/>
              </w:rPr>
              <w:t>办班数</w:t>
            </w:r>
          </w:p>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（个）</w:t>
            </w:r>
          </w:p>
        </w:tc>
        <w:tc>
          <w:tcPr>
            <w:tcW w:w="1234"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黑体" w:hAnsi="黑体" w:eastAsia="黑体" w:cs="黑体"/>
                <w:kern w:val="0"/>
                <w:sz w:val="24"/>
              </w:rPr>
            </w:pPr>
            <w:r>
              <w:rPr>
                <w:rFonts w:hint="eastAsia" w:ascii="黑体" w:hAnsi="黑体" w:eastAsia="黑体" w:cs="黑体"/>
                <w:kern w:val="0"/>
                <w:sz w:val="24"/>
              </w:rPr>
              <w:t>最大班额</w:t>
            </w: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宋体" w:hAnsi="宋体" w:cs="宋体"/>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城关学校</w:t>
            </w:r>
          </w:p>
        </w:tc>
        <w:tc>
          <w:tcPr>
            <w:tcW w:w="1127" w:type="dxa"/>
            <w:tcBorders>
              <w:top w:val="single" w:color="auto" w:sz="4" w:space="0"/>
              <w:left w:val="single" w:color="auto" w:sz="4" w:space="0"/>
              <w:bottom w:val="single" w:color="auto" w:sz="4" w:space="0"/>
              <w:right w:val="single" w:color="auto" w:sz="4" w:space="0"/>
            </w:tcBorders>
            <w:noWrap/>
            <w:vAlign w:val="center"/>
          </w:tcPr>
          <w:p>
            <w:pPr>
              <w:widowControl/>
              <w:snapToGrid w:val="0"/>
              <w:rPr>
                <w:rFonts w:ascii="仿宋_GB2312" w:hAnsi="仿宋_GB2312" w:eastAsia="仿宋_GB2312" w:cs="仿宋_GB2312"/>
                <w:kern w:val="0"/>
                <w:sz w:val="24"/>
              </w:rPr>
            </w:pPr>
          </w:p>
        </w:tc>
        <w:tc>
          <w:tcPr>
            <w:tcW w:w="108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197" w:type="dxa"/>
            <w:tcBorders>
              <w:top w:val="single" w:color="auto" w:sz="4" w:space="0"/>
              <w:left w:val="single" w:color="auto" w:sz="4" w:space="0"/>
              <w:bottom w:val="single" w:color="auto" w:sz="4" w:space="0"/>
              <w:right w:val="single" w:color="auto" w:sz="4" w:space="0"/>
            </w:tcBorders>
            <w:noWrap/>
            <w:vAlign w:val="center"/>
          </w:tcPr>
          <w:p>
            <w:pPr>
              <w:widowControl/>
              <w:snapToGrid w:val="0"/>
              <w:rPr>
                <w:rFonts w:ascii="仿宋_GB2312" w:hAnsi="仿宋_GB2312" w:eastAsia="仿宋_GB2312" w:cs="仿宋_GB2312"/>
                <w:kern w:val="0"/>
                <w:sz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550</w:t>
            </w: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i/>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文星学校</w:t>
            </w:r>
          </w:p>
        </w:tc>
        <w:tc>
          <w:tcPr>
            <w:tcW w:w="112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p>
        </w:tc>
        <w:tc>
          <w:tcPr>
            <w:tcW w:w="108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19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750</w:t>
            </w:r>
          </w:p>
        </w:tc>
        <w:tc>
          <w:tcPr>
            <w:tcW w:w="9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96" w:type="dxa"/>
            <w:tcBorders>
              <w:top w:val="single" w:color="auto" w:sz="4" w:space="0"/>
              <w:left w:val="nil"/>
              <w:bottom w:val="single" w:color="auto" w:sz="4" w:space="0"/>
              <w:right w:val="single" w:color="auto" w:sz="4" w:space="0"/>
            </w:tcBorders>
            <w:noWrap/>
            <w:vAlign w:val="center"/>
          </w:tcPr>
          <w:p>
            <w:pPr>
              <w:widowControl/>
              <w:snapToGrid w:val="0"/>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湘江学校</w:t>
            </w:r>
          </w:p>
        </w:tc>
        <w:tc>
          <w:tcPr>
            <w:tcW w:w="112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400</w:t>
            </w:r>
          </w:p>
        </w:tc>
        <w:tc>
          <w:tcPr>
            <w:tcW w:w="108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9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城东学校</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300</w:t>
            </w: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知源学校</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300</w:t>
            </w: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城北小学</w:t>
            </w:r>
          </w:p>
        </w:tc>
        <w:tc>
          <w:tcPr>
            <w:tcW w:w="112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450</w:t>
            </w:r>
          </w:p>
        </w:tc>
        <w:tc>
          <w:tcPr>
            <w:tcW w:w="108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9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滨湖小学</w:t>
            </w:r>
          </w:p>
        </w:tc>
        <w:tc>
          <w:tcPr>
            <w:tcW w:w="112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400</w:t>
            </w:r>
          </w:p>
        </w:tc>
        <w:tc>
          <w:tcPr>
            <w:tcW w:w="108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9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长岭小学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东湖小学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高岭小学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琪瑞小学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黄金小学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新农学校</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左宗棠</w:t>
            </w:r>
          </w:p>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学校</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400</w:t>
            </w: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双桥小学</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民转公</w:t>
            </w:r>
          </w:p>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计划数</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500</w:t>
            </w: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510" w:hRule="atLeast"/>
          <w:jc w:val="center"/>
        </w:trPr>
        <w:tc>
          <w:tcPr>
            <w:tcW w:w="135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合计</w:t>
            </w:r>
          </w:p>
        </w:tc>
        <w:tc>
          <w:tcPr>
            <w:tcW w:w="1127"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3000</w:t>
            </w:r>
          </w:p>
        </w:tc>
        <w:tc>
          <w:tcPr>
            <w:tcW w:w="1089"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60</w:t>
            </w:r>
          </w:p>
        </w:tc>
        <w:tc>
          <w:tcPr>
            <w:tcW w:w="1197"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56"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2800</w:t>
            </w:r>
          </w:p>
        </w:tc>
        <w:tc>
          <w:tcPr>
            <w:tcW w:w="968"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56</w:t>
            </w:r>
          </w:p>
        </w:tc>
        <w:tc>
          <w:tcPr>
            <w:tcW w:w="123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c>
          <w:tcPr>
            <w:tcW w:w="996"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仿宋_GB2312" w:eastAsia="仿宋_GB2312" w:cs="仿宋_GB2312"/>
                <w:kern w:val="0"/>
                <w:sz w:val="24"/>
              </w:rPr>
            </w:pPr>
          </w:p>
        </w:tc>
      </w:tr>
    </w:tbl>
    <w:p>
      <w:pPr>
        <w:adjustRightInd w:val="0"/>
        <w:snapToGrid w:val="0"/>
        <w:spacing w:line="300" w:lineRule="exact"/>
        <w:jc w:val="left"/>
      </w:pPr>
      <w:r>
        <w:rPr>
          <w:rFonts w:hint="eastAsia" w:ascii="仿宋_GB2312" w:hAnsi="仿宋_GB2312" w:eastAsia="仿宋_GB2312" w:cs="仿宋_GB2312"/>
          <w:szCs w:val="21"/>
        </w:rPr>
        <w:t>注：民办学校小一计划数不超过300人，七年级计划不超过600人，备注栏中小一300计划，七年级500计划是在任意一所民办学校性质变更或确定购买学位学校后增加的计划数</w:t>
      </w:r>
    </w:p>
    <w:p>
      <w:pPr>
        <w:rPr>
          <w:rFonts w:hint="default"/>
          <w:lang w:val="en-US"/>
        </w:rPr>
      </w:pPr>
    </w:p>
    <w:sectPr>
      <w:headerReference r:id="rId6" w:type="default"/>
      <w:footerReference r:id="rId7" w:type="default"/>
      <w:pgSz w:w="11906" w:h="16838"/>
      <w:pgMar w:top="2154" w:right="1531" w:bottom="1984" w:left="1531" w:header="851" w:footer="1417" w:gutter="0"/>
      <w:pgBorders>
        <w:top w:val="none" w:sz="0" w:space="0"/>
        <w:left w:val="none" w:sz="0" w:space="0"/>
        <w:bottom w:val="none" w:sz="0" w:space="0"/>
        <w:right w:val="none" w:sz="0" w:space="0"/>
      </w:pgBorders>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AXbUR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121"/>
        <w:tab w:val="clear" w:pos="4153"/>
      </w:tabs>
      <w:rPr>
        <w:rFonts w:hint="eastAsia"/>
      </w:rPr>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121"/>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3BEAF"/>
    <w:multiLevelType w:val="singleLevel"/>
    <w:tmpl w:val="69E3BE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ZmM4ZWExOWY2OWYxYWQ3MTExODYwMDkwMjRhYTAifQ=="/>
  </w:docVars>
  <w:rsids>
    <w:rsidRoot w:val="28FE5B72"/>
    <w:rsid w:val="012E2104"/>
    <w:rsid w:val="023D06FF"/>
    <w:rsid w:val="02467A44"/>
    <w:rsid w:val="02812250"/>
    <w:rsid w:val="04673CA2"/>
    <w:rsid w:val="048E122E"/>
    <w:rsid w:val="0BD14BA7"/>
    <w:rsid w:val="0BFC2E9D"/>
    <w:rsid w:val="0D077DD0"/>
    <w:rsid w:val="0D34275E"/>
    <w:rsid w:val="0E244EDC"/>
    <w:rsid w:val="0E3C5C14"/>
    <w:rsid w:val="101E1586"/>
    <w:rsid w:val="1089435E"/>
    <w:rsid w:val="10B76E66"/>
    <w:rsid w:val="1120691B"/>
    <w:rsid w:val="114172F3"/>
    <w:rsid w:val="13D544F2"/>
    <w:rsid w:val="149172AB"/>
    <w:rsid w:val="15F37449"/>
    <w:rsid w:val="16390056"/>
    <w:rsid w:val="16E45411"/>
    <w:rsid w:val="171D10C4"/>
    <w:rsid w:val="188501F8"/>
    <w:rsid w:val="192550E4"/>
    <w:rsid w:val="1BFC6FDB"/>
    <w:rsid w:val="1D4D6F06"/>
    <w:rsid w:val="22214A16"/>
    <w:rsid w:val="25916265"/>
    <w:rsid w:val="28E1027C"/>
    <w:rsid w:val="28FE5B72"/>
    <w:rsid w:val="2A470575"/>
    <w:rsid w:val="2C431251"/>
    <w:rsid w:val="2E1C28A7"/>
    <w:rsid w:val="32EF5B1F"/>
    <w:rsid w:val="34AB4DA0"/>
    <w:rsid w:val="35427598"/>
    <w:rsid w:val="36D96883"/>
    <w:rsid w:val="370D7E20"/>
    <w:rsid w:val="395F24A2"/>
    <w:rsid w:val="3E254385"/>
    <w:rsid w:val="432C4789"/>
    <w:rsid w:val="44B3053E"/>
    <w:rsid w:val="46602F84"/>
    <w:rsid w:val="4971535F"/>
    <w:rsid w:val="49A06D06"/>
    <w:rsid w:val="4A353CD5"/>
    <w:rsid w:val="4C1431DF"/>
    <w:rsid w:val="50D61CC9"/>
    <w:rsid w:val="51E222FA"/>
    <w:rsid w:val="52CD0CC9"/>
    <w:rsid w:val="52FE4709"/>
    <w:rsid w:val="53D755A2"/>
    <w:rsid w:val="567030C2"/>
    <w:rsid w:val="583C1580"/>
    <w:rsid w:val="5A290BB7"/>
    <w:rsid w:val="5B362B24"/>
    <w:rsid w:val="5F5521EA"/>
    <w:rsid w:val="60B95DE8"/>
    <w:rsid w:val="625C42AD"/>
    <w:rsid w:val="63FC5631"/>
    <w:rsid w:val="64AE06C7"/>
    <w:rsid w:val="64B17F96"/>
    <w:rsid w:val="65571CB6"/>
    <w:rsid w:val="68D11525"/>
    <w:rsid w:val="69C54913"/>
    <w:rsid w:val="6AAE07F7"/>
    <w:rsid w:val="6C1859CE"/>
    <w:rsid w:val="6C7A49EB"/>
    <w:rsid w:val="74382109"/>
    <w:rsid w:val="76C8729E"/>
    <w:rsid w:val="77745FF1"/>
    <w:rsid w:val="781C69E0"/>
    <w:rsid w:val="79FC7092"/>
    <w:rsid w:val="7CC71F46"/>
    <w:rsid w:val="7F923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黑体"/>
      <w:b/>
      <w:bCs/>
      <w:szCs w:val="28"/>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9758</Words>
  <Characters>10474</Characters>
  <Lines>0</Lines>
  <Paragraphs>0</Paragraphs>
  <TotalTime>1</TotalTime>
  <ScaleCrop>false</ScaleCrop>
  <LinksUpToDate>false</LinksUpToDate>
  <CharactersWithSpaces>10772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2022-05-11T06:17:00Z</dcterms:created>
  <dc:creator>三人水</dc:creator>
  <cp:lastModifiedBy>程振宇</cp:lastModifiedBy>
  <cp:lastPrinted>2022-07-20T07:27:39Z</cp:lastPrinted>
  <dcterms:modified xsi:type="dcterms:W3CDTF">2022-12-13T02:53:42Z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E90B4D3ECF3548A3B92F32CE7E2D5F15</vt:lpwstr>
  </property>
</Properties>
</file>