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jc w:val="center"/>
        <w:rPr>
          <w:rFonts w:hint="eastAsia" w:ascii="仿宋_GB2312" w:eastAsia="仿宋_GB2312"/>
          <w:sz w:val="32"/>
          <w:szCs w:val="32"/>
          <w:lang w:val="en-US" w:eastAsia="zh-CN"/>
        </w:rPr>
      </w:pPr>
    </w:p>
    <w:p>
      <w:pPr>
        <w:jc w:val="center"/>
        <w:rPr>
          <w:rFonts w:hint="eastAsia" w:ascii="仿宋_GB2312" w:eastAsia="仿宋_GB2312"/>
          <w:sz w:val="32"/>
          <w:szCs w:val="32"/>
          <w:lang w:val="en-US" w:eastAsia="zh-CN"/>
        </w:rPr>
      </w:pPr>
    </w:p>
    <w:p>
      <w:pPr>
        <w:jc w:val="center"/>
        <w:rPr>
          <w:rFonts w:hint="eastAsia" w:ascii="方正小标宋简体" w:hAnsi="方正小标宋简体" w:eastAsia="方正小标宋简体" w:cs="方正小标宋简体"/>
          <w:color w:val="auto"/>
          <w:sz w:val="44"/>
          <w:szCs w:val="44"/>
        </w:rPr>
      </w:pPr>
      <w:r>
        <w:rPr>
          <w:rFonts w:hint="eastAsia" w:ascii="仿宋_GB2312" w:eastAsia="仿宋_GB2312"/>
          <w:sz w:val="32"/>
          <w:szCs w:val="32"/>
          <w:lang w:val="en-US" w:eastAsia="zh-CN"/>
        </w:rPr>
        <w:t xml:space="preserve">                               </w:t>
      </w:r>
      <w:r>
        <w:rPr>
          <w:rFonts w:hint="eastAsia" w:ascii="仿宋_GB2312" w:eastAsia="仿宋_GB2312"/>
          <w:sz w:val="32"/>
          <w:szCs w:val="32"/>
        </w:rPr>
        <w:t>岳湘阴环评〔2022〕</w:t>
      </w:r>
      <w:r>
        <w:rPr>
          <w:rFonts w:hint="eastAsia" w:ascii="仿宋_GB2312" w:hAnsi="新宋体" w:eastAsia="仿宋_GB2312" w:cs="Times New Roman"/>
          <w:bCs/>
          <w:kern w:val="2"/>
          <w:sz w:val="32"/>
          <w:szCs w:val="32"/>
          <w:lang w:val="en-US" w:eastAsia="zh-CN" w:bidi="ar-SA"/>
        </w:rPr>
        <w:t>31</w:t>
      </w:r>
      <w:r>
        <w:rPr>
          <w:rFonts w:hint="eastAsia" w:ascii="仿宋_GB2312" w:eastAsia="仿宋_GB2312"/>
          <w:sz w:val="32"/>
          <w:szCs w:val="32"/>
        </w:rPr>
        <w:t>号</w:t>
      </w:r>
    </w:p>
    <w:p>
      <w:pPr>
        <w:spacing w:line="600" w:lineRule="exact"/>
        <w:ind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关于湘江新区龙潭生命公园项目一期（湘阴县殡仪馆整体搬迁）环境影响报告表的批复</w:t>
      </w:r>
    </w:p>
    <w:p>
      <w:pPr>
        <w:spacing w:line="480" w:lineRule="auto"/>
        <w:jc w:val="left"/>
        <w:rPr>
          <w:rFonts w:hint="default" w:ascii="宋体" w:hAnsi="宋体" w:cs="宋体"/>
          <w:sz w:val="28"/>
          <w:szCs w:val="28"/>
          <w:highlight w:val="none"/>
          <w:u w:val="none"/>
          <w:lang w:val="en-US" w:eastAsia="zh-CN"/>
        </w:rPr>
      </w:pPr>
    </w:p>
    <w:p>
      <w:pPr>
        <w:spacing w:line="600" w:lineRule="exact"/>
        <w:ind w:left="-357" w:leftChars="-170" w:right="-334" w:rightChars="-159" w:firstLine="320" w:firstLineChars="100"/>
        <w:rPr>
          <w:rFonts w:hint="eastAsia" w:ascii="仿宋_GB2312" w:hAnsi="新宋体" w:eastAsia="仿宋_GB2312" w:cs="Times New Roman"/>
          <w:bCs/>
          <w:sz w:val="32"/>
          <w:szCs w:val="32"/>
          <w:lang w:val="en-US" w:eastAsia="zh-CN"/>
        </w:rPr>
      </w:pPr>
      <w:bookmarkStart w:id="0" w:name="_GoBack"/>
      <w:bookmarkEnd w:id="0"/>
      <w:r>
        <w:rPr>
          <w:rFonts w:hint="eastAsia" w:ascii="仿宋_GB2312" w:hAnsi="新宋体" w:eastAsia="仿宋_GB2312" w:cs="Times New Roman"/>
          <w:bCs/>
          <w:sz w:val="32"/>
          <w:szCs w:val="32"/>
          <w:lang w:val="en-US" w:eastAsia="zh-CN"/>
        </w:rPr>
        <w:t>湘阴县万城物业管理有限公司：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你公司《关于申请“湘江新区龙潭生命公园项目一期（湘阴县殡仪馆整体搬迁）”批复的报告》及相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原则同意该项目建设。湘江新区龙潭生命公园项目一期（湘阴县殡仪馆整体搬迁）位于湖南省岳阳市湘阴县六塘乡龙潭村五塘片区4、5、6组（其地理中心坐标为：东经113度0分16.360秒，北纬28度45分38.535秒），项目拟投资19845.22万元（其中环保投资200万元），项目总占地面积为37776.62m2。处理规模为年焚烧遗体7000具、遗物及祭品140吨。主要建设内容包括：殡仪馆服务楼、遗物焚烧、特殊遗体处理中心、业务办公服务楼、餐饮住宿服务楼、殡仪车库、地下设备用房、固废、危险废物暂存间等，并配套建设给排水、绿化、消防、道路等辅助设施。（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相关产业政策，符合湘阴县总体规划要求，经湘阴县人民政府常务会议纪要（湘阴县人民政府办公室2022年6月12日）及湘阴县发展和改革局关于《湘江新区龙潭生命公园项目一期（湘阴县殡仪馆整体搬迁）核准的批复》（湘阴发改审〔2022〕240号）和湖南汇青环保科技有限公司</w:t>
      </w:r>
      <w:r>
        <w:rPr>
          <w:rFonts w:hint="eastAsia" w:ascii="仿宋_GB2312" w:hAnsi="新宋体" w:eastAsia="仿宋_GB2312" w:cs="Times New Roman"/>
          <w:bCs/>
          <w:sz w:val="32"/>
          <w:szCs w:val="32"/>
        </w:rPr>
        <w:t>编制的该项目环境影响报告表</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报批稿</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rPr>
        <w:t>基本内容、评价结论及专家评审意见，从环保角度考虑，我局原则同意环境影响报告表所列的建设项目地点、性质、规模、工艺和环境保护对策</w:t>
      </w:r>
      <w:r>
        <w:rPr>
          <w:rFonts w:hint="eastAsia"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在设计、施工及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加强施工期间环境管理，明确有关环保责任。制定好扬尘控制方案，扬尘控制与治理措施严格按照《岳阳市扬尘污染防治条例》（2019年第3号）执行。限定施工场、物料场所，并设置好护栏、挡（隔离）板、安全提示标记。在进行施工时，应进行洒水防尘，对出入的渣土运输车辆实施蓬覆式遮盖处理，防止物料散落、扬尘污染。施工废水、砂石料冲洗、机械和车辆冲洗、混凝土养护用水经沉淀池预处理后用于施工场地内洒水降尘，不外排；生活污水经化粪池收集处理后用于周边林地施肥。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1.废水污染防治工作。建设好雨污分流系统。急冷塔冷却循环水循环使用，不外排；餐厨废水、生活污水经隔油池、化粪池预处理后与解剖废水经消毒池消毒后一起排入自建污水处理站处理达到《城市污水再生利用城市杂用水水质标准》（GB/T 18920-2020）表1城市杂用水水质基本控制项目及限值要求后用于道路洒水降尘、绿化、苗木灌溉及冲厕等，不外排。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2.废气污染防治工作。严格控制无组织废气排放。确保厂界硫化氢、氨、臭气浓度满足《恶臭污染物排放标准（GB 14554-1993）》表1中恶臭污染物厂界二级标准值要求，厂界颗粒物、二氧化硫、氮氧化物、非甲烷总烃、氯化氢、汞及其化合物满足《大气污染物综合排放标准》（GB16297-1996）表2中无组织排放监控浓度限值要求；厂区内非甲烷总烃须达到《挥发性有机物无组织排放控制标准》（GB 37822-2019）附录A表A.1中厂区内VOCs无组织排放限值；项目遗体火化产生的废气通过二次燃烧+急冷+高温布袋除尘+活性炭处理后须达到《火葬场大气污染物排放标准》（GB13801-2015）中表2中新建单位遗体火化大气污染物排放限值要求后通过1根17m高排气筒（1#）高空排放；项目遗物祭品焚烧产生的废气通过二次燃烧+急冷+高温布袋除尘+活性炭处理后须达到《火葬场大气污染物排放标准》（GB13801-2015）中表3中遗物祭品焚烧大气污染物排放限值要求后通过1根17m高排气筒（2#）高空排放；备用柴油发电机发电产生的废气须达到《大气污染物综合排放标准》（GB16297-1996）中无组织排放监控浓度限值要求后通过专用烟道引至室外排放；食堂油烟废气须通过油烟净化器有效收集处理须达到《饮食业油烟排放标准》（GB18483-2001）中要求后由专用管道引至室外排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3.噪声污染防治工作。选用低噪声机械设备，对产生噪声的设备和工序进行合理布局，并做好基础减振、隔音、屏障和降噪等防治措施，厂界噪声须达到《工业企业厂界环境噪声排放标准》 （GB12348-2008）中</w:t>
      </w:r>
      <w:r>
        <w:rPr>
          <w:rFonts w:hint="eastAsia" w:ascii="仿宋_GB2312" w:hAnsi="新宋体" w:eastAsia="仿宋_GB2312" w:cs="Times New Roman"/>
          <w:bCs/>
          <w:sz w:val="32"/>
          <w:szCs w:val="32"/>
          <w:lang w:val="en-US" w:eastAsia="zh-CN"/>
        </w:rPr>
        <w:t>2</w:t>
      </w:r>
      <w:r>
        <w:rPr>
          <w:rFonts w:hint="default" w:ascii="仿宋_GB2312" w:hAnsi="新宋体"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4、固体废物污染防治工作。强化日常环境管理，按“资源化、减量化、无害化”原则和《危险废物贮存污染物控制标准（GB18597-2001）》及其2013年修改单和《一般工业固体废物贮存和填埋污染控制标准》 （GB18599-2020）要求，规范建设好固体废物贮存场所和危险废物暂存间，做好“防风、防雨、防晒、防渗漏”四防措施。解剖废物、废活性炭、除尘器收集的飞灰、遗物祭品焚烧残渣、柴油储罐油泥、废布袋等危险废物经收集后暂存于危废储存间，委托有危废资质的单位进行处置；污水处理站污泥经收集后暂存一般固废暂存间，委托有处理能力的单位进行处置；废毛巾、生活垃圾收集后交由当地环卫部门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5、加强环境风险防范工作。加强储存及生产各工序环节的安全管理，实行安全生产，建立健全污染防治设施运行管理台帐，设专门的环保机构，配备专人负责环保工作，确保各项污染防治设施正常运行，各类污染物稳定达标排放。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6.该项目污染物排放总量控制指标为：SO2≤0.2t/a，NOX≤2.0t/a。</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五、加强环境监管。由岳阳市湘阴县生态环境保护综合行政执法大队负责该项目环境监管。你公司应在收到本批复后7 个工作日内，将批复及批准的环评报告文本送至湘阴县六塘乡人民政府、岳阳市湘阴县生态环境保护综合行政执法大队、湖南汇青环保科技有限公司。</w:t>
      </w:r>
    </w:p>
    <w:p>
      <w:pPr>
        <w:bidi w:val="0"/>
        <w:spacing w:line="360" w:lineRule="auto"/>
        <w:jc w:val="both"/>
        <w:rPr>
          <w:rFonts w:hint="eastAsia" w:ascii="仿宋" w:hAnsi="仿宋" w:eastAsia="仿宋" w:cs="仿宋"/>
          <w:color w:val="000000"/>
          <w:kern w:val="2"/>
          <w:sz w:val="32"/>
          <w:szCs w:val="32"/>
          <w:highlight w:val="none"/>
          <w:u w:val="none"/>
          <w:lang w:val="en-US" w:eastAsia="zh-CN" w:bidi="ar-SA"/>
        </w:rPr>
      </w:pPr>
    </w:p>
    <w:p>
      <w:pPr>
        <w:spacing w:line="600" w:lineRule="exact"/>
        <w:ind w:firstLine="6080" w:firstLineChars="1900"/>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岳阳市生态环境局</w:t>
      </w:r>
    </w:p>
    <w:p>
      <w:pPr>
        <w:spacing w:line="600" w:lineRule="exact"/>
        <w:jc w:val="both"/>
        <w:rPr>
          <w:rFonts w:hint="default" w:ascii="仿宋" w:hAnsi="仿宋" w:eastAsia="仿宋" w:cs="仿宋"/>
          <w:color w:val="000000"/>
          <w:kern w:val="2"/>
          <w:sz w:val="32"/>
          <w:szCs w:val="32"/>
          <w:highlight w:val="none"/>
          <w:u w:val="none"/>
          <w:lang w:val="en-US" w:eastAsia="zh-CN" w:bidi="ar-SA"/>
        </w:rPr>
      </w:pPr>
      <w:r>
        <w:rPr>
          <w:rFonts w:hint="eastAsia" w:ascii="仿宋_GB2312" w:hAnsi="宋体" w:eastAsia="仿宋_GB2312" w:cs="宋体"/>
          <w:color w:val="000000"/>
          <w:kern w:val="0"/>
          <w:sz w:val="32"/>
          <w:szCs w:val="32"/>
          <w:lang w:val="en-US" w:eastAsia="zh-CN"/>
        </w:rPr>
        <w:t xml:space="preserve">                                       2022年12月30日</w:t>
      </w:r>
    </w:p>
    <w:p>
      <w:pPr>
        <w:bidi w:val="0"/>
        <w:spacing w:line="360" w:lineRule="auto"/>
        <w:jc w:val="right"/>
        <w:rPr>
          <w:rFonts w:hint="default"/>
          <w:lang w:val="en-US" w:eastAsia="zh-CN"/>
        </w:rPr>
      </w:pPr>
    </w:p>
    <w:p>
      <w:pPr>
        <w:bidi w:val="0"/>
        <w:spacing w:line="360" w:lineRule="auto"/>
        <w:jc w:val="right"/>
        <w:rPr>
          <w:rFonts w:hint="default"/>
          <w:lang w:val="en-US" w:eastAsia="zh-CN"/>
        </w:rPr>
      </w:pPr>
    </w:p>
    <w:sectPr>
      <w:pgSz w:w="11906" w:h="16838"/>
      <w:pgMar w:top="1644" w:right="1531"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 w:name="Microsoft JhengHei Light">
    <w:panose1 w:val="020B0304030504040204"/>
    <w:charset w:val="88"/>
    <w:family w:val="auto"/>
    <w:pitch w:val="default"/>
    <w:sig w:usb0="8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72BE7F8F"/>
    <w:rsid w:val="0607250B"/>
    <w:rsid w:val="1D4410DF"/>
    <w:rsid w:val="2D8B2907"/>
    <w:rsid w:val="302B0021"/>
    <w:rsid w:val="37421251"/>
    <w:rsid w:val="387B425E"/>
    <w:rsid w:val="3C1864C1"/>
    <w:rsid w:val="3EB44494"/>
    <w:rsid w:val="5A554522"/>
    <w:rsid w:val="67D279CC"/>
    <w:rsid w:val="6C38570F"/>
    <w:rsid w:val="6F953C4D"/>
    <w:rsid w:val="7011501E"/>
    <w:rsid w:val="72BE7F8F"/>
    <w:rsid w:val="74D25FF6"/>
    <w:rsid w:val="76EC267E"/>
    <w:rsid w:val="793B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Date1"/>
    <w:basedOn w:val="1"/>
    <w:next w:val="1"/>
    <w:qFormat/>
    <w:uiPriority w:val="0"/>
    <w:pPr>
      <w:widowControl w:val="0"/>
      <w:adjustRightInd w:val="0"/>
      <w:jc w:val="both"/>
      <w:textAlignment w:val="baseline"/>
    </w:pPr>
    <w:rPr>
      <w:rFonts w:cs="Times New Roman"/>
      <w:kern w:val="2"/>
      <w:sz w:val="21"/>
      <w:u w:val="none" w:color="FFFFFF"/>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4"/>
    <w:qFormat/>
    <w:uiPriority w:val="0"/>
    <w:pPr>
      <w:ind w:left="90" w:leftChars="32" w:firstLine="560"/>
    </w:pPr>
    <w:rPr>
      <w:rFonts w:cs="宋体"/>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firstLineChars="200"/>
    </w:pPr>
  </w:style>
  <w:style w:type="paragraph" w:customStyle="1" w:styleId="10">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11">
    <w:name w:val="Default"/>
    <w:basedOn w:val="12"/>
    <w:next w:val="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
    <w:name w:val="！正文 Alt+0"/>
    <w:basedOn w:val="1"/>
    <w:qFormat/>
    <w:uiPriority w:val="0"/>
    <w:pPr>
      <w:spacing w:line="360" w:lineRule="auto"/>
      <w:ind w:firstLine="200" w:firstLineChars="200"/>
    </w:pPr>
    <w:rPr>
      <w:rFonts w:ascii="Times New Roman" w:hAnsi="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2645</Words>
  <Characters>2859</Characters>
  <Lines>0</Lines>
  <Paragraphs>0</Paragraphs>
  <TotalTime>44</TotalTime>
  <ScaleCrop>false</ScaleCrop>
  <LinksUpToDate>false</LinksUpToDate>
  <CharactersWithSpaces>2962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2022-12-02T01:53:00Z</dcterms:created>
  <dc:creator>pp</dc:creator>
  <cp:lastModifiedBy>钟雷</cp:lastModifiedBy>
  <dcterms:modified xsi:type="dcterms:W3CDTF">2023-01-04T05:49:15Z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0224825C91EC42E9959F501F838B7505</vt:lpwstr>
  </property>
</Properties>
</file>