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b/>
          <w:bCs/>
          <w:sz w:val="36"/>
          <w:szCs w:val="36"/>
        </w:rPr>
      </w:pPr>
    </w:p>
    <w:p>
      <w:pPr>
        <w:spacing w:line="360" w:lineRule="auto"/>
        <w:jc w:val="center"/>
        <w:rPr>
          <w:rFonts w:hint="default" w:ascii="Times New Roman" w:hAnsi="Times New Roman" w:eastAsia="宋体" w:cs="Times New Roman"/>
          <w:b/>
          <w:bCs/>
          <w:sz w:val="36"/>
          <w:szCs w:val="36"/>
        </w:rPr>
      </w:pPr>
    </w:p>
    <w:p>
      <w:pPr>
        <w:pStyle w:val="2"/>
        <w:rPr>
          <w:rFonts w:hint="default"/>
        </w:rPr>
      </w:pPr>
    </w:p>
    <w:p>
      <w:pPr>
        <w:spacing w:line="240" w:lineRule="auto"/>
        <w:jc w:val="center"/>
        <w:rPr>
          <w:rFonts w:hint="default" w:ascii="仿宋_GB2312" w:hAnsi="Times New Roman" w:eastAsia="仿宋_GB2312" w:cs="Times New Roman"/>
          <w:kern w:val="0"/>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                           </w:t>
      </w:r>
      <w:r>
        <w:rPr>
          <w:rFonts w:hint="eastAsia" w:ascii="仿宋_GB2312" w:hAnsi="Times New Roman" w:eastAsia="仿宋_GB2312" w:cs="Times New Roman"/>
          <w:kern w:val="0"/>
          <w:sz w:val="32"/>
          <w:szCs w:val="32"/>
          <w:lang w:val="en-US" w:eastAsia="zh-CN" w:bidi="ar-SA"/>
        </w:rPr>
        <w:t xml:space="preserve">     岳湘阴环评</w:t>
      </w:r>
      <w:r>
        <w:rPr>
          <w:rFonts w:hint="default" w:ascii="仿宋_GB2312" w:hAnsi="Times New Roman" w:eastAsia="仿宋_GB2312" w:cs="Times New Roman"/>
          <w:kern w:val="0"/>
          <w:sz w:val="32"/>
          <w:szCs w:val="32"/>
          <w:lang w:val="en-US" w:eastAsia="zh-CN" w:bidi="ar-SA"/>
        </w:rPr>
        <w:t>〔2023〕0</w:t>
      </w:r>
      <w:r>
        <w:rPr>
          <w:rFonts w:hint="eastAsia" w:ascii="仿宋_GB2312" w:hAnsi="Times New Roman" w:eastAsia="仿宋_GB2312" w:cs="Times New Roman"/>
          <w:kern w:val="0"/>
          <w:sz w:val="32"/>
          <w:szCs w:val="32"/>
          <w:lang w:val="en-US" w:eastAsia="zh-CN" w:bidi="ar-SA"/>
        </w:rPr>
        <w:t>2</w:t>
      </w:r>
      <w:r>
        <w:rPr>
          <w:rFonts w:hint="default" w:ascii="仿宋_GB2312" w:hAnsi="Times New Roman" w:eastAsia="仿宋_GB2312" w:cs="Times New Roman"/>
          <w:kern w:val="0"/>
          <w:sz w:val="32"/>
          <w:szCs w:val="32"/>
          <w:lang w:val="en-US" w:eastAsia="zh-CN" w:bidi="ar-SA"/>
        </w:rPr>
        <w:t>号</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关于城发月子中心及湘阴县妇女儿童医院（二期）配套设施建设项目环境影响报告表的批复</w:t>
      </w:r>
    </w:p>
    <w:p>
      <w:pPr>
        <w:spacing w:line="240" w:lineRule="auto"/>
        <w:jc w:val="center"/>
        <w:rPr>
          <w:rFonts w:hint="default"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湘阴县城市发展集团有限公司：</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你单位《关于申请“城发月子中心及湘阴县妇女儿童医院（二期</w:t>
      </w:r>
      <w:bookmarkStart w:id="0" w:name="_GoBack"/>
      <w:r>
        <w:rPr>
          <w:rFonts w:hint="default" w:ascii="仿宋_GB2312" w:hAnsi="仿宋" w:eastAsia="仿宋_GB2312" w:cs="仿宋"/>
          <w:sz w:val="32"/>
          <w:szCs w:val="32"/>
          <w:lang w:val="en-US" w:eastAsia="zh-CN"/>
        </w:rPr>
        <w:t>）配套设施建设项目”批复的报告》及有关附件已收悉。根据国家环境保护有关法律、法规</w:t>
      </w:r>
      <w:bookmarkEnd w:id="0"/>
      <w:r>
        <w:rPr>
          <w:rFonts w:hint="default" w:ascii="仿宋_GB2312" w:hAnsi="仿宋" w:eastAsia="仿宋_GB2312" w:cs="仿宋"/>
          <w:sz w:val="32"/>
          <w:szCs w:val="32"/>
          <w:lang w:val="en-US" w:eastAsia="zh-CN"/>
        </w:rPr>
        <w:t>、政策和项目所在地环境功能区划的要求，经研究，现批复如下：</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w:t>
      </w:r>
      <w:r>
        <w:rPr>
          <w:rFonts w:hint="default" w:ascii="仿宋_GB2312" w:hAnsi="仿宋" w:eastAsia="仿宋_GB2312" w:cs="仿宋"/>
          <w:sz w:val="32"/>
          <w:szCs w:val="32"/>
          <w:lang w:val="en-US" w:eastAsia="zh-CN"/>
        </w:rPr>
        <w:t>原则同意该项目建设。城发月子中心及湘阴县妇女儿童医院（二期）配套设施建设项目位于湘阴县洋沙湖镇（原袁家铺镇）洋沙湖村（原友爱村）（其地理中心坐标为：东经112度54分51.38秒，北纬28度39分37.09秒），拟投资4959.73万元（其中环保投资217.49万元），项目规划净用地面积6998.54m</w:t>
      </w:r>
      <w:r>
        <w:rPr>
          <w:rFonts w:hint="default" w:ascii="仿宋_GB2312" w:hAnsi="仿宋" w:eastAsia="仿宋_GB2312" w:cs="仿宋"/>
          <w:sz w:val="32"/>
          <w:szCs w:val="32"/>
          <w:vertAlign w:val="superscript"/>
          <w:lang w:val="en-US" w:eastAsia="zh-CN"/>
        </w:rPr>
        <w:t>2</w:t>
      </w:r>
      <w:r>
        <w:rPr>
          <w:rFonts w:hint="default" w:ascii="仿宋_GB2312" w:hAnsi="仿宋" w:eastAsia="仿宋_GB2312" w:cs="仿宋"/>
          <w:sz w:val="32"/>
          <w:szCs w:val="32"/>
          <w:lang w:val="en-US" w:eastAsia="zh-CN"/>
        </w:rPr>
        <w:t>，总建筑面积6907.95m</w:t>
      </w:r>
      <w:r>
        <w:rPr>
          <w:rFonts w:hint="default" w:ascii="仿宋_GB2312" w:hAnsi="仿宋" w:eastAsia="仿宋_GB2312" w:cs="仿宋"/>
          <w:sz w:val="32"/>
          <w:szCs w:val="32"/>
          <w:vertAlign w:val="superscript"/>
          <w:lang w:val="en-US" w:eastAsia="zh-CN"/>
        </w:rPr>
        <w:t>2</w:t>
      </w:r>
      <w:r>
        <w:rPr>
          <w:rFonts w:hint="default" w:ascii="仿宋_GB2312" w:hAnsi="仿宋" w:eastAsia="仿宋_GB2312" w:cs="仿宋"/>
          <w:sz w:val="32"/>
          <w:szCs w:val="32"/>
          <w:lang w:val="en-US" w:eastAsia="zh-CN"/>
        </w:rPr>
        <w:t>，其中月子中心5132.03m</w:t>
      </w:r>
      <w:r>
        <w:rPr>
          <w:rFonts w:hint="default" w:ascii="仿宋_GB2312" w:hAnsi="仿宋" w:eastAsia="仿宋_GB2312" w:cs="仿宋"/>
          <w:sz w:val="32"/>
          <w:szCs w:val="32"/>
          <w:vertAlign w:val="superscript"/>
          <w:lang w:val="en-US" w:eastAsia="zh-CN"/>
        </w:rPr>
        <w:t>2</w:t>
      </w:r>
      <w:r>
        <w:rPr>
          <w:rFonts w:hint="default" w:ascii="仿宋_GB2312" w:hAnsi="仿宋" w:eastAsia="仿宋_GB2312" w:cs="仿宋"/>
          <w:sz w:val="32"/>
          <w:szCs w:val="32"/>
          <w:lang w:val="en-US" w:eastAsia="zh-CN"/>
        </w:rPr>
        <w:t>（设计床位43个），食堂、大会议室1447.92m2，垃圾站及医疗垃圾暂存间146m</w:t>
      </w:r>
      <w:r>
        <w:rPr>
          <w:rFonts w:hint="default" w:ascii="仿宋_GB2312" w:hAnsi="仿宋" w:eastAsia="仿宋_GB2312" w:cs="仿宋"/>
          <w:sz w:val="32"/>
          <w:szCs w:val="32"/>
          <w:vertAlign w:val="superscript"/>
          <w:lang w:val="en-US" w:eastAsia="zh-CN"/>
        </w:rPr>
        <w:t>2</w:t>
      </w:r>
      <w:r>
        <w:rPr>
          <w:rFonts w:hint="default" w:ascii="仿宋_GB2312" w:hAnsi="仿宋" w:eastAsia="仿宋_GB2312" w:cs="仿宋"/>
          <w:sz w:val="32"/>
          <w:szCs w:val="32"/>
          <w:lang w:val="en-US" w:eastAsia="zh-CN"/>
        </w:rPr>
        <w:t>，锅炉房232.00m</w:t>
      </w:r>
      <w:r>
        <w:rPr>
          <w:rFonts w:hint="default" w:ascii="仿宋_GB2312" w:hAnsi="仿宋" w:eastAsia="仿宋_GB2312" w:cs="仿宋"/>
          <w:sz w:val="32"/>
          <w:szCs w:val="32"/>
          <w:vertAlign w:val="superscript"/>
          <w:lang w:val="en-US" w:eastAsia="zh-CN"/>
        </w:rPr>
        <w:t>2</w:t>
      </w:r>
      <w:r>
        <w:rPr>
          <w:rFonts w:hint="default" w:ascii="仿宋_GB2312" w:hAnsi="仿宋" w:eastAsia="仿宋_GB2312" w:cs="仿宋"/>
          <w:sz w:val="32"/>
          <w:szCs w:val="32"/>
          <w:lang w:val="en-US" w:eastAsia="zh-CN"/>
        </w:rPr>
        <w:t>。项目的建设是湘阴县妇女儿童医院（二期）建设项目功能的完善和补充</w:t>
      </w:r>
      <w:r>
        <w:rPr>
          <w:rFonts w:hint="eastAsia" w:ascii="仿宋_GB2312" w:hAnsi="仿宋" w:eastAsia="仿宋_GB2312" w:cs="仿宋"/>
          <w:sz w:val="32"/>
          <w:szCs w:val="32"/>
          <w:lang w:val="en-US" w:eastAsia="zh-CN"/>
        </w:rPr>
        <w:t>，主要建设内容为</w:t>
      </w:r>
      <w:r>
        <w:rPr>
          <w:rFonts w:hint="default" w:ascii="仿宋_GB2312" w:hAnsi="仿宋" w:eastAsia="仿宋_GB2312" w:cs="仿宋"/>
          <w:sz w:val="32"/>
          <w:szCs w:val="32"/>
          <w:lang w:val="en-US" w:eastAsia="zh-CN"/>
        </w:rPr>
        <w:t>新建两台1.163MW燃气热水锅炉。</w:t>
      </w:r>
      <w:r>
        <w:rPr>
          <w:rFonts w:hint="eastAsia" w:ascii="仿宋_GB2312" w:hAnsi="仿宋" w:eastAsia="仿宋_GB2312" w:cs="仿宋"/>
          <w:sz w:val="32"/>
          <w:szCs w:val="32"/>
          <w:lang w:val="en-US" w:eastAsia="zh-CN"/>
        </w:rPr>
        <w:t>其他</w:t>
      </w:r>
      <w:r>
        <w:rPr>
          <w:rFonts w:hint="default" w:ascii="仿宋_GB2312" w:hAnsi="仿宋" w:eastAsia="仿宋_GB2312" w:cs="仿宋"/>
          <w:sz w:val="32"/>
          <w:szCs w:val="32"/>
          <w:lang w:val="en-US" w:eastAsia="zh-CN"/>
        </w:rPr>
        <w:t>环保储运、辅助、公用工程均依托湘阴县妇女儿童医院现有。（详见该建设项目环境影响报告表）。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该项目符合国家产业政策，符合湘阴县的医疗卫生服务体系建设，根据《湘阴县医疗卫生服务体系规划（2016-2020年）》、《湖南省岳阳市湘阴县医疗卫生服务体系规划（2016-2020）》、湘阴县发展和改革局《关于城发月子中心建设项目核准的批复》（湘阴发改审〔2022〕210号）及湖南湘尚环境服务有限公司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二、项目在设计、施工及营运过程中须严格执行环保“三同时”制度，认真落实环评报告表、专家意见及批复意见中提出的各项污染防治和生态恢复措施。配套建设污染防治设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（一）加强施工期环境保护工作</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加强施工期间环境管理，明确有关环保责任。制定好扬尘控制方案，扬尘控制与治理措施严格按照湘阴县人民政府印发的《湘阴县蓝天保卫战2022年度实施方案》（湘阴蓝天办函[2022]2号）等有关施工扬尘防治规定要求，施工时应采取建材室内暂存堆放，堆放点相对集中、放置规范，并采取一定的遮盖、洒水除尘等防尘措施，抑制扬尘量。施工期间，工地运输车辆驶出工地前必须作除泥除尘处理，严禁将泥土尘土带出工地，运输</w:t>
      </w:r>
      <w:r>
        <w:rPr>
          <w:rFonts w:hint="eastAsia" w:ascii="仿宋_GB2312" w:hAnsi="仿宋" w:eastAsia="仿宋_GB2312" w:cs="仿宋"/>
          <w:sz w:val="32"/>
          <w:szCs w:val="32"/>
          <w:lang w:val="en-US" w:eastAsia="zh-CN"/>
        </w:rPr>
        <w:t>砂石</w:t>
      </w:r>
      <w:r>
        <w:rPr>
          <w:rFonts w:hint="default" w:ascii="仿宋_GB2312" w:hAnsi="仿宋" w:eastAsia="仿宋_GB2312" w:cs="仿宋"/>
          <w:sz w:val="32"/>
          <w:szCs w:val="32"/>
          <w:lang w:val="en-US" w:eastAsia="zh-CN"/>
        </w:rPr>
        <w:t>、水泥、垃圾等易产生扬尘的车辆，必须封盖严密，严禁撒漏。施工废水经隔油池沉淀处理后回用于洒水降尘或与排入污水管网；生活污水经化粪池处理达标后排入污水管网进入湘阴县第二污水处理厂。尽量缩短施工期，施工机械选用低噪声设备，合理安排作业时间，夜间22：00-次日凌晨06</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00禁止高噪声设备施工作业，裸露土壤应尽快进行防尘网覆盖和植被恢复；严禁建筑垃圾乱堆乱倒，做到日产日清，及时转运；施工结束后应同步做好垃圾清理、路面硬化及周边绿化工作。</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（二）加强营运期环境保护工作</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1.废水污染防治工作。建设好雨污分流系统，合理设置废水排放口。屋面雨水、室外场地雨水经管道、沟渠收集后排入西侧芙蓉北路市政雨水管网，项目病房废水、陪护人员废水、医护人员废水等综合废水（食堂废水通过隔油池预处理）由排污管道汇总进入化粪池，经化粪池处理后排放进入湘阴县妇女儿童医院（二期）建设项目一体化污水处理站，处理达《医疗机构水污染物排放标准》（GB18466-2005）表2预处理标准后进入市政污水管网</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经湘阴县第二污水处理厂处理达到《城镇污水处理厂污染物排放标准》（GB18918-2002）一级A标准后排入湘江。</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2.废气污染防治工作。合理布局，加强院内通风干燥和绿化建设，项目锅炉废气经</w:t>
      </w:r>
      <w:r>
        <w:rPr>
          <w:rFonts w:hint="eastAsia" w:ascii="仿宋_GB2312" w:hAnsi="仿宋" w:eastAsia="仿宋_GB2312" w:cs="仿宋"/>
          <w:sz w:val="32"/>
          <w:szCs w:val="32"/>
          <w:lang w:val="en-US" w:eastAsia="zh-CN"/>
        </w:rPr>
        <w:t>低氮燃烧</w:t>
      </w:r>
      <w:r>
        <w:rPr>
          <w:rFonts w:hint="default" w:ascii="仿宋_GB2312" w:hAnsi="仿宋" w:eastAsia="仿宋_GB2312" w:cs="仿宋"/>
          <w:sz w:val="32"/>
          <w:szCs w:val="32"/>
          <w:lang w:val="en-US" w:eastAsia="zh-CN"/>
        </w:rPr>
        <w:t>处理后达到《锅炉大气污染物排放标准》（GB16217-2014）表3燃气锅炉大气污染物特别排放限值要求后通过</w:t>
      </w:r>
      <w:r>
        <w:rPr>
          <w:rFonts w:hint="eastAsia" w:ascii="仿宋_GB2312" w:hAnsi="仿宋" w:eastAsia="仿宋_GB2312" w:cs="仿宋"/>
          <w:sz w:val="32"/>
          <w:szCs w:val="32"/>
          <w:lang w:val="en-US" w:eastAsia="zh-CN"/>
        </w:rPr>
        <w:t>20</w:t>
      </w:r>
      <w:r>
        <w:rPr>
          <w:rFonts w:hint="default" w:ascii="仿宋_GB2312" w:hAnsi="仿宋" w:eastAsia="仿宋_GB2312" w:cs="仿宋"/>
          <w:sz w:val="32"/>
          <w:szCs w:val="32"/>
          <w:lang w:val="en-US" w:eastAsia="zh-CN"/>
        </w:rPr>
        <w:t>m高排气筒排放；食堂油烟废气须通过油烟净化器有效收集处理须达到《饮食业油烟排放标准》（GB18483-2001）中要求后由专用管道引至室外排放。</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3.噪声污染防治工作。选用低噪声发电机、引风机等设备，合理布局并做好基础减振、屏障、消声等防治措施，确保边界噪声达到《工业企业厂界环境噪声排放标准》（GB12348-2008）中2类标准要求，其中临芙蓉北路一侧边界噪声达到《工业企业厂界环境噪声排放标准》（GB12348-2008）中4类标准要求。</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4.固体废物污染防治工作。强化日常环境监管，按“减量化、资源化、无害化”原则，做好固体废物分类收集、暂存工作，不得将生活垃圾和医疗废弃物混为一体，规范建设危险废物暂存场所和一般固废场所。按照医疗废物分类名录，对医疗废物分类收集后由专用运输通道和工具运往地下室的医疗废物暂存间分类暂存，感染性废物、病理性废物用密封袋包装，检验废液采用防渗漏的废液桶盛装，损伤性废物采用专用的锐器收集筒分类单独存放，暂存于危险废物暂存间内，再由有资质的单位收集处置；一次性输液瓶（袋）委托有此类废物处置资质单位处置；化粪池污泥消毒后交由有资质单位处理；废包装材料、生活垃圾分类收集后交由当地环卫部门统一处置。</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5.加强环境风险防范工作。强化院内现场管理，创造良好的医院营运环境，加强环境管理，确保各项污染防治设施正常运行，严格按照《突发环境事件应急预案管理暂行办法》要求制定环境事故应急预案，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6.该项目污染物排放总量控制指标为：C0D≤5.06t/a，NH</w:t>
      </w:r>
      <w:r>
        <w:rPr>
          <w:rFonts w:hint="default" w:ascii="仿宋_GB2312" w:hAnsi="仿宋" w:eastAsia="仿宋_GB2312" w:cs="仿宋"/>
          <w:sz w:val="32"/>
          <w:szCs w:val="32"/>
          <w:vertAlign w:val="subscript"/>
          <w:lang w:val="en-US" w:eastAsia="zh-CN"/>
        </w:rPr>
        <w:t>3</w:t>
      </w:r>
      <w:r>
        <w:rPr>
          <w:rFonts w:hint="default" w:ascii="仿宋_GB2312" w:hAnsi="仿宋" w:eastAsia="仿宋_GB2312" w:cs="仿宋"/>
          <w:sz w:val="32"/>
          <w:szCs w:val="32"/>
          <w:lang w:val="en-US" w:eastAsia="zh-CN"/>
        </w:rPr>
        <w:t>-N≤0.81t/a</w:t>
      </w:r>
      <w:r>
        <w:rPr>
          <w:rFonts w:hint="eastAsia" w:ascii="仿宋_GB2312" w:hAnsi="仿宋" w:eastAsia="仿宋_GB2312" w:cs="仿宋"/>
          <w:sz w:val="32"/>
          <w:szCs w:val="32"/>
          <w:lang w:val="en-US" w:eastAsia="zh-CN"/>
        </w:rPr>
        <w:t>，SO</w:t>
      </w:r>
      <w:r>
        <w:rPr>
          <w:rFonts w:hint="eastAsia" w:ascii="仿宋_GB2312" w:hAnsi="仿宋" w:eastAsia="仿宋_GB2312" w:cs="仿宋"/>
          <w:sz w:val="32"/>
          <w:szCs w:val="32"/>
          <w:vertAlign w:val="subscript"/>
          <w:lang w:val="en-US" w:eastAsia="zh-CN"/>
        </w:rPr>
        <w:t>2</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0.1t/a,NO</w:t>
      </w:r>
      <w:r>
        <w:rPr>
          <w:rFonts w:hint="eastAsia" w:ascii="仿宋_GB2312" w:hAnsi="仿宋" w:eastAsia="仿宋_GB2312" w:cs="仿宋"/>
          <w:sz w:val="32"/>
          <w:szCs w:val="32"/>
          <w:vertAlign w:val="subscript"/>
          <w:lang w:val="en-US" w:eastAsia="zh-CN"/>
        </w:rPr>
        <w:t>2</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0.79t/a</w:t>
      </w:r>
      <w:r>
        <w:rPr>
          <w:rFonts w:hint="default"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三、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四、该项目在启动生产设施或者发生实际排污之前须按《固定污染源排污许可分类管理名录》申请取得排污许可证或者填报排污登记表。</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五、加强环境监管。由岳阳市湘阴县生态环境保护综合行政执法大队负责该项目环境监管。你单位应在收到本批复后7个工作日内，将批复及批准的环评报告文本送至洋沙湖镇人民政府、湘阴县卫生健康局、岳阳市湘阴县生态环境保护综合行政执法大队、湖南湘尚环境服务有限公司。</w:t>
      </w:r>
    </w:p>
    <w:p>
      <w:pPr>
        <w:spacing w:line="480" w:lineRule="auto"/>
        <w:ind w:firstLine="5440" w:firstLineChars="1700"/>
        <w:jc w:val="left"/>
        <w:rPr>
          <w:rFonts w:hint="default" w:ascii="仿宋" w:hAnsi="仿宋" w:eastAsia="仿宋" w:cs="仿宋"/>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5120" w:firstLineChars="16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5120" w:firstLineChars="16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2023年1月</w:t>
      </w:r>
      <w:r>
        <w:rPr>
          <w:rFonts w:hint="eastAsia" w:ascii="仿宋_GB2312" w:hAnsi="仿宋" w:eastAsia="仿宋_GB2312" w:cs="仿宋"/>
          <w:sz w:val="32"/>
          <w:szCs w:val="32"/>
          <w:lang w:val="en-US" w:eastAsia="zh-CN"/>
        </w:rPr>
        <w:t>13</w:t>
      </w:r>
      <w:r>
        <w:rPr>
          <w:rFonts w:hint="default" w:ascii="仿宋_GB2312" w:hAnsi="仿宋" w:eastAsia="仿宋_GB2312" w:cs="仿宋"/>
          <w:sz w:val="32"/>
          <w:szCs w:val="32"/>
          <w:lang w:val="en-US" w:eastAsia="zh-CN"/>
        </w:rPr>
        <w:t>日</w:t>
      </w:r>
    </w:p>
    <w:sectPr>
      <w:pgSz w:w="11906" w:h="16838"/>
      <w:pgMar w:top="1440" w:right="1587" w:bottom="149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ZmY2MDVkZDUwMTY1Y2UwZjAzZjBkZTM4NTNkZDcifQ=="/>
  </w:docVars>
  <w:rsids>
    <w:rsidRoot w:val="39871127"/>
    <w:rsid w:val="03DA4BBB"/>
    <w:rsid w:val="0DC8196D"/>
    <w:rsid w:val="0E6D02AF"/>
    <w:rsid w:val="10390CD7"/>
    <w:rsid w:val="10555E3E"/>
    <w:rsid w:val="107D2216"/>
    <w:rsid w:val="11405C66"/>
    <w:rsid w:val="1230248E"/>
    <w:rsid w:val="163C2D9F"/>
    <w:rsid w:val="18A83B7C"/>
    <w:rsid w:val="19765953"/>
    <w:rsid w:val="1CDD5F36"/>
    <w:rsid w:val="208A4E9B"/>
    <w:rsid w:val="20D50D82"/>
    <w:rsid w:val="2324091F"/>
    <w:rsid w:val="267E1858"/>
    <w:rsid w:val="2C7A76E0"/>
    <w:rsid w:val="31501751"/>
    <w:rsid w:val="32EB1275"/>
    <w:rsid w:val="36CA719C"/>
    <w:rsid w:val="373E40BA"/>
    <w:rsid w:val="37A57225"/>
    <w:rsid w:val="386E1A42"/>
    <w:rsid w:val="394919AB"/>
    <w:rsid w:val="39871127"/>
    <w:rsid w:val="3BCC5BF7"/>
    <w:rsid w:val="44150F23"/>
    <w:rsid w:val="481B23A6"/>
    <w:rsid w:val="4B8D02AC"/>
    <w:rsid w:val="4C5F5EB6"/>
    <w:rsid w:val="5335771C"/>
    <w:rsid w:val="59450545"/>
    <w:rsid w:val="5F4556F0"/>
    <w:rsid w:val="633E0294"/>
    <w:rsid w:val="635F0597"/>
    <w:rsid w:val="6E102C4F"/>
    <w:rsid w:val="7D327004"/>
    <w:rsid w:val="7F200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spacing w:after="12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character" w:styleId="6">
    <w:name w:val="annotation reference"/>
    <w:semiHidden/>
    <w:qFormat/>
    <w:uiPriority w:val="0"/>
    <w:rPr>
      <w:sz w:val="21"/>
    </w:rPr>
  </w:style>
  <w:style w:type="paragraph" w:customStyle="1" w:styleId="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2484</Words>
  <Characters>2707</Characters>
  <Lines>0</Lines>
  <Paragraphs>0</Paragraphs>
  <TotalTime>57</TotalTime>
  <ScaleCrop>false</ScaleCrop>
  <LinksUpToDate>false</LinksUpToDate>
  <CharactersWithSpaces>2737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2023-01-05T02:00:00Z</dcterms:created>
  <dc:creator>贺玥莹</dc:creator>
  <cp:lastModifiedBy>钟雷</cp:lastModifiedBy>
  <cp:lastPrinted>2023-01-17T03:00:52Z</cp:lastPrinted>
  <dcterms:modified xsi:type="dcterms:W3CDTF">2023-01-17T03:01:35Z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B87288957A414359A0D80525CA71EA59</vt:lpwstr>
  </property>
</Properties>
</file>