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pacing w:val="28"/>
          <w:sz w:val="40"/>
          <w:szCs w:val="40"/>
        </w:rPr>
      </w:pPr>
    </w:p>
    <w:p>
      <w:pPr>
        <w:jc w:val="center"/>
        <w:outlineLvl w:val="9"/>
        <w:rPr>
          <w:rFonts w:hint="default" w:ascii="Times New Roman" w:hAnsi="Times New Roman" w:eastAsia="方正小标宋_GBK" w:cs="Times New Roman"/>
          <w:spacing w:val="28"/>
          <w:sz w:val="44"/>
          <w:szCs w:val="44"/>
          <w:lang w:val="en-US" w:eastAsia="zh-CN"/>
        </w:rPr>
      </w:pPr>
      <w:bookmarkStart w:id="0" w:name="_Toc4784"/>
      <w:r>
        <w:rPr>
          <w:rFonts w:hint="default" w:ascii="Times New Roman" w:hAnsi="Times New Roman" w:eastAsia="方正小标宋_GBK" w:cs="Times New Roman"/>
          <w:spacing w:val="28"/>
          <w:sz w:val="44"/>
          <w:szCs w:val="44"/>
          <w:lang w:val="en-US" w:eastAsia="zh-CN"/>
        </w:rPr>
        <w:t>湖南湘阴高新技术产业开发区</w:t>
      </w:r>
      <w:bookmarkEnd w:id="0"/>
    </w:p>
    <w:p>
      <w:pPr>
        <w:jc w:val="center"/>
        <w:outlineLvl w:val="9"/>
        <w:rPr>
          <w:rFonts w:hint="default" w:ascii="Times New Roman" w:hAnsi="Times New Roman" w:eastAsia="方正小标宋_GBK" w:cs="Times New Roman"/>
          <w:spacing w:val="28"/>
          <w:sz w:val="44"/>
          <w:szCs w:val="44"/>
        </w:rPr>
      </w:pPr>
      <w:r>
        <w:rPr>
          <w:rFonts w:hint="default" w:ascii="Times New Roman" w:hAnsi="Times New Roman" w:eastAsia="方正小标宋_GBK" w:cs="Times New Roman"/>
          <w:spacing w:val="28"/>
          <w:sz w:val="44"/>
          <w:szCs w:val="44"/>
          <w:lang w:val="en-US" w:eastAsia="zh-CN"/>
        </w:rPr>
        <w:t>2022</w:t>
      </w:r>
      <w:r>
        <w:rPr>
          <w:rFonts w:hint="default" w:ascii="Times New Roman" w:hAnsi="Times New Roman" w:eastAsia="方正小标宋_GBK" w:cs="Times New Roman"/>
          <w:spacing w:val="28"/>
          <w:sz w:val="44"/>
          <w:szCs w:val="44"/>
        </w:rPr>
        <w:t>年度生态环境管理现状</w:t>
      </w:r>
    </w:p>
    <w:p>
      <w:pPr>
        <w:jc w:val="center"/>
        <w:outlineLvl w:val="9"/>
        <w:rPr>
          <w:rFonts w:hint="default" w:ascii="Times New Roman" w:hAnsi="Times New Roman" w:eastAsia="方正小标宋_GBK" w:cs="Times New Roman"/>
          <w:spacing w:val="28"/>
          <w:sz w:val="44"/>
          <w:szCs w:val="44"/>
        </w:rPr>
      </w:pPr>
      <w:r>
        <w:rPr>
          <w:rFonts w:hint="default" w:ascii="Times New Roman" w:hAnsi="Times New Roman" w:eastAsia="方正小标宋_GBK" w:cs="Times New Roman"/>
          <w:spacing w:val="28"/>
          <w:sz w:val="44"/>
          <w:szCs w:val="44"/>
        </w:rPr>
        <w:t>自评估报告</w:t>
      </w:r>
    </w:p>
    <w:p>
      <w:pPr>
        <w:pStyle w:val="2"/>
        <w:outlineLvl w:val="9"/>
        <w:rPr>
          <w:rFonts w:hint="default" w:ascii="Times New Roman" w:hAnsi="Times New Roman" w:eastAsia="方正小标宋_GBK" w:cs="Times New Roman"/>
          <w:spacing w:val="28"/>
          <w:sz w:val="44"/>
          <w:szCs w:val="44"/>
        </w:rPr>
      </w:pPr>
    </w:p>
    <w:p>
      <w:pPr>
        <w:pStyle w:val="2"/>
        <w:outlineLvl w:val="9"/>
        <w:rPr>
          <w:rFonts w:hint="default" w:ascii="Times New Roman" w:hAnsi="Times New Roman" w:eastAsia="方正小标宋_GBK" w:cs="Times New Roman"/>
          <w:spacing w:val="28"/>
          <w:sz w:val="44"/>
          <w:szCs w:val="44"/>
        </w:rPr>
      </w:pPr>
    </w:p>
    <w:p>
      <w:pPr>
        <w:pStyle w:val="2"/>
        <w:outlineLvl w:val="9"/>
        <w:rPr>
          <w:rFonts w:hint="default" w:ascii="Times New Roman" w:hAnsi="Times New Roman" w:eastAsia="方正小标宋_GBK" w:cs="Times New Roman"/>
          <w:spacing w:val="28"/>
          <w:sz w:val="44"/>
          <w:szCs w:val="44"/>
        </w:rPr>
      </w:pPr>
    </w:p>
    <w:p>
      <w:pPr>
        <w:pStyle w:val="2"/>
        <w:outlineLvl w:val="9"/>
        <w:rPr>
          <w:rFonts w:hint="default" w:ascii="Times New Roman" w:hAnsi="Times New Roman" w:eastAsia="方正小标宋_GBK" w:cs="Times New Roman"/>
          <w:spacing w:val="28"/>
          <w:sz w:val="44"/>
          <w:szCs w:val="44"/>
        </w:rPr>
      </w:pPr>
    </w:p>
    <w:p>
      <w:pPr>
        <w:pStyle w:val="2"/>
        <w:outlineLvl w:val="9"/>
        <w:rPr>
          <w:rFonts w:hint="default" w:ascii="Times New Roman" w:hAnsi="Times New Roman" w:eastAsia="方正小标宋_GBK" w:cs="Times New Roman"/>
          <w:spacing w:val="28"/>
          <w:sz w:val="44"/>
          <w:szCs w:val="44"/>
        </w:rPr>
      </w:pPr>
    </w:p>
    <w:p>
      <w:pPr>
        <w:pStyle w:val="2"/>
        <w:outlineLvl w:val="9"/>
        <w:rPr>
          <w:rFonts w:hint="default" w:ascii="Times New Roman" w:hAnsi="Times New Roman" w:eastAsia="方正小标宋_GBK" w:cs="Times New Roman"/>
          <w:spacing w:val="28"/>
          <w:sz w:val="44"/>
          <w:szCs w:val="44"/>
        </w:rPr>
      </w:pPr>
    </w:p>
    <w:p>
      <w:pPr>
        <w:pStyle w:val="2"/>
        <w:outlineLvl w:val="9"/>
        <w:rPr>
          <w:rFonts w:hint="default" w:ascii="Times New Roman" w:hAnsi="Times New Roman" w:eastAsia="方正小标宋_GBK" w:cs="Times New Roman"/>
          <w:spacing w:val="28"/>
          <w:sz w:val="44"/>
          <w:szCs w:val="44"/>
        </w:rPr>
      </w:pPr>
    </w:p>
    <w:p>
      <w:pPr>
        <w:pStyle w:val="2"/>
        <w:outlineLvl w:val="9"/>
        <w:rPr>
          <w:rFonts w:hint="default" w:ascii="Times New Roman" w:hAnsi="Times New Roman" w:eastAsia="方正小标宋_GBK" w:cs="Times New Roman"/>
          <w:spacing w:val="28"/>
          <w:sz w:val="44"/>
          <w:szCs w:val="44"/>
        </w:rPr>
      </w:pPr>
    </w:p>
    <w:p>
      <w:pPr>
        <w:pStyle w:val="2"/>
        <w:jc w:val="center"/>
        <w:outlineLvl w:val="9"/>
        <w:rPr>
          <w:rFonts w:hint="default" w:ascii="Times New Roman" w:hAnsi="Times New Roman" w:eastAsia="宋体" w:cs="Times New Roman"/>
          <w:spacing w:val="28"/>
          <w:sz w:val="24"/>
          <w:szCs w:val="24"/>
          <w:lang w:val="en-US" w:eastAsia="zh-CN"/>
        </w:rPr>
      </w:pPr>
    </w:p>
    <w:p>
      <w:pPr>
        <w:pStyle w:val="2"/>
        <w:jc w:val="center"/>
        <w:outlineLvl w:val="9"/>
        <w:rPr>
          <w:rFonts w:hint="default" w:ascii="Times New Roman" w:hAnsi="Times New Roman" w:eastAsia="宋体" w:cs="Times New Roman"/>
          <w:spacing w:val="28"/>
          <w:sz w:val="24"/>
          <w:szCs w:val="24"/>
          <w:lang w:val="en-US" w:eastAsia="zh-CN"/>
        </w:rPr>
      </w:pPr>
    </w:p>
    <w:p>
      <w:pPr>
        <w:pStyle w:val="2"/>
        <w:jc w:val="center"/>
        <w:outlineLvl w:val="9"/>
        <w:rPr>
          <w:rFonts w:hint="default" w:ascii="Times New Roman" w:hAnsi="Times New Roman" w:eastAsia="宋体" w:cs="Times New Roman"/>
          <w:spacing w:val="28"/>
          <w:sz w:val="24"/>
          <w:szCs w:val="24"/>
          <w:lang w:val="en-US" w:eastAsia="zh-CN"/>
        </w:rPr>
      </w:pPr>
    </w:p>
    <w:p>
      <w:pPr>
        <w:pStyle w:val="2"/>
        <w:jc w:val="center"/>
        <w:outlineLvl w:val="9"/>
        <w:rPr>
          <w:rFonts w:hint="default" w:ascii="Times New Roman" w:hAnsi="Times New Roman" w:eastAsia="宋体" w:cs="Times New Roman"/>
          <w:spacing w:val="28"/>
          <w:sz w:val="24"/>
          <w:szCs w:val="24"/>
          <w:lang w:val="en-US" w:eastAsia="zh-CN"/>
        </w:rPr>
      </w:pPr>
    </w:p>
    <w:p>
      <w:pPr>
        <w:pStyle w:val="2"/>
        <w:jc w:val="center"/>
        <w:outlineLvl w:val="9"/>
        <w:rPr>
          <w:rFonts w:hint="default" w:ascii="Times New Roman" w:hAnsi="Times New Roman" w:eastAsia="宋体" w:cs="Times New Roman"/>
          <w:spacing w:val="28"/>
          <w:sz w:val="24"/>
          <w:szCs w:val="24"/>
          <w:lang w:val="en-US" w:eastAsia="zh-CN"/>
        </w:rPr>
      </w:pPr>
    </w:p>
    <w:p>
      <w:pPr>
        <w:pStyle w:val="2"/>
        <w:jc w:val="center"/>
        <w:outlineLvl w:val="9"/>
        <w:rPr>
          <w:rFonts w:hint="default" w:ascii="Times New Roman" w:hAnsi="Times New Roman" w:eastAsia="宋体" w:cs="Times New Roman"/>
          <w:spacing w:val="28"/>
          <w:sz w:val="24"/>
          <w:szCs w:val="24"/>
          <w:lang w:val="en-US" w:eastAsia="zh-CN"/>
        </w:rPr>
      </w:pPr>
    </w:p>
    <w:p>
      <w:pPr>
        <w:pStyle w:val="2"/>
        <w:jc w:val="center"/>
        <w:outlineLvl w:val="9"/>
        <w:rPr>
          <w:rFonts w:hint="default" w:ascii="Times New Roman" w:hAnsi="Times New Roman" w:eastAsia="宋体" w:cs="Times New Roman"/>
          <w:spacing w:val="28"/>
          <w:sz w:val="24"/>
          <w:szCs w:val="24"/>
          <w:lang w:val="en-US" w:eastAsia="zh-CN"/>
        </w:rPr>
      </w:pPr>
      <w:bookmarkStart w:id="1" w:name="_Toc8684"/>
    </w:p>
    <w:p>
      <w:pPr>
        <w:pStyle w:val="2"/>
        <w:jc w:val="center"/>
        <w:outlineLvl w:val="9"/>
        <w:rPr>
          <w:rFonts w:hint="default" w:ascii="Times New Roman" w:hAnsi="Times New Roman" w:eastAsia="宋体" w:cs="Times New Roman"/>
          <w:spacing w:val="28"/>
          <w:sz w:val="24"/>
          <w:szCs w:val="24"/>
          <w:lang w:val="en-US" w:eastAsia="zh-CN"/>
        </w:rPr>
      </w:pPr>
    </w:p>
    <w:p>
      <w:pPr>
        <w:pStyle w:val="2"/>
        <w:jc w:val="center"/>
        <w:outlineLvl w:val="9"/>
        <w:rPr>
          <w:rFonts w:hint="default" w:ascii="Times New Roman" w:hAnsi="Times New Roman" w:eastAsia="宋体" w:cs="Times New Roman"/>
          <w:spacing w:val="28"/>
          <w:sz w:val="24"/>
          <w:szCs w:val="24"/>
          <w:lang w:val="en-US" w:eastAsia="zh-CN"/>
        </w:rPr>
      </w:pPr>
    </w:p>
    <w:p>
      <w:pPr>
        <w:pStyle w:val="2"/>
        <w:jc w:val="center"/>
        <w:outlineLvl w:val="9"/>
        <w:rPr>
          <w:rFonts w:hint="default" w:ascii="Times New Roman" w:hAnsi="Times New Roman" w:eastAsia="宋体" w:cs="Times New Roman"/>
          <w:spacing w:val="28"/>
          <w:sz w:val="24"/>
          <w:szCs w:val="24"/>
          <w:lang w:val="en-US" w:eastAsia="zh-CN"/>
        </w:rPr>
      </w:pPr>
    </w:p>
    <w:p>
      <w:pPr>
        <w:pStyle w:val="2"/>
        <w:jc w:val="center"/>
        <w:outlineLvl w:val="9"/>
        <w:rPr>
          <w:rFonts w:hint="default" w:ascii="Times New Roman" w:hAnsi="Times New Roman" w:eastAsia="宋体" w:cs="Times New Roman"/>
          <w:spacing w:val="28"/>
          <w:sz w:val="24"/>
          <w:szCs w:val="24"/>
          <w:lang w:val="en-US" w:eastAsia="zh-CN"/>
        </w:rPr>
      </w:pPr>
    </w:p>
    <w:p>
      <w:pPr>
        <w:pStyle w:val="2"/>
        <w:jc w:val="center"/>
        <w:outlineLvl w:val="9"/>
        <w:rPr>
          <w:rFonts w:hint="default" w:ascii="Times New Roman" w:hAnsi="Times New Roman" w:eastAsia="宋体" w:cs="Times New Roman"/>
          <w:spacing w:val="28"/>
          <w:sz w:val="24"/>
          <w:szCs w:val="24"/>
          <w:lang w:val="en-US" w:eastAsia="zh-CN"/>
        </w:rPr>
      </w:pPr>
    </w:p>
    <w:p>
      <w:pPr>
        <w:pStyle w:val="2"/>
        <w:jc w:val="center"/>
        <w:outlineLvl w:val="9"/>
        <w:rPr>
          <w:rFonts w:hint="default" w:ascii="Times New Roman" w:hAnsi="Times New Roman" w:eastAsia="宋体" w:cs="Times New Roman"/>
          <w:spacing w:val="28"/>
          <w:sz w:val="24"/>
          <w:szCs w:val="24"/>
          <w:lang w:val="en-US" w:eastAsia="zh-CN"/>
        </w:rPr>
      </w:pPr>
    </w:p>
    <w:p>
      <w:pPr>
        <w:pStyle w:val="2"/>
        <w:jc w:val="center"/>
        <w:outlineLvl w:val="9"/>
        <w:rPr>
          <w:rFonts w:hint="default" w:ascii="Times New Roman" w:hAnsi="Times New Roman" w:eastAsia="宋体" w:cs="Times New Roman"/>
          <w:spacing w:val="28"/>
          <w:sz w:val="24"/>
          <w:szCs w:val="24"/>
          <w:lang w:val="en-US" w:eastAsia="zh-CN"/>
        </w:rPr>
      </w:pPr>
    </w:p>
    <w:p>
      <w:pPr>
        <w:pStyle w:val="2"/>
        <w:jc w:val="center"/>
        <w:outlineLvl w:val="9"/>
        <w:rPr>
          <w:rFonts w:hint="default" w:ascii="Times New Roman" w:hAnsi="Times New Roman" w:eastAsia="宋体" w:cs="Times New Roman"/>
          <w:spacing w:val="28"/>
          <w:sz w:val="24"/>
          <w:szCs w:val="24"/>
          <w:lang w:val="en-US" w:eastAsia="zh-CN"/>
        </w:rPr>
      </w:pPr>
    </w:p>
    <w:p>
      <w:pPr>
        <w:pStyle w:val="2"/>
        <w:ind w:left="0" w:leftChars="0" w:firstLine="0" w:firstLineChars="0"/>
        <w:jc w:val="center"/>
        <w:outlineLvl w:val="9"/>
        <w:rPr>
          <w:rFonts w:hint="default" w:ascii="Times New Roman" w:hAnsi="Times New Roman" w:eastAsia="宋体" w:cs="Times New Roman"/>
          <w:spacing w:val="28"/>
          <w:sz w:val="24"/>
          <w:szCs w:val="24"/>
          <w:lang w:val="en-US" w:eastAsia="zh-CN"/>
        </w:rPr>
      </w:pPr>
      <w:bookmarkStart w:id="20" w:name="_GoBack"/>
      <w:r>
        <w:rPr>
          <w:rFonts w:hint="default" w:ascii="Times New Roman" w:hAnsi="Times New Roman" w:eastAsia="宋体" w:cs="Times New Roman"/>
          <w:spacing w:val="28"/>
          <w:sz w:val="24"/>
          <w:szCs w:val="24"/>
          <w:lang w:val="en-US" w:eastAsia="zh-CN"/>
        </w:rPr>
        <w:t>湖南湘阴高新技术产业开发区管理委员会</w:t>
      </w:r>
      <w:bookmarkEnd w:id="1"/>
    </w:p>
    <w:p>
      <w:pPr>
        <w:pStyle w:val="2"/>
        <w:ind w:left="0" w:leftChars="0" w:firstLine="0" w:firstLineChars="0"/>
        <w:jc w:val="center"/>
        <w:outlineLvl w:val="9"/>
        <w:rPr>
          <w:rFonts w:hint="default" w:ascii="Times New Roman" w:hAnsi="Times New Roman" w:eastAsia="宋体" w:cs="Times New Roman"/>
          <w:spacing w:val="28"/>
          <w:sz w:val="24"/>
          <w:szCs w:val="24"/>
          <w:lang w:val="en-US" w:eastAsia="zh-CN"/>
        </w:rPr>
      </w:pPr>
      <w:r>
        <w:rPr>
          <w:rFonts w:hint="default" w:ascii="Times New Roman" w:hAnsi="Times New Roman" w:eastAsia="宋体" w:cs="Times New Roman"/>
          <w:spacing w:val="28"/>
          <w:sz w:val="24"/>
          <w:szCs w:val="24"/>
          <w:lang w:val="en-US" w:eastAsia="zh-CN"/>
        </w:rPr>
        <w:t>2023年2月</w:t>
      </w:r>
    </w:p>
    <w:bookmarkEnd w:id="20"/>
    <w:p>
      <w:pPr>
        <w:outlineLvl w:val="9"/>
        <w:rPr>
          <w:rFonts w:hint="default" w:ascii="Times New Roman" w:hAnsi="Times New Roman" w:cs="Times New Roman"/>
        </w:rPr>
      </w:pPr>
      <w:r>
        <w:rPr>
          <w:rFonts w:hint="default" w:ascii="Times New Roman" w:hAnsi="Times New Roman" w:eastAsia="黑体" w:cs="Times New Roman"/>
          <w:sz w:val="32"/>
          <w:szCs w:val="32"/>
        </w:rPr>
        <w:br w:type="page"/>
      </w:r>
    </w:p>
    <w:sdt>
      <w:sdtPr>
        <w:rPr>
          <w:rFonts w:hint="default" w:ascii="Times New Roman" w:hAnsi="Times New Roman" w:eastAsia="宋体" w:cs="Times New Roman"/>
          <w:kern w:val="2"/>
          <w:sz w:val="21"/>
          <w:szCs w:val="22"/>
          <w:lang w:val="en-US" w:eastAsia="zh-CN" w:bidi="ar-SA"/>
        </w:rPr>
        <w:id w:val="147482366"/>
        <w15:color w:val="DBDBDB"/>
        <w:docPartObj>
          <w:docPartGallery w:val="Table of Contents"/>
          <w:docPartUnique/>
        </w:docPartObj>
      </w:sdtPr>
      <w:sdtEndPr>
        <w:rPr>
          <w:rFonts w:hint="default" w:ascii="Times New Roman" w:hAnsi="Times New Roman" w:eastAsia="宋体" w:cs="Times New Roman"/>
          <w:b/>
          <w:kern w:val="2"/>
          <w:sz w:val="21"/>
          <w:szCs w:val="22"/>
          <w:lang w:val="en-US" w:eastAsia="zh-CN" w:bidi="ar-SA"/>
        </w:rPr>
      </w:sdtEndPr>
      <w:sdtContent>
        <w:p>
          <w:pPr>
            <w:spacing w:before="0" w:beforeLines="0" w:after="0" w:afterLines="0" w:line="240" w:lineRule="auto"/>
            <w:ind w:left="0" w:leftChars="0" w:right="0" w:rightChars="0" w:firstLine="0" w:firstLineChars="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目录</w:t>
          </w:r>
        </w:p>
        <w:p>
          <w:pPr>
            <w:pStyle w:val="12"/>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TOC \o "1-2" \h \u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_Toc31647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一、 园区概况</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_Toc31647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- 1 -</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13"/>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_Toc16708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val="0"/>
              <w:sz w:val="28"/>
              <w:szCs w:val="28"/>
              <w:highlight w:val="none"/>
            </w:rPr>
            <w:t>（一）园区发展历史沿革及发展现状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_Toc16708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- 1 -</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13"/>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_Toc32072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highlight w:val="none"/>
            </w:rPr>
            <w:t>（二）入园企业基本情况</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_Toc32072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- 3 -</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13"/>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_Toc21208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val="0"/>
              <w:sz w:val="28"/>
              <w:szCs w:val="28"/>
              <w:highlight w:val="none"/>
            </w:rPr>
            <w:t>（三）主要污染物总量控制</w:t>
          </w:r>
          <w:r>
            <w:rPr>
              <w:rFonts w:hint="default" w:ascii="Times New Roman" w:hAnsi="Times New Roman" w:eastAsia="宋体" w:cs="Times New Roman"/>
              <w:bCs w:val="0"/>
              <w:sz w:val="28"/>
              <w:szCs w:val="28"/>
              <w:highlight w:val="none"/>
              <w:lang w:val="en-US" w:eastAsia="zh-CN"/>
            </w:rPr>
            <w:t>指标</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_Toc21208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- 3 -</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12"/>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_Toc25604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二、环境管理情况</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_Toc25604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- 5 -</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13"/>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_Toc11994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（一）规划环评批复要求落实情况</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_Toc11994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- 5 -</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13"/>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_Toc30582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（二）“三线一单”落地应用情况</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_Toc30582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- 8 -</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13"/>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_Toc30136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（三）水环境管理</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_Toc30136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- 11 -</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13"/>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_Toc14433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（四）大气环境管理</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_Toc14433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- 15 -</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13"/>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_Toc9995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（五）土壤环境管理</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_Toc9995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- 18 -</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13"/>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_Toc10835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（六）固体废物管理</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_Toc10835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- 18 -</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13"/>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_Toc6421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（七） 投诉及督察整改</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_Toc6421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- 20 -</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13"/>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_Toc28590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（八）园区信用评价</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_Toc28590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- 21 -</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13"/>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_Toc7479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lang w:eastAsia="zh-CN"/>
            </w:rPr>
            <w:t>（九）园区第三方治理情况</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_Toc7479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- 21 -</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12"/>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_Toc29384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三、园区环保工作成效、主要措施做法</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_Toc29384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- 23 -</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12"/>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_Toc16643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四、园区生态环境管理存在主要问题和难题</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_Toc16643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- 24 -</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pStyle w:val="12"/>
            <w:tabs>
              <w:tab w:val="right" w:leader="dot" w:pos="8306"/>
            </w:tabs>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_Toc27962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val="0"/>
              <w:kern w:val="2"/>
              <w:sz w:val="28"/>
              <w:szCs w:val="28"/>
              <w:highlight w:val="none"/>
            </w:rPr>
            <w:t>五、下一步工作计划</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_Toc27962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- 25 -</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pPr>
            <w:rPr>
              <w:rFonts w:hint="default" w:ascii="Times New Roman" w:hAnsi="Times New Roman" w:cs="Times New Roman"/>
            </w:rPr>
          </w:pPr>
          <w:r>
            <w:rPr>
              <w:rFonts w:hint="default" w:ascii="Times New Roman" w:hAnsi="Times New Roman" w:eastAsia="宋体" w:cs="Times New Roman"/>
              <w:sz w:val="28"/>
              <w:szCs w:val="28"/>
            </w:rPr>
            <w:fldChar w:fldCharType="end"/>
          </w:r>
        </w:p>
      </w:sdtContent>
    </w:sdt>
    <w:p>
      <w:pPr>
        <w:pStyle w:val="4"/>
        <w:keepNext w:val="0"/>
        <w:keepLines w:val="0"/>
        <w:pageBreakBefore w:val="0"/>
        <w:widowControl w:val="0"/>
        <w:numPr>
          <w:ilvl w:val="0"/>
          <w:numId w:val="1"/>
        </w:numPr>
        <w:wordWrap/>
        <w:overflowPunct/>
        <w:topLinePunct w:val="0"/>
        <w:bidi w:val="0"/>
        <w:snapToGrid/>
        <w:spacing w:before="0" w:beforeAutospacing="0" w:after="0" w:afterAutospacing="0" w:line="560" w:lineRule="exact"/>
        <w:ind w:left="638" w:leftChars="228" w:firstLine="0" w:firstLineChars="0"/>
        <w:textAlignment w:val="auto"/>
        <w:outlineLvl w:val="0"/>
        <w:rPr>
          <w:rFonts w:hint="default" w:ascii="Times New Roman" w:hAnsi="Times New Roman" w:eastAsia="黑体" w:cs="Times New Roman"/>
          <w:sz w:val="32"/>
          <w:szCs w:val="32"/>
        </w:rPr>
        <w:sectPr>
          <w:pgSz w:w="11906" w:h="16838"/>
          <w:pgMar w:top="1440" w:right="1800" w:bottom="1440" w:left="1800" w:header="851" w:footer="992" w:gutter="0"/>
          <w:cols w:space="425" w:num="1"/>
          <w:docGrid w:type="lines" w:linePitch="312" w:charSpace="0"/>
        </w:sectPr>
      </w:pPr>
      <w:bookmarkStart w:id="2" w:name="_Toc31647"/>
    </w:p>
    <w:p>
      <w:pPr>
        <w:pStyle w:val="4"/>
        <w:keepNext w:val="0"/>
        <w:keepLines w:val="0"/>
        <w:pageBreakBefore w:val="0"/>
        <w:widowControl w:val="0"/>
        <w:numPr>
          <w:ilvl w:val="0"/>
          <w:numId w:val="1"/>
        </w:numPr>
        <w:wordWrap/>
        <w:overflowPunct/>
        <w:topLinePunct w:val="0"/>
        <w:bidi w:val="0"/>
        <w:snapToGrid/>
        <w:spacing w:before="0" w:beforeAutospacing="0" w:after="0" w:afterAutospacing="0" w:line="560" w:lineRule="exact"/>
        <w:ind w:left="638" w:leftChars="228" w:firstLine="0" w:firstLineChars="0"/>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园区概况</w:t>
      </w:r>
      <w:bookmarkEnd w:id="2"/>
      <w:bookmarkStart w:id="3" w:name="_Toc96284863"/>
    </w:p>
    <w:p>
      <w:pPr>
        <w:pStyle w:val="4"/>
        <w:keepNext w:val="0"/>
        <w:keepLines w:val="0"/>
        <w:pageBreakBefore w:val="0"/>
        <w:widowControl w:val="0"/>
        <w:numPr>
          <w:ilvl w:val="0"/>
          <w:numId w:val="0"/>
        </w:numPr>
        <w:wordWrap/>
        <w:overflowPunct/>
        <w:topLinePunct w:val="0"/>
        <w:bidi w:val="0"/>
        <w:snapToGrid/>
        <w:spacing w:before="0" w:beforeAutospacing="0" w:after="0" w:afterAutospacing="0" w:line="560" w:lineRule="exact"/>
        <w:ind w:leftChars="228"/>
        <w:textAlignment w:val="auto"/>
        <w:outlineLvl w:val="1"/>
        <w:rPr>
          <w:rFonts w:hint="default" w:ascii="Times New Roman" w:hAnsi="Times New Roman" w:eastAsia="仿宋_GB2312" w:cs="Times New Roman"/>
          <w:sz w:val="32"/>
          <w:szCs w:val="32"/>
          <w:lang w:eastAsia="zh-CN"/>
        </w:rPr>
      </w:pPr>
      <w:bookmarkStart w:id="4" w:name="_Toc16708"/>
      <w:r>
        <w:rPr>
          <w:rFonts w:hint="default" w:ascii="Times New Roman" w:hAnsi="Times New Roman" w:eastAsia="楷体_GB2312" w:cs="Times New Roman"/>
          <w:b w:val="0"/>
          <w:bCs w:val="0"/>
          <w:color w:val="auto"/>
          <w:sz w:val="32"/>
          <w:highlight w:val="none"/>
        </w:rPr>
        <w:t>（一）园区发展历史沿革及发展现状</w:t>
      </w:r>
      <w:bookmarkEnd w:id="3"/>
      <w:bookmarkEnd w:id="4"/>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湘阴高新技术产业开发区原名为湖南轻工产业园、湖南湘阴工业园，位于岳阳市湘阴县，经岳阳市人民政府2003年4月申请湖南省人民政府备案成立。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2006年4月，经湖南省人民政府(湘政函〔2006〕79号)批准为省级工业园区，核准面积240.00公顷，主导产业为食品加工、纺织、精细化工；9月，中华人民共和国国土资源部《第十二批落实四至范围的开发区公告》(2006年第25号)中湖南湘阴工业园区四至范围:东至长湘公路，南至湖南义丰祥实业有限公司南围墙，西至望滨路，北至白水江路，规划面积240.00公顷。2007年3月中华人民共和国国家发展和改革委员会、中华人民共和国国土资源部、中华人民共和国建设部（公告2007年第18号）《中国开发区审核公告目录》(2006年版)中，湖南湘阴工业园区编号S437034。</w:t>
      </w:r>
    </w:p>
    <w:p>
      <w:pPr>
        <w:pStyle w:val="6"/>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方正仿宋_GB2312" w:cs="Times New Roman"/>
          <w:kern w:val="2"/>
          <w:sz w:val="32"/>
          <w:szCs w:val="32"/>
          <w:lang w:val="en-US" w:eastAsia="zh-CN" w:bidi="ar-SA"/>
        </w:rPr>
        <w:t>2012年根据湘阴县城市总体规划编制园区总体规划(简称2012年版城市总规)规划主要内容:将原工业园范围内的老工业区1.42平方公里调整为商业和居住用地，老工业区内原有企业拟逐步退出，规划范围为10.58km</w:t>
      </w:r>
      <w:r>
        <w:rPr>
          <w:rFonts w:hint="default" w:ascii="Times New Roman" w:hAnsi="Times New Roman" w:eastAsia="方正仿宋_GB2312" w:cs="Times New Roman"/>
          <w:kern w:val="2"/>
          <w:sz w:val="32"/>
          <w:szCs w:val="32"/>
          <w:vertAlign w:val="superscript"/>
          <w:lang w:val="en-US" w:eastAsia="zh-CN" w:bidi="ar-SA"/>
        </w:rPr>
        <w:t>2</w:t>
      </w:r>
      <w:r>
        <w:rPr>
          <w:rFonts w:hint="default" w:ascii="Times New Roman" w:hAnsi="Times New Roman" w:eastAsia="方正仿宋_GB2312" w:cs="Times New Roman"/>
          <w:kern w:val="2"/>
          <w:sz w:val="32"/>
          <w:szCs w:val="32"/>
          <w:vertAlign w:val="baseline"/>
          <w:lang w:val="en-US" w:eastAsia="zh-CN" w:bidi="ar-SA"/>
        </w:rPr>
        <w:t>。</w:t>
      </w:r>
      <w:r>
        <w:rPr>
          <w:rFonts w:hint="default" w:ascii="Times New Roman" w:hAnsi="Times New Roman" w:eastAsia="方正仿宋_GB2312" w:cs="Times New Roman"/>
          <w:kern w:val="2"/>
          <w:sz w:val="32"/>
          <w:szCs w:val="32"/>
          <w:lang w:val="en-US" w:eastAsia="zh-CN" w:bidi="ar-SA"/>
        </w:rPr>
        <w:t>园区管委会委托编制《湖南湘阴工业园区环境影响报告书》，于2013年12月取得原湖南省环境保护厅《关于湖南湘阴工业园区环境影响报告书的批复》（湘环评〔2013〕305号），核准批复9.5824km</w:t>
      </w:r>
      <w:r>
        <w:rPr>
          <w:rFonts w:hint="default" w:ascii="Times New Roman" w:hAnsi="Times New Roman" w:eastAsia="方正仿宋_GB2312" w:cs="Times New Roman"/>
          <w:kern w:val="2"/>
          <w:sz w:val="32"/>
          <w:szCs w:val="32"/>
          <w:vertAlign w:val="superscript"/>
          <w:lang w:val="en-US" w:eastAsia="zh-CN" w:bidi="ar-SA"/>
        </w:rPr>
        <w:t>2</w:t>
      </w:r>
      <w:r>
        <w:rPr>
          <w:rFonts w:hint="default" w:ascii="Times New Roman" w:hAnsi="Times New Roman" w:eastAsia="方正仿宋_GB2312" w:cs="Times New Roman"/>
          <w:kern w:val="2"/>
          <w:sz w:val="32"/>
          <w:szCs w:val="32"/>
          <w:lang w:val="en-US" w:eastAsia="zh-CN" w:bidi="ar-SA"/>
        </w:rPr>
        <w:t>，产业定位位以机械制造、电子、食品加工等为主导，适当发展新型建材，以循环经济为理念建设环保型工业园。</w:t>
      </w:r>
    </w:p>
    <w:p>
      <w:pPr>
        <w:pStyle w:val="19"/>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firstLine="640" w:firstLineChars="200"/>
        <w:textAlignment w:val="auto"/>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方正仿宋_GB2312" w:cs="Times New Roman"/>
          <w:kern w:val="2"/>
          <w:sz w:val="32"/>
          <w:szCs w:val="32"/>
          <w:lang w:val="en-US" w:eastAsia="zh-CN" w:bidi="ar-SA"/>
        </w:rPr>
        <w:t>2016年7月14日，《湖南省人民政府关于设立湘阴高新技术产业开发区的批复》湘政函〔2016〕103号)，同意在湘阴工业园基础上建设湘阴高新技术产业开发区。</w:t>
      </w:r>
    </w:p>
    <w:p>
      <w:pPr>
        <w:pStyle w:val="19"/>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firstLine="640" w:firstLineChars="200"/>
        <w:textAlignment w:val="auto"/>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方正仿宋_GB2312" w:cs="Times New Roman"/>
          <w:kern w:val="2"/>
          <w:sz w:val="32"/>
          <w:szCs w:val="32"/>
          <w:lang w:val="en-US" w:eastAsia="zh-CN" w:bidi="ar-SA"/>
        </w:rPr>
        <w:t>2020年4月，湖南省发展和改革委员会《关于同意湘阴高新技术产业开发区开展调区扩区前期工作的函》（湘发改函〔2020〕152号）。2020年9月30日，湖南省自然资源厅同意湘阴高新技术产业开发区发展方向区调整成果审核意见的复函同意调整。据此，园区管委会以2018年国家核准的104.83公顷的基础上，依据湘阴高新技术产业开发区发展方向区调整成果方案进行扩区，并组织编制《湘阴高新技术产业开发区近期规划（2020-2025）》，园区规划面积为1316.51公顷，形成“一区三园”的空间布局，即临港片区、洋沙湖片区和金龙片区。其中临港片区位于县城北侧，范围东至太傅路、南至长岭路、西至湘江东岸、北至漕溪港火车站，面积为276.76公顷，规划基于现有结构构件制造、金属结构制造企业为产业基础发展装配式建筑建材产业、配套发展物流产业;洋沙湖片区位于县城中部与南部，范围东至芙蓉北路、南至京港澳复线互通口、西至中联大道、北至白水江路，面积为695.16公顷，规划重点发展装备制造、食品加工、新材料产业主要包含电子专用材料制造、电池制造（不含铅酸蓄电池）等、废弃资源综合利用（包括利用金属废料和碎屑加工处理和废油回收）;金龙片区位于金龙镇南面，范围东至安宁南路、南至燎原路、西至西华村、北至安康路，面积为344.62公顷，规划重点发展装备制造产业。</w:t>
      </w:r>
    </w:p>
    <w:p>
      <w:pPr>
        <w:keepNext w:val="0"/>
        <w:keepLines w:val="0"/>
        <w:pageBreakBefore w:val="0"/>
        <w:widowControl w:val="0"/>
        <w:kinsoku w:val="0"/>
        <w:wordWrap/>
        <w:overflowPunct/>
        <w:topLinePunct w:val="0"/>
        <w:autoSpaceDE w:val="0"/>
        <w:autoSpaceDN w:val="0"/>
        <w:bidi w:val="0"/>
        <w:adjustRightInd w:val="0"/>
        <w:snapToGrid/>
        <w:spacing w:beforeAutospacing="0" w:afterAutospacing="0" w:line="560" w:lineRule="exact"/>
        <w:ind w:firstLine="640" w:firstLineChars="200"/>
        <w:jc w:val="left"/>
        <w:textAlignment w:val="auto"/>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方正仿宋_GB2312" w:cs="Times New Roman"/>
          <w:kern w:val="2"/>
          <w:sz w:val="32"/>
          <w:szCs w:val="32"/>
          <w:lang w:val="en-US" w:eastAsia="zh-CN" w:bidi="ar-SA"/>
        </w:rPr>
        <w:t>2021年湘阴高新技术产业开发区管理委员会委托湖南葆华环保有限公司编制《湘阴高新技术产业开发区调区扩区规划环境影响报告书》，2022年6月24日收到《湖南省生态环境厅关于&lt;湘阴高新技术产业开发区调区扩区规划环境影响报告书&gt;审查意见的函》批文，完成调区扩区环境影响评价工作。</w:t>
      </w:r>
    </w:p>
    <w:p>
      <w:pPr>
        <w:keepNext w:val="0"/>
        <w:keepLines w:val="0"/>
        <w:pageBreakBefore w:val="0"/>
        <w:widowControl w:val="0"/>
        <w:kinsoku w:val="0"/>
        <w:wordWrap/>
        <w:overflowPunct/>
        <w:topLinePunct w:val="0"/>
        <w:autoSpaceDE w:val="0"/>
        <w:autoSpaceDN w:val="0"/>
        <w:bidi w:val="0"/>
        <w:adjustRightInd w:val="0"/>
        <w:snapToGrid/>
        <w:spacing w:beforeAutospacing="0" w:afterAutospacing="0" w:line="560" w:lineRule="exact"/>
        <w:ind w:firstLine="640" w:firstLineChars="200"/>
        <w:jc w:val="left"/>
        <w:textAlignment w:val="auto"/>
        <w:outlineLvl w:val="1"/>
        <w:rPr>
          <w:rFonts w:hint="default" w:ascii="Times New Roman" w:hAnsi="Times New Roman" w:eastAsia="方正仿宋_GB2312" w:cs="Times New Roman"/>
          <w:kern w:val="2"/>
          <w:sz w:val="32"/>
          <w:szCs w:val="32"/>
          <w:lang w:val="en-US" w:eastAsia="zh-CN" w:bidi="ar-SA"/>
        </w:rPr>
      </w:pPr>
      <w:bookmarkStart w:id="5" w:name="_Toc32072"/>
      <w:r>
        <w:rPr>
          <w:rFonts w:hint="default" w:ascii="Times New Roman" w:hAnsi="Times New Roman" w:eastAsia="楷体_GB2312" w:cs="Times New Roman"/>
          <w:color w:val="auto"/>
          <w:sz w:val="32"/>
          <w:szCs w:val="32"/>
          <w:highlight w:val="none"/>
        </w:rPr>
        <w:t>（二）入园企业基本情况</w:t>
      </w:r>
      <w:bookmarkEnd w:id="5"/>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方正仿宋_GB2312" w:cs="Times New Roman"/>
          <w:kern w:val="2"/>
          <w:sz w:val="32"/>
          <w:szCs w:val="32"/>
          <w:lang w:val="en-US" w:eastAsia="zh-CN" w:bidi="ar-SA"/>
        </w:rPr>
        <w:t>截止到2022年底，洋沙湖片区已入园企业77家，清退企业1家，新增企业1家，金龙片区入园企业54家，其中重点管理企业数量10个，简化管理数量121个。洋沙湖片区已完成环评批复手续企业76家，1家无需办理环评；已完成环保竣工验收手续70家，6家办理竣工验收手续中，1家无需办理；已取得排污许可证（或无需办理）75家，2家企业办理排污许可证中；已完成应急预案备案53家，无需办理19家，5家办理中；涉危企业42家，涉水企业21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方正仿宋_GB2312" w:cs="Times New Roman"/>
          <w:kern w:val="2"/>
          <w:sz w:val="32"/>
          <w:szCs w:val="32"/>
          <w:lang w:val="en-US" w:eastAsia="zh-CN" w:bidi="ar-SA"/>
        </w:rPr>
        <w:t>金龙新区已完成环评批复手续54家；已完成环保竣工验收手续50家，4家办理竣工验收手续中；已取得排污许可证（或无需办理）52家，2家企业办理中；已完成应急预案备案36家，无需办理1家，17家办理中。</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楷体_GB2312" w:cs="Times New Roman"/>
          <w:b w:val="0"/>
          <w:bCs w:val="0"/>
          <w:color w:val="auto"/>
          <w:sz w:val="32"/>
          <w:highlight w:val="none"/>
          <w:lang w:val="en-US" w:eastAsia="zh-CN"/>
        </w:rPr>
      </w:pPr>
      <w:bookmarkStart w:id="6" w:name="_Toc21208"/>
      <w:r>
        <w:rPr>
          <w:rFonts w:hint="default" w:ascii="Times New Roman" w:hAnsi="Times New Roman" w:eastAsia="楷体_GB2312" w:cs="Times New Roman"/>
          <w:b w:val="0"/>
          <w:bCs w:val="0"/>
          <w:color w:val="auto"/>
          <w:sz w:val="32"/>
          <w:highlight w:val="none"/>
        </w:rPr>
        <w:t>（三）主要污染物总量控制</w:t>
      </w:r>
      <w:r>
        <w:rPr>
          <w:rFonts w:hint="default" w:ascii="Times New Roman" w:hAnsi="Times New Roman" w:eastAsia="楷体_GB2312" w:cs="Times New Roman"/>
          <w:b w:val="0"/>
          <w:bCs w:val="0"/>
          <w:color w:val="auto"/>
          <w:sz w:val="32"/>
          <w:highlight w:val="none"/>
          <w:lang w:val="en-US" w:eastAsia="zh-CN"/>
        </w:rPr>
        <w:t>指标</w:t>
      </w:r>
      <w:bookmarkEnd w:id="6"/>
      <w:r>
        <w:rPr>
          <w:rFonts w:hint="default" w:ascii="Times New Roman" w:hAnsi="Times New Roman" w:eastAsia="楷体_GB2312" w:cs="Times New Roman"/>
          <w:b w:val="0"/>
          <w:bCs w:val="0"/>
          <w:color w:val="auto"/>
          <w:sz w:val="32"/>
          <w:highlight w:val="none"/>
          <w:lang w:val="en-US" w:eastAsia="zh-CN"/>
        </w:rPr>
        <w:t xml:space="preserve"> </w:t>
      </w:r>
    </w:p>
    <w:p>
      <w:pPr>
        <w:pStyle w:val="2"/>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方正仿宋_GB2312" w:cs="Times New Roman"/>
          <w:kern w:val="2"/>
          <w:sz w:val="32"/>
          <w:szCs w:val="32"/>
          <w:lang w:val="en-US" w:eastAsia="zh-CN" w:bidi="ar-SA"/>
        </w:rPr>
        <w:t>根据《湘阴高新技术产业开发区调区扩区规划环境影响报告书》及其批文，实施新规后园区排放总量控制废水各污染因子总量控制指标分别为:CODcr:212t/a、氨氮:22.2t/a、总磷:2.12t/a; 废气各污染因子总量控制指标分别为粉尘:133.5t/a、SO</w:t>
      </w:r>
      <w:r>
        <w:rPr>
          <w:rFonts w:hint="default" w:ascii="Times New Roman" w:hAnsi="Times New Roman" w:eastAsia="方正仿宋_GB2312" w:cs="Times New Roman"/>
          <w:kern w:val="2"/>
          <w:sz w:val="32"/>
          <w:szCs w:val="32"/>
          <w:vertAlign w:val="subscript"/>
          <w:lang w:val="en-US" w:eastAsia="zh-CN" w:bidi="ar-SA"/>
        </w:rPr>
        <w:t>2</w:t>
      </w:r>
      <w:r>
        <w:rPr>
          <w:rFonts w:hint="default" w:ascii="Times New Roman" w:hAnsi="Times New Roman" w:eastAsia="方正仿宋_GB2312" w:cs="Times New Roman"/>
          <w:kern w:val="2"/>
          <w:sz w:val="32"/>
          <w:szCs w:val="32"/>
          <w:lang w:val="en-US" w:eastAsia="zh-CN" w:bidi="ar-SA"/>
        </w:rPr>
        <w:t>: 96.5t/a、NOx:186.0t/a、TVOC:79.21t/a。</w:t>
      </w:r>
    </w:p>
    <w:p>
      <w:pPr>
        <w:pStyle w:val="2"/>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方正仿宋_GB2312" w:cs="Times New Roman"/>
          <w:kern w:val="2"/>
          <w:sz w:val="32"/>
          <w:szCs w:val="32"/>
          <w:lang w:val="en-US" w:eastAsia="zh-CN" w:bidi="ar-SA"/>
        </w:rPr>
        <w:t>根据预测，湘阴高新区 PM</w:t>
      </w:r>
      <w:r>
        <w:rPr>
          <w:rFonts w:hint="default" w:ascii="Times New Roman" w:hAnsi="Times New Roman" w:eastAsia="方正仿宋_GB2312" w:cs="Times New Roman"/>
          <w:kern w:val="2"/>
          <w:sz w:val="32"/>
          <w:szCs w:val="32"/>
          <w:vertAlign w:val="subscript"/>
          <w:lang w:val="en-US" w:eastAsia="zh-CN" w:bidi="ar-SA"/>
        </w:rPr>
        <w:t>10</w:t>
      </w:r>
      <w:r>
        <w:rPr>
          <w:rFonts w:hint="default" w:ascii="Times New Roman" w:hAnsi="Times New Roman" w:eastAsia="方正仿宋_GB2312" w:cs="Times New Roman"/>
          <w:kern w:val="2"/>
          <w:sz w:val="32"/>
          <w:szCs w:val="32"/>
          <w:lang w:val="en-US" w:eastAsia="zh-CN" w:bidi="ar-SA"/>
        </w:rPr>
        <w:t>、SO</w:t>
      </w:r>
      <w:r>
        <w:rPr>
          <w:rFonts w:hint="default" w:ascii="Times New Roman" w:hAnsi="Times New Roman" w:eastAsia="方正仿宋_GB2312" w:cs="Times New Roman"/>
          <w:kern w:val="2"/>
          <w:sz w:val="32"/>
          <w:szCs w:val="32"/>
          <w:vertAlign w:val="subscript"/>
          <w:lang w:val="en-US" w:eastAsia="zh-CN" w:bidi="ar-SA"/>
        </w:rPr>
        <w:t>2</w:t>
      </w:r>
      <w:r>
        <w:rPr>
          <w:rFonts w:hint="default" w:ascii="Times New Roman" w:hAnsi="Times New Roman" w:eastAsia="方正仿宋_GB2312" w:cs="Times New Roman"/>
          <w:kern w:val="2"/>
          <w:sz w:val="32"/>
          <w:szCs w:val="32"/>
          <w:lang w:val="en-US" w:eastAsia="zh-CN" w:bidi="ar-SA"/>
        </w:rPr>
        <w:t>、NO</w:t>
      </w:r>
      <w:r>
        <w:rPr>
          <w:rFonts w:hint="default" w:ascii="Times New Roman" w:hAnsi="Times New Roman" w:eastAsia="方正仿宋_GB2312" w:cs="Times New Roman"/>
          <w:kern w:val="2"/>
          <w:sz w:val="32"/>
          <w:szCs w:val="32"/>
          <w:vertAlign w:val="subscript"/>
          <w:lang w:val="en-US" w:eastAsia="zh-CN" w:bidi="ar-SA"/>
        </w:rPr>
        <w:t>2</w:t>
      </w:r>
      <w:r>
        <w:rPr>
          <w:rFonts w:hint="default" w:ascii="Times New Roman" w:hAnsi="Times New Roman" w:eastAsia="方正仿宋_GB2312" w:cs="Times New Roman"/>
          <w:kern w:val="2"/>
          <w:sz w:val="32"/>
          <w:szCs w:val="32"/>
          <w:lang w:val="en-US" w:eastAsia="zh-CN" w:bidi="ar-SA"/>
        </w:rPr>
        <w:t>的剩余环境容量分别为 3084.4t/a、6224.4t/a和1997.6t/a，三个片区总量指标因子均尚有一定的环境容量。</w:t>
      </w:r>
    </w:p>
    <w:p>
      <w:pPr>
        <w:pStyle w:val="2"/>
        <w:rPr>
          <w:rFonts w:hint="default" w:ascii="Times New Roman" w:hAnsi="Times New Roman" w:eastAsia="方正仿宋_GB2312" w:cs="Times New Roman"/>
          <w:kern w:val="2"/>
          <w:sz w:val="32"/>
          <w:szCs w:val="32"/>
          <w:lang w:val="en-US" w:eastAsia="zh-CN" w:bidi="ar-SA"/>
        </w:rPr>
        <w:sectPr>
          <w:footerReference r:id="rId3" w:type="default"/>
          <w:pgSz w:w="11906" w:h="16838"/>
          <w:pgMar w:top="1440" w:right="1800" w:bottom="1440" w:left="1800" w:header="851" w:footer="992" w:gutter="0"/>
          <w:pgNumType w:fmt="numberInDash" w:start="1"/>
          <w:cols w:space="425" w:num="1"/>
          <w:docGrid w:type="lines" w:linePitch="312" w:charSpace="0"/>
        </w:sectPr>
      </w:pPr>
      <w:r>
        <w:rPr>
          <w:rFonts w:hint="default" w:ascii="Times New Roman" w:hAnsi="Times New Roman" w:eastAsia="方正仿宋_GB2312" w:cs="Times New Roman"/>
          <w:kern w:val="2"/>
          <w:sz w:val="32"/>
          <w:szCs w:val="32"/>
          <w:lang w:val="en-US" w:eastAsia="zh-CN" w:bidi="ar-SA"/>
        </w:rPr>
        <w:t>根据预测，湘阴高新区所在区域的湘江段水质较好，COD、氨氮、总磷的水环境容量分别为55183t/a、4266/a、1099t/a，在规划临港片区、洋沙湖片区的排水强度下，有足够的环境容量容纳区域排水规模。湘阴县第三污水处理厂排污口所在洋沙河河段 COD、氨氮、总磷的水环境容量分别为120.5t/a、7.82t/a、1.87/a，能够承载湘阴县第三污水处理厂提标改造处理后污染物入河量，金龙片区主要发展装备制造产业，企业废水量相对较小，预测片区废水量 3300t/d，占污水处理厂现有规模 10000t/d 的33.0%，洋沙河、洋沙湖水环境容量能够支撑第三污水处理厂排污规模。</w:t>
      </w:r>
    </w:p>
    <w:p>
      <w:pPr>
        <w:spacing w:line="600" w:lineRule="exact"/>
        <w:ind w:firstLine="640" w:firstLineChars="200"/>
        <w:outlineLvl w:val="0"/>
        <w:rPr>
          <w:rFonts w:hint="default" w:ascii="Times New Roman" w:hAnsi="Times New Roman" w:eastAsia="黑体" w:cs="Times New Roman"/>
          <w:sz w:val="32"/>
          <w:szCs w:val="32"/>
        </w:rPr>
      </w:pPr>
      <w:bookmarkStart w:id="7" w:name="_Toc25604"/>
      <w:r>
        <w:rPr>
          <w:rFonts w:hint="default" w:ascii="Times New Roman" w:hAnsi="Times New Roman" w:eastAsia="黑体" w:cs="Times New Roman"/>
          <w:sz w:val="32"/>
          <w:szCs w:val="32"/>
        </w:rPr>
        <w:t>二、环境管理情况</w:t>
      </w:r>
      <w:bookmarkEnd w:id="7"/>
    </w:p>
    <w:p>
      <w:pPr>
        <w:pStyle w:val="15"/>
        <w:snapToGrid w:val="0"/>
        <w:spacing w:after="0" w:line="600" w:lineRule="exact"/>
        <w:ind w:left="0" w:leftChars="0" w:firstLine="640"/>
        <w:outlineLvl w:val="1"/>
        <w:rPr>
          <w:rFonts w:hint="default" w:ascii="Times New Roman" w:hAnsi="Times New Roman" w:eastAsia="楷体_GB2312" w:cs="Times New Roman"/>
          <w:szCs w:val="32"/>
        </w:rPr>
      </w:pPr>
      <w:bookmarkStart w:id="8" w:name="_Toc11994"/>
      <w:r>
        <w:rPr>
          <w:rFonts w:hint="default" w:ascii="Times New Roman" w:hAnsi="Times New Roman" w:eastAsia="楷体_GB2312" w:cs="Times New Roman"/>
          <w:szCs w:val="32"/>
        </w:rPr>
        <w:t>（一）规划环评批复要求落实情况</w:t>
      </w:r>
      <w:bookmarkEnd w:id="8"/>
    </w:p>
    <w:tbl>
      <w:tblPr>
        <w:tblStyle w:val="16"/>
        <w:tblW w:w="8522"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540"/>
        <w:gridCol w:w="4973"/>
        <w:gridCol w:w="1870"/>
        <w:gridCol w:w="1139"/>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540" w:type="dxa"/>
            <w:tcBorders>
              <w:tl2br w:val="nil"/>
              <w:tr2bl w:val="nil"/>
            </w:tcBorders>
            <w:noWrap w:val="0"/>
            <w:vAlign w:val="center"/>
          </w:tcPr>
          <w:p>
            <w:pPr>
              <w:bidi w:val="0"/>
              <w:spacing w:line="240" w:lineRule="auto"/>
              <w:jc w:val="center"/>
              <w:rPr>
                <w:rFonts w:hint="default" w:ascii="Times New Roman" w:hAnsi="Times New Roman" w:eastAsia="方正楷体_GB2312" w:cs="Times New Roman"/>
                <w:b w:val="0"/>
                <w:bCs w:val="0"/>
                <w:color w:val="auto"/>
                <w:sz w:val="21"/>
                <w:szCs w:val="21"/>
              </w:rPr>
            </w:pPr>
            <w:r>
              <w:rPr>
                <w:rFonts w:hint="default" w:ascii="Times New Roman" w:hAnsi="Times New Roman" w:eastAsia="方正楷体_GB2312" w:cs="Times New Roman"/>
                <w:b w:val="0"/>
                <w:bCs w:val="0"/>
                <w:color w:val="auto"/>
                <w:sz w:val="21"/>
                <w:szCs w:val="21"/>
              </w:rPr>
              <w:t>序号</w:t>
            </w:r>
          </w:p>
        </w:tc>
        <w:tc>
          <w:tcPr>
            <w:tcW w:w="4973" w:type="dxa"/>
            <w:tcBorders>
              <w:tl2br w:val="nil"/>
              <w:tr2bl w:val="nil"/>
            </w:tcBorders>
            <w:noWrap w:val="0"/>
            <w:vAlign w:val="center"/>
          </w:tcPr>
          <w:p>
            <w:pPr>
              <w:bidi w:val="0"/>
              <w:spacing w:line="240" w:lineRule="auto"/>
              <w:jc w:val="center"/>
              <w:rPr>
                <w:rFonts w:hint="default" w:ascii="Times New Roman" w:hAnsi="Times New Roman" w:eastAsia="方正楷体_GB2312" w:cs="Times New Roman"/>
                <w:b w:val="0"/>
                <w:bCs w:val="0"/>
                <w:color w:val="auto"/>
                <w:sz w:val="21"/>
                <w:szCs w:val="21"/>
              </w:rPr>
            </w:pPr>
            <w:r>
              <w:rPr>
                <w:rFonts w:hint="default" w:ascii="Times New Roman" w:hAnsi="Times New Roman" w:eastAsia="方正楷体_GB2312" w:cs="Times New Roman"/>
                <w:b w:val="0"/>
                <w:bCs w:val="0"/>
                <w:color w:val="auto"/>
                <w:sz w:val="21"/>
                <w:szCs w:val="21"/>
              </w:rPr>
              <w:t>环评批复要求</w:t>
            </w:r>
          </w:p>
        </w:tc>
        <w:tc>
          <w:tcPr>
            <w:tcW w:w="1870" w:type="dxa"/>
            <w:tcBorders>
              <w:tl2br w:val="nil"/>
              <w:tr2bl w:val="nil"/>
            </w:tcBorders>
            <w:noWrap w:val="0"/>
            <w:vAlign w:val="center"/>
          </w:tcPr>
          <w:p>
            <w:pPr>
              <w:bidi w:val="0"/>
              <w:spacing w:line="240" w:lineRule="auto"/>
              <w:jc w:val="center"/>
              <w:rPr>
                <w:rFonts w:hint="default" w:ascii="Times New Roman" w:hAnsi="Times New Roman" w:eastAsia="方正楷体_GB2312" w:cs="Times New Roman"/>
                <w:b w:val="0"/>
                <w:bCs w:val="0"/>
                <w:color w:val="auto"/>
                <w:sz w:val="21"/>
                <w:szCs w:val="21"/>
              </w:rPr>
            </w:pPr>
            <w:r>
              <w:rPr>
                <w:rFonts w:hint="default" w:ascii="Times New Roman" w:hAnsi="Times New Roman" w:eastAsia="方正楷体_GB2312" w:cs="Times New Roman"/>
                <w:b w:val="0"/>
                <w:bCs w:val="0"/>
                <w:color w:val="auto"/>
                <w:sz w:val="21"/>
                <w:szCs w:val="21"/>
              </w:rPr>
              <w:t>落实情况</w:t>
            </w:r>
          </w:p>
        </w:tc>
        <w:tc>
          <w:tcPr>
            <w:tcW w:w="1139" w:type="dxa"/>
            <w:tcBorders>
              <w:tl2br w:val="nil"/>
              <w:tr2bl w:val="nil"/>
            </w:tcBorders>
            <w:noWrap w:val="0"/>
            <w:vAlign w:val="center"/>
          </w:tcPr>
          <w:p>
            <w:pPr>
              <w:bidi w:val="0"/>
              <w:spacing w:line="240" w:lineRule="auto"/>
              <w:jc w:val="center"/>
              <w:rPr>
                <w:rFonts w:hint="default" w:ascii="Times New Roman" w:hAnsi="Times New Roman" w:eastAsia="方正楷体_GB2312" w:cs="Times New Roman"/>
                <w:b w:val="0"/>
                <w:bCs w:val="0"/>
                <w:color w:val="auto"/>
                <w:sz w:val="21"/>
                <w:szCs w:val="21"/>
                <w:lang w:val="en-US" w:eastAsia="zh-CN"/>
              </w:rPr>
            </w:pPr>
            <w:r>
              <w:rPr>
                <w:rFonts w:hint="default" w:ascii="Times New Roman" w:hAnsi="Times New Roman" w:eastAsia="方正楷体_GB2312" w:cs="Times New Roman"/>
                <w:b w:val="0"/>
                <w:bCs w:val="0"/>
                <w:color w:val="auto"/>
                <w:sz w:val="21"/>
                <w:szCs w:val="21"/>
                <w:lang w:val="en-US" w:eastAsia="zh-CN"/>
              </w:rPr>
              <w:t>落实结果</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540" w:type="dxa"/>
            <w:tcBorders>
              <w:tl2br w:val="nil"/>
              <w:tr2bl w:val="nil"/>
            </w:tcBorders>
            <w:noWrap w:val="0"/>
            <w:vAlign w:val="center"/>
          </w:tcPr>
          <w:p>
            <w:pPr>
              <w:bidi w:val="0"/>
              <w:spacing w:line="240" w:lineRule="auto"/>
              <w:jc w:val="center"/>
              <w:rPr>
                <w:rFonts w:hint="default" w:ascii="Times New Roman" w:hAnsi="Times New Roman" w:eastAsia="方正楷体_GB2312" w:cs="Times New Roman"/>
                <w:b w:val="0"/>
                <w:bCs w:val="0"/>
                <w:color w:val="auto"/>
                <w:sz w:val="21"/>
                <w:szCs w:val="21"/>
              </w:rPr>
            </w:pPr>
            <w:r>
              <w:rPr>
                <w:rFonts w:hint="default" w:ascii="Times New Roman" w:hAnsi="Times New Roman" w:eastAsia="方正楷体_GB2312" w:cs="Times New Roman"/>
                <w:b w:val="0"/>
                <w:bCs w:val="0"/>
                <w:color w:val="auto"/>
                <w:sz w:val="21"/>
                <w:szCs w:val="21"/>
              </w:rPr>
              <w:t>1</w:t>
            </w:r>
          </w:p>
        </w:tc>
        <w:tc>
          <w:tcPr>
            <w:tcW w:w="4973" w:type="dxa"/>
            <w:tcBorders>
              <w:tl2br w:val="nil"/>
              <w:tr2bl w:val="nil"/>
            </w:tcBorders>
            <w:noWrap w:val="0"/>
            <w:vAlign w:val="center"/>
          </w:tcPr>
          <w:p>
            <w:pPr>
              <w:bidi w:val="0"/>
              <w:spacing w:line="240" w:lineRule="auto"/>
              <w:ind w:firstLine="420" w:firstLineChars="200"/>
              <w:jc w:val="left"/>
              <w:rPr>
                <w:rFonts w:hint="default" w:ascii="Times New Roman" w:hAnsi="Times New Roman" w:eastAsia="方正楷体_GB2312" w:cs="Times New Roman"/>
                <w:b w:val="0"/>
                <w:bCs w:val="0"/>
                <w:color w:val="auto"/>
                <w:sz w:val="21"/>
                <w:szCs w:val="21"/>
              </w:rPr>
            </w:pPr>
            <w:r>
              <w:rPr>
                <w:rFonts w:hint="default" w:ascii="Times New Roman" w:hAnsi="Times New Roman" w:eastAsia="方正楷体_GB2312" w:cs="Times New Roman"/>
                <w:b w:val="0"/>
                <w:bCs w:val="0"/>
                <w:color w:val="auto"/>
                <w:sz w:val="21"/>
                <w:szCs w:val="21"/>
              </w:rPr>
              <w:t>进一步优化规划布局，严格按照环评调整后的功能区划进行有序开发建设，处理好园区内部各功能组团、园区与周边农业、居住 生活服务等各功能组团及与湿地公园等生态敏感区之间的关系， 充分利用自然地形、绿化隔离带、生态缓冲带使各功能区隔离，确保功能区划分明确、产业相对集中、生态环境优良。按照报告书要求，将园区西面临洋沙湖-东湖湿地公园一侧100米范围内的 三类、二类工业用地调整为一类工业用地，将涉及物无组织排放的企业、车间尽量远离湿地公园布置，并将现有食品加工区内不符合功能定位的企业逐步迁出，取消新华九组和键铭安置区，对 洋沙湖大道以南、管委会对面的高层安置区进行功能转换，设置 为企业办公场所，并设置隔离带，不再扩大规模；靠近交通干线两侧不得新建对噪声敏感的建筑物，居民安置区与工业用地区之间设置一定宽度的环境防护距离，防止功能干扰。</w:t>
            </w:r>
          </w:p>
        </w:tc>
        <w:tc>
          <w:tcPr>
            <w:tcW w:w="1870" w:type="dxa"/>
            <w:tcBorders>
              <w:tl2br w:val="nil"/>
              <w:tr2bl w:val="nil"/>
            </w:tcBorders>
            <w:noWrap w:val="0"/>
            <w:vAlign w:val="center"/>
          </w:tcPr>
          <w:p>
            <w:pPr>
              <w:bidi w:val="0"/>
              <w:spacing w:line="240" w:lineRule="auto"/>
              <w:ind w:firstLine="420" w:firstLineChars="200"/>
              <w:jc w:val="left"/>
              <w:rPr>
                <w:rFonts w:hint="default" w:ascii="Times New Roman" w:hAnsi="Times New Roman" w:eastAsia="方正楷体_GB2312" w:cs="Times New Roman"/>
                <w:b w:val="0"/>
                <w:bCs w:val="0"/>
                <w:color w:val="auto"/>
                <w:sz w:val="21"/>
                <w:szCs w:val="21"/>
              </w:rPr>
            </w:pPr>
            <w:r>
              <w:rPr>
                <w:rFonts w:hint="default" w:ascii="Times New Roman" w:hAnsi="Times New Roman" w:eastAsia="方正楷体_GB2312" w:cs="Times New Roman"/>
                <w:b w:val="0"/>
                <w:bCs w:val="0"/>
                <w:color w:val="auto"/>
                <w:sz w:val="21"/>
                <w:szCs w:val="21"/>
              </w:rPr>
              <w:t>严格按照调整后的功能区划进行有序开发建设，处理好园区内部各功能组团，将园区西面临洋沙湖-东湖湿地公园一侧100米范围内的三类、二类工业用地调整为一类工业用地，将涉及物无组织排放的企业、车间尽量远离湿地公园布置，并将现有食品加工区内不符合功能定位的企业逐步迁出，取消新华九组和键铭安置区，对洋沙湖大道以南、管委会对面的高层安置区进行功能转换，设置为企业办公场所，并设置隔离带，不再扩大规模。</w:t>
            </w:r>
          </w:p>
        </w:tc>
        <w:tc>
          <w:tcPr>
            <w:tcW w:w="1139" w:type="dxa"/>
            <w:tcBorders>
              <w:tl2br w:val="nil"/>
              <w:tr2bl w:val="nil"/>
            </w:tcBorders>
            <w:noWrap w:val="0"/>
            <w:vAlign w:val="center"/>
          </w:tcPr>
          <w:p>
            <w:pPr>
              <w:bidi w:val="0"/>
              <w:spacing w:line="240" w:lineRule="auto"/>
              <w:jc w:val="center"/>
              <w:rPr>
                <w:rFonts w:hint="default" w:ascii="Times New Roman" w:hAnsi="Times New Roman" w:eastAsia="方正楷体_GB2312" w:cs="Times New Roman"/>
                <w:b w:val="0"/>
                <w:bCs w:val="0"/>
                <w:color w:val="auto"/>
                <w:sz w:val="21"/>
                <w:szCs w:val="21"/>
                <w:lang w:eastAsia="zh-CN"/>
              </w:rPr>
            </w:pPr>
            <w:r>
              <w:rPr>
                <w:rFonts w:hint="default" w:ascii="Times New Roman" w:hAnsi="Times New Roman" w:eastAsia="方正楷体_GB2312" w:cs="Times New Roman"/>
                <w:b w:val="0"/>
                <w:bCs w:val="0"/>
                <w:color w:val="auto"/>
                <w:sz w:val="21"/>
                <w:szCs w:val="21"/>
                <w:lang w:val="en-US" w:eastAsia="zh-CN"/>
              </w:rPr>
              <w:t>已落实</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540" w:type="dxa"/>
            <w:tcBorders>
              <w:tl2br w:val="nil"/>
              <w:tr2bl w:val="nil"/>
            </w:tcBorders>
            <w:noWrap w:val="0"/>
            <w:vAlign w:val="center"/>
          </w:tcPr>
          <w:p>
            <w:pPr>
              <w:bidi w:val="0"/>
              <w:spacing w:line="240" w:lineRule="auto"/>
              <w:jc w:val="center"/>
              <w:rPr>
                <w:rFonts w:hint="default" w:ascii="Times New Roman" w:hAnsi="Times New Roman" w:eastAsia="方正楷体_GB2312" w:cs="Times New Roman"/>
                <w:b w:val="0"/>
                <w:bCs w:val="0"/>
                <w:color w:val="auto"/>
                <w:sz w:val="21"/>
                <w:szCs w:val="21"/>
              </w:rPr>
            </w:pPr>
            <w:r>
              <w:rPr>
                <w:rFonts w:hint="default" w:ascii="Times New Roman" w:hAnsi="Times New Roman" w:eastAsia="方正楷体_GB2312" w:cs="Times New Roman"/>
                <w:b w:val="0"/>
                <w:bCs w:val="0"/>
                <w:color w:val="auto"/>
                <w:sz w:val="21"/>
                <w:szCs w:val="21"/>
              </w:rPr>
              <w:t>2</w:t>
            </w:r>
          </w:p>
        </w:tc>
        <w:tc>
          <w:tcPr>
            <w:tcW w:w="4973" w:type="dxa"/>
            <w:tcBorders>
              <w:tl2br w:val="nil"/>
              <w:tr2bl w:val="nil"/>
            </w:tcBorders>
            <w:noWrap w:val="0"/>
            <w:vAlign w:val="center"/>
          </w:tcPr>
          <w:p>
            <w:pPr>
              <w:bidi w:val="0"/>
              <w:spacing w:line="240" w:lineRule="auto"/>
              <w:jc w:val="center"/>
              <w:rPr>
                <w:rFonts w:hint="default" w:ascii="Times New Roman" w:hAnsi="Times New Roman" w:eastAsia="方正楷体_GB2312" w:cs="Times New Roman"/>
                <w:b w:val="0"/>
                <w:bCs w:val="0"/>
                <w:color w:val="auto"/>
                <w:sz w:val="21"/>
                <w:szCs w:val="21"/>
              </w:rPr>
            </w:pPr>
            <w:r>
              <w:rPr>
                <w:rFonts w:hint="default" w:ascii="Times New Roman" w:hAnsi="Times New Roman" w:eastAsia="方正楷体_GB2312" w:cs="Times New Roman"/>
                <w:b w:val="0"/>
                <w:bCs w:val="0"/>
                <w:color w:val="auto"/>
                <w:sz w:val="21"/>
                <w:szCs w:val="21"/>
                <w:lang w:val="en-US" w:eastAsia="zh-CN"/>
              </w:rPr>
              <w:t xml:space="preserve">  </w:t>
            </w:r>
            <w:r>
              <w:rPr>
                <w:rFonts w:hint="default" w:ascii="Times New Roman" w:hAnsi="Times New Roman" w:eastAsia="方正楷体_GB2312" w:cs="Times New Roman"/>
                <w:b w:val="0"/>
                <w:bCs w:val="0"/>
                <w:color w:val="auto"/>
                <w:sz w:val="21"/>
                <w:szCs w:val="21"/>
              </w:rPr>
              <w:t>严格执行园区入园企业准入制度，入园项目选址必须符合湖南省湘江保护条例、洋沙湖-东湖湿地公园保护要求以及园区总体发展规划、用地规划、环保规划、主导产业定位要求，不得引进国家明令淘汰和禁止发展的能耗物耗高、环境污染严重、不符合产业政策的建设项目；禁止引进对洋沙湖-东湖国家湿地公园产生不利环境影响的企业；严格限制三类工业入驻，禁止大型喷涂、设计酸雾排放等气型污染严重企业入驻；禁止涉重金属企业入驻。园区管委会和地方环保行政主管部门应切实按照报告书提出的“工业园注入和限制行业类型一览表”做好园区内项目的招商把关，在入园项目前期和建设期，必须严格执行建设项目环境影响评价和“三同时”管理制度，推行清洁生产工艺，确保排污浓度、总量满足达标排放和总量控制要求；加强对规划区内企业的环境监管，对已入园项目按照报告书建议要求进行清理整治，完善环保“三同时”审批程序及污染防治措施建设运营，湘阴县政府应按照承诺尽快清理园区内食品加工区对食品生产有影响的企业，对原老工业区内现有企业按照环评要求进行整改，确保达标排放；关闭老工业区现有排污口，将其内符合本次申报园区准入要求的企业进入园区预留用地，逐步实现产业分类集聚集中，满足地方环保管理总体要求。</w:t>
            </w:r>
          </w:p>
        </w:tc>
        <w:tc>
          <w:tcPr>
            <w:tcW w:w="1870" w:type="dxa"/>
            <w:tcBorders>
              <w:tl2br w:val="nil"/>
              <w:tr2bl w:val="nil"/>
            </w:tcBorders>
            <w:noWrap w:val="0"/>
            <w:vAlign w:val="center"/>
          </w:tcPr>
          <w:p>
            <w:pPr>
              <w:bidi w:val="0"/>
              <w:spacing w:line="240" w:lineRule="auto"/>
              <w:ind w:firstLine="420" w:firstLineChars="200"/>
              <w:jc w:val="left"/>
              <w:rPr>
                <w:rFonts w:hint="default" w:ascii="Times New Roman" w:hAnsi="Times New Roman" w:eastAsia="方正楷体_GB2312" w:cs="Times New Roman"/>
                <w:b w:val="0"/>
                <w:bCs w:val="0"/>
                <w:color w:val="auto"/>
                <w:sz w:val="21"/>
                <w:szCs w:val="21"/>
              </w:rPr>
            </w:pPr>
            <w:r>
              <w:rPr>
                <w:rFonts w:hint="default" w:ascii="Times New Roman" w:hAnsi="Times New Roman" w:eastAsia="方正楷体_GB2312" w:cs="Times New Roman"/>
                <w:b w:val="0"/>
                <w:bCs w:val="0"/>
                <w:color w:val="auto"/>
                <w:sz w:val="21"/>
                <w:szCs w:val="21"/>
              </w:rPr>
              <w:t>工业园区未引进国家明令淘汰和禁止发展的能耗物耗高、环境污染严重、不符合产业政策的建设项目，未引进三类工业企业，未引进水耗高、污水排放量大的工业企业进驻，限制了烟囱设置，确保引入企业达标排放，加强了对现有企业的监管。</w:t>
            </w:r>
          </w:p>
        </w:tc>
        <w:tc>
          <w:tcPr>
            <w:tcW w:w="1139" w:type="dxa"/>
            <w:tcBorders>
              <w:tl2br w:val="nil"/>
              <w:tr2bl w:val="nil"/>
            </w:tcBorders>
            <w:noWrap w:val="0"/>
            <w:vAlign w:val="center"/>
          </w:tcPr>
          <w:p>
            <w:pPr>
              <w:bidi w:val="0"/>
              <w:spacing w:line="240" w:lineRule="auto"/>
              <w:jc w:val="center"/>
              <w:rPr>
                <w:rFonts w:hint="default" w:ascii="Times New Roman" w:hAnsi="Times New Roman" w:eastAsia="方正楷体_GB2312" w:cs="Times New Roman"/>
                <w:b w:val="0"/>
                <w:bCs w:val="0"/>
                <w:color w:val="auto"/>
                <w:sz w:val="21"/>
                <w:szCs w:val="21"/>
                <w:lang w:val="en-US" w:eastAsia="zh-CN"/>
              </w:rPr>
            </w:pPr>
            <w:r>
              <w:rPr>
                <w:rFonts w:hint="default" w:ascii="Times New Roman" w:hAnsi="Times New Roman" w:eastAsia="方正楷体_GB2312" w:cs="Times New Roman"/>
                <w:b w:val="0"/>
                <w:bCs w:val="0"/>
                <w:color w:val="auto"/>
                <w:sz w:val="21"/>
                <w:szCs w:val="21"/>
                <w:lang w:val="en-US" w:eastAsia="zh-CN"/>
              </w:rPr>
              <w:t>已落实</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07" w:hRule="atLeast"/>
        </w:trPr>
        <w:tc>
          <w:tcPr>
            <w:tcW w:w="540" w:type="dxa"/>
            <w:tcBorders>
              <w:tl2br w:val="nil"/>
              <w:tr2bl w:val="nil"/>
            </w:tcBorders>
            <w:noWrap w:val="0"/>
            <w:vAlign w:val="center"/>
          </w:tcPr>
          <w:p>
            <w:pPr>
              <w:bidi w:val="0"/>
              <w:spacing w:line="240" w:lineRule="auto"/>
              <w:jc w:val="center"/>
              <w:rPr>
                <w:rFonts w:hint="default" w:ascii="Times New Roman" w:hAnsi="Times New Roman" w:eastAsia="方正楷体_GB2312" w:cs="Times New Roman"/>
                <w:b w:val="0"/>
                <w:bCs w:val="0"/>
                <w:color w:val="auto"/>
                <w:sz w:val="21"/>
                <w:szCs w:val="21"/>
              </w:rPr>
            </w:pPr>
            <w:r>
              <w:rPr>
                <w:rFonts w:hint="default" w:ascii="Times New Roman" w:hAnsi="Times New Roman" w:eastAsia="方正楷体_GB2312" w:cs="Times New Roman"/>
                <w:b w:val="0"/>
                <w:bCs w:val="0"/>
                <w:color w:val="auto"/>
                <w:sz w:val="21"/>
                <w:szCs w:val="21"/>
              </w:rPr>
              <w:t>3</w:t>
            </w:r>
          </w:p>
        </w:tc>
        <w:tc>
          <w:tcPr>
            <w:tcW w:w="4973" w:type="dxa"/>
            <w:tcBorders>
              <w:tl2br w:val="nil"/>
              <w:tr2bl w:val="nil"/>
            </w:tcBorders>
            <w:noWrap w:val="0"/>
            <w:vAlign w:val="center"/>
          </w:tcPr>
          <w:p>
            <w:pPr>
              <w:bidi w:val="0"/>
              <w:spacing w:line="240" w:lineRule="auto"/>
              <w:ind w:firstLine="420" w:firstLineChars="200"/>
              <w:jc w:val="left"/>
              <w:rPr>
                <w:rFonts w:hint="default" w:ascii="Times New Roman" w:hAnsi="Times New Roman" w:eastAsia="方正楷体_GB2312" w:cs="Times New Roman"/>
                <w:b w:val="0"/>
                <w:bCs w:val="0"/>
                <w:color w:val="auto"/>
                <w:sz w:val="21"/>
                <w:szCs w:val="21"/>
              </w:rPr>
            </w:pPr>
            <w:r>
              <w:rPr>
                <w:rFonts w:hint="default" w:ascii="Times New Roman" w:hAnsi="Times New Roman" w:eastAsia="方正楷体_GB2312" w:cs="Times New Roman"/>
                <w:b w:val="0"/>
                <w:bCs w:val="0"/>
                <w:color w:val="auto"/>
                <w:sz w:val="21"/>
                <w:szCs w:val="21"/>
              </w:rPr>
              <w:t>做好园区谁污染综合防治。园区排水实行雨污分流，按排水规划要求，园区污水管网收集统一进入湘阴县拟建的第二污水处理厂处理后，通过专修排水管道直接排入湘江，严禁排入白水江。在第二污水处理厂建成投运前，将园区工业及生活污水沿现有管网纳入县城第一污水处理厂统一处理。加快第二污水处理厂及配套排水管网建设，按照县政府承诺在2014年底建成投入使用。在园区排水与集中污水处理厂接管运营完成前，园区不得引进水型污染企业，已建企业严格按照《污水综合排放标准》（GB8978-1996）一级标准控制。</w:t>
            </w:r>
          </w:p>
        </w:tc>
        <w:tc>
          <w:tcPr>
            <w:tcW w:w="1870" w:type="dxa"/>
            <w:tcBorders>
              <w:tl2br w:val="nil"/>
              <w:tr2bl w:val="nil"/>
            </w:tcBorders>
            <w:noWrap w:val="0"/>
            <w:vAlign w:val="center"/>
          </w:tcPr>
          <w:p>
            <w:pPr>
              <w:bidi w:val="0"/>
              <w:spacing w:line="240" w:lineRule="auto"/>
              <w:ind w:firstLine="420" w:firstLineChars="200"/>
              <w:jc w:val="left"/>
              <w:rPr>
                <w:rFonts w:hint="default" w:ascii="Times New Roman" w:hAnsi="Times New Roman" w:eastAsia="方正楷体_GB2312" w:cs="Times New Roman"/>
                <w:b w:val="0"/>
                <w:bCs w:val="0"/>
                <w:color w:val="auto"/>
                <w:sz w:val="21"/>
                <w:szCs w:val="21"/>
              </w:rPr>
            </w:pPr>
            <w:r>
              <w:rPr>
                <w:rFonts w:hint="default" w:ascii="Times New Roman" w:hAnsi="Times New Roman" w:eastAsia="方正楷体_GB2312" w:cs="Times New Roman"/>
                <w:b w:val="0"/>
                <w:bCs w:val="0"/>
                <w:color w:val="auto"/>
                <w:sz w:val="21"/>
                <w:szCs w:val="21"/>
              </w:rPr>
              <w:t>已建成道路排水实现了同步的雨污分流，湘阴工业园区内工业、生活废水进行统一处理至满足三级标准要求达标后排入湘阴县第二污水处理厂处理达标后外排。湘阴县第二污水处理厂已投入运行。</w:t>
            </w:r>
          </w:p>
        </w:tc>
        <w:tc>
          <w:tcPr>
            <w:tcW w:w="1139" w:type="dxa"/>
            <w:tcBorders>
              <w:tl2br w:val="nil"/>
              <w:tr2bl w:val="nil"/>
            </w:tcBorders>
            <w:noWrap w:val="0"/>
            <w:vAlign w:val="center"/>
          </w:tcPr>
          <w:p>
            <w:pPr>
              <w:bidi w:val="0"/>
              <w:spacing w:line="240" w:lineRule="auto"/>
              <w:jc w:val="center"/>
              <w:rPr>
                <w:rFonts w:hint="default" w:ascii="Times New Roman" w:hAnsi="Times New Roman" w:eastAsia="方正楷体_GB2312" w:cs="Times New Roman"/>
                <w:b w:val="0"/>
                <w:bCs w:val="0"/>
                <w:color w:val="auto"/>
                <w:sz w:val="21"/>
                <w:szCs w:val="21"/>
              </w:rPr>
            </w:pPr>
            <w:r>
              <w:rPr>
                <w:rFonts w:hint="default" w:ascii="Times New Roman" w:hAnsi="Times New Roman" w:eastAsia="方正楷体_GB2312" w:cs="Times New Roman"/>
                <w:b w:val="0"/>
                <w:bCs w:val="0"/>
                <w:color w:val="auto"/>
                <w:sz w:val="21"/>
                <w:szCs w:val="21"/>
                <w:lang w:val="en-US" w:eastAsia="zh-CN"/>
              </w:rPr>
              <w:t>已落实</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104" w:hRule="atLeast"/>
        </w:trPr>
        <w:tc>
          <w:tcPr>
            <w:tcW w:w="540" w:type="dxa"/>
            <w:tcBorders>
              <w:tl2br w:val="nil"/>
              <w:tr2bl w:val="nil"/>
            </w:tcBorders>
            <w:noWrap w:val="0"/>
            <w:vAlign w:val="center"/>
          </w:tcPr>
          <w:p>
            <w:pPr>
              <w:bidi w:val="0"/>
              <w:spacing w:line="240" w:lineRule="auto"/>
              <w:jc w:val="center"/>
              <w:rPr>
                <w:rFonts w:hint="default" w:ascii="Times New Roman" w:hAnsi="Times New Roman" w:eastAsia="方正楷体_GB2312" w:cs="Times New Roman"/>
                <w:b w:val="0"/>
                <w:bCs w:val="0"/>
                <w:color w:val="auto"/>
                <w:sz w:val="21"/>
                <w:szCs w:val="21"/>
              </w:rPr>
            </w:pPr>
            <w:r>
              <w:rPr>
                <w:rFonts w:hint="default" w:ascii="Times New Roman" w:hAnsi="Times New Roman" w:eastAsia="方正楷体_GB2312" w:cs="Times New Roman"/>
                <w:b w:val="0"/>
                <w:bCs w:val="0"/>
                <w:color w:val="auto"/>
                <w:sz w:val="21"/>
                <w:szCs w:val="21"/>
              </w:rPr>
              <w:t>4</w:t>
            </w:r>
          </w:p>
        </w:tc>
        <w:tc>
          <w:tcPr>
            <w:tcW w:w="4973" w:type="dxa"/>
            <w:tcBorders>
              <w:tl2br w:val="nil"/>
              <w:tr2bl w:val="nil"/>
            </w:tcBorders>
            <w:noWrap w:val="0"/>
            <w:vAlign w:val="center"/>
          </w:tcPr>
          <w:p>
            <w:pPr>
              <w:bidi w:val="0"/>
              <w:spacing w:line="240" w:lineRule="auto"/>
              <w:ind w:firstLine="420" w:firstLineChars="200"/>
              <w:jc w:val="left"/>
              <w:rPr>
                <w:rFonts w:hint="default" w:ascii="Times New Roman" w:hAnsi="Times New Roman" w:eastAsia="方正楷体_GB2312" w:cs="Times New Roman"/>
                <w:b w:val="0"/>
                <w:bCs w:val="0"/>
                <w:color w:val="auto"/>
                <w:sz w:val="21"/>
                <w:szCs w:val="21"/>
              </w:rPr>
            </w:pPr>
            <w:r>
              <w:rPr>
                <w:rFonts w:hint="default" w:ascii="Times New Roman" w:hAnsi="Times New Roman" w:eastAsia="方正楷体_GB2312" w:cs="Times New Roman"/>
                <w:b w:val="0"/>
                <w:bCs w:val="0"/>
                <w:color w:val="auto"/>
                <w:sz w:val="21"/>
                <w:szCs w:val="21"/>
              </w:rPr>
              <w:t>按报告书要求做好工业园内大气污染控制措施，推行清洁生产工艺，近期严格控制4t/h以下燃煤锅炉建设，在天然气接入园区后，应禁止燃煤设施并对现有燃煤锅炉进行清洁能源替代改造。加强园区企业管理，建立园区清洁生产考核机制，对各企业工艺废气产出的生产节点，应配置废气收集与处理净化装置，确保达标排放；将强工艺研究与技术改进，采取有效措施，减少入园企业工艺废气的无组织排放；入园企业各生产装置的废气须处理达到相应的行业排放标准及《大气污染物综合排放标准》中二级标准要求。合理优化工业布局，在工业企业之间设置合理的间隔距离，避免互相干扰影响。</w:t>
            </w:r>
          </w:p>
        </w:tc>
        <w:tc>
          <w:tcPr>
            <w:tcW w:w="1870" w:type="dxa"/>
            <w:tcBorders>
              <w:tl2br w:val="nil"/>
              <w:tr2bl w:val="nil"/>
            </w:tcBorders>
            <w:noWrap w:val="0"/>
            <w:vAlign w:val="center"/>
          </w:tcPr>
          <w:p>
            <w:pPr>
              <w:bidi w:val="0"/>
              <w:spacing w:line="240" w:lineRule="auto"/>
              <w:ind w:firstLine="420" w:firstLineChars="200"/>
              <w:jc w:val="left"/>
              <w:rPr>
                <w:rFonts w:hint="default" w:ascii="Times New Roman" w:hAnsi="Times New Roman" w:eastAsia="方正楷体_GB2312" w:cs="Times New Roman"/>
                <w:b w:val="0"/>
                <w:bCs w:val="0"/>
                <w:color w:val="auto"/>
                <w:sz w:val="21"/>
                <w:szCs w:val="21"/>
              </w:rPr>
            </w:pPr>
            <w:r>
              <w:rPr>
                <w:rFonts w:hint="default" w:ascii="Times New Roman" w:hAnsi="Times New Roman" w:eastAsia="方正楷体_GB2312" w:cs="Times New Roman"/>
                <w:b w:val="0"/>
                <w:bCs w:val="0"/>
                <w:color w:val="auto"/>
                <w:sz w:val="21"/>
                <w:szCs w:val="21"/>
              </w:rPr>
              <w:t>湘阴工业园区内工业使用的能源为燃煤、生物质、电能并存，对各企业有工艺废气配置了废气收集与处理净化装置，做到了达标排放；采取了有效措施，减少工艺废气的无组织废气经处理达标排放。</w:t>
            </w:r>
          </w:p>
        </w:tc>
        <w:tc>
          <w:tcPr>
            <w:tcW w:w="1139" w:type="dxa"/>
            <w:tcBorders>
              <w:tl2br w:val="nil"/>
              <w:tr2bl w:val="nil"/>
            </w:tcBorders>
            <w:noWrap w:val="0"/>
            <w:vAlign w:val="center"/>
          </w:tcPr>
          <w:p>
            <w:pPr>
              <w:bidi w:val="0"/>
              <w:spacing w:line="240" w:lineRule="auto"/>
              <w:jc w:val="center"/>
              <w:rPr>
                <w:rFonts w:hint="default" w:ascii="Times New Roman" w:hAnsi="Times New Roman" w:eastAsia="方正楷体_GB2312" w:cs="Times New Roman"/>
                <w:b w:val="0"/>
                <w:bCs w:val="0"/>
                <w:color w:val="auto"/>
                <w:sz w:val="21"/>
                <w:szCs w:val="21"/>
              </w:rPr>
            </w:pPr>
            <w:r>
              <w:rPr>
                <w:rFonts w:hint="default" w:ascii="Times New Roman" w:hAnsi="Times New Roman" w:eastAsia="方正楷体_GB2312" w:cs="Times New Roman"/>
                <w:b w:val="0"/>
                <w:bCs w:val="0"/>
                <w:color w:val="auto"/>
                <w:sz w:val="21"/>
                <w:szCs w:val="21"/>
                <w:lang w:val="en-US" w:eastAsia="zh-CN"/>
              </w:rPr>
              <w:t>已落实</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540" w:type="dxa"/>
            <w:tcBorders>
              <w:tl2br w:val="nil"/>
              <w:tr2bl w:val="nil"/>
            </w:tcBorders>
            <w:noWrap w:val="0"/>
            <w:vAlign w:val="center"/>
          </w:tcPr>
          <w:p>
            <w:pPr>
              <w:bidi w:val="0"/>
              <w:spacing w:line="240" w:lineRule="auto"/>
              <w:jc w:val="center"/>
              <w:rPr>
                <w:rFonts w:hint="default" w:ascii="Times New Roman" w:hAnsi="Times New Roman" w:eastAsia="方正楷体_GB2312" w:cs="Times New Roman"/>
                <w:b w:val="0"/>
                <w:bCs w:val="0"/>
                <w:color w:val="auto"/>
                <w:sz w:val="21"/>
                <w:szCs w:val="21"/>
              </w:rPr>
            </w:pPr>
            <w:r>
              <w:rPr>
                <w:rFonts w:hint="default" w:ascii="Times New Roman" w:hAnsi="Times New Roman" w:eastAsia="方正楷体_GB2312" w:cs="Times New Roman"/>
                <w:b w:val="0"/>
                <w:bCs w:val="0"/>
                <w:color w:val="auto"/>
                <w:sz w:val="21"/>
                <w:szCs w:val="21"/>
              </w:rPr>
              <w:t>5</w:t>
            </w:r>
          </w:p>
        </w:tc>
        <w:tc>
          <w:tcPr>
            <w:tcW w:w="4973" w:type="dxa"/>
            <w:tcBorders>
              <w:tl2br w:val="nil"/>
              <w:tr2bl w:val="nil"/>
            </w:tcBorders>
            <w:noWrap w:val="0"/>
            <w:vAlign w:val="center"/>
          </w:tcPr>
          <w:p>
            <w:pPr>
              <w:bidi w:val="0"/>
              <w:spacing w:line="240" w:lineRule="auto"/>
              <w:ind w:firstLine="420" w:firstLineChars="200"/>
              <w:jc w:val="left"/>
              <w:rPr>
                <w:rFonts w:hint="default" w:ascii="Times New Roman" w:hAnsi="Times New Roman" w:eastAsia="方正楷体_GB2312" w:cs="Times New Roman"/>
                <w:b w:val="0"/>
                <w:bCs w:val="0"/>
                <w:color w:val="auto"/>
                <w:sz w:val="21"/>
                <w:szCs w:val="21"/>
              </w:rPr>
            </w:pPr>
            <w:r>
              <w:rPr>
                <w:rFonts w:hint="default" w:ascii="Times New Roman" w:hAnsi="Times New Roman" w:eastAsia="方正楷体_GB2312" w:cs="Times New Roman"/>
                <w:b w:val="0"/>
                <w:bCs w:val="0"/>
                <w:color w:val="auto"/>
                <w:sz w:val="21"/>
                <w:szCs w:val="21"/>
              </w:rPr>
              <w:t>做好工业固体废物和生活垃圾的分类收集、转运、综合利用和无害化处理，建立统一的固废收集、贮存、运输、综合利用和安全处置的运营管理体系。推行清洁生产，减少固体废物产生量；加强固体废物的资源化进程，提高综合利用率；规范固体废物处理措施，对工业企业产生固体废物特别是危险废物应按国家有关规定综合利用或妥善处置，严防二次污染。</w:t>
            </w:r>
          </w:p>
        </w:tc>
        <w:tc>
          <w:tcPr>
            <w:tcW w:w="1870" w:type="dxa"/>
            <w:tcBorders>
              <w:tl2br w:val="nil"/>
              <w:tr2bl w:val="nil"/>
            </w:tcBorders>
            <w:noWrap w:val="0"/>
            <w:vAlign w:val="center"/>
          </w:tcPr>
          <w:p>
            <w:pPr>
              <w:bidi w:val="0"/>
              <w:spacing w:line="240" w:lineRule="auto"/>
              <w:ind w:firstLine="420" w:firstLineChars="200"/>
              <w:jc w:val="left"/>
              <w:rPr>
                <w:rFonts w:hint="default" w:ascii="Times New Roman" w:hAnsi="Times New Roman" w:eastAsia="方正楷体_GB2312" w:cs="Times New Roman"/>
                <w:b w:val="0"/>
                <w:bCs w:val="0"/>
                <w:color w:val="auto"/>
                <w:sz w:val="21"/>
                <w:szCs w:val="21"/>
              </w:rPr>
            </w:pPr>
            <w:r>
              <w:rPr>
                <w:rFonts w:hint="default" w:ascii="Times New Roman" w:hAnsi="Times New Roman" w:eastAsia="方正楷体_GB2312" w:cs="Times New Roman"/>
                <w:b w:val="0"/>
                <w:bCs w:val="0"/>
                <w:color w:val="auto"/>
                <w:sz w:val="21"/>
                <w:szCs w:val="21"/>
              </w:rPr>
              <w:t>各企业固废得到综合利用或妥善处置，入园企业产生的危险废物均得到合理处置</w:t>
            </w:r>
          </w:p>
        </w:tc>
        <w:tc>
          <w:tcPr>
            <w:tcW w:w="1139" w:type="dxa"/>
            <w:tcBorders>
              <w:tl2br w:val="nil"/>
              <w:tr2bl w:val="nil"/>
            </w:tcBorders>
            <w:noWrap w:val="0"/>
            <w:vAlign w:val="center"/>
          </w:tcPr>
          <w:p>
            <w:pPr>
              <w:bidi w:val="0"/>
              <w:spacing w:line="240" w:lineRule="auto"/>
              <w:jc w:val="center"/>
              <w:rPr>
                <w:rFonts w:hint="default" w:ascii="Times New Roman" w:hAnsi="Times New Roman" w:eastAsia="方正楷体_GB2312" w:cs="Times New Roman"/>
                <w:b w:val="0"/>
                <w:bCs w:val="0"/>
                <w:color w:val="auto"/>
                <w:sz w:val="21"/>
                <w:szCs w:val="21"/>
                <w:lang w:eastAsia="zh-CN"/>
              </w:rPr>
            </w:pPr>
            <w:r>
              <w:rPr>
                <w:rFonts w:hint="default" w:ascii="Times New Roman" w:hAnsi="Times New Roman" w:eastAsia="方正楷体_GB2312" w:cs="Times New Roman"/>
                <w:b w:val="0"/>
                <w:bCs w:val="0"/>
                <w:color w:val="auto"/>
                <w:sz w:val="21"/>
                <w:szCs w:val="21"/>
                <w:lang w:val="en-US" w:eastAsia="zh-CN"/>
              </w:rPr>
              <w:t>已落实</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40" w:type="dxa"/>
            <w:tcBorders>
              <w:tl2br w:val="nil"/>
              <w:tr2bl w:val="nil"/>
            </w:tcBorders>
            <w:noWrap w:val="0"/>
            <w:vAlign w:val="center"/>
          </w:tcPr>
          <w:p>
            <w:pPr>
              <w:bidi w:val="0"/>
              <w:spacing w:line="240" w:lineRule="auto"/>
              <w:jc w:val="center"/>
              <w:rPr>
                <w:rFonts w:hint="default" w:ascii="Times New Roman" w:hAnsi="Times New Roman" w:eastAsia="方正楷体_GB2312" w:cs="Times New Roman"/>
                <w:b w:val="0"/>
                <w:bCs w:val="0"/>
                <w:color w:val="auto"/>
                <w:sz w:val="21"/>
                <w:szCs w:val="21"/>
              </w:rPr>
            </w:pPr>
            <w:r>
              <w:rPr>
                <w:rFonts w:hint="default" w:ascii="Times New Roman" w:hAnsi="Times New Roman" w:eastAsia="方正楷体_GB2312" w:cs="Times New Roman"/>
                <w:b w:val="0"/>
                <w:bCs w:val="0"/>
                <w:color w:val="auto"/>
                <w:sz w:val="21"/>
                <w:szCs w:val="21"/>
              </w:rPr>
              <w:t>6</w:t>
            </w:r>
          </w:p>
        </w:tc>
        <w:tc>
          <w:tcPr>
            <w:tcW w:w="4973" w:type="dxa"/>
            <w:tcBorders>
              <w:tl2br w:val="nil"/>
              <w:tr2bl w:val="nil"/>
            </w:tcBorders>
            <w:noWrap w:val="0"/>
            <w:vAlign w:val="center"/>
          </w:tcPr>
          <w:p>
            <w:pPr>
              <w:bidi w:val="0"/>
              <w:spacing w:line="240" w:lineRule="auto"/>
              <w:ind w:firstLine="420" w:firstLineChars="200"/>
              <w:jc w:val="left"/>
              <w:rPr>
                <w:rFonts w:hint="default" w:ascii="Times New Roman" w:hAnsi="Times New Roman" w:eastAsia="方正楷体_GB2312" w:cs="Times New Roman"/>
                <w:b w:val="0"/>
                <w:bCs w:val="0"/>
                <w:color w:val="auto"/>
                <w:sz w:val="21"/>
                <w:szCs w:val="21"/>
              </w:rPr>
            </w:pPr>
            <w:r>
              <w:rPr>
                <w:rFonts w:hint="default" w:ascii="Times New Roman" w:hAnsi="Times New Roman" w:eastAsia="方正楷体_GB2312" w:cs="Times New Roman"/>
                <w:b w:val="0"/>
                <w:bCs w:val="0"/>
                <w:color w:val="auto"/>
                <w:sz w:val="21"/>
                <w:szCs w:val="21"/>
              </w:rPr>
              <w:t>工业园区要建立专职的环境监督管理机构，建立健全环境风险事故防范措施和应急预案，严防环境风险事故发生。</w:t>
            </w:r>
          </w:p>
        </w:tc>
        <w:tc>
          <w:tcPr>
            <w:tcW w:w="1870" w:type="dxa"/>
            <w:tcBorders>
              <w:tl2br w:val="nil"/>
              <w:tr2bl w:val="nil"/>
            </w:tcBorders>
            <w:noWrap w:val="0"/>
            <w:vAlign w:val="center"/>
          </w:tcPr>
          <w:p>
            <w:pPr>
              <w:bidi w:val="0"/>
              <w:spacing w:line="240" w:lineRule="auto"/>
              <w:ind w:firstLine="420" w:firstLineChars="200"/>
              <w:jc w:val="left"/>
              <w:rPr>
                <w:rFonts w:hint="default" w:ascii="Times New Roman" w:hAnsi="Times New Roman" w:eastAsia="方正楷体_GB2312" w:cs="Times New Roman"/>
                <w:b w:val="0"/>
                <w:bCs w:val="0"/>
                <w:color w:val="auto"/>
                <w:sz w:val="21"/>
                <w:szCs w:val="21"/>
              </w:rPr>
            </w:pPr>
            <w:r>
              <w:rPr>
                <w:rFonts w:hint="default" w:ascii="Times New Roman" w:hAnsi="Times New Roman" w:eastAsia="方正楷体_GB2312" w:cs="Times New Roman"/>
                <w:b w:val="0"/>
                <w:bCs w:val="0"/>
                <w:color w:val="auto"/>
                <w:sz w:val="21"/>
                <w:szCs w:val="21"/>
              </w:rPr>
              <w:t>设立了工业园区环境管理机构，</w:t>
            </w:r>
            <w:r>
              <w:rPr>
                <w:rFonts w:hint="default" w:ascii="Times New Roman" w:hAnsi="Times New Roman" w:eastAsia="方正楷体_GB2312" w:cs="Times New Roman"/>
                <w:b w:val="0"/>
                <w:bCs w:val="0"/>
                <w:color w:val="auto"/>
                <w:sz w:val="21"/>
                <w:szCs w:val="21"/>
                <w:highlight w:val="none"/>
              </w:rPr>
              <w:t>建立</w:t>
            </w:r>
            <w:r>
              <w:rPr>
                <w:rFonts w:hint="default" w:ascii="Times New Roman" w:hAnsi="Times New Roman" w:eastAsia="方正楷体_GB2312" w:cs="Times New Roman"/>
                <w:b w:val="0"/>
                <w:bCs w:val="0"/>
                <w:color w:val="auto"/>
                <w:sz w:val="21"/>
                <w:szCs w:val="21"/>
                <w:highlight w:val="none"/>
                <w:lang w:val="en-US" w:eastAsia="zh-CN"/>
              </w:rPr>
              <w:t>了</w:t>
            </w:r>
            <w:r>
              <w:rPr>
                <w:rFonts w:hint="default" w:ascii="Times New Roman" w:hAnsi="Times New Roman" w:eastAsia="方正楷体_GB2312" w:cs="Times New Roman"/>
                <w:b w:val="0"/>
                <w:bCs w:val="0"/>
                <w:color w:val="auto"/>
                <w:sz w:val="21"/>
                <w:szCs w:val="21"/>
                <w:highlight w:val="none"/>
              </w:rPr>
              <w:t>环境风险事故防范措施和应急预案。</w:t>
            </w:r>
          </w:p>
        </w:tc>
        <w:tc>
          <w:tcPr>
            <w:tcW w:w="1139" w:type="dxa"/>
            <w:tcBorders>
              <w:tl2br w:val="nil"/>
              <w:tr2bl w:val="nil"/>
            </w:tcBorders>
            <w:noWrap w:val="0"/>
            <w:vAlign w:val="center"/>
          </w:tcPr>
          <w:p>
            <w:pPr>
              <w:bidi w:val="0"/>
              <w:spacing w:line="240" w:lineRule="auto"/>
              <w:jc w:val="center"/>
              <w:rPr>
                <w:rFonts w:hint="default" w:ascii="Times New Roman" w:hAnsi="Times New Roman" w:eastAsia="方正楷体_GB2312" w:cs="Times New Roman"/>
                <w:b w:val="0"/>
                <w:bCs w:val="0"/>
                <w:color w:val="auto"/>
                <w:sz w:val="21"/>
                <w:szCs w:val="21"/>
                <w:lang w:eastAsia="zh-CN"/>
              </w:rPr>
            </w:pPr>
            <w:r>
              <w:rPr>
                <w:rFonts w:hint="default" w:ascii="Times New Roman" w:hAnsi="Times New Roman" w:eastAsia="方正楷体_GB2312" w:cs="Times New Roman"/>
                <w:b w:val="0"/>
                <w:bCs w:val="0"/>
                <w:color w:val="auto"/>
                <w:sz w:val="21"/>
                <w:szCs w:val="21"/>
                <w:lang w:val="en-US" w:eastAsia="zh-CN"/>
              </w:rPr>
              <w:t>已落实</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540" w:type="dxa"/>
            <w:tcBorders>
              <w:tl2br w:val="nil"/>
              <w:tr2bl w:val="nil"/>
            </w:tcBorders>
            <w:noWrap w:val="0"/>
            <w:vAlign w:val="center"/>
          </w:tcPr>
          <w:p>
            <w:pPr>
              <w:bidi w:val="0"/>
              <w:spacing w:line="240" w:lineRule="auto"/>
              <w:jc w:val="center"/>
              <w:rPr>
                <w:rFonts w:hint="default" w:ascii="Times New Roman" w:hAnsi="Times New Roman" w:eastAsia="方正楷体_GB2312" w:cs="Times New Roman"/>
                <w:b w:val="0"/>
                <w:bCs w:val="0"/>
                <w:color w:val="auto"/>
                <w:sz w:val="21"/>
                <w:szCs w:val="21"/>
              </w:rPr>
            </w:pPr>
            <w:r>
              <w:rPr>
                <w:rFonts w:hint="default" w:ascii="Times New Roman" w:hAnsi="Times New Roman" w:eastAsia="方正楷体_GB2312" w:cs="Times New Roman"/>
                <w:b w:val="0"/>
                <w:bCs w:val="0"/>
                <w:color w:val="auto"/>
                <w:sz w:val="21"/>
                <w:szCs w:val="21"/>
              </w:rPr>
              <w:t>7</w:t>
            </w:r>
          </w:p>
        </w:tc>
        <w:tc>
          <w:tcPr>
            <w:tcW w:w="4973" w:type="dxa"/>
            <w:tcBorders>
              <w:tl2br w:val="nil"/>
              <w:tr2bl w:val="nil"/>
            </w:tcBorders>
            <w:noWrap w:val="0"/>
            <w:vAlign w:val="center"/>
          </w:tcPr>
          <w:p>
            <w:pPr>
              <w:bidi w:val="0"/>
              <w:spacing w:line="240" w:lineRule="auto"/>
              <w:ind w:firstLine="420" w:firstLineChars="200"/>
              <w:jc w:val="left"/>
              <w:rPr>
                <w:rFonts w:hint="default" w:ascii="Times New Roman" w:hAnsi="Times New Roman" w:eastAsia="方正楷体_GB2312" w:cs="Times New Roman"/>
                <w:b w:val="0"/>
                <w:bCs w:val="0"/>
                <w:color w:val="auto"/>
                <w:sz w:val="21"/>
                <w:szCs w:val="21"/>
              </w:rPr>
            </w:pPr>
            <w:r>
              <w:rPr>
                <w:rFonts w:hint="default" w:ascii="Times New Roman" w:hAnsi="Times New Roman" w:eastAsia="方正楷体_GB2312" w:cs="Times New Roman"/>
                <w:b w:val="0"/>
                <w:bCs w:val="0"/>
                <w:color w:val="auto"/>
                <w:sz w:val="21"/>
                <w:szCs w:val="21"/>
              </w:rPr>
              <w:t>按工业园区的分期开发规划统筹制定拆迁安置方案，落实移民生产生活安置措施，防止移民再次安置和次生环境问题。</w:t>
            </w:r>
          </w:p>
        </w:tc>
        <w:tc>
          <w:tcPr>
            <w:tcW w:w="1870" w:type="dxa"/>
            <w:tcBorders>
              <w:tl2br w:val="nil"/>
              <w:tr2bl w:val="nil"/>
            </w:tcBorders>
            <w:noWrap w:val="0"/>
            <w:vAlign w:val="center"/>
          </w:tcPr>
          <w:p>
            <w:pPr>
              <w:bidi w:val="0"/>
              <w:spacing w:line="240" w:lineRule="auto"/>
              <w:jc w:val="left"/>
              <w:rPr>
                <w:rFonts w:hint="default" w:ascii="Times New Roman" w:hAnsi="Times New Roman" w:eastAsia="方正楷体_GB2312" w:cs="Times New Roman"/>
                <w:b w:val="0"/>
                <w:bCs w:val="0"/>
                <w:color w:val="auto"/>
                <w:sz w:val="21"/>
                <w:szCs w:val="21"/>
              </w:rPr>
            </w:pPr>
            <w:r>
              <w:rPr>
                <w:rFonts w:hint="default" w:ascii="Times New Roman" w:hAnsi="Times New Roman" w:eastAsia="方正楷体_GB2312" w:cs="Times New Roman"/>
                <w:b w:val="0"/>
                <w:bCs w:val="0"/>
                <w:color w:val="auto"/>
                <w:sz w:val="21"/>
                <w:szCs w:val="21"/>
              </w:rPr>
              <w:t>实现了拆迁安置。</w:t>
            </w:r>
          </w:p>
        </w:tc>
        <w:tc>
          <w:tcPr>
            <w:tcW w:w="1139" w:type="dxa"/>
            <w:tcBorders>
              <w:tl2br w:val="nil"/>
              <w:tr2bl w:val="nil"/>
            </w:tcBorders>
            <w:noWrap w:val="0"/>
            <w:vAlign w:val="center"/>
          </w:tcPr>
          <w:p>
            <w:pPr>
              <w:bidi w:val="0"/>
              <w:spacing w:line="240" w:lineRule="auto"/>
              <w:jc w:val="center"/>
              <w:rPr>
                <w:rFonts w:hint="default" w:ascii="Times New Roman" w:hAnsi="Times New Roman" w:eastAsia="方正楷体_GB2312" w:cs="Times New Roman"/>
                <w:b w:val="0"/>
                <w:bCs w:val="0"/>
                <w:color w:val="auto"/>
                <w:sz w:val="21"/>
                <w:szCs w:val="21"/>
              </w:rPr>
            </w:pPr>
            <w:r>
              <w:rPr>
                <w:rFonts w:hint="default" w:ascii="Times New Roman" w:hAnsi="Times New Roman" w:eastAsia="方正楷体_GB2312" w:cs="Times New Roman"/>
                <w:b w:val="0"/>
                <w:bCs w:val="0"/>
                <w:color w:val="auto"/>
                <w:sz w:val="21"/>
                <w:szCs w:val="21"/>
                <w:lang w:val="en-US" w:eastAsia="zh-CN"/>
              </w:rPr>
              <w:t>已落实</w:t>
            </w:r>
          </w:p>
        </w:tc>
      </w:tr>
    </w:tbl>
    <w:p>
      <w:pPr>
        <w:pStyle w:val="15"/>
        <w:snapToGrid w:val="0"/>
        <w:spacing w:after="0" w:line="600" w:lineRule="exact"/>
        <w:ind w:left="0" w:leftChars="0" w:firstLine="64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湘阴高新区2022年度环境质量监测方案见下表：</w:t>
      </w:r>
    </w:p>
    <w:tbl>
      <w:tblPr>
        <w:tblStyle w:val="16"/>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1739"/>
        <w:gridCol w:w="1964"/>
        <w:gridCol w:w="1712"/>
        <w:gridCol w:w="2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196" w:type="dxa"/>
            <w:shd w:val="clear" w:color="auto" w:fill="A4A4A4"/>
            <w:noWrap w:val="0"/>
            <w:vAlign w:val="center"/>
          </w:tcPr>
          <w:p>
            <w:pPr>
              <w:jc w:val="center"/>
              <w:rPr>
                <w:rFonts w:hint="default" w:ascii="Times New Roman" w:hAnsi="Times New Roman" w:eastAsia="仿宋_GB2312" w:cs="Times New Roman"/>
                <w:b/>
                <w:bCs w:val="0"/>
                <w:color w:val="auto"/>
                <w:sz w:val="24"/>
                <w:lang w:val="en-US" w:eastAsia="zh-CN"/>
              </w:rPr>
            </w:pPr>
            <w:r>
              <w:rPr>
                <w:rFonts w:hint="default" w:ascii="Times New Roman" w:hAnsi="Times New Roman" w:eastAsia="仿宋_GB2312" w:cs="Times New Roman"/>
                <w:b/>
                <w:bCs w:val="0"/>
                <w:color w:val="auto"/>
                <w:sz w:val="24"/>
                <w:lang w:val="en-US" w:eastAsia="zh-CN"/>
              </w:rPr>
              <w:t>监测对象</w:t>
            </w:r>
          </w:p>
        </w:tc>
        <w:tc>
          <w:tcPr>
            <w:tcW w:w="1739" w:type="dxa"/>
            <w:shd w:val="clear" w:color="auto" w:fill="A4A4A4"/>
            <w:noWrap w:val="0"/>
            <w:vAlign w:val="center"/>
          </w:tcPr>
          <w:p>
            <w:pPr>
              <w:jc w:val="center"/>
              <w:rPr>
                <w:rFonts w:hint="default" w:ascii="Times New Roman" w:hAnsi="Times New Roman" w:eastAsia="仿宋_GB2312" w:cs="Times New Roman"/>
                <w:b/>
                <w:bCs w:val="0"/>
                <w:color w:val="auto"/>
                <w:sz w:val="24"/>
                <w:lang w:val="en-US" w:eastAsia="zh-CN"/>
              </w:rPr>
            </w:pPr>
            <w:r>
              <w:rPr>
                <w:rFonts w:hint="default" w:ascii="Times New Roman" w:hAnsi="Times New Roman" w:eastAsia="仿宋_GB2312" w:cs="Times New Roman"/>
                <w:b/>
                <w:bCs w:val="0"/>
                <w:color w:val="auto"/>
                <w:sz w:val="24"/>
                <w:lang w:val="en-US" w:eastAsia="zh-CN"/>
              </w:rPr>
              <w:t>监测点位</w:t>
            </w:r>
          </w:p>
        </w:tc>
        <w:tc>
          <w:tcPr>
            <w:tcW w:w="1964" w:type="dxa"/>
            <w:shd w:val="clear" w:color="auto" w:fill="A4A4A4"/>
            <w:noWrap w:val="0"/>
            <w:vAlign w:val="center"/>
          </w:tcPr>
          <w:p>
            <w:pPr>
              <w:jc w:val="center"/>
              <w:rPr>
                <w:rFonts w:hint="default" w:ascii="Times New Roman" w:hAnsi="Times New Roman" w:eastAsia="仿宋_GB2312" w:cs="Times New Roman"/>
                <w:b/>
                <w:bCs w:val="0"/>
                <w:color w:val="auto"/>
                <w:sz w:val="24"/>
                <w:lang w:val="en-US" w:eastAsia="zh-CN"/>
              </w:rPr>
            </w:pPr>
            <w:r>
              <w:rPr>
                <w:rFonts w:hint="default" w:ascii="Times New Roman" w:hAnsi="Times New Roman" w:eastAsia="仿宋_GB2312" w:cs="Times New Roman"/>
                <w:b/>
                <w:bCs w:val="0"/>
                <w:color w:val="auto"/>
                <w:sz w:val="24"/>
                <w:lang w:val="en-US" w:eastAsia="zh-CN"/>
              </w:rPr>
              <w:t>监测项目</w:t>
            </w:r>
          </w:p>
        </w:tc>
        <w:tc>
          <w:tcPr>
            <w:tcW w:w="1712" w:type="dxa"/>
            <w:shd w:val="clear" w:color="auto" w:fill="A4A4A4"/>
            <w:noWrap w:val="0"/>
            <w:vAlign w:val="center"/>
          </w:tcPr>
          <w:p>
            <w:pPr>
              <w:jc w:val="center"/>
              <w:rPr>
                <w:rFonts w:hint="default" w:ascii="Times New Roman" w:hAnsi="Times New Roman" w:eastAsia="仿宋_GB2312" w:cs="Times New Roman"/>
                <w:b/>
                <w:bCs w:val="0"/>
                <w:color w:val="auto"/>
                <w:sz w:val="24"/>
                <w:lang w:val="en-US" w:eastAsia="zh-CN"/>
              </w:rPr>
            </w:pPr>
            <w:r>
              <w:rPr>
                <w:rFonts w:hint="default" w:ascii="Times New Roman" w:hAnsi="Times New Roman" w:eastAsia="仿宋_GB2312" w:cs="Times New Roman"/>
                <w:b/>
                <w:bCs w:val="0"/>
                <w:color w:val="auto"/>
                <w:sz w:val="24"/>
                <w:lang w:val="en-US" w:eastAsia="zh-CN"/>
              </w:rPr>
              <w:t>监测频次</w:t>
            </w:r>
          </w:p>
        </w:tc>
        <w:tc>
          <w:tcPr>
            <w:tcW w:w="2215" w:type="dxa"/>
            <w:shd w:val="clear" w:color="auto" w:fill="A4A4A4"/>
            <w:noWrap w:val="0"/>
            <w:vAlign w:val="center"/>
          </w:tcPr>
          <w:p>
            <w:pPr>
              <w:jc w:val="center"/>
              <w:rPr>
                <w:rFonts w:hint="default" w:ascii="Times New Roman" w:hAnsi="Times New Roman" w:eastAsia="仿宋_GB2312" w:cs="Times New Roman"/>
                <w:b/>
                <w:bCs w:val="0"/>
                <w:color w:val="auto"/>
                <w:sz w:val="24"/>
                <w:lang w:val="en-US" w:eastAsia="zh-CN"/>
              </w:rPr>
            </w:pPr>
            <w:r>
              <w:rPr>
                <w:rFonts w:hint="default" w:ascii="Times New Roman" w:hAnsi="Times New Roman" w:eastAsia="仿宋_GB2312" w:cs="Times New Roman"/>
                <w:b/>
                <w:bCs w:val="0"/>
                <w:color w:val="auto"/>
                <w:sz w:val="24"/>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96" w:type="dxa"/>
            <w:vMerge w:val="restart"/>
            <w:noWrap w:val="0"/>
            <w:vAlign w:val="center"/>
          </w:tcPr>
          <w:p>
            <w:pPr>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大气环境</w:t>
            </w:r>
          </w:p>
        </w:tc>
        <w:tc>
          <w:tcPr>
            <w:tcW w:w="1739" w:type="dxa"/>
            <w:noWrap w:val="0"/>
            <w:vAlign w:val="center"/>
          </w:tcPr>
          <w:p>
            <w:pPr>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三峰社区</w:t>
            </w:r>
          </w:p>
        </w:tc>
        <w:tc>
          <w:tcPr>
            <w:tcW w:w="1964" w:type="dxa"/>
            <w:vMerge w:val="restart"/>
            <w:noWrap w:val="0"/>
            <w:vAlign w:val="center"/>
          </w:tcPr>
          <w:p>
            <w:pPr>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甲苯、二甲苯、硫酸雾、氯化氢、TVOC及非甲烷总烃</w:t>
            </w:r>
          </w:p>
        </w:tc>
        <w:tc>
          <w:tcPr>
            <w:tcW w:w="1712" w:type="dxa"/>
            <w:vMerge w:val="restart"/>
            <w:noWrap w:val="0"/>
            <w:vAlign w:val="center"/>
          </w:tcPr>
          <w:p>
            <w:pPr>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每年冬季监测一次，每次监测7天。</w:t>
            </w:r>
          </w:p>
          <w:p>
            <w:pPr>
              <w:jc w:val="center"/>
              <w:rPr>
                <w:rFonts w:hint="default" w:ascii="Times New Roman" w:hAnsi="Times New Roman" w:eastAsia="仿宋_GB2312" w:cs="Times New Roman"/>
                <w:color w:val="auto"/>
                <w:sz w:val="24"/>
                <w:lang w:val="en-US" w:eastAsia="zh-CN"/>
              </w:rPr>
            </w:pPr>
          </w:p>
        </w:tc>
        <w:tc>
          <w:tcPr>
            <w:tcW w:w="2215" w:type="dxa"/>
            <w:vMerge w:val="restart"/>
            <w:noWrap w:val="0"/>
            <w:vAlign w:val="center"/>
          </w:tcPr>
          <w:p>
            <w:pPr>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环境空气质量标准（GB3095-2012）二级标准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96" w:type="dxa"/>
            <w:vMerge w:val="continue"/>
            <w:noWrap w:val="0"/>
            <w:vAlign w:val="center"/>
          </w:tcPr>
          <w:p>
            <w:pPr>
              <w:jc w:val="center"/>
              <w:rPr>
                <w:rFonts w:hint="default" w:ascii="Times New Roman" w:hAnsi="Times New Roman" w:eastAsia="仿宋_GB2312" w:cs="Times New Roman"/>
                <w:color w:val="auto"/>
                <w:sz w:val="24"/>
                <w:lang w:val="en-US" w:eastAsia="zh-CN"/>
              </w:rPr>
            </w:pPr>
          </w:p>
        </w:tc>
        <w:tc>
          <w:tcPr>
            <w:tcW w:w="1739" w:type="dxa"/>
            <w:noWrap w:val="0"/>
            <w:vAlign w:val="center"/>
          </w:tcPr>
          <w:p>
            <w:pPr>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城关中学</w:t>
            </w:r>
          </w:p>
        </w:tc>
        <w:tc>
          <w:tcPr>
            <w:tcW w:w="1964" w:type="dxa"/>
            <w:vMerge w:val="continue"/>
            <w:noWrap w:val="0"/>
            <w:vAlign w:val="center"/>
          </w:tcPr>
          <w:p>
            <w:pPr>
              <w:jc w:val="center"/>
              <w:rPr>
                <w:rFonts w:hint="default" w:ascii="Times New Roman" w:hAnsi="Times New Roman" w:eastAsia="仿宋_GB2312" w:cs="Times New Roman"/>
                <w:color w:val="auto"/>
                <w:sz w:val="24"/>
                <w:lang w:val="en-US" w:eastAsia="zh-CN"/>
              </w:rPr>
            </w:pPr>
          </w:p>
        </w:tc>
        <w:tc>
          <w:tcPr>
            <w:tcW w:w="1712" w:type="dxa"/>
            <w:vMerge w:val="continue"/>
            <w:noWrap w:val="0"/>
            <w:vAlign w:val="center"/>
          </w:tcPr>
          <w:p>
            <w:pPr>
              <w:jc w:val="center"/>
              <w:rPr>
                <w:rFonts w:hint="default" w:ascii="Times New Roman" w:hAnsi="Times New Roman" w:eastAsia="仿宋_GB2312" w:cs="Times New Roman"/>
                <w:color w:val="auto"/>
                <w:sz w:val="24"/>
                <w:lang w:val="en-US" w:eastAsia="zh-CN"/>
              </w:rPr>
            </w:pPr>
          </w:p>
        </w:tc>
        <w:tc>
          <w:tcPr>
            <w:tcW w:w="2215" w:type="dxa"/>
            <w:vMerge w:val="continue"/>
            <w:noWrap w:val="0"/>
            <w:vAlign w:val="center"/>
          </w:tcPr>
          <w:p>
            <w:pPr>
              <w:jc w:val="center"/>
              <w:rPr>
                <w:rFonts w:hint="default" w:ascii="Times New Roman" w:hAnsi="Times New Roman" w:eastAsia="仿宋_GB2312" w:cs="Times New Roman"/>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96" w:type="dxa"/>
            <w:vMerge w:val="continue"/>
            <w:noWrap w:val="0"/>
            <w:vAlign w:val="center"/>
          </w:tcPr>
          <w:p>
            <w:pPr>
              <w:jc w:val="center"/>
              <w:rPr>
                <w:rFonts w:hint="default" w:ascii="Times New Roman" w:hAnsi="Times New Roman" w:eastAsia="仿宋_GB2312" w:cs="Times New Roman"/>
                <w:color w:val="auto"/>
                <w:sz w:val="24"/>
                <w:lang w:val="en-US" w:eastAsia="zh-CN"/>
              </w:rPr>
            </w:pPr>
          </w:p>
        </w:tc>
        <w:tc>
          <w:tcPr>
            <w:tcW w:w="1739" w:type="dxa"/>
            <w:noWrap w:val="0"/>
            <w:vAlign w:val="center"/>
          </w:tcPr>
          <w:p>
            <w:pPr>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知源学校</w:t>
            </w:r>
          </w:p>
        </w:tc>
        <w:tc>
          <w:tcPr>
            <w:tcW w:w="1964" w:type="dxa"/>
            <w:vMerge w:val="continue"/>
            <w:noWrap w:val="0"/>
            <w:vAlign w:val="center"/>
          </w:tcPr>
          <w:p>
            <w:pPr>
              <w:jc w:val="center"/>
              <w:rPr>
                <w:rFonts w:hint="default" w:ascii="Times New Roman" w:hAnsi="Times New Roman" w:eastAsia="仿宋_GB2312" w:cs="Times New Roman"/>
                <w:color w:val="auto"/>
                <w:sz w:val="24"/>
                <w:lang w:val="en-US" w:eastAsia="zh-CN"/>
              </w:rPr>
            </w:pPr>
          </w:p>
        </w:tc>
        <w:tc>
          <w:tcPr>
            <w:tcW w:w="1712" w:type="dxa"/>
            <w:vMerge w:val="continue"/>
            <w:noWrap w:val="0"/>
            <w:vAlign w:val="center"/>
          </w:tcPr>
          <w:p>
            <w:pPr>
              <w:jc w:val="center"/>
              <w:rPr>
                <w:rFonts w:hint="default" w:ascii="Times New Roman" w:hAnsi="Times New Roman" w:eastAsia="仿宋_GB2312" w:cs="Times New Roman"/>
                <w:color w:val="auto"/>
                <w:sz w:val="24"/>
                <w:lang w:val="en-US" w:eastAsia="zh-CN"/>
              </w:rPr>
            </w:pPr>
          </w:p>
        </w:tc>
        <w:tc>
          <w:tcPr>
            <w:tcW w:w="2215" w:type="dxa"/>
            <w:vMerge w:val="continue"/>
            <w:noWrap w:val="0"/>
            <w:vAlign w:val="center"/>
          </w:tcPr>
          <w:p>
            <w:pPr>
              <w:jc w:val="center"/>
              <w:rPr>
                <w:rFonts w:hint="default" w:ascii="Times New Roman" w:hAnsi="Times New Roman" w:eastAsia="仿宋_GB2312" w:cs="Times New Roman"/>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96" w:type="dxa"/>
            <w:vMerge w:val="continue"/>
            <w:noWrap w:val="0"/>
            <w:vAlign w:val="center"/>
          </w:tcPr>
          <w:p>
            <w:pPr>
              <w:jc w:val="center"/>
              <w:rPr>
                <w:rFonts w:hint="default" w:ascii="Times New Roman" w:hAnsi="Times New Roman" w:eastAsia="仿宋_GB2312" w:cs="Times New Roman"/>
                <w:color w:val="auto"/>
                <w:sz w:val="24"/>
                <w:lang w:val="en-US" w:eastAsia="zh-CN"/>
              </w:rPr>
            </w:pPr>
          </w:p>
        </w:tc>
        <w:tc>
          <w:tcPr>
            <w:tcW w:w="1739" w:type="dxa"/>
            <w:noWrap w:val="0"/>
            <w:vAlign w:val="center"/>
          </w:tcPr>
          <w:p>
            <w:pPr>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袁家铺中学</w:t>
            </w:r>
          </w:p>
        </w:tc>
        <w:tc>
          <w:tcPr>
            <w:tcW w:w="1964" w:type="dxa"/>
            <w:vMerge w:val="continue"/>
            <w:noWrap w:val="0"/>
            <w:vAlign w:val="center"/>
          </w:tcPr>
          <w:p>
            <w:pPr>
              <w:jc w:val="center"/>
              <w:rPr>
                <w:rFonts w:hint="default" w:ascii="Times New Roman" w:hAnsi="Times New Roman" w:eastAsia="仿宋_GB2312" w:cs="Times New Roman"/>
                <w:color w:val="auto"/>
                <w:sz w:val="24"/>
                <w:lang w:val="en-US" w:eastAsia="zh-CN"/>
              </w:rPr>
            </w:pPr>
          </w:p>
        </w:tc>
        <w:tc>
          <w:tcPr>
            <w:tcW w:w="1712" w:type="dxa"/>
            <w:vMerge w:val="continue"/>
            <w:noWrap w:val="0"/>
            <w:vAlign w:val="center"/>
          </w:tcPr>
          <w:p>
            <w:pPr>
              <w:jc w:val="center"/>
              <w:rPr>
                <w:rFonts w:hint="default" w:ascii="Times New Roman" w:hAnsi="Times New Roman" w:eastAsia="仿宋_GB2312" w:cs="Times New Roman"/>
                <w:color w:val="auto"/>
                <w:sz w:val="24"/>
                <w:lang w:val="en-US" w:eastAsia="zh-CN"/>
              </w:rPr>
            </w:pPr>
          </w:p>
        </w:tc>
        <w:tc>
          <w:tcPr>
            <w:tcW w:w="2215" w:type="dxa"/>
            <w:vMerge w:val="continue"/>
            <w:noWrap w:val="0"/>
            <w:vAlign w:val="center"/>
          </w:tcPr>
          <w:p>
            <w:pPr>
              <w:jc w:val="center"/>
              <w:rPr>
                <w:rFonts w:hint="default" w:ascii="Times New Roman" w:hAnsi="Times New Roman" w:eastAsia="仿宋_GB2312" w:cs="Times New Roman"/>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96" w:type="dxa"/>
            <w:vMerge w:val="continue"/>
            <w:noWrap w:val="0"/>
            <w:vAlign w:val="center"/>
          </w:tcPr>
          <w:p>
            <w:pPr>
              <w:jc w:val="center"/>
              <w:rPr>
                <w:rFonts w:hint="default" w:ascii="Times New Roman" w:hAnsi="Times New Roman" w:eastAsia="仿宋_GB2312" w:cs="Times New Roman"/>
                <w:color w:val="auto"/>
                <w:sz w:val="24"/>
                <w:lang w:val="en-US" w:eastAsia="zh-CN"/>
              </w:rPr>
            </w:pPr>
          </w:p>
        </w:tc>
        <w:tc>
          <w:tcPr>
            <w:tcW w:w="1739" w:type="dxa"/>
            <w:noWrap w:val="0"/>
            <w:vAlign w:val="center"/>
          </w:tcPr>
          <w:p>
            <w:pPr>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金龙村</w:t>
            </w:r>
          </w:p>
        </w:tc>
        <w:tc>
          <w:tcPr>
            <w:tcW w:w="1964" w:type="dxa"/>
            <w:vMerge w:val="continue"/>
            <w:noWrap w:val="0"/>
            <w:vAlign w:val="center"/>
          </w:tcPr>
          <w:p>
            <w:pPr>
              <w:jc w:val="center"/>
              <w:rPr>
                <w:rFonts w:hint="default" w:ascii="Times New Roman" w:hAnsi="Times New Roman" w:eastAsia="仿宋_GB2312" w:cs="Times New Roman"/>
                <w:color w:val="auto"/>
                <w:sz w:val="24"/>
                <w:lang w:val="en-US" w:eastAsia="zh-CN"/>
              </w:rPr>
            </w:pPr>
          </w:p>
        </w:tc>
        <w:tc>
          <w:tcPr>
            <w:tcW w:w="1712" w:type="dxa"/>
            <w:vMerge w:val="continue"/>
            <w:noWrap w:val="0"/>
            <w:vAlign w:val="center"/>
          </w:tcPr>
          <w:p>
            <w:pPr>
              <w:jc w:val="center"/>
              <w:rPr>
                <w:rFonts w:hint="default" w:ascii="Times New Roman" w:hAnsi="Times New Roman" w:eastAsia="仿宋_GB2312" w:cs="Times New Roman"/>
                <w:color w:val="auto"/>
                <w:sz w:val="24"/>
                <w:lang w:val="en-US" w:eastAsia="zh-CN"/>
              </w:rPr>
            </w:pPr>
          </w:p>
        </w:tc>
        <w:tc>
          <w:tcPr>
            <w:tcW w:w="2215" w:type="dxa"/>
            <w:vMerge w:val="continue"/>
            <w:noWrap w:val="0"/>
            <w:vAlign w:val="center"/>
          </w:tcPr>
          <w:p>
            <w:pPr>
              <w:jc w:val="center"/>
              <w:rPr>
                <w:rFonts w:hint="default" w:ascii="Times New Roman" w:hAnsi="Times New Roman" w:eastAsia="仿宋_GB2312" w:cs="Times New Roman"/>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96" w:type="dxa"/>
            <w:vMerge w:val="continue"/>
            <w:noWrap w:val="0"/>
            <w:vAlign w:val="center"/>
          </w:tcPr>
          <w:p>
            <w:pPr>
              <w:jc w:val="center"/>
              <w:rPr>
                <w:rFonts w:hint="default" w:ascii="Times New Roman" w:hAnsi="Times New Roman" w:eastAsia="仿宋_GB2312" w:cs="Times New Roman"/>
                <w:color w:val="auto"/>
                <w:sz w:val="24"/>
                <w:lang w:val="en-US" w:eastAsia="zh-CN"/>
              </w:rPr>
            </w:pPr>
          </w:p>
        </w:tc>
        <w:tc>
          <w:tcPr>
            <w:tcW w:w="1739" w:type="dxa"/>
            <w:noWrap w:val="0"/>
            <w:vAlign w:val="center"/>
          </w:tcPr>
          <w:p>
            <w:pPr>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木家园</w:t>
            </w:r>
          </w:p>
        </w:tc>
        <w:tc>
          <w:tcPr>
            <w:tcW w:w="1964" w:type="dxa"/>
            <w:vMerge w:val="continue"/>
            <w:noWrap w:val="0"/>
            <w:vAlign w:val="center"/>
          </w:tcPr>
          <w:p>
            <w:pPr>
              <w:jc w:val="center"/>
              <w:rPr>
                <w:rFonts w:hint="default" w:ascii="Times New Roman" w:hAnsi="Times New Roman" w:eastAsia="仿宋_GB2312" w:cs="Times New Roman"/>
                <w:color w:val="auto"/>
                <w:sz w:val="24"/>
                <w:lang w:val="en-US" w:eastAsia="zh-CN"/>
              </w:rPr>
            </w:pPr>
          </w:p>
        </w:tc>
        <w:tc>
          <w:tcPr>
            <w:tcW w:w="1712" w:type="dxa"/>
            <w:vMerge w:val="continue"/>
            <w:noWrap w:val="0"/>
            <w:vAlign w:val="center"/>
          </w:tcPr>
          <w:p>
            <w:pPr>
              <w:jc w:val="center"/>
              <w:rPr>
                <w:rFonts w:hint="default" w:ascii="Times New Roman" w:hAnsi="Times New Roman" w:eastAsia="仿宋_GB2312" w:cs="Times New Roman"/>
                <w:color w:val="auto"/>
                <w:sz w:val="24"/>
                <w:lang w:val="en-US" w:eastAsia="zh-CN"/>
              </w:rPr>
            </w:pPr>
          </w:p>
        </w:tc>
        <w:tc>
          <w:tcPr>
            <w:tcW w:w="2215" w:type="dxa"/>
            <w:vMerge w:val="continue"/>
            <w:noWrap w:val="0"/>
            <w:vAlign w:val="center"/>
          </w:tcPr>
          <w:p>
            <w:pPr>
              <w:jc w:val="center"/>
              <w:rPr>
                <w:rFonts w:hint="default" w:ascii="Times New Roman" w:hAnsi="Times New Roman" w:eastAsia="仿宋_GB2312" w:cs="Times New Roman"/>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96" w:type="dxa"/>
            <w:vMerge w:val="restart"/>
            <w:noWrap w:val="0"/>
            <w:vAlign w:val="center"/>
          </w:tcPr>
          <w:p>
            <w:pPr>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水环境—地上水</w:t>
            </w:r>
          </w:p>
        </w:tc>
        <w:tc>
          <w:tcPr>
            <w:tcW w:w="1739" w:type="dxa"/>
            <w:noWrap w:val="0"/>
            <w:vAlign w:val="center"/>
          </w:tcPr>
          <w:p>
            <w:pPr>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湘阴县第三污水处理厂排污口上游约0.5km</w:t>
            </w:r>
          </w:p>
        </w:tc>
        <w:tc>
          <w:tcPr>
            <w:tcW w:w="1964" w:type="dxa"/>
            <w:vMerge w:val="restart"/>
            <w:noWrap w:val="0"/>
            <w:vAlign w:val="center"/>
          </w:tcPr>
          <w:p>
            <w:pPr>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pH、SS、COD、BOD5、氨氮、总氮、总磷、氟化物、氰化物、挥发酚、石油类、阴离子表面活性剂、磷酸盐、硫化物、粪大肠菌群、动植物油、Cu、Zn、As、Hg、Cd、Cr6+、Pb、Ni、Mn、总铬。</w:t>
            </w:r>
          </w:p>
        </w:tc>
        <w:tc>
          <w:tcPr>
            <w:tcW w:w="1712" w:type="dxa"/>
            <w:vMerge w:val="restart"/>
            <w:noWrap w:val="0"/>
            <w:vAlign w:val="center"/>
          </w:tcPr>
          <w:p>
            <w:pPr>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平水期、枯水期、丰水期一次，每次连续3d</w:t>
            </w:r>
          </w:p>
        </w:tc>
        <w:tc>
          <w:tcPr>
            <w:tcW w:w="2215" w:type="dxa"/>
            <w:vMerge w:val="restart"/>
            <w:noWrap w:val="0"/>
            <w:vAlign w:val="center"/>
          </w:tcPr>
          <w:p>
            <w:pPr>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《地表水环境质量标准》(GB3838-2002)表1中Ⅲ类标准要求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96" w:type="dxa"/>
            <w:vMerge w:val="continue"/>
            <w:noWrap w:val="0"/>
            <w:vAlign w:val="center"/>
          </w:tcPr>
          <w:p>
            <w:pPr>
              <w:jc w:val="center"/>
              <w:rPr>
                <w:rFonts w:hint="default" w:ascii="Times New Roman" w:hAnsi="Times New Roman" w:eastAsia="仿宋_GB2312" w:cs="Times New Roman"/>
                <w:color w:val="auto"/>
                <w:sz w:val="24"/>
                <w:lang w:val="en-US" w:eastAsia="zh-CN"/>
              </w:rPr>
            </w:pPr>
          </w:p>
        </w:tc>
        <w:tc>
          <w:tcPr>
            <w:tcW w:w="1739" w:type="dxa"/>
            <w:noWrap w:val="0"/>
            <w:vAlign w:val="center"/>
          </w:tcPr>
          <w:p>
            <w:pPr>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湘阴县第三污水处理厂排污口下游约1km</w:t>
            </w:r>
          </w:p>
        </w:tc>
        <w:tc>
          <w:tcPr>
            <w:tcW w:w="1964" w:type="dxa"/>
            <w:vMerge w:val="continue"/>
            <w:noWrap w:val="0"/>
            <w:vAlign w:val="center"/>
          </w:tcPr>
          <w:p>
            <w:pPr>
              <w:jc w:val="center"/>
              <w:rPr>
                <w:rFonts w:hint="default" w:ascii="Times New Roman" w:hAnsi="Times New Roman" w:eastAsia="仿宋_GB2312" w:cs="Times New Roman"/>
                <w:color w:val="auto"/>
                <w:sz w:val="24"/>
                <w:lang w:val="en-US" w:eastAsia="zh-CN"/>
              </w:rPr>
            </w:pPr>
          </w:p>
        </w:tc>
        <w:tc>
          <w:tcPr>
            <w:tcW w:w="1712" w:type="dxa"/>
            <w:vMerge w:val="continue"/>
            <w:noWrap w:val="0"/>
            <w:vAlign w:val="center"/>
          </w:tcPr>
          <w:p>
            <w:pPr>
              <w:jc w:val="center"/>
              <w:rPr>
                <w:rFonts w:hint="default" w:ascii="Times New Roman" w:hAnsi="Times New Roman" w:eastAsia="仿宋_GB2312" w:cs="Times New Roman"/>
                <w:color w:val="auto"/>
                <w:sz w:val="24"/>
                <w:lang w:val="en-US" w:eastAsia="zh-CN"/>
              </w:rPr>
            </w:pPr>
          </w:p>
        </w:tc>
        <w:tc>
          <w:tcPr>
            <w:tcW w:w="2215" w:type="dxa"/>
            <w:vMerge w:val="continue"/>
            <w:noWrap w:val="0"/>
            <w:vAlign w:val="center"/>
          </w:tcPr>
          <w:p>
            <w:pPr>
              <w:jc w:val="center"/>
              <w:rPr>
                <w:rFonts w:hint="default" w:ascii="Times New Roman" w:hAnsi="Times New Roman" w:eastAsia="仿宋_GB2312" w:cs="Times New Roman"/>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96" w:type="dxa"/>
            <w:vMerge w:val="continue"/>
            <w:noWrap w:val="0"/>
            <w:vAlign w:val="center"/>
          </w:tcPr>
          <w:p>
            <w:pPr>
              <w:jc w:val="center"/>
              <w:rPr>
                <w:rFonts w:hint="default" w:ascii="Times New Roman" w:hAnsi="Times New Roman" w:eastAsia="仿宋_GB2312" w:cs="Times New Roman"/>
                <w:color w:val="auto"/>
                <w:sz w:val="24"/>
                <w:lang w:val="en-US" w:eastAsia="zh-CN"/>
              </w:rPr>
            </w:pPr>
          </w:p>
        </w:tc>
        <w:tc>
          <w:tcPr>
            <w:tcW w:w="1739" w:type="dxa"/>
            <w:noWrap w:val="0"/>
            <w:vAlign w:val="center"/>
          </w:tcPr>
          <w:p>
            <w:pPr>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洋沙湖湖心</w:t>
            </w:r>
          </w:p>
        </w:tc>
        <w:tc>
          <w:tcPr>
            <w:tcW w:w="1964" w:type="dxa"/>
            <w:vMerge w:val="continue"/>
            <w:noWrap w:val="0"/>
            <w:vAlign w:val="center"/>
          </w:tcPr>
          <w:p>
            <w:pPr>
              <w:jc w:val="center"/>
              <w:rPr>
                <w:rFonts w:hint="default" w:ascii="Times New Roman" w:hAnsi="Times New Roman" w:eastAsia="仿宋_GB2312" w:cs="Times New Roman"/>
                <w:color w:val="auto"/>
                <w:sz w:val="24"/>
                <w:lang w:val="en-US" w:eastAsia="zh-CN"/>
              </w:rPr>
            </w:pPr>
          </w:p>
        </w:tc>
        <w:tc>
          <w:tcPr>
            <w:tcW w:w="1712" w:type="dxa"/>
            <w:vMerge w:val="continue"/>
            <w:noWrap w:val="0"/>
            <w:vAlign w:val="center"/>
          </w:tcPr>
          <w:p>
            <w:pPr>
              <w:jc w:val="center"/>
              <w:rPr>
                <w:rFonts w:hint="default" w:ascii="Times New Roman" w:hAnsi="Times New Roman" w:eastAsia="仿宋_GB2312" w:cs="Times New Roman"/>
                <w:color w:val="auto"/>
                <w:sz w:val="24"/>
                <w:lang w:val="en-US" w:eastAsia="zh-CN"/>
              </w:rPr>
            </w:pPr>
          </w:p>
        </w:tc>
        <w:tc>
          <w:tcPr>
            <w:tcW w:w="2215" w:type="dxa"/>
            <w:vMerge w:val="continue"/>
            <w:noWrap w:val="0"/>
            <w:vAlign w:val="center"/>
          </w:tcPr>
          <w:p>
            <w:pPr>
              <w:jc w:val="center"/>
              <w:rPr>
                <w:rFonts w:hint="default" w:ascii="Times New Roman" w:hAnsi="Times New Roman" w:eastAsia="仿宋_GB2312" w:cs="Times New Roman"/>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96" w:type="dxa"/>
            <w:noWrap w:val="0"/>
            <w:vAlign w:val="center"/>
          </w:tcPr>
          <w:p>
            <w:pPr>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水环境—地下水</w:t>
            </w:r>
          </w:p>
        </w:tc>
        <w:tc>
          <w:tcPr>
            <w:tcW w:w="1739" w:type="dxa"/>
            <w:noWrap w:val="0"/>
            <w:vAlign w:val="center"/>
          </w:tcPr>
          <w:p>
            <w:pPr>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知源学校附近</w:t>
            </w:r>
          </w:p>
        </w:tc>
        <w:tc>
          <w:tcPr>
            <w:tcW w:w="1964" w:type="dxa"/>
            <w:noWrap w:val="0"/>
            <w:vAlign w:val="center"/>
          </w:tcPr>
          <w:p>
            <w:pPr>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pH、总硬度、溶解性总固体、耗氧量、硫酸盐、氯化物、氰化物、挥发性酚类、氨氮、硝酸盐、亚硝酸盐、磷酸盐、氟化物、总大肠菌群、Cu、Zn、As、Hg、Cd、Cr6+、总铬、Pb、Ni、铁、锰、硒。</w:t>
            </w:r>
          </w:p>
        </w:tc>
        <w:tc>
          <w:tcPr>
            <w:tcW w:w="1712" w:type="dxa"/>
            <w:noWrap w:val="0"/>
            <w:vAlign w:val="center"/>
          </w:tcPr>
          <w:p>
            <w:pPr>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每年枯水期监测一次，每次2天，每天采样一次。</w:t>
            </w:r>
          </w:p>
        </w:tc>
        <w:tc>
          <w:tcPr>
            <w:tcW w:w="2215" w:type="dxa"/>
            <w:noWrap w:val="0"/>
            <w:vAlign w:val="center"/>
          </w:tcPr>
          <w:p>
            <w:pPr>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《地下水质量标准》(GB 14848-2017) 表1中 Ⅲ类标准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96" w:type="dxa"/>
            <w:noWrap w:val="0"/>
            <w:vAlign w:val="center"/>
          </w:tcPr>
          <w:p>
            <w:pPr>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声环境</w:t>
            </w:r>
          </w:p>
        </w:tc>
        <w:tc>
          <w:tcPr>
            <w:tcW w:w="1739" w:type="dxa"/>
            <w:noWrap w:val="0"/>
            <w:vAlign w:val="center"/>
          </w:tcPr>
          <w:p>
            <w:pPr>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主要交通干线两侧、工业用地边界、居民安置点</w:t>
            </w:r>
          </w:p>
        </w:tc>
        <w:tc>
          <w:tcPr>
            <w:tcW w:w="1964" w:type="dxa"/>
            <w:noWrap w:val="0"/>
            <w:vAlign w:val="center"/>
          </w:tcPr>
          <w:p>
            <w:pPr>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等效连续A声级</w:t>
            </w:r>
          </w:p>
        </w:tc>
        <w:tc>
          <w:tcPr>
            <w:tcW w:w="1712" w:type="dxa"/>
            <w:noWrap w:val="0"/>
            <w:vAlign w:val="center"/>
          </w:tcPr>
          <w:p>
            <w:pPr>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半年一次，每次两天、分昼夜各监测一次</w:t>
            </w:r>
          </w:p>
        </w:tc>
        <w:tc>
          <w:tcPr>
            <w:tcW w:w="2215" w:type="dxa"/>
            <w:noWrap w:val="0"/>
            <w:vAlign w:val="center"/>
          </w:tcPr>
          <w:p>
            <w:pPr>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声环境质量标准（GB3096-2008）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96" w:type="dxa"/>
            <w:vMerge w:val="restart"/>
            <w:noWrap w:val="0"/>
            <w:vAlign w:val="center"/>
          </w:tcPr>
          <w:p>
            <w:pPr>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土壤</w:t>
            </w:r>
          </w:p>
        </w:tc>
        <w:tc>
          <w:tcPr>
            <w:tcW w:w="1739" w:type="dxa"/>
            <w:noWrap w:val="0"/>
            <w:vAlign w:val="center"/>
          </w:tcPr>
          <w:p>
            <w:pPr>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临港片区乌龙社区</w:t>
            </w:r>
          </w:p>
        </w:tc>
        <w:tc>
          <w:tcPr>
            <w:tcW w:w="1964" w:type="dxa"/>
            <w:vMerge w:val="restart"/>
            <w:noWrap w:val="0"/>
            <w:vAlign w:val="center"/>
          </w:tcPr>
          <w:p>
            <w:pPr>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pH、铜、铅、锌、镉、铬、汞、砷、镍</w:t>
            </w:r>
          </w:p>
        </w:tc>
        <w:tc>
          <w:tcPr>
            <w:tcW w:w="1712" w:type="dxa"/>
            <w:vMerge w:val="restart"/>
            <w:noWrap w:val="0"/>
            <w:vAlign w:val="center"/>
          </w:tcPr>
          <w:p>
            <w:pPr>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一年一次</w:t>
            </w:r>
          </w:p>
        </w:tc>
        <w:tc>
          <w:tcPr>
            <w:tcW w:w="2215" w:type="dxa"/>
            <w:vMerge w:val="restart"/>
            <w:noWrap w:val="0"/>
            <w:vAlign w:val="center"/>
          </w:tcPr>
          <w:p>
            <w:pPr>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《土壤环境质量 农用地土壤污染风险管控标准（试行）》（GB15618-2018）中表1标准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96" w:type="dxa"/>
            <w:vMerge w:val="continue"/>
            <w:noWrap w:val="0"/>
            <w:vAlign w:val="center"/>
          </w:tcPr>
          <w:p>
            <w:pPr>
              <w:jc w:val="center"/>
              <w:rPr>
                <w:rFonts w:hint="default" w:ascii="Times New Roman" w:hAnsi="Times New Roman" w:eastAsia="仿宋_GB2312" w:cs="Times New Roman"/>
                <w:color w:val="auto"/>
                <w:sz w:val="24"/>
                <w:lang w:val="en-US" w:eastAsia="zh-CN"/>
              </w:rPr>
            </w:pPr>
          </w:p>
        </w:tc>
        <w:tc>
          <w:tcPr>
            <w:tcW w:w="1739" w:type="dxa"/>
            <w:noWrap w:val="0"/>
            <w:vAlign w:val="center"/>
          </w:tcPr>
          <w:p>
            <w:pPr>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洋沙湖片区劈山渠附近</w:t>
            </w:r>
          </w:p>
        </w:tc>
        <w:tc>
          <w:tcPr>
            <w:tcW w:w="1964" w:type="dxa"/>
            <w:vMerge w:val="continue"/>
            <w:noWrap w:val="0"/>
            <w:vAlign w:val="center"/>
          </w:tcPr>
          <w:p>
            <w:pPr>
              <w:jc w:val="center"/>
              <w:rPr>
                <w:rFonts w:hint="default" w:ascii="Times New Roman" w:hAnsi="Times New Roman" w:eastAsia="仿宋_GB2312" w:cs="Times New Roman"/>
                <w:color w:val="auto"/>
                <w:sz w:val="24"/>
                <w:lang w:val="en-US" w:eastAsia="zh-CN"/>
              </w:rPr>
            </w:pPr>
          </w:p>
        </w:tc>
        <w:tc>
          <w:tcPr>
            <w:tcW w:w="1712" w:type="dxa"/>
            <w:vMerge w:val="continue"/>
            <w:noWrap w:val="0"/>
            <w:vAlign w:val="center"/>
          </w:tcPr>
          <w:p>
            <w:pPr>
              <w:jc w:val="center"/>
              <w:rPr>
                <w:rFonts w:hint="default" w:ascii="Times New Roman" w:hAnsi="Times New Roman" w:eastAsia="仿宋_GB2312" w:cs="Times New Roman"/>
                <w:color w:val="auto"/>
                <w:sz w:val="24"/>
                <w:lang w:val="en-US" w:eastAsia="zh-CN"/>
              </w:rPr>
            </w:pPr>
          </w:p>
        </w:tc>
        <w:tc>
          <w:tcPr>
            <w:tcW w:w="2215" w:type="dxa"/>
            <w:vMerge w:val="continue"/>
            <w:noWrap w:val="0"/>
            <w:vAlign w:val="center"/>
          </w:tcPr>
          <w:p>
            <w:pPr>
              <w:jc w:val="center"/>
              <w:rPr>
                <w:rFonts w:hint="default" w:ascii="Times New Roman" w:hAnsi="Times New Roman" w:eastAsia="仿宋_GB2312" w:cs="Times New Roman"/>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96" w:type="dxa"/>
            <w:vMerge w:val="continue"/>
            <w:noWrap w:val="0"/>
            <w:vAlign w:val="center"/>
          </w:tcPr>
          <w:p>
            <w:pPr>
              <w:jc w:val="center"/>
              <w:rPr>
                <w:rFonts w:hint="default" w:ascii="Times New Roman" w:hAnsi="Times New Roman" w:eastAsia="仿宋_GB2312" w:cs="Times New Roman"/>
                <w:color w:val="auto"/>
                <w:sz w:val="24"/>
                <w:lang w:val="en-US" w:eastAsia="zh-CN"/>
              </w:rPr>
            </w:pPr>
          </w:p>
        </w:tc>
        <w:tc>
          <w:tcPr>
            <w:tcW w:w="1739" w:type="dxa"/>
            <w:noWrap w:val="0"/>
            <w:vAlign w:val="center"/>
          </w:tcPr>
          <w:p>
            <w:pPr>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金龙片区大屋</w:t>
            </w:r>
          </w:p>
        </w:tc>
        <w:tc>
          <w:tcPr>
            <w:tcW w:w="1964" w:type="dxa"/>
            <w:vMerge w:val="continue"/>
            <w:noWrap w:val="0"/>
            <w:vAlign w:val="center"/>
          </w:tcPr>
          <w:p>
            <w:pPr>
              <w:jc w:val="center"/>
              <w:rPr>
                <w:rFonts w:hint="default" w:ascii="Times New Roman" w:hAnsi="Times New Roman" w:eastAsia="仿宋_GB2312" w:cs="Times New Roman"/>
                <w:color w:val="auto"/>
                <w:sz w:val="24"/>
                <w:lang w:val="en-US" w:eastAsia="zh-CN"/>
              </w:rPr>
            </w:pPr>
          </w:p>
        </w:tc>
        <w:tc>
          <w:tcPr>
            <w:tcW w:w="1712" w:type="dxa"/>
            <w:vMerge w:val="continue"/>
            <w:noWrap w:val="0"/>
            <w:vAlign w:val="center"/>
          </w:tcPr>
          <w:p>
            <w:pPr>
              <w:jc w:val="center"/>
              <w:rPr>
                <w:rFonts w:hint="default" w:ascii="Times New Roman" w:hAnsi="Times New Roman" w:eastAsia="仿宋_GB2312" w:cs="Times New Roman"/>
                <w:color w:val="auto"/>
                <w:sz w:val="24"/>
                <w:lang w:val="en-US" w:eastAsia="zh-CN"/>
              </w:rPr>
            </w:pPr>
          </w:p>
        </w:tc>
        <w:tc>
          <w:tcPr>
            <w:tcW w:w="2215" w:type="dxa"/>
            <w:vMerge w:val="continue"/>
            <w:noWrap w:val="0"/>
            <w:vAlign w:val="center"/>
          </w:tcPr>
          <w:p>
            <w:pPr>
              <w:jc w:val="center"/>
              <w:rPr>
                <w:rFonts w:hint="default" w:ascii="Times New Roman" w:hAnsi="Times New Roman" w:eastAsia="仿宋_GB2312" w:cs="Times New Roman"/>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96" w:type="dxa"/>
            <w:vMerge w:val="restart"/>
            <w:noWrap w:val="0"/>
            <w:vAlign w:val="center"/>
          </w:tcPr>
          <w:p>
            <w:pPr>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底泥</w:t>
            </w:r>
          </w:p>
        </w:tc>
        <w:tc>
          <w:tcPr>
            <w:tcW w:w="1739" w:type="dxa"/>
            <w:noWrap w:val="0"/>
            <w:vAlign w:val="center"/>
          </w:tcPr>
          <w:p>
            <w:pPr>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金龙片区湘阴第三污水处理厂排污口上游500m处</w:t>
            </w:r>
          </w:p>
        </w:tc>
        <w:tc>
          <w:tcPr>
            <w:tcW w:w="1964" w:type="dxa"/>
            <w:vMerge w:val="restart"/>
            <w:noWrap w:val="0"/>
            <w:vAlign w:val="center"/>
          </w:tcPr>
          <w:p>
            <w:pPr>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pH、镉、汞、砷、铅、铬、铜、镍、锌</w:t>
            </w:r>
          </w:p>
        </w:tc>
        <w:tc>
          <w:tcPr>
            <w:tcW w:w="1712" w:type="dxa"/>
            <w:vMerge w:val="restart"/>
            <w:noWrap w:val="0"/>
            <w:vAlign w:val="center"/>
          </w:tcPr>
          <w:p>
            <w:pPr>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一年一次</w:t>
            </w:r>
          </w:p>
        </w:tc>
        <w:tc>
          <w:tcPr>
            <w:tcW w:w="2215" w:type="dxa"/>
            <w:vMerge w:val="restart"/>
            <w:noWrap w:val="0"/>
            <w:vAlign w:val="center"/>
          </w:tcPr>
          <w:p>
            <w:pPr>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《土壤环境质量 农用地土壤污染风险管控标准（试行）》（GB15618-2018）表1中标准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96" w:type="dxa"/>
            <w:vMerge w:val="continue"/>
            <w:noWrap w:val="0"/>
            <w:vAlign w:val="center"/>
          </w:tcPr>
          <w:p>
            <w:pPr>
              <w:jc w:val="center"/>
              <w:rPr>
                <w:rFonts w:hint="default" w:ascii="Times New Roman" w:hAnsi="Times New Roman" w:eastAsia="仿宋_GB2312" w:cs="Times New Roman"/>
                <w:color w:val="auto"/>
                <w:sz w:val="24"/>
                <w:lang w:val="en-US" w:eastAsia="zh-CN"/>
              </w:rPr>
            </w:pPr>
          </w:p>
        </w:tc>
        <w:tc>
          <w:tcPr>
            <w:tcW w:w="1739" w:type="dxa"/>
            <w:noWrap w:val="0"/>
            <w:vAlign w:val="center"/>
          </w:tcPr>
          <w:p>
            <w:pPr>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金龙片区湘阴第三污水处理厂排污口下游500m处</w:t>
            </w:r>
          </w:p>
        </w:tc>
        <w:tc>
          <w:tcPr>
            <w:tcW w:w="1964" w:type="dxa"/>
            <w:vMerge w:val="continue"/>
            <w:noWrap w:val="0"/>
            <w:vAlign w:val="center"/>
          </w:tcPr>
          <w:p>
            <w:pPr>
              <w:jc w:val="center"/>
              <w:rPr>
                <w:rFonts w:hint="default" w:ascii="Times New Roman" w:hAnsi="Times New Roman" w:eastAsia="仿宋_GB2312" w:cs="Times New Roman"/>
                <w:color w:val="auto"/>
                <w:sz w:val="24"/>
                <w:lang w:val="en-US" w:eastAsia="zh-CN"/>
              </w:rPr>
            </w:pPr>
          </w:p>
        </w:tc>
        <w:tc>
          <w:tcPr>
            <w:tcW w:w="1712" w:type="dxa"/>
            <w:vMerge w:val="continue"/>
            <w:noWrap w:val="0"/>
            <w:vAlign w:val="center"/>
          </w:tcPr>
          <w:p>
            <w:pPr>
              <w:jc w:val="center"/>
              <w:rPr>
                <w:rFonts w:hint="default" w:ascii="Times New Roman" w:hAnsi="Times New Roman" w:eastAsia="仿宋_GB2312" w:cs="Times New Roman"/>
                <w:color w:val="auto"/>
                <w:sz w:val="24"/>
                <w:lang w:val="en-US" w:eastAsia="zh-CN"/>
              </w:rPr>
            </w:pPr>
          </w:p>
        </w:tc>
        <w:tc>
          <w:tcPr>
            <w:tcW w:w="2215" w:type="dxa"/>
            <w:vMerge w:val="continue"/>
            <w:noWrap w:val="0"/>
            <w:vAlign w:val="center"/>
          </w:tcPr>
          <w:p>
            <w:pPr>
              <w:jc w:val="center"/>
              <w:rPr>
                <w:rFonts w:hint="default" w:ascii="Times New Roman" w:hAnsi="Times New Roman" w:eastAsia="仿宋_GB2312" w:cs="Times New Roman"/>
                <w:color w:val="auto"/>
                <w:sz w:val="24"/>
                <w:lang w:val="en-US" w:eastAsia="zh-CN"/>
              </w:rPr>
            </w:pPr>
          </w:p>
        </w:tc>
      </w:tr>
    </w:tbl>
    <w:p>
      <w:pPr>
        <w:pStyle w:val="15"/>
        <w:snapToGrid w:val="0"/>
        <w:spacing w:after="0" w:line="600" w:lineRule="exact"/>
        <w:ind w:left="0" w:leftChars="0" w:firstLine="640"/>
        <w:rPr>
          <w:rFonts w:hint="default" w:ascii="Times New Roman" w:hAnsi="Times New Roman" w:eastAsia="仿宋_GB2312" w:cs="Times New Roman"/>
          <w:szCs w:val="32"/>
        </w:rPr>
      </w:pPr>
      <w:r>
        <w:rPr>
          <w:rFonts w:hint="default" w:ascii="Times New Roman" w:hAnsi="Times New Roman" w:eastAsia="仿宋_GB2312" w:cs="Times New Roman"/>
          <w:szCs w:val="32"/>
          <w:lang w:val="en-US" w:eastAsia="zh-CN"/>
        </w:rPr>
        <w:t>截止2022年底已委托第三方服务机构湖南永蓝检测计技术股份有限公司对园区环境质量进行检测并出具检测报告。根据2022年6月27日、11月25日两份检测报告结果显示，园区环境质量检测满足环境管控限值，不存在超标情况；根据年度风险隐患排查情况显示，园区企业污防设施正常开启，无异常运行、无超标排放情况。</w:t>
      </w:r>
    </w:p>
    <w:p>
      <w:pPr>
        <w:pStyle w:val="15"/>
        <w:snapToGrid w:val="0"/>
        <w:spacing w:after="0" w:line="600" w:lineRule="exact"/>
        <w:ind w:left="0" w:leftChars="0" w:firstLine="640"/>
        <w:outlineLvl w:val="1"/>
        <w:rPr>
          <w:rFonts w:hint="default" w:ascii="Times New Roman" w:hAnsi="Times New Roman" w:eastAsia="楷体_GB2312" w:cs="Times New Roman"/>
          <w:szCs w:val="32"/>
        </w:rPr>
      </w:pPr>
      <w:bookmarkStart w:id="9" w:name="_Toc30582"/>
      <w:r>
        <w:rPr>
          <w:rFonts w:hint="default" w:ascii="Times New Roman" w:hAnsi="Times New Roman" w:eastAsia="楷体_GB2312" w:cs="Times New Roman"/>
          <w:szCs w:val="32"/>
        </w:rPr>
        <w:t>（二）“三线一单”落地应用情况</w:t>
      </w:r>
      <w:bookmarkEnd w:id="9"/>
    </w:p>
    <w:tbl>
      <w:tblPr>
        <w:tblStyle w:val="17"/>
        <w:tblpPr w:leftFromText="180" w:rightFromText="180" w:vertAnchor="text" w:horzAnchor="page" w:tblpXSpec="center" w:tblpY="651"/>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3679"/>
        <w:gridCol w:w="3320"/>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41" w:type="pct"/>
            <w:shd w:val="clear" w:color="auto" w:fill="BEBEBE" w:themeFill="background1" w:themeFillShade="BF"/>
            <w:vAlign w:val="center"/>
          </w:tcPr>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br w:type="page"/>
            </w:r>
            <w:r>
              <w:rPr>
                <w:rFonts w:hint="default" w:ascii="Times New Roman" w:hAnsi="Times New Roman" w:eastAsia="方正楷体_GB2312" w:cs="Times New Roman"/>
                <w:kern w:val="0"/>
                <w:sz w:val="21"/>
                <w:szCs w:val="24"/>
                <w:lang w:val="en-US" w:eastAsia="zh-CN" w:bidi="ar"/>
              </w:rPr>
              <w:t>管控</w:t>
            </w:r>
            <w:r>
              <w:rPr>
                <w:rFonts w:hint="default" w:ascii="Times New Roman" w:hAnsi="Times New Roman" w:eastAsia="方正楷体_GB2312" w:cs="Times New Roman"/>
                <w:kern w:val="0"/>
                <w:sz w:val="21"/>
                <w:szCs w:val="24"/>
                <w:lang w:val="en-US" w:eastAsia="zh-CN" w:bidi="ar"/>
              </w:rPr>
              <w:br w:type="textWrapping"/>
            </w:r>
            <w:r>
              <w:rPr>
                <w:rFonts w:hint="default" w:ascii="Times New Roman" w:hAnsi="Times New Roman" w:eastAsia="方正楷体_GB2312" w:cs="Times New Roman"/>
                <w:kern w:val="0"/>
                <w:sz w:val="21"/>
                <w:szCs w:val="24"/>
                <w:lang w:val="en-US" w:eastAsia="zh-CN" w:bidi="ar"/>
              </w:rPr>
              <w:t>类型</w:t>
            </w:r>
          </w:p>
        </w:tc>
        <w:tc>
          <w:tcPr>
            <w:tcW w:w="2158" w:type="pct"/>
            <w:shd w:val="clear" w:color="auto" w:fill="BEBEBE" w:themeFill="background1" w:themeFillShade="BF"/>
            <w:vAlign w:val="center"/>
          </w:tcPr>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管控要求</w:t>
            </w:r>
          </w:p>
        </w:tc>
        <w:tc>
          <w:tcPr>
            <w:tcW w:w="1947" w:type="pct"/>
            <w:shd w:val="clear" w:color="auto" w:fill="BEBEBE" w:themeFill="background1" w:themeFillShade="BF"/>
            <w:vAlign w:val="center"/>
          </w:tcPr>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实际情况</w:t>
            </w:r>
          </w:p>
        </w:tc>
        <w:tc>
          <w:tcPr>
            <w:tcW w:w="452" w:type="pct"/>
            <w:shd w:val="clear" w:color="auto" w:fill="BEBEBE" w:themeFill="background1" w:themeFillShade="BF"/>
            <w:vAlign w:val="center"/>
          </w:tcPr>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441" w:type="pct"/>
            <w:vMerge w:val="restart"/>
            <w:vAlign w:val="center"/>
          </w:tcPr>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空</w:t>
            </w:r>
          </w:p>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间</w:t>
            </w:r>
          </w:p>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布</w:t>
            </w:r>
          </w:p>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局</w:t>
            </w:r>
          </w:p>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约</w:t>
            </w:r>
          </w:p>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束</w:t>
            </w:r>
          </w:p>
        </w:tc>
        <w:tc>
          <w:tcPr>
            <w:tcW w:w="2158" w:type="pct"/>
            <w:vAlign w:val="center"/>
          </w:tcPr>
          <w:p>
            <w:pPr>
              <w:pStyle w:val="6"/>
              <w:keepNext w:val="0"/>
              <w:keepLines w:val="0"/>
              <w:suppressLineNumbers w:val="0"/>
              <w:bidi w:val="0"/>
              <w:snapToGrid w:val="0"/>
              <w:spacing w:after="0" w:afterAutospacing="0" w:line="240" w:lineRule="auto"/>
              <w:ind w:firstLine="0" w:firstLineChars="0"/>
              <w:jc w:val="both"/>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（1）严格限制三类工业入驻。禁止大型喷涂。涉及酸雾排放等气型污染严重企业入驻。禁止外排水污染物涉及重金属的项目入驻。</w:t>
            </w:r>
          </w:p>
        </w:tc>
        <w:tc>
          <w:tcPr>
            <w:tcW w:w="1947" w:type="pct"/>
            <w:vAlign w:val="center"/>
          </w:tcPr>
          <w:p>
            <w:pPr>
              <w:pStyle w:val="6"/>
              <w:keepNext w:val="0"/>
              <w:keepLines w:val="0"/>
              <w:suppressLineNumbers w:val="0"/>
              <w:bidi w:val="0"/>
              <w:snapToGrid w:val="0"/>
              <w:spacing w:after="0" w:afterAutospacing="0" w:line="240" w:lineRule="auto"/>
              <w:ind w:firstLine="0" w:firstLineChars="0"/>
              <w:jc w:val="both"/>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禁止引进大型喷涂，涉及酸雾排放等气型污染严重企业入驻。</w:t>
            </w:r>
          </w:p>
          <w:p>
            <w:pPr>
              <w:pStyle w:val="6"/>
              <w:keepNext w:val="0"/>
              <w:keepLines w:val="0"/>
              <w:suppressLineNumbers w:val="0"/>
              <w:bidi w:val="0"/>
              <w:snapToGrid w:val="0"/>
              <w:spacing w:after="0" w:afterAutospacing="0" w:line="240" w:lineRule="auto"/>
              <w:ind w:firstLine="0" w:firstLineChars="0"/>
              <w:jc w:val="both"/>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未引进外排污染物涉及重金属的项目入驻。</w:t>
            </w:r>
          </w:p>
        </w:tc>
        <w:tc>
          <w:tcPr>
            <w:tcW w:w="452" w:type="pct"/>
            <w:vAlign w:val="center"/>
          </w:tcPr>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1" w:type="pct"/>
            <w:vMerge w:val="continue"/>
            <w:vAlign w:val="center"/>
          </w:tcPr>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p>
        </w:tc>
        <w:tc>
          <w:tcPr>
            <w:tcW w:w="2158" w:type="pct"/>
            <w:vAlign w:val="center"/>
          </w:tcPr>
          <w:p>
            <w:pPr>
              <w:pStyle w:val="6"/>
              <w:keepNext w:val="0"/>
              <w:keepLines w:val="0"/>
              <w:suppressLineNumbers w:val="0"/>
              <w:bidi w:val="0"/>
              <w:snapToGrid w:val="0"/>
              <w:spacing w:after="0" w:afterAutospacing="0" w:line="240" w:lineRule="auto"/>
              <w:ind w:firstLine="0" w:firstLineChars="0"/>
              <w:jc w:val="both"/>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2）将开发区西面临洋沙湖－东湖湿地公园一带一定范围内的三类、二类工业用地调整为一类工业用地。涉及气型污染物无组织排放的企业。车间尽量远离湿地公园布置。禁止引进对洋沙湖一东湖国家湿地公园产生不利影响的企业。</w:t>
            </w:r>
          </w:p>
        </w:tc>
        <w:tc>
          <w:tcPr>
            <w:tcW w:w="1947" w:type="pct"/>
            <w:vAlign w:val="center"/>
          </w:tcPr>
          <w:p>
            <w:pPr>
              <w:pStyle w:val="6"/>
              <w:keepNext w:val="0"/>
              <w:keepLines w:val="0"/>
              <w:suppressLineNumbers w:val="0"/>
              <w:bidi w:val="0"/>
              <w:snapToGrid w:val="0"/>
              <w:spacing w:after="0" w:afterAutospacing="0" w:line="240" w:lineRule="auto"/>
              <w:ind w:firstLine="0" w:firstLineChars="0"/>
              <w:jc w:val="both"/>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洋沙湖一东湖国家湿地公园附近无任何涉及气型污染物无组织排放的企业。没有引进对洋沙湖一东湖国家湿地公园产生不利影响的企业。临湿地的二类和三类工业用地调整为一类工业用地，以最大限度地减少园区建设对洋沙湖湿地公园的影响，在此区块禁止涉及大型喷涂、酸雾、粉尘等气型污染严重的企业入驻。</w:t>
            </w:r>
          </w:p>
        </w:tc>
        <w:tc>
          <w:tcPr>
            <w:tcW w:w="452" w:type="pct"/>
            <w:vAlign w:val="center"/>
          </w:tcPr>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1" w:type="pct"/>
            <w:vMerge w:val="continue"/>
            <w:vAlign w:val="center"/>
          </w:tcPr>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p>
        </w:tc>
        <w:tc>
          <w:tcPr>
            <w:tcW w:w="2158" w:type="pct"/>
            <w:vAlign w:val="center"/>
          </w:tcPr>
          <w:p>
            <w:pPr>
              <w:pStyle w:val="6"/>
              <w:keepNext w:val="0"/>
              <w:keepLines w:val="0"/>
              <w:suppressLineNumbers w:val="0"/>
              <w:bidi w:val="0"/>
              <w:snapToGrid w:val="0"/>
              <w:spacing w:after="0" w:afterAutospacing="0" w:line="240" w:lineRule="auto"/>
              <w:ind w:firstLine="0" w:firstLineChars="0"/>
              <w:jc w:val="both"/>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（1）靠近交通干线两侧一定范围不得新建对噪声敏感的建筑物。居民安置区与工业用地之间设置一定宽度的防护距离。防止功能干扰。</w:t>
            </w:r>
          </w:p>
        </w:tc>
        <w:tc>
          <w:tcPr>
            <w:tcW w:w="1947" w:type="pct"/>
            <w:vAlign w:val="center"/>
          </w:tcPr>
          <w:p>
            <w:pPr>
              <w:pStyle w:val="6"/>
              <w:keepNext w:val="0"/>
              <w:keepLines w:val="0"/>
              <w:suppressLineNumbers w:val="0"/>
              <w:bidi w:val="0"/>
              <w:snapToGrid w:val="0"/>
              <w:spacing w:after="0" w:afterAutospacing="0" w:line="240" w:lineRule="auto"/>
              <w:ind w:firstLine="0" w:firstLineChars="0"/>
              <w:jc w:val="both"/>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园区加强固定源噪声控制，严格执行“三同时”，保证工业企业达标；实施绿化景观工程和设置噪声防护距离；严禁在交通干线两侧35m范围内建设永久性声环境敏感建筑。</w:t>
            </w:r>
          </w:p>
        </w:tc>
        <w:tc>
          <w:tcPr>
            <w:tcW w:w="452" w:type="pct"/>
            <w:vAlign w:val="center"/>
          </w:tcPr>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441" w:type="pct"/>
            <w:vMerge w:val="restart"/>
            <w:vAlign w:val="center"/>
          </w:tcPr>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污</w:t>
            </w:r>
          </w:p>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染</w:t>
            </w:r>
          </w:p>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物</w:t>
            </w:r>
          </w:p>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排</w:t>
            </w:r>
          </w:p>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放</w:t>
            </w:r>
          </w:p>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管</w:t>
            </w:r>
          </w:p>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控</w:t>
            </w:r>
          </w:p>
        </w:tc>
        <w:tc>
          <w:tcPr>
            <w:tcW w:w="2158" w:type="pct"/>
            <w:vAlign w:val="center"/>
          </w:tcPr>
          <w:p>
            <w:pPr>
              <w:pStyle w:val="6"/>
              <w:keepNext w:val="0"/>
              <w:keepLines w:val="0"/>
              <w:suppressLineNumbers w:val="0"/>
              <w:bidi w:val="0"/>
              <w:snapToGrid w:val="0"/>
              <w:spacing w:after="0" w:afterAutospacing="0" w:line="240" w:lineRule="auto"/>
              <w:ind w:firstLine="0" w:firstLineChars="0"/>
              <w:jc w:val="both"/>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（1）废水：开发区排水实施雨污分流。开发区污水经营网收集统一进入湘阴县第二污水处理厂处理后。通过专修排水管道直接接入湘江。严禁排入白水江。园区雨水经雨水管网排入洋沙湖。</w:t>
            </w:r>
          </w:p>
        </w:tc>
        <w:tc>
          <w:tcPr>
            <w:tcW w:w="1947" w:type="pct"/>
            <w:vAlign w:val="center"/>
          </w:tcPr>
          <w:p>
            <w:pPr>
              <w:pStyle w:val="6"/>
              <w:keepNext w:val="0"/>
              <w:keepLines w:val="0"/>
              <w:suppressLineNumbers w:val="0"/>
              <w:bidi w:val="0"/>
              <w:snapToGrid w:val="0"/>
              <w:spacing w:after="0" w:afterAutospacing="0" w:line="240" w:lineRule="auto"/>
              <w:ind w:firstLine="0" w:firstLineChars="0"/>
              <w:jc w:val="both"/>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园区内已建排水管网全部实现雨污分流，污水管网及处理系统均做好了防渗措施，纳管企业废水预处理达标后再排入园区污水管网，经湘阴县第二污水处理厂处理达标后通过排水管道排入湘江。处理达标后的污水并未排入白水江。园区的雨水通过雨水管网排入洋沙湖。</w:t>
            </w:r>
          </w:p>
        </w:tc>
        <w:tc>
          <w:tcPr>
            <w:tcW w:w="452" w:type="pct"/>
            <w:vAlign w:val="center"/>
          </w:tcPr>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1" w:type="pct"/>
            <w:vMerge w:val="continue"/>
            <w:vAlign w:val="center"/>
          </w:tcPr>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p>
        </w:tc>
        <w:tc>
          <w:tcPr>
            <w:tcW w:w="2158" w:type="pct"/>
            <w:vAlign w:val="center"/>
          </w:tcPr>
          <w:p>
            <w:pPr>
              <w:pStyle w:val="6"/>
              <w:keepNext w:val="0"/>
              <w:keepLines w:val="0"/>
              <w:suppressLineNumbers w:val="0"/>
              <w:bidi w:val="0"/>
              <w:snapToGrid w:val="0"/>
              <w:spacing w:after="0" w:afterAutospacing="0" w:line="240" w:lineRule="auto"/>
              <w:ind w:firstLine="0" w:firstLineChars="0"/>
              <w:jc w:val="both"/>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（1）废气：对各企业工艺废气产出的生产节点。须配置废气收集与处理净化装置。确保达标排放；加强生产工艺研究与技术改进，采取有效措施。减少入园企业工艺废气的无组织排放。</w:t>
            </w:r>
          </w:p>
        </w:tc>
        <w:tc>
          <w:tcPr>
            <w:tcW w:w="1947" w:type="pct"/>
            <w:vAlign w:val="center"/>
          </w:tcPr>
          <w:p>
            <w:pPr>
              <w:pStyle w:val="6"/>
              <w:keepNext w:val="0"/>
              <w:keepLines w:val="0"/>
              <w:suppressLineNumbers w:val="0"/>
              <w:bidi w:val="0"/>
              <w:snapToGrid w:val="0"/>
              <w:spacing w:after="0" w:afterAutospacing="0" w:line="240" w:lineRule="auto"/>
              <w:ind w:firstLine="0" w:firstLineChars="0"/>
              <w:jc w:val="both"/>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各企业有工艺废气产出的生产节点配置有废气收集与处理净化装置，能够达标排放；园区内涉锅炉大气污染物排放执行《锅炉大气污染物排放标准》GB12371-2001中Ⅱ时段标准。</w:t>
            </w:r>
          </w:p>
        </w:tc>
        <w:tc>
          <w:tcPr>
            <w:tcW w:w="452" w:type="pct"/>
            <w:vAlign w:val="center"/>
          </w:tcPr>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1" w:type="pct"/>
            <w:vMerge w:val="continue"/>
            <w:vAlign w:val="center"/>
          </w:tcPr>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p>
        </w:tc>
        <w:tc>
          <w:tcPr>
            <w:tcW w:w="2158" w:type="pct"/>
            <w:vAlign w:val="center"/>
          </w:tcPr>
          <w:p>
            <w:pPr>
              <w:pStyle w:val="6"/>
              <w:keepNext w:val="0"/>
              <w:keepLines w:val="0"/>
              <w:suppressLineNumbers w:val="0"/>
              <w:bidi w:val="0"/>
              <w:snapToGrid w:val="0"/>
              <w:spacing w:after="0" w:afterAutospacing="0" w:line="240" w:lineRule="auto"/>
              <w:ind w:firstLine="0" w:firstLineChars="0"/>
              <w:jc w:val="both"/>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（1）园区内相关行业及锅炉废气污染物排放满足《湖南省生态环境厅关于执行污染物特别排放限值（第一批）的公告》中的要求。</w:t>
            </w:r>
          </w:p>
        </w:tc>
        <w:tc>
          <w:tcPr>
            <w:tcW w:w="1947" w:type="pct"/>
            <w:vAlign w:val="center"/>
          </w:tcPr>
          <w:p>
            <w:pPr>
              <w:pStyle w:val="6"/>
              <w:keepNext w:val="0"/>
              <w:keepLines w:val="0"/>
              <w:suppressLineNumbers w:val="0"/>
              <w:bidi w:val="0"/>
              <w:snapToGrid w:val="0"/>
              <w:spacing w:after="0" w:afterAutospacing="0" w:line="240" w:lineRule="auto"/>
              <w:ind w:firstLine="0" w:firstLineChars="0"/>
              <w:jc w:val="both"/>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园区内涉锅炉大气污染物排放能够满足《湖南省生态环境厅关于执行污染物特别排放限值（第一批）的公告》中的要求；</w:t>
            </w:r>
          </w:p>
        </w:tc>
        <w:tc>
          <w:tcPr>
            <w:tcW w:w="452" w:type="pct"/>
            <w:vAlign w:val="center"/>
          </w:tcPr>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41" w:type="pct"/>
            <w:vMerge w:val="continue"/>
            <w:vAlign w:val="center"/>
          </w:tcPr>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p>
        </w:tc>
        <w:tc>
          <w:tcPr>
            <w:tcW w:w="2158" w:type="pct"/>
            <w:vAlign w:val="center"/>
          </w:tcPr>
          <w:p>
            <w:pPr>
              <w:pStyle w:val="6"/>
              <w:keepNext w:val="0"/>
              <w:keepLines w:val="0"/>
              <w:suppressLineNumbers w:val="0"/>
              <w:bidi w:val="0"/>
              <w:snapToGrid w:val="0"/>
              <w:spacing w:after="0" w:afterAutospacing="0" w:line="240" w:lineRule="auto"/>
              <w:ind w:firstLine="0" w:firstLineChars="0"/>
              <w:jc w:val="both"/>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1）固体废弃物：做好园区工业团体废物和生活垃圾的分类收集、转运。综合利用和无害化处理，建立统一的固废收集、贮存、运输。综合利用和安全处置的运营管理体系。（2）推行清洁生产，减少固体反应物产生量：加强固体废物的资源化进程。提高综合利用率；规范固体废物处理措施。对工业企业产生的固体废物特别是危险废物应技国家有关规定综合利用或妥善处置。严防二次污染。</w:t>
            </w:r>
          </w:p>
        </w:tc>
        <w:tc>
          <w:tcPr>
            <w:tcW w:w="1947" w:type="pct"/>
            <w:vAlign w:val="center"/>
          </w:tcPr>
          <w:p>
            <w:pPr>
              <w:pStyle w:val="6"/>
              <w:keepNext w:val="0"/>
              <w:keepLines w:val="0"/>
              <w:suppressLineNumbers w:val="0"/>
              <w:bidi w:val="0"/>
              <w:snapToGrid w:val="0"/>
              <w:spacing w:after="0" w:afterAutospacing="0" w:line="240" w:lineRule="auto"/>
              <w:ind w:firstLine="0" w:firstLineChars="0"/>
              <w:jc w:val="both"/>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园区已于2020年3月建立湘阴高新区固废站，处理能力5000t/a，处理工艺为收集暂存转运。园区综合利用和安全处置的运营管理体系正式形成。一是加强污染物控制的力度，降低能耗、物耗；二是提高物料综合利用率，引入固体废物的资源化技术，三是规范固体废物处理措施，严防二次污染。</w:t>
            </w:r>
          </w:p>
        </w:tc>
        <w:tc>
          <w:tcPr>
            <w:tcW w:w="452" w:type="pct"/>
            <w:vAlign w:val="center"/>
          </w:tcPr>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p>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p>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p>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p>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符合</w:t>
            </w:r>
          </w:p>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p>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p>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pct"/>
            <w:vMerge w:val="restart"/>
            <w:vAlign w:val="center"/>
          </w:tcPr>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环</w:t>
            </w:r>
          </w:p>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境</w:t>
            </w:r>
          </w:p>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风</w:t>
            </w:r>
          </w:p>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险</w:t>
            </w:r>
          </w:p>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防</w:t>
            </w:r>
          </w:p>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控</w:t>
            </w:r>
          </w:p>
        </w:tc>
        <w:tc>
          <w:tcPr>
            <w:tcW w:w="2158" w:type="pct"/>
            <w:vAlign w:val="center"/>
          </w:tcPr>
          <w:p>
            <w:pPr>
              <w:pStyle w:val="6"/>
              <w:keepNext w:val="0"/>
              <w:keepLines w:val="0"/>
              <w:suppressLineNumbers w:val="0"/>
              <w:bidi w:val="0"/>
              <w:snapToGrid w:val="0"/>
              <w:spacing w:after="0" w:afterAutospacing="0" w:line="240" w:lineRule="auto"/>
              <w:ind w:firstLine="0" w:firstLineChars="0"/>
              <w:jc w:val="both"/>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园区应建立健全环境风险防控体系。严格落实《湖南湘阴工业园区突发环境事件应急预案》中相关要求。严防突发环境事件发生。提高应急处置能力。</w:t>
            </w:r>
          </w:p>
          <w:p>
            <w:pPr>
              <w:pStyle w:val="6"/>
              <w:keepNext w:val="0"/>
              <w:keepLines w:val="0"/>
              <w:suppressLineNumbers w:val="0"/>
              <w:bidi w:val="0"/>
              <w:snapToGrid w:val="0"/>
              <w:spacing w:after="0" w:afterAutospacing="0" w:line="240" w:lineRule="auto"/>
              <w:ind w:firstLine="0" w:firstLineChars="0"/>
              <w:jc w:val="both"/>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园区可能发生突发环境事件的污染物排放企业，生产、储存、运输。使用危险化学品的企业。产生、收集、贮存、运输、利用、处置危险应物的企业应当编制和实施环境应急预案；</w:t>
            </w:r>
          </w:p>
          <w:p>
            <w:pPr>
              <w:pStyle w:val="6"/>
              <w:keepNext w:val="0"/>
              <w:keepLines w:val="0"/>
              <w:suppressLineNumbers w:val="0"/>
              <w:bidi w:val="0"/>
              <w:snapToGrid w:val="0"/>
              <w:spacing w:after="0" w:afterAutospacing="0" w:line="240" w:lineRule="auto"/>
              <w:ind w:firstLine="0" w:firstLineChars="0"/>
              <w:jc w:val="both"/>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（3）鼓励其他企业制定单独的环境应急预案。或在突发事件应急预案中制定环境应急预案专章。并备案。</w:t>
            </w:r>
          </w:p>
        </w:tc>
        <w:tc>
          <w:tcPr>
            <w:tcW w:w="1947" w:type="pct"/>
            <w:vAlign w:val="center"/>
          </w:tcPr>
          <w:p>
            <w:pPr>
              <w:pStyle w:val="6"/>
              <w:keepNext w:val="0"/>
              <w:keepLines w:val="0"/>
              <w:suppressLineNumbers w:val="0"/>
              <w:bidi w:val="0"/>
              <w:snapToGrid w:val="0"/>
              <w:spacing w:after="0" w:afterAutospacing="0" w:line="240" w:lineRule="auto"/>
              <w:ind w:firstLine="0" w:firstLineChars="0"/>
              <w:jc w:val="both"/>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园区建立了环境风险防控体系：1、制定了风险防范措施制度；2、建设并完善了环境风险源数据库；3、建立了应急处置队伍；4、根据各企业情况制定了具体的风险环境防范措施；并严格落实《湖南湘阴工业园区突发环境事件应急预案》的相关要求。</w:t>
            </w:r>
          </w:p>
        </w:tc>
        <w:tc>
          <w:tcPr>
            <w:tcW w:w="452" w:type="pct"/>
            <w:vAlign w:val="center"/>
          </w:tcPr>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441" w:type="pct"/>
            <w:vMerge w:val="continue"/>
            <w:vAlign w:val="center"/>
          </w:tcPr>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p>
        </w:tc>
        <w:tc>
          <w:tcPr>
            <w:tcW w:w="2158" w:type="pct"/>
            <w:vAlign w:val="center"/>
          </w:tcPr>
          <w:p>
            <w:pPr>
              <w:pStyle w:val="6"/>
              <w:keepNext w:val="0"/>
              <w:keepLines w:val="0"/>
              <w:suppressLineNumbers w:val="0"/>
              <w:bidi w:val="0"/>
              <w:snapToGrid w:val="0"/>
              <w:spacing w:after="0" w:afterAutospacing="0" w:line="240" w:lineRule="auto"/>
              <w:ind w:firstLine="0" w:firstLineChars="0"/>
              <w:jc w:val="both"/>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1）建设用地土壤风险防控：对拟收因土地使用权的相关行业企业用地，以及用途拟变更为居住和商业。学校。医疗。养老机构等公共设施的企业用地开展土壤环境状况调查评估。（2）农用地土壤风险防控：拟开发为农用地的。地方人民政府组织开展土壤环境质量状况评估：不符合相应标准的，不得种植食用农产品。</w:t>
            </w:r>
          </w:p>
        </w:tc>
        <w:tc>
          <w:tcPr>
            <w:tcW w:w="1947" w:type="pct"/>
            <w:vAlign w:val="center"/>
          </w:tcPr>
          <w:p>
            <w:pPr>
              <w:pStyle w:val="6"/>
              <w:keepNext w:val="0"/>
              <w:keepLines w:val="0"/>
              <w:suppressLineNumbers w:val="0"/>
              <w:bidi w:val="0"/>
              <w:snapToGrid w:val="0"/>
              <w:spacing w:after="0" w:afterAutospacing="0" w:line="240" w:lineRule="auto"/>
              <w:ind w:firstLine="0" w:firstLineChars="0"/>
              <w:jc w:val="both"/>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园区无拟收因土地使用权的相关行业企业用地；无用途拟变更为居住、商业、学校、医疗、养老机构等公共设施的企业用地。</w:t>
            </w:r>
          </w:p>
          <w:p>
            <w:pPr>
              <w:pStyle w:val="6"/>
              <w:keepNext w:val="0"/>
              <w:keepLines w:val="0"/>
              <w:suppressLineNumbers w:val="0"/>
              <w:bidi w:val="0"/>
              <w:snapToGrid w:val="0"/>
              <w:spacing w:after="0" w:afterAutospacing="0" w:line="240" w:lineRule="auto"/>
              <w:ind w:firstLine="0" w:firstLineChars="0"/>
              <w:jc w:val="both"/>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关于农用地土壤风险防控，园区已于2022年6月17日聘请永蓝检测公司对以下4个点位进行土壤检测：T1花石村卫生室对面山地、T2杨家大屋、T3将军村刘家组附近农田、T4向阳村附近水田。检测结果全部符合相关环保标准。</w:t>
            </w:r>
          </w:p>
        </w:tc>
        <w:tc>
          <w:tcPr>
            <w:tcW w:w="452" w:type="pct"/>
            <w:vAlign w:val="center"/>
          </w:tcPr>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1" w:type="pct"/>
            <w:vMerge w:val="restart"/>
            <w:vAlign w:val="center"/>
          </w:tcPr>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资</w:t>
            </w:r>
          </w:p>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源</w:t>
            </w:r>
          </w:p>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开</w:t>
            </w:r>
          </w:p>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发</w:t>
            </w:r>
          </w:p>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效</w:t>
            </w:r>
          </w:p>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率</w:t>
            </w:r>
          </w:p>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要</w:t>
            </w:r>
          </w:p>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求</w:t>
            </w:r>
          </w:p>
        </w:tc>
        <w:tc>
          <w:tcPr>
            <w:tcW w:w="2158" w:type="pct"/>
            <w:vAlign w:val="center"/>
          </w:tcPr>
          <w:p>
            <w:pPr>
              <w:pStyle w:val="6"/>
              <w:keepNext w:val="0"/>
              <w:keepLines w:val="0"/>
              <w:suppressLineNumbers w:val="0"/>
              <w:bidi w:val="0"/>
              <w:snapToGrid w:val="0"/>
              <w:spacing w:after="0" w:afterAutospacing="0" w:line="240" w:lineRule="auto"/>
              <w:ind w:firstLine="0" w:firstLineChars="0"/>
              <w:jc w:val="both"/>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能源：（1）积极推广清洁能源，在天然气楼入园区后。应禁止新上燃煤设施并对现有燃煤锅炉进行清洁能源替代改造。开发区目前主要能源为电、天然气。生物质能源。园区应按“湖南省工程建设项目审批制度改革工作领导小组办公室关于印发《工程建设项目区城评估工作实施方案》的通知"，尽快开展节能评估工作。</w:t>
            </w:r>
          </w:p>
        </w:tc>
        <w:tc>
          <w:tcPr>
            <w:tcW w:w="1947" w:type="pct"/>
            <w:vAlign w:val="center"/>
          </w:tcPr>
          <w:p>
            <w:pPr>
              <w:pStyle w:val="6"/>
              <w:keepNext w:val="0"/>
              <w:keepLines w:val="0"/>
              <w:suppressLineNumbers w:val="0"/>
              <w:bidi w:val="0"/>
              <w:snapToGrid w:val="0"/>
              <w:spacing w:after="0" w:afterAutospacing="0" w:line="240" w:lineRule="auto"/>
              <w:ind w:firstLine="0" w:firstLineChars="0"/>
              <w:jc w:val="both"/>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已禁止园区企业使用燃煤锅炉，将烧煤改为烧生物质为能源，并对锅炉废气进行定期检测，确保达标排放。</w:t>
            </w:r>
          </w:p>
        </w:tc>
        <w:tc>
          <w:tcPr>
            <w:tcW w:w="452" w:type="pct"/>
            <w:vAlign w:val="center"/>
          </w:tcPr>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441" w:type="pct"/>
            <w:vMerge w:val="continue"/>
            <w:vAlign w:val="center"/>
          </w:tcPr>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p>
        </w:tc>
        <w:tc>
          <w:tcPr>
            <w:tcW w:w="2158" w:type="pct"/>
            <w:vAlign w:val="center"/>
          </w:tcPr>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水资源：加强工业节水。重点开展相关工业行业节水技术改造，逐步海汰高耗水的落后产能，积极推广工业水循环利用。引导企业开展水平衡测试。继续推进节水型企业、节水型工业园区建设。</w:t>
            </w:r>
          </w:p>
        </w:tc>
        <w:tc>
          <w:tcPr>
            <w:tcW w:w="1947" w:type="pct"/>
            <w:vAlign w:val="center"/>
          </w:tcPr>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积极加强工业企业节水工作，引导企业进行清洁生产，督促相对高耗水企业进行技术改造升级，更多在生产中使用循环水，从而强力推进节水型企业、节水型工业园区建设。</w:t>
            </w:r>
          </w:p>
        </w:tc>
        <w:tc>
          <w:tcPr>
            <w:tcW w:w="452" w:type="pct"/>
            <w:vAlign w:val="center"/>
          </w:tcPr>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p>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5" w:hRule="atLeast"/>
          <w:jc w:val="center"/>
        </w:trPr>
        <w:tc>
          <w:tcPr>
            <w:tcW w:w="441" w:type="pct"/>
            <w:vMerge w:val="continue"/>
            <w:vAlign w:val="center"/>
          </w:tcPr>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p>
        </w:tc>
        <w:tc>
          <w:tcPr>
            <w:tcW w:w="2158" w:type="pct"/>
            <w:vAlign w:val="center"/>
          </w:tcPr>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土地资源：以国家产业发展政策为导向，合理制定区城产业用地政策，优先保障主导产业发展用地，严禁向禁止类工业项目供地，严格控制限制类工业项目用地，重点支持发展与区域资源环境条件相通相应的产业。食品加工。建筑建材、装备制造。新材料。轻工产品制造土地投资强度报定标准分别为190万元/亩、250万元/亩、 250万元/亩、 230万元/亩、 210万元/亩。</w:t>
            </w:r>
          </w:p>
        </w:tc>
        <w:tc>
          <w:tcPr>
            <w:tcW w:w="1947" w:type="pct"/>
            <w:vAlign w:val="center"/>
          </w:tcPr>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已合理制定区城产业用地投资强度等政策，优先保障主导产业绿色食品加工、绿色建筑建材、先进装备制造发展用地。坚决杜绝和控制限制类工业项目用地。</w:t>
            </w:r>
          </w:p>
        </w:tc>
        <w:tc>
          <w:tcPr>
            <w:tcW w:w="452" w:type="pct"/>
            <w:vAlign w:val="center"/>
          </w:tcPr>
          <w:p>
            <w:pPr>
              <w:pStyle w:val="6"/>
              <w:keepNext w:val="0"/>
              <w:keepLines w:val="0"/>
              <w:suppressLineNumbers w:val="0"/>
              <w:bidi w:val="0"/>
              <w:snapToGrid w:val="0"/>
              <w:spacing w:after="0"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符合</w:t>
            </w:r>
          </w:p>
        </w:tc>
      </w:tr>
    </w:tbl>
    <w:p>
      <w:pPr>
        <w:pStyle w:val="15"/>
        <w:snapToGrid w:val="0"/>
        <w:spacing w:after="0" w:line="600" w:lineRule="exact"/>
        <w:ind w:left="0" w:leftChars="0" w:firstLine="640"/>
        <w:outlineLvl w:val="1"/>
        <w:rPr>
          <w:rFonts w:hint="default" w:ascii="Times New Roman" w:hAnsi="Times New Roman" w:eastAsia="楷体_GB2312" w:cs="Times New Roman"/>
          <w:szCs w:val="32"/>
        </w:rPr>
      </w:pPr>
      <w:bookmarkStart w:id="10" w:name="_Toc30136"/>
      <w:r>
        <w:rPr>
          <w:rFonts w:hint="default" w:ascii="Times New Roman" w:hAnsi="Times New Roman" w:eastAsia="楷体_GB2312" w:cs="Times New Roman"/>
          <w:szCs w:val="32"/>
        </w:rPr>
        <w:t>（三）水环境管理</w:t>
      </w:r>
      <w:bookmarkEnd w:id="10"/>
    </w:p>
    <w:p>
      <w:pPr>
        <w:pStyle w:val="15"/>
        <w:snapToGrid w:val="0"/>
        <w:spacing w:after="0" w:line="600" w:lineRule="exact"/>
        <w:ind w:left="0" w:leftChars="0" w:firstLine="64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园区涉水企业35家，其中洋沙湖片区29家，金龙片区6家。配套污水集中处理设施2个，即湘阴县第二污水处理厂、湘阴县第三污水处理厂，园区雨水管道总长度为70235米，污水管道污总长度为95371米，管网覆盖率为100%，产业园区废水集中处理率已达100%。</w:t>
      </w:r>
    </w:p>
    <w:p>
      <w:pPr>
        <w:pStyle w:val="15"/>
        <w:snapToGrid w:val="0"/>
        <w:spacing w:after="0" w:line="600" w:lineRule="exact"/>
        <w:ind w:left="0" w:leftChars="0" w:firstLine="64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湘阴首创与湘阴县管业园区管委会于2015年9月30号签订《湘阴县工业园污水处理厂（湘阴二污）特许经营协议》。湘阴县工业园污水处理厂（湘阴二污）由湘阴首创水务有限责任公司以BOT模式建设，特许经营期为30年，项目一期总投资5300万，提标改造项目投资约2781万，总计投资约为8081万。</w:t>
      </w:r>
    </w:p>
    <w:p>
      <w:pPr>
        <w:pStyle w:val="15"/>
        <w:snapToGrid w:val="0"/>
        <w:spacing w:after="0" w:line="600" w:lineRule="exact"/>
        <w:ind w:left="0" w:leftChars="0" w:firstLine="64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湘阴县工业园污水处理厂（湘阴二污）采用预处理-水解酸化-A/A/O-紫外线消毒处理工艺，污泥处理采用板框压滤-石灰添加干化，日处理规模1.0万m3/d，出水各项指标执行《城镇污水处理厂污染物排放标准》（GB18918-2002）一级A标准，干污泥含水率低于50%。污泥干化处理之后（环评批复污泥为一般固体废水，参照危废管理），转运至湘阴光大垃圾焚烧发电厂进行焚烧处置。湘阴县工业园污水处理厂（湘阴二污）纳污范围涵盖湘阴县工业园所有企业（总计入园企业52家）及周边安置居民区、知源学校、洋沙湖学校，污水处理达标之后，尾水排入湘江。</w:t>
      </w:r>
    </w:p>
    <w:p>
      <w:pPr>
        <w:pStyle w:val="15"/>
        <w:snapToGrid w:val="0"/>
        <w:spacing w:after="0" w:line="600" w:lineRule="exact"/>
        <w:ind w:left="0" w:leftChars="0" w:firstLine="64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湘阴县第二污水处理厂提标改造工程于2018年2月份开始施工，增加了深度处理工艺，主要构筑物包括：高级氧化池、高效沉淀池、深床反硝化滤池、应急消毒池。项目于2019年4完成了整体工艺系统调试，2019年12月完成了项目环保验收备案。在湘阴县高新区、环保局多次联合巡视督促整改及对重点排污企业安装在线监控等大量有效举措实施的情况下，园区企业基本做到了废水预处理达标排放，这为湘阴县第二污水处理厂的稳定达标运行提供了有利条件。提标改造项目完成之后，湘阴县第二污水处理厂出水各项水质指标执行《城镇污水处理厂污染物排放标准》GB18918-2002一级A标准。</w:t>
      </w:r>
    </w:p>
    <w:p>
      <w:pPr>
        <w:pStyle w:val="15"/>
        <w:snapToGrid w:val="0"/>
        <w:spacing w:after="0" w:line="600" w:lineRule="exact"/>
        <w:ind w:left="0" w:leftChars="0" w:firstLine="64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2020年-2022年，湘阴县工业园污水处理厂（湘阴二污）累计处理污水超过829万立方米(约70%为工业废水、30%为生活污水）。目前，日均处理水量约为7700立方米。累计完成生化需氧量（BOD）减排量约321吨，完成化学需氧量（COD）减排约2021吨，完成氨氮减排约276吨，完成总磷减排约18.34吨，完成总氮减排约238吨。湘阴县工业园污水处理厂（湘阴二污）的正常运行，为湘阴污染物减排作出了积极的贡献。</w:t>
      </w:r>
    </w:p>
    <w:p>
      <w:pPr>
        <w:pStyle w:val="15"/>
        <w:snapToGrid w:val="0"/>
        <w:spacing w:after="0" w:line="600" w:lineRule="exact"/>
        <w:ind w:left="0" w:leftChars="0" w:firstLine="64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洋沙湖片区内建设完成的排水管网已全部实施雨污分流，污水管网及处理系统均做好了防渗措施，纳管企业废水预处理达标后再排入园区污水管网，经湘阴县第二污水处理厂处理达标后通过专修排水管道直接排入湘江并且定期进行排水水质监测。</w:t>
      </w:r>
    </w:p>
    <w:p>
      <w:pPr>
        <w:pStyle w:val="15"/>
        <w:snapToGrid w:val="0"/>
        <w:spacing w:after="0" w:line="600" w:lineRule="exact"/>
        <w:ind w:left="0" w:leftChars="0" w:firstLine="64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湘阴高新工业园区污水处理厂项目（湘阴第三污水处理厂）于2016年经批准立项，由洋沙湖投资集团2018年开工建设，污水处理厂分两期建设，近期建设规模为日处理工业和生活污水10000吨，建成配套管网20500米，远期建设规模为日处理能力25000吨，2020年12月，一期工程建成后开始运行，项目运营权经公开招标后由湖南新九方科技有限公司取得，至目前为止运行情况良好。</w:t>
      </w:r>
    </w:p>
    <w:p>
      <w:pPr>
        <w:pStyle w:val="15"/>
        <w:snapToGrid w:val="0"/>
        <w:spacing w:after="0" w:line="600" w:lineRule="exact"/>
        <w:ind w:left="0" w:leftChars="0" w:firstLine="64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 xml:space="preserve">  湘阴第三污水处理厂采用预处理-A/A/O-高密池-纤维转盘-紫外消毒处理工艺，经处理的污水达标排放至洋沙河，出水各项指标执行《城镇污水处理厂污染物排放标准》（GB18918-2002）一级A标准；污泥处理采用带式压滤机-干化机，干污泥含水率40%，干污泥经具有固废鉴定资质的公司鉴定为一般性固体废物，由专业输送车送至湘阴县长乐建材厂，经焚烧后制成轻质建筑材料。湘阴县工业园污水处理厂（湘阴三污）纳污范围涵盖金龙镇所有入园企业（总计入园企业79家）及金龙镇所有新旧小区、中小学以及新建的湘杏学院。 </w:t>
      </w:r>
    </w:p>
    <w:p>
      <w:pPr>
        <w:pStyle w:val="15"/>
        <w:snapToGrid w:val="0"/>
        <w:spacing w:after="0" w:line="600" w:lineRule="exact"/>
        <w:ind w:left="0" w:leftChars="0" w:firstLine="64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为确保污水处理厂的各项工作符合“安全、平稳、达标”的要求。污水处理厂二十四小时不间断运行，出水各项指标基本达到《城镇污水处理厂污染物排放标准》（GB18918-2002）一级A标准要求。</w:t>
      </w:r>
    </w:p>
    <w:p>
      <w:pPr>
        <w:pStyle w:val="15"/>
        <w:snapToGrid w:val="0"/>
        <w:spacing w:after="0" w:line="600" w:lineRule="exact"/>
        <w:ind w:left="0" w:leftChars="0" w:firstLine="64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2021年至今，湘阴县第三污水处理厂累计处理污水超过350万吨(约20%为工业废水、80%为生活污水）。目前，日均处理水量约为5000立方米。</w:t>
      </w:r>
    </w:p>
    <w:p>
      <w:pPr>
        <w:pStyle w:val="15"/>
        <w:snapToGrid w:val="0"/>
        <w:spacing w:after="0" w:line="600" w:lineRule="exact"/>
        <w:ind w:left="0" w:leftChars="0" w:firstLine="64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金龙片区第三污水处理厂试运行后，配套管网已组织第三方服务机构开展雨污管网排查工作，对管网问题汇总成清单，积极开展问题整改销号，已于2022年6月25日进行验收备案。目前园区企业实现雨污分流，应收尽收应纳尽纳。</w:t>
      </w:r>
    </w:p>
    <w:p>
      <w:pPr>
        <w:pStyle w:val="15"/>
        <w:snapToGrid w:val="0"/>
        <w:spacing w:after="0" w:line="600" w:lineRule="exact"/>
        <w:ind w:left="0" w:leftChars="0" w:firstLine="64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rPr>
        <w:t>工业区内污水管道的直径，支管可由DN400----600mm组成，主管由DN800----1000mm组成，在各工业片区呈树状建设。污水最终进入污水处理厂处理。雨水排水由DN300----600mm的支管、DN800----1200mm的主管组成，最终通过地面水渠或洋沙河排入洋沙湖</w:t>
      </w:r>
      <w:r>
        <w:rPr>
          <w:rFonts w:hint="default" w:ascii="Times New Roman" w:hAnsi="Times New Roman" w:eastAsia="仿宋_GB2312" w:cs="Times New Roman"/>
          <w:szCs w:val="32"/>
          <w:lang w:eastAsia="zh-CN"/>
        </w:rPr>
        <w:t>。</w:t>
      </w:r>
    </w:p>
    <w:p>
      <w:pPr>
        <w:pStyle w:val="15"/>
        <w:snapToGrid w:val="0"/>
        <w:spacing w:after="0" w:line="600" w:lineRule="exact"/>
        <w:ind w:left="0" w:leftChars="0" w:firstLine="64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2022年园区监督性执法监测共计4次，监测因子有：水温、pH、COD、BOD5、SS、动植物油、石油类、LAS、总氮、氨氮、总磷、色度、粪大肠杆菌、总汞、总镉、总铬、六价铬、总砷、总铅、挥发酚、总氰化物、硫化物、余氯。6次监督性执法监测结果显示：各因子均能达标排放。</w:t>
      </w:r>
    </w:p>
    <w:p>
      <w:pPr>
        <w:pStyle w:val="15"/>
        <w:snapToGrid w:val="0"/>
        <w:spacing w:after="0" w:line="600" w:lineRule="exact"/>
        <w:ind w:left="0" w:leftChars="0" w:firstLine="640"/>
        <w:rPr>
          <w:rFonts w:hint="default" w:ascii="Times New Roman" w:hAnsi="Times New Roman" w:eastAsia="仿宋_GB2312" w:cs="Times New Roman"/>
          <w:szCs w:val="32"/>
        </w:rPr>
      </w:pPr>
      <w:r>
        <w:rPr>
          <w:rFonts w:hint="default" w:ascii="Times New Roman" w:hAnsi="Times New Roman" w:eastAsia="仿宋_GB2312" w:cs="Times New Roman"/>
          <w:szCs w:val="32"/>
          <w:lang w:val="en-US" w:eastAsia="zh-CN"/>
        </w:rPr>
        <w:t>依据2022年园区环境质量检测报告、岳阳市生态环境局湘阴分局监测站执法检测、及其他各类型抽检，湘阴高新区园区范围内</w:t>
      </w:r>
      <w:r>
        <w:rPr>
          <w:rFonts w:hint="default" w:ascii="Times New Roman" w:hAnsi="Times New Roman" w:eastAsia="仿宋_GB2312" w:cs="Times New Roman"/>
          <w:szCs w:val="32"/>
        </w:rPr>
        <w:t>地表水、地下水</w:t>
      </w:r>
      <w:r>
        <w:rPr>
          <w:rFonts w:hint="default" w:ascii="Times New Roman" w:hAnsi="Times New Roman" w:eastAsia="仿宋_GB2312" w:cs="Times New Roman"/>
          <w:szCs w:val="32"/>
          <w:lang w:val="en-US" w:eastAsia="zh-CN"/>
        </w:rPr>
        <w:t>未发生</w:t>
      </w:r>
      <w:r>
        <w:rPr>
          <w:rFonts w:hint="default" w:ascii="Times New Roman" w:hAnsi="Times New Roman" w:eastAsia="仿宋_GB2312" w:cs="Times New Roman"/>
          <w:szCs w:val="32"/>
        </w:rPr>
        <w:t>环境质量超标和恶化。</w:t>
      </w:r>
      <w:r>
        <w:rPr>
          <w:rFonts w:hint="default" w:ascii="Times New Roman" w:hAnsi="Times New Roman" w:eastAsia="仿宋_GB2312" w:cs="Times New Roman"/>
          <w:szCs w:val="32"/>
          <w:lang w:val="en-US" w:eastAsia="zh-CN"/>
        </w:rPr>
        <w:t>园区不属于</w:t>
      </w:r>
      <w:r>
        <w:rPr>
          <w:rFonts w:hint="default" w:ascii="Times New Roman" w:hAnsi="Times New Roman" w:eastAsia="仿宋_GB2312" w:cs="Times New Roman"/>
          <w:szCs w:val="32"/>
        </w:rPr>
        <w:t>“双源”地下水监测</w:t>
      </w:r>
      <w:r>
        <w:rPr>
          <w:rFonts w:hint="default" w:ascii="Times New Roman" w:hAnsi="Times New Roman" w:eastAsia="仿宋_GB2312" w:cs="Times New Roman"/>
          <w:szCs w:val="32"/>
          <w:lang w:val="en-US" w:eastAsia="zh-CN"/>
        </w:rPr>
        <w:t>地区</w:t>
      </w:r>
      <w:r>
        <w:rPr>
          <w:rFonts w:hint="default" w:ascii="Times New Roman" w:hAnsi="Times New Roman" w:eastAsia="仿宋_GB2312" w:cs="Times New Roman"/>
          <w:szCs w:val="32"/>
        </w:rPr>
        <w:t>、</w:t>
      </w:r>
      <w:r>
        <w:rPr>
          <w:rFonts w:hint="default" w:ascii="Times New Roman" w:hAnsi="Times New Roman" w:eastAsia="仿宋_GB2312" w:cs="Times New Roman"/>
          <w:szCs w:val="32"/>
          <w:lang w:val="en-US" w:eastAsia="zh-CN"/>
        </w:rPr>
        <w:t>园区范围内经2021年系列整治行动，不存在</w:t>
      </w:r>
      <w:r>
        <w:rPr>
          <w:rFonts w:hint="default" w:ascii="Times New Roman" w:hAnsi="Times New Roman" w:eastAsia="仿宋_GB2312" w:cs="Times New Roman"/>
          <w:szCs w:val="32"/>
        </w:rPr>
        <w:t>黑臭水体</w:t>
      </w:r>
      <w:r>
        <w:rPr>
          <w:rFonts w:hint="default" w:ascii="Times New Roman" w:hAnsi="Times New Roman" w:eastAsia="仿宋_GB2312" w:cs="Times New Roman"/>
          <w:szCs w:val="32"/>
          <w:lang w:eastAsia="zh-CN"/>
        </w:rPr>
        <w:t>。</w:t>
      </w:r>
    </w:p>
    <w:p>
      <w:pPr>
        <w:pStyle w:val="15"/>
        <w:snapToGrid w:val="0"/>
        <w:spacing w:after="0" w:line="600" w:lineRule="exact"/>
        <w:ind w:left="0" w:leftChars="0" w:firstLine="64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湘阴县第二、第三污水处理厂系园区自筹自建，设计之初为工业废水处理设施，园区情况不属于依托城镇污水处理厂处理生产废水类型，故无需开展依托评估报告编制工作。</w:t>
      </w:r>
    </w:p>
    <w:p>
      <w:pPr>
        <w:pStyle w:val="15"/>
        <w:snapToGrid w:val="0"/>
        <w:spacing w:after="0" w:line="600" w:lineRule="exact"/>
        <w:ind w:left="0" w:leftChars="0" w:firstLine="640"/>
        <w:outlineLvl w:val="1"/>
        <w:rPr>
          <w:rFonts w:hint="default" w:ascii="Times New Roman" w:hAnsi="Times New Roman" w:eastAsia="楷体_GB2312" w:cs="Times New Roman"/>
          <w:szCs w:val="32"/>
        </w:rPr>
      </w:pPr>
      <w:bookmarkStart w:id="11" w:name="_Toc14433"/>
      <w:r>
        <w:rPr>
          <w:rFonts w:hint="default" w:ascii="Times New Roman" w:hAnsi="Times New Roman" w:eastAsia="楷体_GB2312" w:cs="Times New Roman"/>
          <w:szCs w:val="32"/>
        </w:rPr>
        <w:t>（四）大气环境管理</w:t>
      </w:r>
      <w:bookmarkEnd w:id="11"/>
    </w:p>
    <w:p>
      <w:pPr>
        <w:pStyle w:val="15"/>
        <w:snapToGrid w:val="0"/>
        <w:spacing w:after="0" w:line="600" w:lineRule="exact"/>
        <w:ind w:left="0" w:leftChars="0" w:firstLine="64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为进一步提高大气污染防治和监管执法精细化、科学化、信息化水平，实现对污染物的实时监控、精准排查、精细化管理，切实改善区域空气质量，湘阴高新区管委会安装空气质量网格化监测设备，分别位于：湘阴县高新区科技孵化中心、南泉寺、湘阴县洋沙湖街道涝溪桥村村民委员会，并对其进行运维。</w:t>
      </w:r>
    </w:p>
    <w:p>
      <w:pPr>
        <w:pStyle w:val="15"/>
        <w:snapToGrid w:val="0"/>
        <w:spacing w:after="0" w:line="600" w:lineRule="exact"/>
        <w:ind w:left="0" w:leftChars="0" w:firstLine="64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湘阴高新区空气质量网格化监测设备于2019年12底建设完成；三个设备于2022年6月进行数据联调，接入市局环保监管。</w:t>
      </w:r>
    </w:p>
    <w:p>
      <w:pPr>
        <w:pStyle w:val="15"/>
        <w:snapToGrid w:val="0"/>
        <w:spacing w:after="0" w:line="600" w:lineRule="exact"/>
        <w:ind w:left="0" w:leftChars="0" w:firstLine="64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园区已建立涉VOCs重点排放企业管理台账如下：</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1108"/>
        <w:gridCol w:w="1465"/>
        <w:gridCol w:w="1860"/>
        <w:gridCol w:w="701"/>
        <w:gridCol w:w="734"/>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blHeader/>
          <w:jc w:val="center"/>
        </w:trPr>
        <w:tc>
          <w:tcPr>
            <w:tcW w:w="1878" w:type="dxa"/>
            <w:shd w:val="clear" w:color="auto" w:fill="BEBEBE" w:themeFill="background1" w:themeFillShade="BF"/>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企业名称</w:t>
            </w:r>
          </w:p>
        </w:tc>
        <w:tc>
          <w:tcPr>
            <w:tcW w:w="1108" w:type="dxa"/>
            <w:shd w:val="clear" w:color="auto" w:fill="BEBEBE" w:themeFill="background1" w:themeFillShade="BF"/>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污染排放物名称</w:t>
            </w:r>
          </w:p>
        </w:tc>
        <w:tc>
          <w:tcPr>
            <w:tcW w:w="1465" w:type="dxa"/>
            <w:shd w:val="clear" w:color="auto" w:fill="BEBEBE" w:themeFill="background1" w:themeFillShade="BF"/>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环保设施</w:t>
            </w:r>
          </w:p>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名称</w:t>
            </w:r>
          </w:p>
        </w:tc>
        <w:tc>
          <w:tcPr>
            <w:tcW w:w="1860" w:type="dxa"/>
            <w:shd w:val="clear" w:color="auto" w:fill="BEBEBE" w:themeFill="background1" w:themeFillShade="BF"/>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废气治理工艺</w:t>
            </w:r>
          </w:p>
        </w:tc>
        <w:tc>
          <w:tcPr>
            <w:tcW w:w="701" w:type="dxa"/>
            <w:shd w:val="clear" w:color="auto" w:fill="BEBEBE" w:themeFill="background1" w:themeFillShade="BF"/>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废气收集效率（%）</w:t>
            </w:r>
          </w:p>
        </w:tc>
        <w:tc>
          <w:tcPr>
            <w:tcW w:w="734" w:type="dxa"/>
            <w:shd w:val="clear" w:color="auto" w:fill="BEBEBE" w:themeFill="background1" w:themeFillShade="BF"/>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废气治理率（%）</w:t>
            </w:r>
          </w:p>
        </w:tc>
        <w:tc>
          <w:tcPr>
            <w:tcW w:w="776" w:type="dxa"/>
            <w:shd w:val="clear" w:color="auto" w:fill="BEBEBE" w:themeFill="background1" w:themeFillShade="BF"/>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废气排放达标情况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87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湖南斯派克材料科技有限公司</w:t>
            </w:r>
          </w:p>
        </w:tc>
        <w:tc>
          <w:tcPr>
            <w:tcW w:w="110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VOCs</w:t>
            </w:r>
          </w:p>
        </w:tc>
        <w:tc>
          <w:tcPr>
            <w:tcW w:w="1465"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二级降膜+活性炭</w:t>
            </w:r>
          </w:p>
        </w:tc>
        <w:tc>
          <w:tcPr>
            <w:tcW w:w="1860"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冷凝回收+二级降膜+活性炭吸附</w:t>
            </w:r>
          </w:p>
        </w:tc>
        <w:tc>
          <w:tcPr>
            <w:tcW w:w="701"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95%</w:t>
            </w:r>
          </w:p>
        </w:tc>
        <w:tc>
          <w:tcPr>
            <w:tcW w:w="734"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87%</w:t>
            </w:r>
          </w:p>
        </w:tc>
        <w:tc>
          <w:tcPr>
            <w:tcW w:w="776"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87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湖南大方农化股份有限公司湘阴分公司</w:t>
            </w:r>
          </w:p>
        </w:tc>
        <w:tc>
          <w:tcPr>
            <w:tcW w:w="110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VOCs</w:t>
            </w:r>
          </w:p>
        </w:tc>
        <w:tc>
          <w:tcPr>
            <w:tcW w:w="1465"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活性炭净化系统</w:t>
            </w:r>
          </w:p>
        </w:tc>
        <w:tc>
          <w:tcPr>
            <w:tcW w:w="1860"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活性炭吸附</w:t>
            </w:r>
          </w:p>
        </w:tc>
        <w:tc>
          <w:tcPr>
            <w:tcW w:w="701"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90%</w:t>
            </w:r>
          </w:p>
        </w:tc>
        <w:tc>
          <w:tcPr>
            <w:tcW w:w="734"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90%</w:t>
            </w:r>
          </w:p>
        </w:tc>
        <w:tc>
          <w:tcPr>
            <w:tcW w:w="776"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87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湖南英思特晶体电波有限公司</w:t>
            </w:r>
          </w:p>
        </w:tc>
        <w:tc>
          <w:tcPr>
            <w:tcW w:w="110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VOCs</w:t>
            </w:r>
          </w:p>
        </w:tc>
        <w:tc>
          <w:tcPr>
            <w:tcW w:w="1465"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空气净化系统</w:t>
            </w:r>
          </w:p>
        </w:tc>
        <w:tc>
          <w:tcPr>
            <w:tcW w:w="1860"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活性炭吸附</w:t>
            </w:r>
          </w:p>
        </w:tc>
        <w:tc>
          <w:tcPr>
            <w:tcW w:w="701"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95%</w:t>
            </w:r>
          </w:p>
        </w:tc>
        <w:tc>
          <w:tcPr>
            <w:tcW w:w="734"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75%-85%</w:t>
            </w:r>
          </w:p>
        </w:tc>
        <w:tc>
          <w:tcPr>
            <w:tcW w:w="776"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87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湖南英思达电波科技有限公司</w:t>
            </w:r>
          </w:p>
        </w:tc>
        <w:tc>
          <w:tcPr>
            <w:tcW w:w="110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VOCs</w:t>
            </w:r>
          </w:p>
        </w:tc>
        <w:tc>
          <w:tcPr>
            <w:tcW w:w="1465"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活性炭净化装置</w:t>
            </w:r>
          </w:p>
        </w:tc>
        <w:tc>
          <w:tcPr>
            <w:tcW w:w="1860"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活性炭吸附</w:t>
            </w:r>
          </w:p>
        </w:tc>
        <w:tc>
          <w:tcPr>
            <w:tcW w:w="701"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94%</w:t>
            </w:r>
          </w:p>
        </w:tc>
        <w:tc>
          <w:tcPr>
            <w:tcW w:w="734"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92%</w:t>
            </w:r>
          </w:p>
        </w:tc>
        <w:tc>
          <w:tcPr>
            <w:tcW w:w="776"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蓝天豚绿色建筑新材料（湘阴）</w:t>
            </w:r>
          </w:p>
        </w:tc>
        <w:tc>
          <w:tcPr>
            <w:tcW w:w="110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VOCs</w:t>
            </w:r>
          </w:p>
        </w:tc>
        <w:tc>
          <w:tcPr>
            <w:tcW w:w="1465"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活性炭吸附装置</w:t>
            </w:r>
          </w:p>
        </w:tc>
        <w:tc>
          <w:tcPr>
            <w:tcW w:w="1860"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活性炭吸附</w:t>
            </w:r>
          </w:p>
        </w:tc>
        <w:tc>
          <w:tcPr>
            <w:tcW w:w="701"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90%</w:t>
            </w:r>
          </w:p>
        </w:tc>
        <w:tc>
          <w:tcPr>
            <w:tcW w:w="734"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91.6%</w:t>
            </w:r>
          </w:p>
        </w:tc>
        <w:tc>
          <w:tcPr>
            <w:tcW w:w="776"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湖南百信重型钢结构工程有限公司</w:t>
            </w:r>
          </w:p>
        </w:tc>
        <w:tc>
          <w:tcPr>
            <w:tcW w:w="110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VOCs</w:t>
            </w:r>
          </w:p>
        </w:tc>
        <w:tc>
          <w:tcPr>
            <w:tcW w:w="1465"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活性炭</w:t>
            </w:r>
          </w:p>
        </w:tc>
        <w:tc>
          <w:tcPr>
            <w:tcW w:w="1860"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活性炭吸附</w:t>
            </w:r>
          </w:p>
        </w:tc>
        <w:tc>
          <w:tcPr>
            <w:tcW w:w="701"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95%</w:t>
            </w:r>
          </w:p>
        </w:tc>
        <w:tc>
          <w:tcPr>
            <w:tcW w:w="734"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90%</w:t>
            </w:r>
          </w:p>
        </w:tc>
        <w:tc>
          <w:tcPr>
            <w:tcW w:w="776"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87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远大（湖南）再生燃油股份有限公司</w:t>
            </w:r>
          </w:p>
        </w:tc>
        <w:tc>
          <w:tcPr>
            <w:tcW w:w="110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VOCs</w:t>
            </w:r>
          </w:p>
        </w:tc>
        <w:tc>
          <w:tcPr>
            <w:tcW w:w="1465"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活性炭吸附装置</w:t>
            </w:r>
          </w:p>
        </w:tc>
        <w:tc>
          <w:tcPr>
            <w:tcW w:w="1860"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活性炭吸附</w:t>
            </w:r>
          </w:p>
        </w:tc>
        <w:tc>
          <w:tcPr>
            <w:tcW w:w="701"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95%</w:t>
            </w:r>
          </w:p>
        </w:tc>
        <w:tc>
          <w:tcPr>
            <w:tcW w:w="734"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85%-95%</w:t>
            </w:r>
          </w:p>
        </w:tc>
        <w:tc>
          <w:tcPr>
            <w:tcW w:w="776"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湘阴县顺安进口汽车维修中心</w:t>
            </w:r>
          </w:p>
        </w:tc>
        <w:tc>
          <w:tcPr>
            <w:tcW w:w="110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VOCs</w:t>
            </w:r>
          </w:p>
        </w:tc>
        <w:tc>
          <w:tcPr>
            <w:tcW w:w="1465"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烤漆房集中收集系统</w:t>
            </w:r>
          </w:p>
        </w:tc>
        <w:tc>
          <w:tcPr>
            <w:tcW w:w="1860"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过滤棉+活性炭吸附</w:t>
            </w:r>
          </w:p>
        </w:tc>
        <w:tc>
          <w:tcPr>
            <w:tcW w:w="701"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95%</w:t>
            </w:r>
          </w:p>
        </w:tc>
        <w:tc>
          <w:tcPr>
            <w:tcW w:w="734"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83%</w:t>
            </w:r>
          </w:p>
        </w:tc>
        <w:tc>
          <w:tcPr>
            <w:tcW w:w="776"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87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湘阴县平湘玻璃有限责任公司</w:t>
            </w:r>
          </w:p>
        </w:tc>
        <w:tc>
          <w:tcPr>
            <w:tcW w:w="110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VOCs</w:t>
            </w:r>
          </w:p>
        </w:tc>
        <w:tc>
          <w:tcPr>
            <w:tcW w:w="1465"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UV光解设备</w:t>
            </w:r>
          </w:p>
        </w:tc>
        <w:tc>
          <w:tcPr>
            <w:tcW w:w="1860"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集气罩收集+UV光解+处理活性炭</w:t>
            </w:r>
          </w:p>
        </w:tc>
        <w:tc>
          <w:tcPr>
            <w:tcW w:w="701"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90%-95%</w:t>
            </w:r>
          </w:p>
        </w:tc>
        <w:tc>
          <w:tcPr>
            <w:tcW w:w="734"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85%-95%</w:t>
            </w:r>
          </w:p>
        </w:tc>
        <w:tc>
          <w:tcPr>
            <w:tcW w:w="776"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87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湖南奥铭木业有限公司</w:t>
            </w:r>
          </w:p>
        </w:tc>
        <w:tc>
          <w:tcPr>
            <w:tcW w:w="110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VOCs</w:t>
            </w:r>
          </w:p>
        </w:tc>
        <w:tc>
          <w:tcPr>
            <w:tcW w:w="1465"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密闭喷漆房</w:t>
            </w:r>
          </w:p>
        </w:tc>
        <w:tc>
          <w:tcPr>
            <w:tcW w:w="1860"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负压抽风罩+水幕除漆雾+活性炭吸附净化装置</w:t>
            </w:r>
          </w:p>
        </w:tc>
        <w:tc>
          <w:tcPr>
            <w:tcW w:w="701"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85%</w:t>
            </w:r>
          </w:p>
        </w:tc>
        <w:tc>
          <w:tcPr>
            <w:tcW w:w="734"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90%</w:t>
            </w:r>
          </w:p>
        </w:tc>
        <w:tc>
          <w:tcPr>
            <w:tcW w:w="776"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湘阴中研新材料科技有限公司</w:t>
            </w:r>
          </w:p>
        </w:tc>
        <w:tc>
          <w:tcPr>
            <w:tcW w:w="110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VOCs</w:t>
            </w:r>
          </w:p>
        </w:tc>
        <w:tc>
          <w:tcPr>
            <w:tcW w:w="1465"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静电式净化器</w:t>
            </w:r>
          </w:p>
        </w:tc>
        <w:tc>
          <w:tcPr>
            <w:tcW w:w="1860"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集气罩收集+静电式净化器处理</w:t>
            </w:r>
          </w:p>
        </w:tc>
        <w:tc>
          <w:tcPr>
            <w:tcW w:w="701"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75%-83%</w:t>
            </w:r>
          </w:p>
        </w:tc>
        <w:tc>
          <w:tcPr>
            <w:tcW w:w="734"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80%-86%%</w:t>
            </w:r>
          </w:p>
        </w:tc>
        <w:tc>
          <w:tcPr>
            <w:tcW w:w="776"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湖南驿通电子科技有限公司</w:t>
            </w:r>
          </w:p>
        </w:tc>
        <w:tc>
          <w:tcPr>
            <w:tcW w:w="110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VOCs</w:t>
            </w:r>
          </w:p>
        </w:tc>
        <w:tc>
          <w:tcPr>
            <w:tcW w:w="1465"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活性炭吸附</w:t>
            </w:r>
          </w:p>
        </w:tc>
        <w:tc>
          <w:tcPr>
            <w:tcW w:w="1860"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集气罩收集+水洗+除雾+活性炭吸附处理</w:t>
            </w:r>
          </w:p>
        </w:tc>
        <w:tc>
          <w:tcPr>
            <w:tcW w:w="701"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95%</w:t>
            </w:r>
          </w:p>
        </w:tc>
        <w:tc>
          <w:tcPr>
            <w:tcW w:w="734"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87%</w:t>
            </w:r>
          </w:p>
        </w:tc>
        <w:tc>
          <w:tcPr>
            <w:tcW w:w="776"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湘阴三井新材料科技有限公司</w:t>
            </w:r>
          </w:p>
        </w:tc>
        <w:tc>
          <w:tcPr>
            <w:tcW w:w="110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VOCs</w:t>
            </w:r>
          </w:p>
        </w:tc>
        <w:tc>
          <w:tcPr>
            <w:tcW w:w="1465"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UV光解设备</w:t>
            </w:r>
          </w:p>
        </w:tc>
        <w:tc>
          <w:tcPr>
            <w:tcW w:w="1860"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集气罩收集+UV光解+活性炭吸附</w:t>
            </w:r>
          </w:p>
        </w:tc>
        <w:tc>
          <w:tcPr>
            <w:tcW w:w="701"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85%</w:t>
            </w:r>
          </w:p>
        </w:tc>
        <w:tc>
          <w:tcPr>
            <w:tcW w:w="734"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80%</w:t>
            </w:r>
          </w:p>
        </w:tc>
        <w:tc>
          <w:tcPr>
            <w:tcW w:w="776"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187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湘阴宏远家俱有限公司</w:t>
            </w:r>
          </w:p>
        </w:tc>
        <w:tc>
          <w:tcPr>
            <w:tcW w:w="110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VOCs</w:t>
            </w:r>
          </w:p>
        </w:tc>
        <w:tc>
          <w:tcPr>
            <w:tcW w:w="1465"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UV光解设备</w:t>
            </w:r>
          </w:p>
        </w:tc>
        <w:tc>
          <w:tcPr>
            <w:tcW w:w="1860"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水帘+UV光解/活性炭吸附</w:t>
            </w:r>
          </w:p>
        </w:tc>
        <w:tc>
          <w:tcPr>
            <w:tcW w:w="701"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95%</w:t>
            </w:r>
          </w:p>
        </w:tc>
        <w:tc>
          <w:tcPr>
            <w:tcW w:w="734"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84%</w:t>
            </w:r>
          </w:p>
        </w:tc>
        <w:tc>
          <w:tcPr>
            <w:tcW w:w="776"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87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湘阴春天家具厂</w:t>
            </w:r>
          </w:p>
        </w:tc>
        <w:tc>
          <w:tcPr>
            <w:tcW w:w="110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VOCs</w:t>
            </w:r>
          </w:p>
        </w:tc>
        <w:tc>
          <w:tcPr>
            <w:tcW w:w="1465"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水帘喷淋+活性炭吸附装置</w:t>
            </w:r>
          </w:p>
        </w:tc>
        <w:tc>
          <w:tcPr>
            <w:tcW w:w="1860"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负压抽风罩+水帘喷淋+活性炭吸附净化</w:t>
            </w:r>
          </w:p>
        </w:tc>
        <w:tc>
          <w:tcPr>
            <w:tcW w:w="701"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80%</w:t>
            </w:r>
          </w:p>
        </w:tc>
        <w:tc>
          <w:tcPr>
            <w:tcW w:w="734"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80%</w:t>
            </w:r>
          </w:p>
        </w:tc>
        <w:tc>
          <w:tcPr>
            <w:tcW w:w="776"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87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湘阴县在其卫浴洁具制造有限公司</w:t>
            </w:r>
          </w:p>
        </w:tc>
        <w:tc>
          <w:tcPr>
            <w:tcW w:w="110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VOCs</w:t>
            </w:r>
          </w:p>
        </w:tc>
        <w:tc>
          <w:tcPr>
            <w:tcW w:w="1465"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喷漆房</w:t>
            </w:r>
          </w:p>
        </w:tc>
        <w:tc>
          <w:tcPr>
            <w:tcW w:w="1860"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负压抽风罩+水幕除漆雾+活性炭吸附</w:t>
            </w:r>
          </w:p>
        </w:tc>
        <w:tc>
          <w:tcPr>
            <w:tcW w:w="701"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85%</w:t>
            </w:r>
          </w:p>
        </w:tc>
        <w:tc>
          <w:tcPr>
            <w:tcW w:w="734"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75%</w:t>
            </w:r>
          </w:p>
        </w:tc>
        <w:tc>
          <w:tcPr>
            <w:tcW w:w="776"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湖南成祥餐具有限公司</w:t>
            </w:r>
          </w:p>
        </w:tc>
        <w:tc>
          <w:tcPr>
            <w:tcW w:w="110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VOCs</w:t>
            </w:r>
          </w:p>
        </w:tc>
        <w:tc>
          <w:tcPr>
            <w:tcW w:w="1465"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活性炭净化装置</w:t>
            </w:r>
          </w:p>
        </w:tc>
        <w:tc>
          <w:tcPr>
            <w:tcW w:w="1860"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集气罩+活性炭吸附</w:t>
            </w:r>
          </w:p>
        </w:tc>
        <w:tc>
          <w:tcPr>
            <w:tcW w:w="701"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80%-90%</w:t>
            </w:r>
          </w:p>
        </w:tc>
        <w:tc>
          <w:tcPr>
            <w:tcW w:w="734"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80%-90%</w:t>
            </w:r>
          </w:p>
        </w:tc>
        <w:tc>
          <w:tcPr>
            <w:tcW w:w="776"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湖南湖湘木业有限公司</w:t>
            </w:r>
          </w:p>
        </w:tc>
        <w:tc>
          <w:tcPr>
            <w:tcW w:w="110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VOCs</w:t>
            </w:r>
          </w:p>
        </w:tc>
        <w:tc>
          <w:tcPr>
            <w:tcW w:w="1465"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喷漆房</w:t>
            </w:r>
          </w:p>
        </w:tc>
        <w:tc>
          <w:tcPr>
            <w:tcW w:w="1860"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负压抽风罩+水幕除漆雾+活性炭吸附</w:t>
            </w:r>
          </w:p>
        </w:tc>
        <w:tc>
          <w:tcPr>
            <w:tcW w:w="701"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90%</w:t>
            </w:r>
          </w:p>
        </w:tc>
        <w:tc>
          <w:tcPr>
            <w:tcW w:w="734"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83%</w:t>
            </w:r>
          </w:p>
        </w:tc>
        <w:tc>
          <w:tcPr>
            <w:tcW w:w="776"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湖南菲德克材料科技有限公司</w:t>
            </w:r>
          </w:p>
        </w:tc>
        <w:tc>
          <w:tcPr>
            <w:tcW w:w="110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VOCs</w:t>
            </w:r>
          </w:p>
        </w:tc>
        <w:tc>
          <w:tcPr>
            <w:tcW w:w="1465"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布袋除尘器+活性炭吸附装置</w:t>
            </w:r>
          </w:p>
        </w:tc>
        <w:tc>
          <w:tcPr>
            <w:tcW w:w="1860"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集气罩+布袋除尘+活性炭吸附</w:t>
            </w:r>
          </w:p>
        </w:tc>
        <w:tc>
          <w:tcPr>
            <w:tcW w:w="701"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85%</w:t>
            </w:r>
          </w:p>
        </w:tc>
        <w:tc>
          <w:tcPr>
            <w:tcW w:w="734"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80%</w:t>
            </w:r>
          </w:p>
        </w:tc>
        <w:tc>
          <w:tcPr>
            <w:tcW w:w="776"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湖南吉通铝业有限责任公司</w:t>
            </w:r>
          </w:p>
        </w:tc>
        <w:tc>
          <w:tcPr>
            <w:tcW w:w="110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VOCs</w:t>
            </w:r>
          </w:p>
        </w:tc>
        <w:tc>
          <w:tcPr>
            <w:tcW w:w="1465"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水帘喷淋+UV光解</w:t>
            </w:r>
          </w:p>
        </w:tc>
        <w:tc>
          <w:tcPr>
            <w:tcW w:w="1860"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水帘喷淋+UV光解</w:t>
            </w:r>
          </w:p>
        </w:tc>
        <w:tc>
          <w:tcPr>
            <w:tcW w:w="701"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75%</w:t>
            </w:r>
          </w:p>
        </w:tc>
        <w:tc>
          <w:tcPr>
            <w:tcW w:w="734"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80%</w:t>
            </w:r>
          </w:p>
        </w:tc>
        <w:tc>
          <w:tcPr>
            <w:tcW w:w="776"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87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湖南华鑫鸿达精密工业有限责任公司</w:t>
            </w:r>
          </w:p>
        </w:tc>
        <w:tc>
          <w:tcPr>
            <w:tcW w:w="110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VOCs</w:t>
            </w:r>
          </w:p>
        </w:tc>
        <w:tc>
          <w:tcPr>
            <w:tcW w:w="1465"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水喷淋装置</w:t>
            </w:r>
          </w:p>
        </w:tc>
        <w:tc>
          <w:tcPr>
            <w:tcW w:w="1860"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通风管道+水喷淋处理</w:t>
            </w:r>
          </w:p>
        </w:tc>
        <w:tc>
          <w:tcPr>
            <w:tcW w:w="701"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80%</w:t>
            </w:r>
          </w:p>
        </w:tc>
        <w:tc>
          <w:tcPr>
            <w:tcW w:w="734"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80%-85%</w:t>
            </w:r>
          </w:p>
        </w:tc>
        <w:tc>
          <w:tcPr>
            <w:tcW w:w="776"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湖南金鼎福木业有限公司湘阴县分公司</w:t>
            </w:r>
          </w:p>
        </w:tc>
        <w:tc>
          <w:tcPr>
            <w:tcW w:w="110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VOCs</w:t>
            </w:r>
          </w:p>
        </w:tc>
        <w:tc>
          <w:tcPr>
            <w:tcW w:w="1465"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密闭油漆车间</w:t>
            </w:r>
          </w:p>
        </w:tc>
        <w:tc>
          <w:tcPr>
            <w:tcW w:w="1860"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密闭车间+水帘喷漆+活性炭吸附</w:t>
            </w:r>
          </w:p>
        </w:tc>
        <w:tc>
          <w:tcPr>
            <w:tcW w:w="701"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90%</w:t>
            </w:r>
          </w:p>
        </w:tc>
        <w:tc>
          <w:tcPr>
            <w:tcW w:w="734"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94%</w:t>
            </w:r>
          </w:p>
        </w:tc>
        <w:tc>
          <w:tcPr>
            <w:tcW w:w="776"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湖南金诺动力设备制造有限公司</w:t>
            </w:r>
          </w:p>
        </w:tc>
        <w:tc>
          <w:tcPr>
            <w:tcW w:w="110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VOCs</w:t>
            </w:r>
          </w:p>
        </w:tc>
        <w:tc>
          <w:tcPr>
            <w:tcW w:w="1465"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喷漆房+活性炭吸附净化装置</w:t>
            </w:r>
          </w:p>
        </w:tc>
        <w:tc>
          <w:tcPr>
            <w:tcW w:w="1860"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密闭车间+负压抽风罩+水帘喷淋+过滤棉+活性炭吸附净化装置</w:t>
            </w:r>
          </w:p>
        </w:tc>
        <w:tc>
          <w:tcPr>
            <w:tcW w:w="701"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75%</w:t>
            </w:r>
          </w:p>
        </w:tc>
        <w:tc>
          <w:tcPr>
            <w:tcW w:w="734"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80%</w:t>
            </w:r>
          </w:p>
        </w:tc>
        <w:tc>
          <w:tcPr>
            <w:tcW w:w="776"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湖南新传工贸有限公司</w:t>
            </w:r>
          </w:p>
        </w:tc>
        <w:tc>
          <w:tcPr>
            <w:tcW w:w="110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VOCs</w:t>
            </w:r>
          </w:p>
        </w:tc>
        <w:tc>
          <w:tcPr>
            <w:tcW w:w="1465"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水幕喷淋装置</w:t>
            </w:r>
          </w:p>
        </w:tc>
        <w:tc>
          <w:tcPr>
            <w:tcW w:w="1860"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水幕喷淋吸附处理</w:t>
            </w:r>
          </w:p>
        </w:tc>
        <w:tc>
          <w:tcPr>
            <w:tcW w:w="701"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75%-85%</w:t>
            </w:r>
          </w:p>
        </w:tc>
        <w:tc>
          <w:tcPr>
            <w:tcW w:w="734"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80%-85%</w:t>
            </w:r>
          </w:p>
        </w:tc>
        <w:tc>
          <w:tcPr>
            <w:tcW w:w="776"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湖南信达电梯车库制造有限公司</w:t>
            </w:r>
          </w:p>
        </w:tc>
        <w:tc>
          <w:tcPr>
            <w:tcW w:w="110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VOCs</w:t>
            </w:r>
          </w:p>
        </w:tc>
        <w:tc>
          <w:tcPr>
            <w:tcW w:w="1465"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UV光解设备</w:t>
            </w:r>
          </w:p>
        </w:tc>
        <w:tc>
          <w:tcPr>
            <w:tcW w:w="1860"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水帘净化+活性炭吸附+UV光解</w:t>
            </w:r>
          </w:p>
        </w:tc>
        <w:tc>
          <w:tcPr>
            <w:tcW w:w="701"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85%-95%</w:t>
            </w:r>
          </w:p>
        </w:tc>
        <w:tc>
          <w:tcPr>
            <w:tcW w:w="734"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90%-95%</w:t>
            </w:r>
          </w:p>
        </w:tc>
        <w:tc>
          <w:tcPr>
            <w:tcW w:w="776"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7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湖南省金为新材料科技有限公司</w:t>
            </w:r>
          </w:p>
        </w:tc>
        <w:tc>
          <w:tcPr>
            <w:tcW w:w="110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VOCs</w:t>
            </w:r>
          </w:p>
        </w:tc>
        <w:tc>
          <w:tcPr>
            <w:tcW w:w="1465"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活性炭吸附装置</w:t>
            </w:r>
          </w:p>
        </w:tc>
        <w:tc>
          <w:tcPr>
            <w:tcW w:w="1860"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活性炭吸附</w:t>
            </w:r>
          </w:p>
        </w:tc>
        <w:tc>
          <w:tcPr>
            <w:tcW w:w="701"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96%</w:t>
            </w:r>
          </w:p>
        </w:tc>
        <w:tc>
          <w:tcPr>
            <w:tcW w:w="734"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90%</w:t>
            </w:r>
          </w:p>
        </w:tc>
        <w:tc>
          <w:tcPr>
            <w:tcW w:w="776"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87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湖南元亨科技股份有限公司湘阴分公司</w:t>
            </w:r>
          </w:p>
        </w:tc>
        <w:tc>
          <w:tcPr>
            <w:tcW w:w="110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VOCs</w:t>
            </w:r>
          </w:p>
        </w:tc>
        <w:tc>
          <w:tcPr>
            <w:tcW w:w="1465"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喷淋系统</w:t>
            </w:r>
          </w:p>
        </w:tc>
        <w:tc>
          <w:tcPr>
            <w:tcW w:w="1860"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负压收集+喷淋系统过滤</w:t>
            </w:r>
          </w:p>
        </w:tc>
        <w:tc>
          <w:tcPr>
            <w:tcW w:w="701"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90%</w:t>
            </w:r>
          </w:p>
        </w:tc>
        <w:tc>
          <w:tcPr>
            <w:tcW w:w="734"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77%</w:t>
            </w:r>
          </w:p>
        </w:tc>
        <w:tc>
          <w:tcPr>
            <w:tcW w:w="776"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87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湖南凯特电力科技有限公司</w:t>
            </w:r>
          </w:p>
        </w:tc>
        <w:tc>
          <w:tcPr>
            <w:tcW w:w="110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VOCs</w:t>
            </w:r>
          </w:p>
        </w:tc>
        <w:tc>
          <w:tcPr>
            <w:tcW w:w="1465"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吸附净化装置</w:t>
            </w:r>
          </w:p>
        </w:tc>
        <w:tc>
          <w:tcPr>
            <w:tcW w:w="1860"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负压抽风罩+吸附净化</w:t>
            </w:r>
          </w:p>
        </w:tc>
        <w:tc>
          <w:tcPr>
            <w:tcW w:w="701"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80%-90%</w:t>
            </w:r>
          </w:p>
        </w:tc>
        <w:tc>
          <w:tcPr>
            <w:tcW w:w="734"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85%-90%</w:t>
            </w:r>
          </w:p>
        </w:tc>
        <w:tc>
          <w:tcPr>
            <w:tcW w:w="776"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湖南湘变电气责任有限公司</w:t>
            </w:r>
          </w:p>
        </w:tc>
        <w:tc>
          <w:tcPr>
            <w:tcW w:w="110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VOCs</w:t>
            </w:r>
          </w:p>
        </w:tc>
        <w:tc>
          <w:tcPr>
            <w:tcW w:w="1465"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水幕喷淋装置+吸附装置+UV光解设备</w:t>
            </w:r>
          </w:p>
        </w:tc>
        <w:tc>
          <w:tcPr>
            <w:tcW w:w="1860"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集气罩收集+水幕喷淋+活性炭吸附；UV光解+活性炭吸附</w:t>
            </w:r>
          </w:p>
        </w:tc>
        <w:tc>
          <w:tcPr>
            <w:tcW w:w="701"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80%</w:t>
            </w:r>
          </w:p>
        </w:tc>
        <w:tc>
          <w:tcPr>
            <w:tcW w:w="734"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85%</w:t>
            </w:r>
          </w:p>
        </w:tc>
        <w:tc>
          <w:tcPr>
            <w:tcW w:w="776"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湖南君昊中药饮片科贸有限公司</w:t>
            </w:r>
          </w:p>
        </w:tc>
        <w:tc>
          <w:tcPr>
            <w:tcW w:w="110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VOCs</w:t>
            </w:r>
          </w:p>
        </w:tc>
        <w:tc>
          <w:tcPr>
            <w:tcW w:w="1465"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UV光解设备</w:t>
            </w:r>
          </w:p>
        </w:tc>
        <w:tc>
          <w:tcPr>
            <w:tcW w:w="1860"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集气罩+UV光解</w:t>
            </w:r>
          </w:p>
        </w:tc>
        <w:tc>
          <w:tcPr>
            <w:tcW w:w="701"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90%-95%</w:t>
            </w:r>
          </w:p>
        </w:tc>
        <w:tc>
          <w:tcPr>
            <w:tcW w:w="734"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85%-90%</w:t>
            </w:r>
          </w:p>
        </w:tc>
        <w:tc>
          <w:tcPr>
            <w:tcW w:w="776"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湖南天跃电气有限公司</w:t>
            </w:r>
          </w:p>
        </w:tc>
        <w:tc>
          <w:tcPr>
            <w:tcW w:w="110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VOCs</w:t>
            </w:r>
          </w:p>
        </w:tc>
        <w:tc>
          <w:tcPr>
            <w:tcW w:w="1465"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吸附净化装置</w:t>
            </w:r>
          </w:p>
        </w:tc>
        <w:tc>
          <w:tcPr>
            <w:tcW w:w="1860"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负压抽风罩+吸附净化处理</w:t>
            </w:r>
          </w:p>
        </w:tc>
        <w:tc>
          <w:tcPr>
            <w:tcW w:w="701"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95%</w:t>
            </w:r>
          </w:p>
        </w:tc>
        <w:tc>
          <w:tcPr>
            <w:tcW w:w="734"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85%</w:t>
            </w:r>
          </w:p>
        </w:tc>
        <w:tc>
          <w:tcPr>
            <w:tcW w:w="776"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湖南湘环风机制造有限公司</w:t>
            </w:r>
          </w:p>
        </w:tc>
        <w:tc>
          <w:tcPr>
            <w:tcW w:w="110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VOCs</w:t>
            </w:r>
          </w:p>
        </w:tc>
        <w:tc>
          <w:tcPr>
            <w:tcW w:w="1465"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UV光解设备</w:t>
            </w:r>
          </w:p>
        </w:tc>
        <w:tc>
          <w:tcPr>
            <w:tcW w:w="1860"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过滤棉+UV光解+活性炭吸附</w:t>
            </w:r>
          </w:p>
        </w:tc>
        <w:tc>
          <w:tcPr>
            <w:tcW w:w="701"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95%</w:t>
            </w:r>
          </w:p>
        </w:tc>
        <w:tc>
          <w:tcPr>
            <w:tcW w:w="734"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90%</w:t>
            </w:r>
          </w:p>
        </w:tc>
        <w:tc>
          <w:tcPr>
            <w:tcW w:w="776"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湖南鸿昌热能设备有限公司</w:t>
            </w:r>
          </w:p>
        </w:tc>
        <w:tc>
          <w:tcPr>
            <w:tcW w:w="110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VOCs</w:t>
            </w:r>
          </w:p>
        </w:tc>
        <w:tc>
          <w:tcPr>
            <w:tcW w:w="1465"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净化装置</w:t>
            </w:r>
          </w:p>
        </w:tc>
        <w:tc>
          <w:tcPr>
            <w:tcW w:w="1860"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净化装置</w:t>
            </w:r>
          </w:p>
        </w:tc>
        <w:tc>
          <w:tcPr>
            <w:tcW w:w="701"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90%</w:t>
            </w:r>
          </w:p>
        </w:tc>
        <w:tc>
          <w:tcPr>
            <w:tcW w:w="734"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85%</w:t>
            </w:r>
          </w:p>
        </w:tc>
        <w:tc>
          <w:tcPr>
            <w:tcW w:w="776"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湖南大金刚结构工程有限公司</w:t>
            </w:r>
          </w:p>
        </w:tc>
        <w:tc>
          <w:tcPr>
            <w:tcW w:w="110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VOCs</w:t>
            </w:r>
          </w:p>
        </w:tc>
        <w:tc>
          <w:tcPr>
            <w:tcW w:w="1465"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活性炭吸附装置</w:t>
            </w:r>
          </w:p>
        </w:tc>
        <w:tc>
          <w:tcPr>
            <w:tcW w:w="1860"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活性炭过滤处理</w:t>
            </w:r>
          </w:p>
        </w:tc>
        <w:tc>
          <w:tcPr>
            <w:tcW w:w="701"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85%-95%</w:t>
            </w:r>
          </w:p>
        </w:tc>
        <w:tc>
          <w:tcPr>
            <w:tcW w:w="734"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80%-85%</w:t>
            </w:r>
          </w:p>
        </w:tc>
        <w:tc>
          <w:tcPr>
            <w:tcW w:w="776"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湖南锐强环保科技有限公司</w:t>
            </w:r>
          </w:p>
        </w:tc>
        <w:tc>
          <w:tcPr>
            <w:tcW w:w="110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VOCs</w:t>
            </w:r>
          </w:p>
        </w:tc>
        <w:tc>
          <w:tcPr>
            <w:tcW w:w="1465"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UV光解催化氧化装置</w:t>
            </w:r>
          </w:p>
        </w:tc>
        <w:tc>
          <w:tcPr>
            <w:tcW w:w="1860"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收集+UV光解催化氧化+活性炭吸附处理</w:t>
            </w:r>
          </w:p>
        </w:tc>
        <w:tc>
          <w:tcPr>
            <w:tcW w:w="701"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75%-85%</w:t>
            </w:r>
          </w:p>
        </w:tc>
        <w:tc>
          <w:tcPr>
            <w:tcW w:w="734"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80%-87%</w:t>
            </w:r>
          </w:p>
        </w:tc>
        <w:tc>
          <w:tcPr>
            <w:tcW w:w="776"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87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湖南世杰铭涛展览展示有限公司</w:t>
            </w:r>
          </w:p>
        </w:tc>
        <w:tc>
          <w:tcPr>
            <w:tcW w:w="110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VOCs</w:t>
            </w:r>
          </w:p>
        </w:tc>
        <w:tc>
          <w:tcPr>
            <w:tcW w:w="1465"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密闭车间+UV光解设备</w:t>
            </w:r>
          </w:p>
        </w:tc>
        <w:tc>
          <w:tcPr>
            <w:tcW w:w="1860"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密闭车间+水帘喷淋+UV光解</w:t>
            </w:r>
          </w:p>
        </w:tc>
        <w:tc>
          <w:tcPr>
            <w:tcW w:w="701"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98%</w:t>
            </w:r>
          </w:p>
        </w:tc>
        <w:tc>
          <w:tcPr>
            <w:tcW w:w="734"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85%</w:t>
            </w:r>
          </w:p>
        </w:tc>
        <w:tc>
          <w:tcPr>
            <w:tcW w:w="776"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湖南德力美机械设备有限公司</w:t>
            </w:r>
          </w:p>
        </w:tc>
        <w:tc>
          <w:tcPr>
            <w:tcW w:w="110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VOCs</w:t>
            </w:r>
          </w:p>
        </w:tc>
        <w:tc>
          <w:tcPr>
            <w:tcW w:w="1465"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UV光解设备</w:t>
            </w:r>
          </w:p>
        </w:tc>
        <w:tc>
          <w:tcPr>
            <w:tcW w:w="1860"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过滤棉+UV光解+活性炭吸附</w:t>
            </w:r>
          </w:p>
        </w:tc>
        <w:tc>
          <w:tcPr>
            <w:tcW w:w="701"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95%</w:t>
            </w:r>
          </w:p>
        </w:tc>
        <w:tc>
          <w:tcPr>
            <w:tcW w:w="734"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75%-85%</w:t>
            </w:r>
          </w:p>
        </w:tc>
        <w:tc>
          <w:tcPr>
            <w:tcW w:w="776"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87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湖南铭弘新材料有限责任公司</w:t>
            </w:r>
          </w:p>
        </w:tc>
        <w:tc>
          <w:tcPr>
            <w:tcW w:w="110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VOCs</w:t>
            </w:r>
          </w:p>
        </w:tc>
        <w:tc>
          <w:tcPr>
            <w:tcW w:w="1465"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光催化氧化装置+活性炭吸附装置</w:t>
            </w:r>
          </w:p>
        </w:tc>
        <w:tc>
          <w:tcPr>
            <w:tcW w:w="1860"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碱液喷淋+光催化氧化+活性炭吸附</w:t>
            </w:r>
          </w:p>
        </w:tc>
        <w:tc>
          <w:tcPr>
            <w:tcW w:w="701"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85%</w:t>
            </w:r>
          </w:p>
        </w:tc>
        <w:tc>
          <w:tcPr>
            <w:tcW w:w="734"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86%</w:t>
            </w:r>
          </w:p>
        </w:tc>
        <w:tc>
          <w:tcPr>
            <w:tcW w:w="776"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湖南飞创钢结构工程有限公司</w:t>
            </w:r>
          </w:p>
        </w:tc>
        <w:tc>
          <w:tcPr>
            <w:tcW w:w="110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VOCs</w:t>
            </w:r>
          </w:p>
        </w:tc>
        <w:tc>
          <w:tcPr>
            <w:tcW w:w="1465"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UV光解设备</w:t>
            </w:r>
          </w:p>
        </w:tc>
        <w:tc>
          <w:tcPr>
            <w:tcW w:w="1860"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过滤棉+UV光解+活性炭吸附</w:t>
            </w:r>
          </w:p>
        </w:tc>
        <w:tc>
          <w:tcPr>
            <w:tcW w:w="701"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84%</w:t>
            </w:r>
          </w:p>
        </w:tc>
        <w:tc>
          <w:tcPr>
            <w:tcW w:w="734"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81.4%</w:t>
            </w:r>
          </w:p>
        </w:tc>
        <w:tc>
          <w:tcPr>
            <w:tcW w:w="776"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87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湖南健铭投资有限公司</w:t>
            </w:r>
          </w:p>
        </w:tc>
        <w:tc>
          <w:tcPr>
            <w:tcW w:w="110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VOCs</w:t>
            </w:r>
          </w:p>
        </w:tc>
        <w:tc>
          <w:tcPr>
            <w:tcW w:w="1465"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UV光解设备</w:t>
            </w:r>
          </w:p>
        </w:tc>
        <w:tc>
          <w:tcPr>
            <w:tcW w:w="1860"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过滤棉+UV光解+活性炭吸附</w:t>
            </w:r>
          </w:p>
        </w:tc>
        <w:tc>
          <w:tcPr>
            <w:tcW w:w="701"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86%</w:t>
            </w:r>
          </w:p>
        </w:tc>
        <w:tc>
          <w:tcPr>
            <w:tcW w:w="734"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83%</w:t>
            </w:r>
          </w:p>
        </w:tc>
        <w:tc>
          <w:tcPr>
            <w:tcW w:w="776"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湖南广益昌实业有限公司</w:t>
            </w:r>
          </w:p>
        </w:tc>
        <w:tc>
          <w:tcPr>
            <w:tcW w:w="110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VOCs</w:t>
            </w:r>
          </w:p>
        </w:tc>
        <w:tc>
          <w:tcPr>
            <w:tcW w:w="1465"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UV光解设备</w:t>
            </w:r>
          </w:p>
        </w:tc>
        <w:tc>
          <w:tcPr>
            <w:tcW w:w="1860"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过滤棉+UV光解+活性炭吸附</w:t>
            </w:r>
          </w:p>
        </w:tc>
        <w:tc>
          <w:tcPr>
            <w:tcW w:w="701"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87%</w:t>
            </w:r>
          </w:p>
        </w:tc>
        <w:tc>
          <w:tcPr>
            <w:tcW w:w="734"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86%</w:t>
            </w:r>
          </w:p>
        </w:tc>
        <w:tc>
          <w:tcPr>
            <w:tcW w:w="776"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87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湖南裕同印刷包装有限公司</w:t>
            </w:r>
          </w:p>
        </w:tc>
        <w:tc>
          <w:tcPr>
            <w:tcW w:w="1108"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VOCs</w:t>
            </w:r>
          </w:p>
        </w:tc>
        <w:tc>
          <w:tcPr>
            <w:tcW w:w="1465"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VOCs处理设备</w:t>
            </w:r>
          </w:p>
        </w:tc>
        <w:tc>
          <w:tcPr>
            <w:tcW w:w="1860"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转轮+RTO</w:t>
            </w:r>
          </w:p>
        </w:tc>
        <w:tc>
          <w:tcPr>
            <w:tcW w:w="701"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90%</w:t>
            </w:r>
          </w:p>
        </w:tc>
        <w:tc>
          <w:tcPr>
            <w:tcW w:w="734"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95%</w:t>
            </w:r>
          </w:p>
        </w:tc>
        <w:tc>
          <w:tcPr>
            <w:tcW w:w="776" w:type="dxa"/>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达标</w:t>
            </w:r>
          </w:p>
        </w:tc>
      </w:tr>
    </w:tbl>
    <w:p>
      <w:pPr>
        <w:pStyle w:val="15"/>
        <w:snapToGrid w:val="0"/>
        <w:spacing w:after="0" w:line="600" w:lineRule="exact"/>
        <w:ind w:left="0" w:leftChars="0" w:firstLine="640"/>
        <w:rPr>
          <w:rFonts w:hint="default" w:ascii="Times New Roman" w:hAnsi="Times New Roman" w:eastAsia="仿宋_GB2312" w:cs="Times New Roman"/>
          <w:szCs w:val="32"/>
        </w:rPr>
      </w:pPr>
      <w:r>
        <w:rPr>
          <w:rFonts w:hint="default" w:ascii="Times New Roman" w:hAnsi="Times New Roman" w:eastAsia="仿宋_GB2312" w:cs="Times New Roman"/>
          <w:szCs w:val="32"/>
          <w:lang w:val="en-US" w:eastAsia="zh-CN"/>
        </w:rPr>
        <w:t>经环境影响评价认定，湘阴高新区调区扩区后，</w:t>
      </w:r>
      <w:r>
        <w:rPr>
          <w:rFonts w:hint="default" w:ascii="Times New Roman" w:hAnsi="Times New Roman" w:eastAsia="仿宋_GB2312" w:cs="Times New Roman"/>
          <w:szCs w:val="32"/>
        </w:rPr>
        <w:t>废气</w:t>
      </w:r>
      <w:r>
        <w:rPr>
          <w:rFonts w:hint="default" w:ascii="Times New Roman" w:hAnsi="Times New Roman" w:eastAsia="仿宋_GB2312" w:cs="Times New Roman"/>
          <w:szCs w:val="32"/>
          <w:lang w:val="en-US" w:eastAsia="zh-CN"/>
        </w:rPr>
        <w:t>各</w:t>
      </w:r>
      <w:r>
        <w:rPr>
          <w:rFonts w:hint="default" w:ascii="Times New Roman" w:hAnsi="Times New Roman" w:eastAsia="仿宋_GB2312" w:cs="Times New Roman"/>
          <w:szCs w:val="32"/>
        </w:rPr>
        <w:t>污染因子总量控制指标分别为粉尘:133.5t/a、SO</w:t>
      </w:r>
      <w:r>
        <w:rPr>
          <w:rFonts w:hint="default" w:ascii="Times New Roman" w:hAnsi="Times New Roman" w:eastAsia="仿宋_GB2312" w:cs="Times New Roman"/>
          <w:szCs w:val="32"/>
          <w:vertAlign w:val="subscript"/>
        </w:rPr>
        <w:t>2</w:t>
      </w:r>
      <w:r>
        <w:rPr>
          <w:rFonts w:hint="default" w:ascii="Times New Roman" w:hAnsi="Times New Roman" w:eastAsia="仿宋_GB2312" w:cs="Times New Roman"/>
          <w:szCs w:val="32"/>
        </w:rPr>
        <w:t>: 96.5t/a、NOx:186.0t/a、TVOC:79.21t/a。</w:t>
      </w:r>
      <w:r>
        <w:rPr>
          <w:rFonts w:hint="default" w:ascii="Times New Roman" w:hAnsi="Times New Roman" w:eastAsia="仿宋_GB2312" w:cs="Times New Roman"/>
          <w:szCs w:val="32"/>
          <w:lang w:val="en-US" w:eastAsia="zh-CN"/>
        </w:rPr>
        <w:t>经2022年园区环境质量检测中大气环境各项污染物因子数据反应，园区大气环境质量达标。</w:t>
      </w:r>
    </w:p>
    <w:p>
      <w:pPr>
        <w:pStyle w:val="15"/>
        <w:snapToGrid w:val="0"/>
        <w:spacing w:after="0" w:line="600" w:lineRule="exact"/>
        <w:ind w:left="0" w:leftChars="0" w:firstLine="640"/>
        <w:outlineLvl w:val="1"/>
        <w:rPr>
          <w:rFonts w:hint="default" w:ascii="Times New Roman" w:hAnsi="Times New Roman" w:eastAsia="楷体_GB2312" w:cs="Times New Roman"/>
          <w:szCs w:val="32"/>
        </w:rPr>
      </w:pPr>
      <w:bookmarkStart w:id="12" w:name="_Toc9995"/>
      <w:r>
        <w:rPr>
          <w:rFonts w:hint="default" w:ascii="Times New Roman" w:hAnsi="Times New Roman" w:eastAsia="楷体_GB2312" w:cs="Times New Roman"/>
          <w:szCs w:val="32"/>
        </w:rPr>
        <w:t>（五）土壤环境管理</w:t>
      </w:r>
      <w:bookmarkEnd w:id="12"/>
    </w:p>
    <w:p>
      <w:pPr>
        <w:pStyle w:val="15"/>
        <w:snapToGrid w:val="0"/>
        <w:spacing w:after="0" w:line="600" w:lineRule="exact"/>
        <w:ind w:left="0" w:leftChars="0" w:firstLine="640"/>
        <w:rPr>
          <w:rFonts w:hint="default" w:ascii="Times New Roman" w:hAnsi="Times New Roman" w:eastAsia="仿宋_GB2312" w:cs="Times New Roman"/>
          <w:szCs w:val="32"/>
        </w:rPr>
      </w:pPr>
      <w:r>
        <w:rPr>
          <w:rFonts w:hint="default" w:ascii="Times New Roman" w:hAnsi="Times New Roman" w:eastAsia="仿宋_GB2312" w:cs="Times New Roman"/>
          <w:szCs w:val="32"/>
          <w:lang w:val="en-US" w:eastAsia="zh-CN"/>
        </w:rPr>
        <w:t>经2022年园区环境质量检测中土壤环境各项污染物因子数据反应，园区土壤环境质量达标。</w:t>
      </w:r>
    </w:p>
    <w:p>
      <w:pPr>
        <w:pStyle w:val="20"/>
        <w:bidi w:val="0"/>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辖区内无污染地块，无需开展修复工作。</w:t>
      </w:r>
    </w:p>
    <w:p>
      <w:pPr>
        <w:snapToGrid w:val="0"/>
        <w:spacing w:line="600" w:lineRule="exact"/>
        <w:ind w:firstLine="640" w:firstLineChars="200"/>
        <w:outlineLvl w:val="1"/>
        <w:rPr>
          <w:rFonts w:hint="default" w:ascii="Times New Roman" w:hAnsi="Times New Roman" w:eastAsia="楷体_GB2312" w:cs="Times New Roman"/>
          <w:sz w:val="32"/>
          <w:szCs w:val="32"/>
        </w:rPr>
      </w:pPr>
      <w:bookmarkStart w:id="13" w:name="_Toc10835"/>
      <w:r>
        <w:rPr>
          <w:rFonts w:hint="default" w:ascii="Times New Roman" w:hAnsi="Times New Roman" w:eastAsia="楷体_GB2312" w:cs="Times New Roman"/>
          <w:sz w:val="32"/>
          <w:szCs w:val="32"/>
        </w:rPr>
        <w:t>（六）固体废物管理</w:t>
      </w:r>
      <w:bookmarkEnd w:id="13"/>
    </w:p>
    <w:p>
      <w:pPr>
        <w:bidi w:val="0"/>
        <w:spacing w:line="560" w:lineRule="exact"/>
        <w:ind w:firstLine="640" w:firstLineChars="200"/>
        <w:rPr>
          <w:rFonts w:hint="default" w:ascii="Times New Roman" w:hAnsi="Times New Roman" w:eastAsia="方正仿宋_GB2312" w:cs="Times New Roman"/>
          <w:sz w:val="32"/>
          <w:szCs w:val="24"/>
          <w:lang w:val="en-US" w:eastAsia="zh-CN"/>
        </w:rPr>
      </w:pPr>
      <w:r>
        <w:rPr>
          <w:rFonts w:hint="default" w:ascii="Times New Roman" w:hAnsi="Times New Roman" w:eastAsia="方正仿宋_GB2312" w:cs="Times New Roman"/>
          <w:sz w:val="32"/>
          <w:szCs w:val="24"/>
          <w:lang w:val="en-US" w:eastAsia="zh-CN"/>
        </w:rPr>
        <w:t>根据湖南省环境保护厅湘环评〔2013〕305号文件《关于湖南湘阴工业园区环境影响报告书的批复》及湖南省产业园区建设领导小组湘园区〔2016〕2号文件《关于加强我省产业园区环境污染集中整治的意见》，湘阴工业园区针对企业固体废物情况于2020年3月25日，委托湖南洋沙湖危险废物治理有限公司进行危险废物的收集、暂存、转运工作。该公司收集、暂存、转运能力为5000t/a，处理工业固体废物种类为废活性炭、废三氧化二铝、废油漆桶、废机油滤芯、废含油抹布、汞开关、银光粉、阴极射线管、废液、废电路板、罚没的化学品或废弃物、废油漆渣、废油漆残液，处理工艺为收集、暂存、转运。对园区内各企业固废及危废总量、暂存情况、转运情况进行定期检查，并要求各企业做好相关台账记录，有危废产生的企业还需提供危废转运四联单，以确保所有固体废物得到妥善处置。</w:t>
      </w:r>
    </w:p>
    <w:p>
      <w:pPr>
        <w:widowControl w:val="0"/>
        <w:numPr>
          <w:ilvl w:val="0"/>
          <w:numId w:val="0"/>
        </w:numPr>
        <w:spacing w:line="560" w:lineRule="exact"/>
        <w:ind w:firstLine="640" w:firstLineChars="200"/>
        <w:jc w:val="both"/>
        <w:rPr>
          <w:rFonts w:hint="default" w:ascii="Times New Roman" w:hAnsi="Times New Roman" w:eastAsia="方正仿宋_GB2312" w:cs="Times New Roman"/>
          <w:sz w:val="32"/>
          <w:szCs w:val="24"/>
          <w:lang w:val="en-US" w:eastAsia="zh-CN"/>
        </w:rPr>
      </w:pPr>
      <w:r>
        <w:rPr>
          <w:rFonts w:hint="default" w:ascii="Times New Roman" w:hAnsi="Times New Roman" w:eastAsia="方正仿宋_GB2312" w:cs="Times New Roman"/>
          <w:sz w:val="32"/>
          <w:szCs w:val="24"/>
          <w:lang w:val="en-US" w:eastAsia="zh-CN"/>
        </w:rPr>
        <w:t>各企业单位危险废物的产生、收集、处置情况详情见下表，各企业的危险废物没有发生过非法倾倒、转移、处置等违法事件。</w:t>
      </w:r>
    </w:p>
    <w:p>
      <w:pPr>
        <w:spacing w:line="560" w:lineRule="exact"/>
        <w:jc w:val="center"/>
        <w:rPr>
          <w:rFonts w:hint="default" w:ascii="Times New Roman" w:hAnsi="Times New Roman" w:eastAsia="方正仿宋_GB2312" w:cs="Times New Roman"/>
          <w:b/>
          <w:bCs/>
          <w:sz w:val="24"/>
          <w:szCs w:val="24"/>
          <w:lang w:val="en-US" w:eastAsia="zh-CN"/>
        </w:rPr>
      </w:pPr>
      <w:r>
        <w:rPr>
          <w:rFonts w:hint="default" w:ascii="Times New Roman" w:hAnsi="Times New Roman" w:eastAsia="方正仿宋_GB2312" w:cs="Times New Roman"/>
          <w:b/>
          <w:bCs/>
          <w:sz w:val="24"/>
          <w:szCs w:val="24"/>
          <w:lang w:val="en-US" w:eastAsia="zh-CN"/>
        </w:rPr>
        <w:t>各企业危险废物产生情况与处理方式一览表</w:t>
      </w:r>
    </w:p>
    <w:tbl>
      <w:tblPr>
        <w:tblStyle w:val="16"/>
        <w:tblW w:w="70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3433"/>
        <w:gridCol w:w="1530"/>
        <w:gridCol w:w="2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1" w:hRule="atLeast"/>
          <w:tblHeader/>
          <w:jc w:val="center"/>
        </w:trPr>
        <w:tc>
          <w:tcPr>
            <w:tcW w:w="3433" w:type="dxa"/>
            <w:vMerge w:val="restart"/>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企业名称</w:t>
            </w:r>
          </w:p>
        </w:tc>
        <w:tc>
          <w:tcPr>
            <w:tcW w:w="3603" w:type="dxa"/>
            <w:gridSpan w:val="2"/>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危险废物（t/a）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91" w:hRule="atLeast"/>
          <w:tblHeader/>
          <w:jc w:val="center"/>
        </w:trPr>
        <w:tc>
          <w:tcPr>
            <w:tcW w:w="3433" w:type="dxa"/>
            <w:vMerge w:val="continue"/>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p>
        </w:tc>
        <w:tc>
          <w:tcPr>
            <w:tcW w:w="1530"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产生量</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处理方式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湘阴首创水务有限公司</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1200kg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湖南竞洁洗衣有限责任公司</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600kg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湖南湖湘木业有限公司</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5300kg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湘阴县玖捌玖汽车租赁有限公司</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500kg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湘阴春天家具厂</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1300kg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湘阴宏远家俱有限公司</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2000kg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湖南湘变电气责任有限公司</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1000kg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湖南抱洋环境科技有限责任公司</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3100kg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湖南元亨科技发展有限公司</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610kg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湘阴县顺安进口汽车维修中心</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690kg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湘阴县平湘玻璃有限责任公司</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600kg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湘阴百湘源食品厂</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40kg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湖南斯派克科技股份有限公司</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43760kg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湖南百信重型钢结构工程有限公司</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1000kg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湖南锐强环保科技有限公司</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500kg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湖南晟塑管业有限公司</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1000kg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湖南创盛自动化设备有限公司</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100kg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湖南省金鼎福木业公司湘阴分公司</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1210kg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湖南鸿昌热能设备有限公司</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3200kg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湖南菲菲毛巾有限公司</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600kg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湖南英思特晶体电波有限公司</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10kg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湖南英思达电波科技有限公司</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10kg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湖南鸿跃电池材料有限公司</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500kg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湘阴兴科变压器制造有限公司</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500kg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湖南大方农化股份有限公司</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36000kg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湖南嘉盛德材料科技股份有限公司</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33500kg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湘阴三井新材料科技有限公司</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100kg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湖南永辉智能科技有限公司</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100kg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湖南华鑫鸿达精密工业有限责任公司</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100kg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湖南铭弘新材料有限公司</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2000kg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湖南吉通铝业有限责任公司</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9100kg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湖南启航湘俊家俱有限公司</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600kg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湖南信达智能设备股份有限公司</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100kg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湖南世杰铭涛展览展示有限公司</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1000kg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湖南省金为新材料科技有限公司</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10kg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湖南众钧科技有限公司</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1410kg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湖南大金钢结构工程有限公司</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16020kg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湖南广益昌实业有限公司</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500kg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湖南定宇新材料科技有限公司</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23000kg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湖南民鑫新材料股份有限公司</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260kg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湖南飞创钢结构工程有限公司</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1000kg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湖南新传工贸有限公司</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8000kg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蓝天豚绿色建筑新材料</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100kg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湖南金诺动力设备制造有限公司</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2400kg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湖南凯博杭萧建筑科技有限公司</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10100kg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湖南在其卫生洁具制造有限公司</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4810kg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75" w:hRule="atLeast"/>
          <w:jc w:val="center"/>
        </w:trPr>
        <w:tc>
          <w:tcPr>
            <w:tcW w:w="343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岳阳岩下天之果食品有限公司</w:t>
            </w:r>
          </w:p>
        </w:tc>
        <w:tc>
          <w:tcPr>
            <w:tcW w:w="1530" w:type="dxa"/>
            <w:tcBorders>
              <w:tl2br w:val="nil"/>
              <w:tr2bl w:val="nil"/>
            </w:tcBorders>
            <w:shd w:val="clear" w:color="auto" w:fill="auto"/>
            <w:noWrap/>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300kg</w:t>
            </w:r>
          </w:p>
        </w:tc>
        <w:tc>
          <w:tcPr>
            <w:tcW w:w="2073" w:type="dxa"/>
            <w:tcBorders>
              <w:tl2br w:val="nil"/>
              <w:tr2bl w:val="nil"/>
            </w:tcBorders>
            <w:shd w:val="clear" w:color="auto" w:fill="auto"/>
            <w:tcMar>
              <w:top w:w="15" w:type="dxa"/>
              <w:left w:w="15" w:type="dxa"/>
              <w:right w:w="15" w:type="dxa"/>
            </w:tcMar>
            <w:vAlign w:val="center"/>
          </w:tcPr>
          <w:p>
            <w:pPr>
              <w:keepNext w:val="0"/>
              <w:keepLines w:val="0"/>
              <w:widowControl w:val="0"/>
              <w:suppressLineNumbers w:val="0"/>
              <w:bidi w:val="0"/>
              <w:snapToGrid w:val="0"/>
              <w:spacing w:afterAutospacing="0" w:line="240" w:lineRule="auto"/>
              <w:ind w:firstLine="0" w:firstLineChars="0"/>
              <w:jc w:val="center"/>
              <w:rPr>
                <w:rFonts w:hint="default" w:ascii="Times New Roman" w:hAnsi="Times New Roman" w:eastAsia="方正楷体_GB2312" w:cs="Times New Roman"/>
                <w:kern w:val="0"/>
                <w:sz w:val="21"/>
                <w:szCs w:val="24"/>
                <w:lang w:val="en-US" w:eastAsia="zh-CN" w:bidi="ar"/>
              </w:rPr>
            </w:pPr>
            <w:r>
              <w:rPr>
                <w:rFonts w:hint="default" w:ascii="Times New Roman" w:hAnsi="Times New Roman" w:eastAsia="方正楷体_GB2312" w:cs="Times New Roman"/>
                <w:kern w:val="0"/>
                <w:sz w:val="21"/>
                <w:szCs w:val="24"/>
                <w:lang w:val="en-US" w:eastAsia="zh-CN" w:bidi="ar"/>
              </w:rPr>
              <w:t>委托处理</w:t>
            </w:r>
          </w:p>
        </w:tc>
      </w:tr>
    </w:tbl>
    <w:p>
      <w:pPr>
        <w:pStyle w:val="15"/>
        <w:numPr>
          <w:ilvl w:val="0"/>
          <w:numId w:val="2"/>
        </w:numPr>
        <w:snapToGrid w:val="0"/>
        <w:spacing w:after="0" w:line="600" w:lineRule="exact"/>
        <w:ind w:left="0" w:leftChars="0" w:firstLine="640"/>
        <w:outlineLvl w:val="1"/>
        <w:rPr>
          <w:rFonts w:hint="default" w:ascii="Times New Roman" w:hAnsi="Times New Roman" w:eastAsia="楷体_GB2312" w:cs="Times New Roman"/>
          <w:szCs w:val="32"/>
        </w:rPr>
      </w:pPr>
      <w:bookmarkStart w:id="14" w:name="_Toc6421"/>
      <w:r>
        <w:rPr>
          <w:rFonts w:hint="default" w:ascii="Times New Roman" w:hAnsi="Times New Roman" w:eastAsia="楷体_GB2312" w:cs="Times New Roman"/>
          <w:szCs w:val="32"/>
        </w:rPr>
        <w:t>投诉及督察整改</w:t>
      </w:r>
      <w:bookmarkEnd w:id="14"/>
    </w:p>
    <w:p>
      <w:pPr>
        <w:pStyle w:val="15"/>
        <w:snapToGrid w:val="0"/>
        <w:spacing w:after="0" w:line="600" w:lineRule="exact"/>
        <w:ind w:left="0" w:leftChars="0" w:firstLine="64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湘阴高新技术产业园区2022年度内没有因生态环境问题接到投诉、上访等情况发生。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2022年共整改销号上级交办问题7个：</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岳阳市生态环境保护委员会关于加强2022年污染防治攻坚战考核调度工作的通知中交办推动产业园区绿色发展“园区监控平台建设未完成并未与省厅联网的扣 0.5分”。已于2022年6月21日完成问题整改销号备案。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岳阳市污染防治攻坚战“夏季攻势”任务清单交办重点工业园区污染整治采购环保管家第三方服务，委托第三方开展环保管理咨询服务，环境隐患、环境风险排查诊断和环保巡查服务和环保技术咨询服务。”已于2022年6月24日完成问题整改销号备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市突出环境问题整改专项督查交办问题：“3、无园跟踪环评(规划环评)批复；4、园区雨水排口未规范化建设，无标识牌和雨水监控池子；5、在工业园区污染治理上，存在责任不明，建设滞后的问题。湘阴工业园未设置生态环境保护机构。”已于2022年6月27日完成问题整改销号备案。“6、第三污水处理厂未及时办理竣工环保验收；7、金龙新区管网配套不完善，雨污分流不到位，第三污水处理厂进水水质水量不稳定，浓度较低。”已于2022年8月25日完成问题整改销号备案。</w:t>
      </w:r>
    </w:p>
    <w:p>
      <w:pPr>
        <w:pStyle w:val="15"/>
        <w:snapToGrid w:val="0"/>
        <w:spacing w:after="0" w:line="600" w:lineRule="exact"/>
        <w:ind w:left="0" w:leftChars="0" w:firstLine="640"/>
        <w:outlineLvl w:val="1"/>
        <w:rPr>
          <w:rFonts w:hint="default" w:ascii="Times New Roman" w:hAnsi="Times New Roman" w:eastAsia="楷体_GB2312" w:cs="Times New Roman"/>
          <w:szCs w:val="32"/>
        </w:rPr>
      </w:pPr>
      <w:bookmarkStart w:id="15" w:name="_Toc28590"/>
      <w:r>
        <w:rPr>
          <w:rFonts w:hint="default" w:ascii="Times New Roman" w:hAnsi="Times New Roman" w:eastAsia="楷体_GB2312" w:cs="Times New Roman"/>
          <w:szCs w:val="32"/>
        </w:rPr>
        <w:t>（八）园区信用评价</w:t>
      </w:r>
      <w:bookmarkEnd w:id="15"/>
    </w:p>
    <w:p>
      <w:pPr>
        <w:pStyle w:val="15"/>
        <w:snapToGrid w:val="0"/>
        <w:spacing w:after="0" w:line="600" w:lineRule="exact"/>
        <w:ind w:left="0" w:leftChars="0" w:firstLine="640"/>
        <w:rPr>
          <w:rFonts w:hint="default" w:ascii="Times New Roman" w:hAnsi="Times New Roman" w:eastAsia="仿宋_GB2312" w:cs="Times New Roman"/>
          <w:szCs w:val="32"/>
        </w:rPr>
      </w:pPr>
      <w:r>
        <w:rPr>
          <w:rFonts w:hint="default" w:ascii="Times New Roman" w:hAnsi="Times New Roman" w:eastAsia="仿宋_GB2312" w:cs="Times New Roman"/>
          <w:szCs w:val="32"/>
          <w:lang w:val="en-US" w:eastAsia="zh-CN"/>
        </w:rPr>
        <w:t>湘阴高新技术产业开发区于2020、2021年</w:t>
      </w:r>
      <w:r>
        <w:rPr>
          <w:rFonts w:hint="default" w:ascii="Times New Roman" w:hAnsi="Times New Roman" w:eastAsia="仿宋_GB2312" w:cs="Times New Roman"/>
          <w:szCs w:val="32"/>
        </w:rPr>
        <w:t>度环保信用评价</w:t>
      </w:r>
      <w:r>
        <w:rPr>
          <w:rFonts w:hint="default" w:ascii="Times New Roman" w:hAnsi="Times New Roman" w:eastAsia="仿宋_GB2312" w:cs="Times New Roman"/>
          <w:szCs w:val="32"/>
          <w:lang w:val="en-US" w:eastAsia="zh-CN"/>
        </w:rPr>
        <w:t>中</w:t>
      </w:r>
      <w:r>
        <w:rPr>
          <w:rFonts w:hint="default" w:ascii="Times New Roman" w:hAnsi="Times New Roman" w:eastAsia="仿宋_GB2312" w:cs="Times New Roman"/>
          <w:szCs w:val="32"/>
        </w:rPr>
        <w:t>，</w:t>
      </w:r>
      <w:r>
        <w:rPr>
          <w:rFonts w:hint="default" w:ascii="Times New Roman" w:hAnsi="Times New Roman" w:eastAsia="仿宋_GB2312" w:cs="Times New Roman"/>
          <w:szCs w:val="32"/>
          <w:lang w:val="en-US" w:eastAsia="zh-CN"/>
        </w:rPr>
        <w:t>经过省生态环境厅现场督查，连续两年获评“合格园区”</w:t>
      </w:r>
      <w:r>
        <w:rPr>
          <w:rFonts w:hint="default" w:ascii="Times New Roman" w:hAnsi="Times New Roman" w:eastAsia="仿宋_GB2312" w:cs="Times New Roman"/>
          <w:szCs w:val="32"/>
        </w:rPr>
        <w:t>。</w:t>
      </w:r>
    </w:p>
    <w:p>
      <w:pPr>
        <w:pStyle w:val="15"/>
        <w:snapToGrid w:val="0"/>
        <w:spacing w:after="0" w:line="600" w:lineRule="exact"/>
        <w:ind w:left="0" w:leftChars="0" w:firstLine="640"/>
        <w:outlineLvl w:val="1"/>
        <w:rPr>
          <w:rFonts w:hint="default" w:ascii="Times New Roman" w:hAnsi="Times New Roman" w:eastAsia="楷体_GB2312" w:cs="Times New Roman"/>
          <w:szCs w:val="32"/>
          <w:lang w:eastAsia="zh-CN"/>
        </w:rPr>
      </w:pPr>
      <w:bookmarkStart w:id="16" w:name="_Toc7479"/>
      <w:r>
        <w:rPr>
          <w:rFonts w:hint="default" w:ascii="Times New Roman" w:hAnsi="Times New Roman" w:eastAsia="楷体_GB2312" w:cs="Times New Roman"/>
          <w:szCs w:val="32"/>
          <w:lang w:eastAsia="zh-CN"/>
        </w:rPr>
        <w:t>（九）园区第三方治理情况</w:t>
      </w:r>
      <w:bookmarkEnd w:id="16"/>
    </w:p>
    <w:p>
      <w:pPr>
        <w:pStyle w:val="15"/>
        <w:snapToGrid w:val="0"/>
        <w:spacing w:after="0" w:line="600" w:lineRule="exact"/>
        <w:ind w:left="0" w:leftChars="0" w:firstLine="640"/>
        <w:rPr>
          <w:rFonts w:hint="default" w:ascii="Times New Roman" w:hAnsi="Times New Roman" w:eastAsia="仿宋_GB2312" w:cs="Times New Roman"/>
          <w:szCs w:val="32"/>
        </w:rPr>
      </w:pPr>
      <w:r>
        <w:rPr>
          <w:rFonts w:hint="default" w:ascii="Times New Roman" w:hAnsi="Times New Roman" w:eastAsia="方正仿宋_GB2312" w:cs="Times New Roman"/>
          <w:sz w:val="32"/>
          <w:szCs w:val="32"/>
          <w:vertAlign w:val="baseline"/>
          <w:lang w:val="en-US" w:eastAsia="zh-CN"/>
        </w:rPr>
        <w:t>2021年12月，根据湖南省生态环境厅《湖南省园区环境污染等三方治理环保服务规范（试行）》和《关于2021年度全省产业园区环境污染第三方治理工作考核验收的通知》文件要求，管委会通过政府公开采购方式，由湖南航天电团网络科技有限公司承建</w:t>
      </w:r>
      <w:r>
        <w:rPr>
          <w:rFonts w:hint="default" w:ascii="Times New Roman" w:hAnsi="Times New Roman" w:eastAsia="方正仿宋_GB2312" w:cs="Times New Roman"/>
          <w:b/>
          <w:bCs/>
          <w:sz w:val="32"/>
          <w:szCs w:val="32"/>
          <w:vertAlign w:val="baseline"/>
          <w:lang w:val="en-US" w:eastAsia="zh-CN"/>
        </w:rPr>
        <w:t>湘阴高新区环境信息及风险防控应急指挥平台</w:t>
      </w:r>
      <w:r>
        <w:rPr>
          <w:rFonts w:hint="default" w:ascii="Times New Roman" w:hAnsi="Times New Roman" w:eastAsia="方正仿宋_GB2312" w:cs="Times New Roman"/>
          <w:sz w:val="32"/>
          <w:szCs w:val="32"/>
          <w:vertAlign w:val="baseline"/>
          <w:lang w:val="en-US" w:eastAsia="zh-CN"/>
        </w:rPr>
        <w:t>。该项工作于2021年12月15日正式启动，截止目前，已完成135家企业电能监控、80家企业视频监控及总服务器软硬件设备的安装调试，高新区基础环境信息、企业基础信息、三个空气微站数据、三家末端水质在线监测数据均与平台成功对接。目前平台与省厅已成功进行数据联调并完成平台建设工作考核验收。</w:t>
      </w:r>
    </w:p>
    <w:p>
      <w:pPr>
        <w:rPr>
          <w:rFonts w:hint="default" w:ascii="Times New Roman" w:hAnsi="Times New Roman" w:eastAsia="黑体" w:cs="Times New Roman"/>
          <w:szCs w:val="32"/>
        </w:rPr>
      </w:pPr>
      <w:bookmarkStart w:id="17" w:name="_Toc29384"/>
      <w:r>
        <w:rPr>
          <w:rFonts w:hint="default" w:ascii="Times New Roman" w:hAnsi="Times New Roman" w:eastAsia="黑体" w:cs="Times New Roman"/>
          <w:szCs w:val="32"/>
        </w:rPr>
        <w:br w:type="page"/>
      </w:r>
    </w:p>
    <w:p>
      <w:pPr>
        <w:pStyle w:val="15"/>
        <w:spacing w:after="0" w:line="600" w:lineRule="exact"/>
        <w:ind w:left="0" w:leftChars="0" w:firstLine="640"/>
        <w:outlineLvl w:val="0"/>
        <w:rPr>
          <w:rFonts w:hint="default" w:ascii="Times New Roman" w:hAnsi="Times New Roman" w:eastAsia="黑体" w:cs="Times New Roman"/>
          <w:szCs w:val="32"/>
        </w:rPr>
      </w:pPr>
      <w:r>
        <w:rPr>
          <w:rFonts w:hint="default" w:ascii="Times New Roman" w:hAnsi="Times New Roman" w:eastAsia="黑体" w:cs="Times New Roman"/>
          <w:szCs w:val="32"/>
        </w:rPr>
        <w:t>三、园区环保工作成效、主要措施做法</w:t>
      </w:r>
      <w:bookmarkEnd w:id="1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kern w:val="2"/>
          <w:sz w:val="32"/>
          <w:szCs w:val="32"/>
          <w:vertAlign w:val="baseline"/>
          <w:lang w:val="en-US" w:eastAsia="zh-CN" w:bidi="ar-SA"/>
        </w:rPr>
      </w:pPr>
      <w:r>
        <w:rPr>
          <w:rFonts w:hint="default" w:ascii="Times New Roman" w:hAnsi="Times New Roman" w:eastAsia="方正仿宋_GB2312" w:cs="Times New Roman"/>
          <w:kern w:val="2"/>
          <w:sz w:val="32"/>
          <w:szCs w:val="32"/>
          <w:vertAlign w:val="baseline"/>
          <w:lang w:val="en-US" w:eastAsia="zh-CN" w:bidi="ar-SA"/>
        </w:rPr>
        <w:t>根据2022年度园区自查自纠反馈问题两项，园区管委会分别制定切实可行的整治工作方案，明确工作目标，时间节点及相关责任人，并将此项整治工作纳入2022年度湘阴高新区管委会创建“五好园区”十大专项行动之生态环境保护工作专项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kern w:val="2"/>
          <w:sz w:val="32"/>
          <w:szCs w:val="32"/>
          <w:vertAlign w:val="baseline"/>
          <w:lang w:val="en-US" w:eastAsia="zh-CN" w:bidi="ar-SA"/>
        </w:rPr>
      </w:pPr>
      <w:r>
        <w:rPr>
          <w:rFonts w:hint="default" w:ascii="Times New Roman" w:hAnsi="Times New Roman" w:eastAsia="方正仿宋_GB2312" w:cs="Times New Roman"/>
          <w:kern w:val="2"/>
          <w:sz w:val="32"/>
          <w:szCs w:val="32"/>
          <w:vertAlign w:val="baseline"/>
          <w:lang w:val="en-US" w:eastAsia="zh-CN" w:bidi="ar-SA"/>
        </w:rPr>
        <w:t>1、“居民安置小区和尚景学府雨污混流的问题。由于建设初期，居民安置小区雨水及生活污水管道共用，尚景学府虽然雨污进行了分流，但由于芙蓉北路箱涵原设计为雨污间隔分流，未完全隔离，暴雨季节造成雨污合流混流，情况严重时导致污水外溢。”目前已完成尚景学府及安置小区雨污分流整改工作，并进行竣工验收销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kern w:val="2"/>
          <w:sz w:val="32"/>
          <w:szCs w:val="32"/>
          <w:vertAlign w:val="baseline"/>
          <w:lang w:val="en-US" w:eastAsia="zh-CN" w:bidi="ar-SA"/>
        </w:rPr>
      </w:pPr>
      <w:r>
        <w:rPr>
          <w:rFonts w:hint="default" w:ascii="Times New Roman" w:hAnsi="Times New Roman" w:eastAsia="方正仿宋_GB2312" w:cs="Times New Roman"/>
          <w:kern w:val="2"/>
          <w:sz w:val="32"/>
          <w:szCs w:val="32"/>
          <w:vertAlign w:val="baseline"/>
          <w:lang w:val="en-US" w:eastAsia="zh-CN" w:bidi="ar-SA"/>
        </w:rPr>
        <w:t>2、“黄金坝纳污塘需要整治问题。该黑臭水体，属历史性纳污塘，2021年4月份按照县政府、县环保局要求，对此黑臭水体采取了消毒、杀菌、除臭等一系列治标措施，消除了异味，但未从根本上解决问题。”园区采取生物防治办法，已完成黑臭水体整治工作，经过2022年度巡查及抽样检查，黑臭水体无反复。</w:t>
      </w:r>
    </w:p>
    <w:p>
      <w:pPr>
        <w:rPr>
          <w:rFonts w:hint="default" w:ascii="Times New Roman" w:hAnsi="Times New Roman" w:eastAsia="黑体" w:cs="Times New Roman"/>
          <w:szCs w:val="32"/>
        </w:rPr>
      </w:pPr>
      <w:bookmarkStart w:id="18" w:name="_Toc16643"/>
      <w:r>
        <w:rPr>
          <w:rFonts w:hint="default" w:ascii="Times New Roman" w:hAnsi="Times New Roman" w:eastAsia="黑体" w:cs="Times New Roman"/>
          <w:szCs w:val="32"/>
        </w:rPr>
        <w:br w:type="page"/>
      </w:r>
    </w:p>
    <w:p>
      <w:pPr>
        <w:pStyle w:val="15"/>
        <w:spacing w:after="0" w:line="600" w:lineRule="exact"/>
        <w:ind w:left="0" w:leftChars="0" w:firstLine="640"/>
        <w:outlineLvl w:val="0"/>
        <w:rPr>
          <w:rFonts w:hint="default" w:ascii="Times New Roman" w:hAnsi="Times New Roman" w:eastAsia="黑体" w:cs="Times New Roman"/>
          <w:szCs w:val="32"/>
        </w:rPr>
      </w:pPr>
      <w:r>
        <w:rPr>
          <w:rFonts w:hint="default" w:ascii="Times New Roman" w:hAnsi="Times New Roman" w:eastAsia="黑体" w:cs="Times New Roman"/>
          <w:szCs w:val="32"/>
        </w:rPr>
        <w:t>四、园区生态环境管理存在主要问题和难题</w:t>
      </w:r>
      <w:bookmarkEnd w:id="18"/>
    </w:p>
    <w:p>
      <w:pPr>
        <w:spacing w:line="560" w:lineRule="exact"/>
        <w:ind w:firstLine="640" w:firstLineChars="200"/>
        <w:contextualSpacing/>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年，园区环保工作虽然取得了一定成绩，但仍存在不足，主要表现在：</w:t>
      </w:r>
    </w:p>
    <w:p>
      <w:pPr>
        <w:pStyle w:val="27"/>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（一）隐患整改成效还不够明显</w:t>
      </w:r>
      <w:r>
        <w:rPr>
          <w:rFonts w:hint="default" w:ascii="Times New Roman" w:hAnsi="Times New Roman" w:eastAsia="楷体"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当前环保各项检查工作排查出的隐患问题整改有序推进，但还存在限期整改不落实、隐患整改质量不高的问题，主要体现在：一是企业主体责任落实难。整改中因环保责任意识不强、人员配备不到位、岗位职责落实不力等因素影响，消极整改、拖延整改的现象时常存在；二是整改投入保障难。企业自身因市场环境不佳、自身经营不善导致安全环保方面的资金投入也无法保障；三是整改堵点推进难。部分老企业在入园时进行的设计建设标准跟不上目前法律法规要求，受空间布局、土地制约、改造投入大等因素影响大。</w:t>
      </w:r>
    </w:p>
    <w:p>
      <w:pPr>
        <w:pStyle w:val="27"/>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（二）突发环境事件应急体系建设还不够健全。</w:t>
      </w:r>
      <w:r>
        <w:rPr>
          <w:rFonts w:hint="default" w:ascii="Times New Roman" w:hAnsi="Times New Roman" w:eastAsia="仿宋" w:cs="Times New Roman"/>
          <w:b w:val="0"/>
          <w:bCs w:val="0"/>
          <w:color w:val="auto"/>
          <w:sz w:val="32"/>
          <w:szCs w:val="32"/>
          <w:highlight w:val="none"/>
          <w:lang w:val="en-US" w:eastAsia="zh-CN"/>
        </w:rPr>
        <w:t>园区</w:t>
      </w:r>
      <w:r>
        <w:rPr>
          <w:rFonts w:hint="default" w:ascii="Times New Roman" w:hAnsi="Times New Roman" w:eastAsia="仿宋" w:cs="Times New Roman"/>
          <w:color w:val="auto"/>
          <w:sz w:val="32"/>
          <w:szCs w:val="32"/>
          <w:highlight w:val="none"/>
          <w:lang w:val="en-US" w:eastAsia="zh-CN"/>
        </w:rPr>
        <w:t>应急物资和应急救援主要依托园区各企业储备，应对突发环境事件能力有待进一步巩固和加强。</w:t>
      </w:r>
    </w:p>
    <w:p>
      <w:pPr>
        <w:rPr>
          <w:rFonts w:hint="default" w:ascii="Times New Roman" w:hAnsi="Times New Roman" w:eastAsia="黑体" w:cs="Times New Roman"/>
          <w:b w:val="0"/>
          <w:bCs w:val="0"/>
          <w:color w:val="auto"/>
          <w:kern w:val="2"/>
          <w:sz w:val="32"/>
          <w:szCs w:val="32"/>
          <w:highlight w:val="none"/>
        </w:rPr>
      </w:pPr>
      <w:bookmarkStart w:id="19" w:name="_Toc27962"/>
      <w:r>
        <w:rPr>
          <w:rFonts w:hint="default" w:ascii="Times New Roman" w:hAnsi="Times New Roman" w:eastAsia="黑体" w:cs="Times New Roman"/>
          <w:b w:val="0"/>
          <w:bCs w:val="0"/>
          <w:color w:val="auto"/>
          <w:kern w:val="2"/>
          <w:sz w:val="32"/>
          <w:szCs w:val="32"/>
          <w:highlight w:val="none"/>
        </w:rPr>
        <w:br w:type="page"/>
      </w:r>
    </w:p>
    <w:p>
      <w:pPr>
        <w:pStyle w:val="3"/>
        <w:spacing w:before="0" w:after="0" w:line="560" w:lineRule="exact"/>
        <w:ind w:firstLine="640" w:firstLineChars="200"/>
        <w:jc w:val="both"/>
        <w:rPr>
          <w:rFonts w:hint="default" w:ascii="Times New Roman" w:hAnsi="Times New Roman" w:eastAsia="黑体" w:cs="Times New Roman"/>
          <w:b w:val="0"/>
          <w:bCs w:val="0"/>
          <w:color w:val="auto"/>
          <w:kern w:val="2"/>
          <w:sz w:val="32"/>
          <w:szCs w:val="32"/>
          <w:highlight w:val="none"/>
        </w:rPr>
      </w:pPr>
      <w:r>
        <w:rPr>
          <w:rFonts w:hint="default" w:ascii="Times New Roman" w:hAnsi="Times New Roman" w:eastAsia="黑体" w:cs="Times New Roman"/>
          <w:b w:val="0"/>
          <w:bCs w:val="0"/>
          <w:color w:val="auto"/>
          <w:kern w:val="2"/>
          <w:sz w:val="32"/>
          <w:szCs w:val="32"/>
          <w:highlight w:val="none"/>
        </w:rPr>
        <w:t>五、下一步工作计划</w:t>
      </w:r>
      <w:bookmarkEnd w:id="1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楷体" w:cs="Times New Roman"/>
          <w:b/>
          <w:bCs/>
          <w:color w:val="auto"/>
          <w:kern w:val="2"/>
          <w:sz w:val="32"/>
          <w:szCs w:val="32"/>
          <w:highlight w:val="none"/>
          <w:lang w:val="en-US" w:eastAsia="zh-CN" w:bidi="ar-SA"/>
        </w:rPr>
        <w:t>（一）坚定不移，持续进行环保排查。</w:t>
      </w:r>
      <w:r>
        <w:rPr>
          <w:rFonts w:hint="default" w:ascii="Times New Roman" w:hAnsi="Times New Roman" w:eastAsia="仿宋" w:cs="Times New Roman"/>
          <w:b w:val="0"/>
          <w:bCs w:val="0"/>
          <w:color w:val="auto"/>
          <w:kern w:val="2"/>
          <w:sz w:val="32"/>
          <w:szCs w:val="32"/>
          <w:highlight w:val="none"/>
          <w:lang w:val="en-US" w:eastAsia="zh-CN" w:bidi="ar-SA"/>
        </w:rPr>
        <w:t>环保排查工作对提升企业环境管理水平，提升园区环境质量水平效果明显，目前园区已形成问题清单汇编、整改措施建议、整改工作检查、问题销号备案的工作闭环及园区企业环保等级考核奖惩机制，下一步要根据历次排查园区各企业的共性问题不断优化排查方向和检查手段，持续维持园区环境质量高标准水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楷体" w:cs="Times New Roman"/>
          <w:b/>
          <w:bCs/>
          <w:color w:val="auto"/>
          <w:kern w:val="2"/>
          <w:sz w:val="32"/>
          <w:szCs w:val="32"/>
          <w:highlight w:val="none"/>
          <w:lang w:val="en-US" w:eastAsia="zh-CN" w:bidi="ar-SA"/>
        </w:rPr>
        <w:t>（二）砥砺奋进，巩固完善配套设施建设。</w:t>
      </w:r>
      <w:r>
        <w:rPr>
          <w:rFonts w:hint="default" w:ascii="Times New Roman" w:hAnsi="Times New Roman" w:eastAsia="仿宋" w:cs="Times New Roman"/>
          <w:b w:val="0"/>
          <w:bCs w:val="0"/>
          <w:color w:val="auto"/>
          <w:kern w:val="2"/>
          <w:sz w:val="32"/>
          <w:szCs w:val="32"/>
          <w:highlight w:val="none"/>
          <w:lang w:val="en-US" w:eastAsia="zh-CN" w:bidi="ar-SA"/>
        </w:rPr>
        <w:t>稳步实施高新区综合信息平台优化升级，对小微站进行专业运营维护，推进智慧化工园区建设；强化园区环境保护重要节点的应急管控能力建设。加大环保应急物资采购，提升处置环保突发事件能力。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default" w:ascii="Times New Roman" w:hAnsi="Times New Roman" w:eastAsia="仿宋" w:cs="Times New Roman"/>
          <w:color w:val="auto"/>
          <w:highlight w:val="none"/>
        </w:rPr>
      </w:pPr>
      <w:r>
        <w:rPr>
          <w:rFonts w:hint="default" w:ascii="Times New Roman" w:hAnsi="Times New Roman" w:eastAsia="楷体" w:cs="Times New Roman"/>
          <w:b/>
          <w:bCs/>
          <w:color w:val="auto"/>
          <w:kern w:val="2"/>
          <w:sz w:val="32"/>
          <w:szCs w:val="32"/>
          <w:highlight w:val="none"/>
          <w:lang w:val="en-US" w:eastAsia="zh-CN" w:bidi="ar-SA"/>
        </w:rPr>
        <w:t>（三）常抓不懈，持续推进宣传教育引导。</w:t>
      </w:r>
      <w:r>
        <w:rPr>
          <w:rFonts w:hint="default" w:ascii="Times New Roman" w:hAnsi="Times New Roman" w:eastAsia="仿宋" w:cs="Times New Roman"/>
          <w:b w:val="0"/>
          <w:bCs w:val="0"/>
          <w:color w:val="auto"/>
          <w:kern w:val="2"/>
          <w:sz w:val="32"/>
          <w:szCs w:val="32"/>
          <w:highlight w:val="none"/>
          <w:lang w:val="en-US" w:eastAsia="zh-CN" w:bidi="ar-SA"/>
        </w:rPr>
        <w:t>引导企业经常性开展生态环境教育活动，组织企业负责人赴先进企业学习交流经验，加强企业职工特别是一线员工的环保知识培训；以微信朋友圈、公众号等平台为载体，向重点企业的管理人员精准推送环保相关法律知识、事故警示、科普知识等内容，不断提升宣传教育的精准性和有</w:t>
      </w:r>
      <w:r>
        <w:rPr>
          <w:rFonts w:hint="default" w:ascii="Times New Roman" w:hAnsi="Times New Roman" w:eastAsia="仿宋" w:cs="Times New Roman"/>
          <w:b w:val="0"/>
          <w:bCs w:val="0"/>
          <w:color w:val="auto"/>
          <w:kern w:val="2"/>
          <w:sz w:val="28"/>
          <w:szCs w:val="28"/>
          <w:highlight w:val="none"/>
          <w:lang w:val="en-US" w:eastAsia="zh-CN" w:bidi="ar-SA"/>
        </w:rPr>
        <w:t>效性，使企业形成环保工作“主人翁”意识。</w:t>
      </w:r>
    </w:p>
    <w:p>
      <w:pPr>
        <w:pStyle w:val="15"/>
        <w:spacing w:after="0" w:line="600" w:lineRule="exact"/>
        <w:ind w:left="560" w:firstLine="640"/>
        <w:rPr>
          <w:rFonts w:hint="default" w:ascii="Times New Roman" w:hAnsi="Times New Roman" w:eastAsia="仿宋_GB2312" w:cs="Times New Roman"/>
          <w:szCs w:val="32"/>
        </w:rPr>
      </w:pPr>
    </w:p>
    <w:p>
      <w:pPr>
        <w:pStyle w:val="15"/>
        <w:spacing w:after="0" w:line="600" w:lineRule="exact"/>
        <w:ind w:left="0" w:leftChars="0" w:firstLine="2240" w:firstLineChars="7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湖南湘阴高新技术产业开发区管理委员会</w:t>
      </w:r>
    </w:p>
    <w:p>
      <w:pPr>
        <w:pStyle w:val="15"/>
        <w:spacing w:after="0" w:line="600" w:lineRule="exact"/>
        <w:ind w:left="0" w:leftChars="0" w:firstLine="3840" w:firstLineChars="1200"/>
        <w:rPr>
          <w:rFonts w:hint="default" w:ascii="Times New Roman" w:hAnsi="Times New Roman" w:cs="Times New Roman"/>
        </w:rPr>
      </w:pPr>
      <w:r>
        <w:rPr>
          <w:rFonts w:hint="default" w:ascii="Times New Roman" w:hAnsi="Times New Roman" w:eastAsia="仿宋_GB2312" w:cs="Times New Roman"/>
          <w:szCs w:val="32"/>
          <w:lang w:val="en-US" w:eastAsia="zh-CN"/>
        </w:rPr>
        <w:t>2023</w:t>
      </w:r>
      <w:r>
        <w:rPr>
          <w:rFonts w:hint="default" w:ascii="Times New Roman" w:hAnsi="Times New Roman" w:eastAsia="仿宋_GB2312" w:cs="Times New Roman"/>
          <w:szCs w:val="32"/>
        </w:rPr>
        <w:t>年</w:t>
      </w:r>
      <w:r>
        <w:rPr>
          <w:rFonts w:hint="default" w:ascii="Times New Roman" w:hAnsi="Times New Roman" w:eastAsia="仿宋_GB2312" w:cs="Times New Roman"/>
          <w:szCs w:val="32"/>
          <w:lang w:val="en-US" w:eastAsia="zh-CN"/>
        </w:rPr>
        <w:t>2</w:t>
      </w:r>
      <w:r>
        <w:rPr>
          <w:rFonts w:hint="default" w:ascii="Times New Roman" w:hAnsi="Times New Roman" w:eastAsia="仿宋_GB2312" w:cs="Times New Roman"/>
          <w:szCs w:val="32"/>
        </w:rPr>
        <w:t>月</w:t>
      </w:r>
      <w:r>
        <w:rPr>
          <w:rFonts w:hint="default" w:ascii="Times New Roman" w:hAnsi="Times New Roman" w:eastAsia="仿宋_GB2312" w:cs="Times New Roman"/>
          <w:szCs w:val="32"/>
          <w:lang w:val="en-US" w:eastAsia="zh-CN"/>
        </w:rPr>
        <w:t>24</w:t>
      </w:r>
      <w:r>
        <w:rPr>
          <w:rFonts w:hint="default" w:ascii="Times New Roman" w:hAnsi="Times New Roman" w:eastAsia="仿宋_GB2312" w:cs="Times New Roman"/>
          <w:szCs w:val="32"/>
        </w:rPr>
        <w:t>日</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1DE58F-1C8D-4B39-868D-0D8D51346C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4EA196AA-1D40-434C-80AB-1258481A9D39}"/>
  </w:font>
  <w:font w:name="新宋体-18030">
    <w:altName w:val="宋体"/>
    <w:panose1 w:val="00000000000000000000"/>
    <w:charset w:val="00"/>
    <w:family w:val="auto"/>
    <w:pitch w:val="default"/>
    <w:sig w:usb0="00000000" w:usb1="00000000" w:usb2="00000000"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9D9D13DA-AFC0-422E-947F-EE1F8955E201}"/>
  </w:font>
  <w:font w:name="仿宋_GB2312">
    <w:panose1 w:val="02010609030101010101"/>
    <w:charset w:val="86"/>
    <w:family w:val="modern"/>
    <w:pitch w:val="default"/>
    <w:sig w:usb0="00000001" w:usb1="080E0000" w:usb2="00000000" w:usb3="00000000" w:csb0="00040000" w:csb1="00000000"/>
    <w:embedRegular r:id="rId4" w:fontKey="{749EB3A2-2238-4177-ACB5-3E0A8EDC7F94}"/>
  </w:font>
  <w:font w:name="楷体_GB2312">
    <w:altName w:val="楷体"/>
    <w:panose1 w:val="02010609030101010101"/>
    <w:charset w:val="86"/>
    <w:family w:val="modern"/>
    <w:pitch w:val="default"/>
    <w:sig w:usb0="00000000" w:usb1="00000000" w:usb2="00000000" w:usb3="00000000" w:csb0="00040000" w:csb1="00000000"/>
    <w:embedRegular r:id="rId5" w:fontKey="{156BAE0D-16AC-4863-A5BA-8645F8743453}"/>
  </w:font>
  <w:font w:name="方正仿宋_GB2312">
    <w:panose1 w:val="02000000000000000000"/>
    <w:charset w:val="86"/>
    <w:family w:val="auto"/>
    <w:pitch w:val="default"/>
    <w:sig w:usb0="A00002BF" w:usb1="184F6CFA" w:usb2="00000012" w:usb3="00000000" w:csb0="00040001" w:csb1="00000000"/>
    <w:embedRegular r:id="rId6" w:fontKey="{2948A4B1-FE84-4460-BA41-77C26E2972CA}"/>
  </w:font>
  <w:font w:name="方正楷体_GB2312">
    <w:panose1 w:val="02000000000000000000"/>
    <w:charset w:val="86"/>
    <w:family w:val="auto"/>
    <w:pitch w:val="default"/>
    <w:sig w:usb0="A00002BF" w:usb1="184F6CFA" w:usb2="00000012" w:usb3="00000000" w:csb0="00040001" w:csb1="00000000"/>
    <w:embedRegular r:id="rId7" w:fontKey="{2880255C-65B2-4E1F-8143-DC2D7461D5A2}"/>
  </w:font>
  <w:font w:name="楷体">
    <w:panose1 w:val="02010609060101010101"/>
    <w:charset w:val="86"/>
    <w:family w:val="auto"/>
    <w:pitch w:val="default"/>
    <w:sig w:usb0="800002BF" w:usb1="38CF7CFA" w:usb2="00000016" w:usb3="00000000" w:csb0="00040001" w:csb1="00000000"/>
    <w:embedRegular r:id="rId8" w:fontKey="{9ED104AA-2F12-4326-A0A7-087131D876A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posOffset>2582545</wp:posOffset>
              </wp:positionH>
              <wp:positionV relativeFrom="paragraph">
                <wp:posOffset>-19050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default" w:ascii="Times New Roman" w:hAnsi="Times New Roman" w:cs="Times New Roman"/>
                              <w:sz w:val="20"/>
                              <w:szCs w:val="20"/>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PAGE  \* MERGEFORMAT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3</w:t>
                          </w:r>
                          <w:r>
                            <w:rPr>
                              <w:rFonts w:hint="default" w:ascii="Times New Roman" w:hAnsi="Times New Roman" w:cs="Times New Roman"/>
                              <w:sz w:val="20"/>
                              <w:szCs w:val="2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35pt;margin-top:-1.5pt;height:144pt;width:144pt;mso-position-horizontal-relative:margin;mso-wrap-style:none;z-index:251659264;mso-width-relative:page;mso-height-relative:page;" filled="f" stroked="f" coordsize="21600,21600" o:gfxdata="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siYGNgAAAAK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pPr>
                      <w:pStyle w:val="10"/>
                      <w:rPr>
                        <w:rFonts w:hint="default" w:ascii="Times New Roman" w:hAnsi="Times New Roman" w:cs="Times New Roman"/>
                        <w:sz w:val="20"/>
                        <w:szCs w:val="20"/>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PAGE  \* MERGEFORMAT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3</w:t>
                    </w:r>
                    <w:r>
                      <w:rPr>
                        <w:rFonts w:hint="default" w:ascii="Times New Roman" w:hAnsi="Times New Roman" w:cs="Times New Roman"/>
                        <w:sz w:val="20"/>
                        <w:szCs w:val="2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82481"/>
    <w:multiLevelType w:val="singleLevel"/>
    <w:tmpl w:val="A3482481"/>
    <w:lvl w:ilvl="0" w:tentative="0">
      <w:start w:val="7"/>
      <w:numFmt w:val="chineseCounting"/>
      <w:suff w:val="nothing"/>
      <w:lvlText w:val="（%1）"/>
      <w:lvlJc w:val="left"/>
      <w:rPr>
        <w:rFonts w:hint="eastAsia"/>
      </w:rPr>
    </w:lvl>
  </w:abstractNum>
  <w:abstractNum w:abstractNumId="1">
    <w:nsid w:val="22405099"/>
    <w:multiLevelType w:val="singleLevel"/>
    <w:tmpl w:val="2240509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dit="form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4YzhkNjJlYTZiZjFhZGUyNzgzMjQ4NzZiZGYzMzMifQ=="/>
  </w:docVars>
  <w:rsids>
    <w:rsidRoot w:val="693C2374"/>
    <w:rsid w:val="0001067F"/>
    <w:rsid w:val="0013039A"/>
    <w:rsid w:val="002A44AB"/>
    <w:rsid w:val="003840DD"/>
    <w:rsid w:val="003A58D0"/>
    <w:rsid w:val="00507C33"/>
    <w:rsid w:val="00663C10"/>
    <w:rsid w:val="00754289"/>
    <w:rsid w:val="00821E1F"/>
    <w:rsid w:val="0084209C"/>
    <w:rsid w:val="00931A6C"/>
    <w:rsid w:val="00AE0FF3"/>
    <w:rsid w:val="00B859EA"/>
    <w:rsid w:val="00C06F60"/>
    <w:rsid w:val="00C23F09"/>
    <w:rsid w:val="00CE1C5A"/>
    <w:rsid w:val="00D57070"/>
    <w:rsid w:val="00E1456E"/>
    <w:rsid w:val="00EC595C"/>
    <w:rsid w:val="00F6794A"/>
    <w:rsid w:val="01064F2B"/>
    <w:rsid w:val="01B15A35"/>
    <w:rsid w:val="029E3B10"/>
    <w:rsid w:val="02AB7430"/>
    <w:rsid w:val="038E5BAD"/>
    <w:rsid w:val="03F2762C"/>
    <w:rsid w:val="04717B1E"/>
    <w:rsid w:val="047311DA"/>
    <w:rsid w:val="047C58E9"/>
    <w:rsid w:val="05842C8B"/>
    <w:rsid w:val="05C13357"/>
    <w:rsid w:val="068712F0"/>
    <w:rsid w:val="06E93149"/>
    <w:rsid w:val="07F51B03"/>
    <w:rsid w:val="0836436E"/>
    <w:rsid w:val="08ED4865"/>
    <w:rsid w:val="09410B6D"/>
    <w:rsid w:val="09460B86"/>
    <w:rsid w:val="09751B84"/>
    <w:rsid w:val="097729BE"/>
    <w:rsid w:val="0A05790E"/>
    <w:rsid w:val="0A94046D"/>
    <w:rsid w:val="0AA45A7D"/>
    <w:rsid w:val="0B135D3B"/>
    <w:rsid w:val="0B3278FB"/>
    <w:rsid w:val="0B83658B"/>
    <w:rsid w:val="0BEC5E1D"/>
    <w:rsid w:val="0C2C04A2"/>
    <w:rsid w:val="0C564B8B"/>
    <w:rsid w:val="0CD93363"/>
    <w:rsid w:val="0D9674C9"/>
    <w:rsid w:val="0D9F1707"/>
    <w:rsid w:val="0E295011"/>
    <w:rsid w:val="0E4C2759"/>
    <w:rsid w:val="0EEC2931"/>
    <w:rsid w:val="0FA84561"/>
    <w:rsid w:val="10BF690A"/>
    <w:rsid w:val="10C871A7"/>
    <w:rsid w:val="121F1281"/>
    <w:rsid w:val="12AD4D92"/>
    <w:rsid w:val="13911F08"/>
    <w:rsid w:val="13D210EE"/>
    <w:rsid w:val="14581B28"/>
    <w:rsid w:val="15C13F71"/>
    <w:rsid w:val="15C6490E"/>
    <w:rsid w:val="17A80971"/>
    <w:rsid w:val="18AE520C"/>
    <w:rsid w:val="1A044F04"/>
    <w:rsid w:val="1B413FE6"/>
    <w:rsid w:val="1C292900"/>
    <w:rsid w:val="1C3130B0"/>
    <w:rsid w:val="1CD42569"/>
    <w:rsid w:val="1DCC6F3C"/>
    <w:rsid w:val="1E740849"/>
    <w:rsid w:val="1EF35CF2"/>
    <w:rsid w:val="20254E1E"/>
    <w:rsid w:val="224234F6"/>
    <w:rsid w:val="22E1747D"/>
    <w:rsid w:val="232477FB"/>
    <w:rsid w:val="23884992"/>
    <w:rsid w:val="260203C6"/>
    <w:rsid w:val="26EA1516"/>
    <w:rsid w:val="2729195C"/>
    <w:rsid w:val="27853A64"/>
    <w:rsid w:val="27EC4FEA"/>
    <w:rsid w:val="283E3928"/>
    <w:rsid w:val="28D46EE9"/>
    <w:rsid w:val="28FC3160"/>
    <w:rsid w:val="29663FDA"/>
    <w:rsid w:val="29834A11"/>
    <w:rsid w:val="2B466E89"/>
    <w:rsid w:val="2BC1798A"/>
    <w:rsid w:val="2C153C84"/>
    <w:rsid w:val="2C4D09BB"/>
    <w:rsid w:val="2C914D52"/>
    <w:rsid w:val="2CDC087B"/>
    <w:rsid w:val="2D5959D5"/>
    <w:rsid w:val="2E9420CF"/>
    <w:rsid w:val="2FB66A0C"/>
    <w:rsid w:val="2FF801BD"/>
    <w:rsid w:val="30276546"/>
    <w:rsid w:val="302D6761"/>
    <w:rsid w:val="30A27764"/>
    <w:rsid w:val="30B36EE3"/>
    <w:rsid w:val="31060D18"/>
    <w:rsid w:val="314F610C"/>
    <w:rsid w:val="31811133"/>
    <w:rsid w:val="31D27F96"/>
    <w:rsid w:val="32257C7E"/>
    <w:rsid w:val="322B6C51"/>
    <w:rsid w:val="32CB0EFE"/>
    <w:rsid w:val="32D72624"/>
    <w:rsid w:val="33495FA8"/>
    <w:rsid w:val="33CD6FA7"/>
    <w:rsid w:val="34F55790"/>
    <w:rsid w:val="354E569D"/>
    <w:rsid w:val="355D6053"/>
    <w:rsid w:val="35C05A10"/>
    <w:rsid w:val="36722B95"/>
    <w:rsid w:val="388D433E"/>
    <w:rsid w:val="389D5FCD"/>
    <w:rsid w:val="38F816BA"/>
    <w:rsid w:val="39D32229"/>
    <w:rsid w:val="3A456D31"/>
    <w:rsid w:val="3A517BB0"/>
    <w:rsid w:val="3A8B60F9"/>
    <w:rsid w:val="3A937059"/>
    <w:rsid w:val="3AE81316"/>
    <w:rsid w:val="3B1B41FA"/>
    <w:rsid w:val="3B5B1AE2"/>
    <w:rsid w:val="3BA16C2B"/>
    <w:rsid w:val="3C8D133A"/>
    <w:rsid w:val="3D145917"/>
    <w:rsid w:val="3D3A1CBF"/>
    <w:rsid w:val="3DBB5D21"/>
    <w:rsid w:val="3E2E06F3"/>
    <w:rsid w:val="3E745E7E"/>
    <w:rsid w:val="3E75629B"/>
    <w:rsid w:val="3E9758FF"/>
    <w:rsid w:val="3E9D46F2"/>
    <w:rsid w:val="3EB9387F"/>
    <w:rsid w:val="3EC66B79"/>
    <w:rsid w:val="3FF646B9"/>
    <w:rsid w:val="409F3142"/>
    <w:rsid w:val="41110EDF"/>
    <w:rsid w:val="418A24BB"/>
    <w:rsid w:val="41B80372"/>
    <w:rsid w:val="42107FBA"/>
    <w:rsid w:val="444404C8"/>
    <w:rsid w:val="44520857"/>
    <w:rsid w:val="447F1E07"/>
    <w:rsid w:val="44911467"/>
    <w:rsid w:val="44C65E65"/>
    <w:rsid w:val="455010CD"/>
    <w:rsid w:val="459D51EB"/>
    <w:rsid w:val="45B729D3"/>
    <w:rsid w:val="46182D65"/>
    <w:rsid w:val="46637CB3"/>
    <w:rsid w:val="468B5408"/>
    <w:rsid w:val="470C36B7"/>
    <w:rsid w:val="47B93611"/>
    <w:rsid w:val="47C573AB"/>
    <w:rsid w:val="47E5777E"/>
    <w:rsid w:val="47EF0DBA"/>
    <w:rsid w:val="487330F7"/>
    <w:rsid w:val="49BA0408"/>
    <w:rsid w:val="4A215A12"/>
    <w:rsid w:val="4A2E0C0A"/>
    <w:rsid w:val="4AB5082A"/>
    <w:rsid w:val="4AF36920"/>
    <w:rsid w:val="4AFB0907"/>
    <w:rsid w:val="4B224C78"/>
    <w:rsid w:val="4B303B33"/>
    <w:rsid w:val="4BA10F44"/>
    <w:rsid w:val="4C364A27"/>
    <w:rsid w:val="4CA829DB"/>
    <w:rsid w:val="4CD13247"/>
    <w:rsid w:val="4CD21031"/>
    <w:rsid w:val="4D0B294D"/>
    <w:rsid w:val="4D4A09C1"/>
    <w:rsid w:val="4EDA65CD"/>
    <w:rsid w:val="4F3774E8"/>
    <w:rsid w:val="4F45647C"/>
    <w:rsid w:val="4F5D1255"/>
    <w:rsid w:val="4FA878D4"/>
    <w:rsid w:val="50E552FD"/>
    <w:rsid w:val="51334DA2"/>
    <w:rsid w:val="5206081A"/>
    <w:rsid w:val="524402FC"/>
    <w:rsid w:val="526C4173"/>
    <w:rsid w:val="543C7CEA"/>
    <w:rsid w:val="544C3297"/>
    <w:rsid w:val="54B1369C"/>
    <w:rsid w:val="54EC790A"/>
    <w:rsid w:val="55D7793C"/>
    <w:rsid w:val="569A4909"/>
    <w:rsid w:val="58447898"/>
    <w:rsid w:val="58CB48B9"/>
    <w:rsid w:val="58D940FC"/>
    <w:rsid w:val="596C1A59"/>
    <w:rsid w:val="59983A2A"/>
    <w:rsid w:val="59E25EF5"/>
    <w:rsid w:val="5A7F1191"/>
    <w:rsid w:val="5AAD2EC7"/>
    <w:rsid w:val="5B3B5C45"/>
    <w:rsid w:val="5BF55899"/>
    <w:rsid w:val="5CDD30C0"/>
    <w:rsid w:val="5CF73AAB"/>
    <w:rsid w:val="5D8879AB"/>
    <w:rsid w:val="5E7601B9"/>
    <w:rsid w:val="5EFA14E4"/>
    <w:rsid w:val="5F8B5ACB"/>
    <w:rsid w:val="5FAB23B3"/>
    <w:rsid w:val="5FAD0A1A"/>
    <w:rsid w:val="60230A8B"/>
    <w:rsid w:val="60336145"/>
    <w:rsid w:val="60A76ECF"/>
    <w:rsid w:val="61374F73"/>
    <w:rsid w:val="615E5AB6"/>
    <w:rsid w:val="622B40D1"/>
    <w:rsid w:val="6242621F"/>
    <w:rsid w:val="63454EBC"/>
    <w:rsid w:val="63625C8A"/>
    <w:rsid w:val="6363033E"/>
    <w:rsid w:val="650E3333"/>
    <w:rsid w:val="652F1B5B"/>
    <w:rsid w:val="66083B20"/>
    <w:rsid w:val="663051D8"/>
    <w:rsid w:val="66553DC2"/>
    <w:rsid w:val="66764B42"/>
    <w:rsid w:val="66870BCA"/>
    <w:rsid w:val="672C679B"/>
    <w:rsid w:val="67CE17D9"/>
    <w:rsid w:val="682E3DD9"/>
    <w:rsid w:val="68D363AD"/>
    <w:rsid w:val="68D816EA"/>
    <w:rsid w:val="691F4566"/>
    <w:rsid w:val="693C2374"/>
    <w:rsid w:val="69420295"/>
    <w:rsid w:val="69717AFC"/>
    <w:rsid w:val="69CC3FAA"/>
    <w:rsid w:val="6A371C59"/>
    <w:rsid w:val="6AAD2834"/>
    <w:rsid w:val="6AFA0286"/>
    <w:rsid w:val="6B9F7B4D"/>
    <w:rsid w:val="6BB202AC"/>
    <w:rsid w:val="6C7A260C"/>
    <w:rsid w:val="6CDD6519"/>
    <w:rsid w:val="6E10763F"/>
    <w:rsid w:val="6F716117"/>
    <w:rsid w:val="6FB16A4D"/>
    <w:rsid w:val="6FF02F7D"/>
    <w:rsid w:val="705F7015"/>
    <w:rsid w:val="70AA2866"/>
    <w:rsid w:val="717307F4"/>
    <w:rsid w:val="727B3304"/>
    <w:rsid w:val="72AA317B"/>
    <w:rsid w:val="7335253D"/>
    <w:rsid w:val="73832C25"/>
    <w:rsid w:val="73A31657"/>
    <w:rsid w:val="73C915E3"/>
    <w:rsid w:val="7431740E"/>
    <w:rsid w:val="750F72B9"/>
    <w:rsid w:val="758420D0"/>
    <w:rsid w:val="7640617E"/>
    <w:rsid w:val="777A48CE"/>
    <w:rsid w:val="791E5F99"/>
    <w:rsid w:val="798A033F"/>
    <w:rsid w:val="7A64497C"/>
    <w:rsid w:val="7AA54C22"/>
    <w:rsid w:val="7BB11BC2"/>
    <w:rsid w:val="7BE93BA3"/>
    <w:rsid w:val="7C4B6D41"/>
    <w:rsid w:val="7C583807"/>
    <w:rsid w:val="7D7B0DE0"/>
    <w:rsid w:val="7DBC60A2"/>
    <w:rsid w:val="7DD23F7C"/>
    <w:rsid w:val="7DF123D2"/>
    <w:rsid w:val="7DF87EAA"/>
    <w:rsid w:val="7E37433C"/>
    <w:rsid w:val="7FBD19DD"/>
    <w:rsid w:val="7FCD4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8"/>
      <w:szCs w:val="22"/>
      <w:lang w:val="en-US" w:eastAsia="zh-CN" w:bidi="ar-SA"/>
    </w:rPr>
  </w:style>
  <w:style w:type="paragraph" w:styleId="3">
    <w:name w:val="heading 1"/>
    <w:basedOn w:val="1"/>
    <w:next w:val="1"/>
    <w:qFormat/>
    <w:uiPriority w:val="9"/>
    <w:pPr>
      <w:keepNext/>
      <w:keepLines/>
      <w:spacing w:before="240" w:after="240" w:line="480" w:lineRule="auto"/>
      <w:jc w:val="center"/>
      <w:outlineLvl w:val="0"/>
    </w:pPr>
    <w:rPr>
      <w:rFonts w:eastAsia="仿宋"/>
      <w:b/>
      <w:bCs/>
      <w:kern w:val="44"/>
      <w:sz w:val="44"/>
      <w:szCs w:val="44"/>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ind w:firstLine="200" w:firstLineChars="200"/>
    </w:pPr>
  </w:style>
  <w:style w:type="paragraph" w:styleId="5">
    <w:name w:val="annotation text"/>
    <w:basedOn w:val="1"/>
    <w:semiHidden/>
    <w:unhideWhenUsed/>
    <w:qFormat/>
    <w:uiPriority w:val="99"/>
    <w:pPr>
      <w:jc w:val="left"/>
    </w:pPr>
  </w:style>
  <w:style w:type="paragraph" w:styleId="6">
    <w:name w:val="Body Text"/>
    <w:basedOn w:val="1"/>
    <w:next w:val="7"/>
    <w:link w:val="25"/>
    <w:qFormat/>
    <w:uiPriority w:val="0"/>
    <w:pPr>
      <w:spacing w:after="120"/>
    </w:pPr>
  </w:style>
  <w:style w:type="paragraph" w:customStyle="1" w:styleId="7">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8">
    <w:name w:val="Body Text Indent"/>
    <w:basedOn w:val="1"/>
    <w:unhideWhenUsed/>
    <w:qFormat/>
    <w:uiPriority w:val="99"/>
    <w:pPr>
      <w:spacing w:after="120"/>
      <w:ind w:left="420" w:leftChars="200"/>
    </w:pPr>
  </w:style>
  <w:style w:type="paragraph" w:styleId="9">
    <w:name w:val="Balloon Text"/>
    <w:basedOn w:val="1"/>
    <w:link w:val="24"/>
    <w:qFormat/>
    <w:uiPriority w:val="0"/>
    <w:rPr>
      <w:sz w:val="18"/>
      <w:szCs w:val="18"/>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Body Text First Indent"/>
    <w:basedOn w:val="6"/>
    <w:link w:val="26"/>
    <w:qFormat/>
    <w:uiPriority w:val="0"/>
    <w:pPr>
      <w:ind w:firstLine="420" w:firstLineChars="100"/>
    </w:pPr>
  </w:style>
  <w:style w:type="paragraph" w:styleId="15">
    <w:name w:val="Body Text First Indent 2"/>
    <w:basedOn w:val="8"/>
    <w:qFormat/>
    <w:uiPriority w:val="0"/>
    <w:pPr>
      <w:ind w:firstLine="420" w:firstLineChars="200"/>
    </w:pPr>
    <w:rPr>
      <w:rFonts w:ascii="Calibri" w:hAnsi="Calibri" w:eastAsia="宋体" w:cs="Times New Roman"/>
      <w:sz w:val="3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正文首行缩进1"/>
    <w:basedOn w:val="1"/>
    <w:qFormat/>
    <w:uiPriority w:val="0"/>
    <w:pPr>
      <w:spacing w:after="120"/>
      <w:ind w:firstLine="420" w:firstLineChars="100"/>
    </w:pPr>
  </w:style>
  <w:style w:type="paragraph" w:customStyle="1" w:styleId="20">
    <w:name w:val="表中字"/>
    <w:basedOn w:val="1"/>
    <w:qFormat/>
    <w:uiPriority w:val="0"/>
    <w:pPr>
      <w:jc w:val="center"/>
    </w:pPr>
    <w:rPr>
      <w:rFonts w:eastAsia="宋体"/>
      <w:sz w:val="24"/>
      <w:szCs w:val="21"/>
    </w:rPr>
  </w:style>
  <w:style w:type="paragraph" w:customStyle="1" w:styleId="21">
    <w:name w:val="表头"/>
    <w:basedOn w:val="1"/>
    <w:qFormat/>
    <w:uiPriority w:val="0"/>
    <w:pPr>
      <w:jc w:val="center"/>
    </w:pPr>
    <w:rPr>
      <w:rFonts w:eastAsia="宋体"/>
      <w:b/>
      <w:sz w:val="24"/>
      <w:szCs w:val="21"/>
    </w:rPr>
  </w:style>
  <w:style w:type="paragraph" w:customStyle="1" w:styleId="22">
    <w:name w:val="5号标题"/>
    <w:basedOn w:val="1"/>
    <w:qFormat/>
    <w:uiPriority w:val="0"/>
  </w:style>
  <w:style w:type="character" w:customStyle="1" w:styleId="23">
    <w:name w:val="页眉 字符"/>
    <w:basedOn w:val="18"/>
    <w:link w:val="11"/>
    <w:qFormat/>
    <w:uiPriority w:val="0"/>
    <w:rPr>
      <w:rFonts w:asciiTheme="minorHAnsi" w:hAnsiTheme="minorHAnsi" w:eastAsiaTheme="minorEastAsia" w:cstheme="minorBidi"/>
      <w:kern w:val="2"/>
      <w:sz w:val="18"/>
      <w:szCs w:val="18"/>
    </w:rPr>
  </w:style>
  <w:style w:type="character" w:customStyle="1" w:styleId="24">
    <w:name w:val="批注框文本 字符"/>
    <w:basedOn w:val="18"/>
    <w:link w:val="9"/>
    <w:qFormat/>
    <w:uiPriority w:val="0"/>
    <w:rPr>
      <w:rFonts w:asciiTheme="minorHAnsi" w:hAnsiTheme="minorHAnsi" w:eastAsiaTheme="minorEastAsia" w:cstheme="minorBidi"/>
      <w:kern w:val="2"/>
      <w:sz w:val="18"/>
      <w:szCs w:val="18"/>
    </w:rPr>
  </w:style>
  <w:style w:type="character" w:customStyle="1" w:styleId="25">
    <w:name w:val="正文文本 字符"/>
    <w:basedOn w:val="18"/>
    <w:link w:val="6"/>
    <w:qFormat/>
    <w:uiPriority w:val="0"/>
    <w:rPr>
      <w:rFonts w:asciiTheme="minorHAnsi" w:hAnsiTheme="minorHAnsi" w:eastAsiaTheme="minorEastAsia" w:cstheme="minorBidi"/>
      <w:kern w:val="2"/>
      <w:sz w:val="28"/>
      <w:szCs w:val="22"/>
    </w:rPr>
  </w:style>
  <w:style w:type="character" w:customStyle="1" w:styleId="26">
    <w:name w:val="正文文本首行缩进 字符"/>
    <w:basedOn w:val="25"/>
    <w:link w:val="14"/>
    <w:qFormat/>
    <w:uiPriority w:val="0"/>
    <w:rPr>
      <w:rFonts w:asciiTheme="minorHAnsi" w:hAnsiTheme="minorHAnsi" w:eastAsiaTheme="minorEastAsia" w:cstheme="minorBidi"/>
      <w:kern w:val="2"/>
      <w:sz w:val="28"/>
      <w:szCs w:val="22"/>
    </w:rPr>
  </w:style>
  <w:style w:type="paragraph" w:customStyle="1" w:styleId="27">
    <w:name w:val="AAA"/>
    <w:basedOn w:val="1"/>
    <w:qFormat/>
    <w:uiPriority w:val="0"/>
    <w:pPr>
      <w:spacing w:line="360" w:lineRule="auto"/>
      <w:ind w:firstLine="560" w:firstLineChars="200"/>
    </w:pPr>
    <w:rPr>
      <w:rFonts w:ascii="宋体" w:hAnsi="宋体" w:cs="宋体"/>
      <w:sz w:val="28"/>
      <w:szCs w:val="36"/>
    </w:rPr>
  </w:style>
  <w:style w:type="paragraph" w:customStyle="1" w:styleId="28">
    <w:name w:val="WPSOffice手动目录 1"/>
    <w:qFormat/>
    <w:uiPriority w:val="0"/>
    <w:pPr>
      <w:ind w:leftChars="0"/>
    </w:pPr>
    <w:rPr>
      <w:rFonts w:ascii="Times New Roman" w:hAnsi="Times New Roman" w:eastAsia="宋体" w:cs="Times New Roman"/>
      <w:sz w:val="20"/>
      <w:szCs w:val="20"/>
    </w:rPr>
  </w:style>
  <w:style w:type="paragraph" w:customStyle="1" w:styleId="2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15083</Words>
  <Characters>16647</Characters>
  <Lines>10</Lines>
  <Paragraphs>3</Paragraphs>
  <TotalTime>5</TotalTime>
  <ScaleCrop>false</ScaleCrop>
  <LinksUpToDate>false</LinksUpToDate>
  <CharactersWithSpaces>16763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2021-12-09T01:12:00Z</dcterms:created>
  <dc:creator>杨阳</dc:creator>
  <cp:lastModifiedBy>生态环境站</cp:lastModifiedBy>
  <dcterms:modified xsi:type="dcterms:W3CDTF">2023-03-10T00:48:19Z</dcterms:modified>
  <dc:title>××市省级以上园区××年度生态环境管理现状自评估报告</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95ECDA8A2D394F6D9DCA7B090D679E4C</vt:lpwstr>
  </property>
</Properties>
</file>