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FA" w:rsidRDefault="00264AA4">
      <w:pPr>
        <w:spacing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湘阴县财政支出项目绩效评价自评报告</w:t>
      </w:r>
    </w:p>
    <w:p w:rsidR="00C935FA" w:rsidRDefault="00C935FA">
      <w:pPr>
        <w:rPr>
          <w:rFonts w:eastAsia="仿宋_GB2312"/>
          <w:b/>
          <w:sz w:val="32"/>
        </w:rPr>
      </w:pPr>
    </w:p>
    <w:p w:rsidR="00C935FA" w:rsidRDefault="00C935FA">
      <w:pPr>
        <w:rPr>
          <w:rFonts w:eastAsia="仿宋_GB2312"/>
          <w:b/>
          <w:sz w:val="32"/>
        </w:rPr>
      </w:pPr>
    </w:p>
    <w:p w:rsidR="00C935FA" w:rsidRDefault="00264AA4">
      <w:pPr>
        <w:ind w:firstLineChars="347" w:firstLine="1095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评价类型</w:t>
      </w:r>
      <w:r>
        <w:rPr>
          <w:rFonts w:eastAsia="仿宋_GB2312" w:hint="eastAsia"/>
          <w:sz w:val="32"/>
          <w:szCs w:val="32"/>
        </w:rPr>
        <w:t>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eastAsia="仿宋_GB2312" w:hint="eastAsia"/>
          <w:sz w:val="32"/>
          <w:szCs w:val="32"/>
        </w:rPr>
        <w:t>☑</w:t>
      </w:r>
    </w:p>
    <w:p w:rsidR="00C935FA" w:rsidRDefault="00264AA4">
      <w:pPr>
        <w:spacing w:beforeLines="50" w:before="301" w:line="348" w:lineRule="auto"/>
        <w:ind w:firstLineChars="350" w:firstLine="110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地震监测设备维护经费</w:t>
      </w:r>
      <w:r>
        <w:rPr>
          <w:rFonts w:eastAsia="仿宋_GB2312" w:hint="eastAsia"/>
          <w:sz w:val="32"/>
          <w:u w:val="single"/>
        </w:rPr>
        <w:t xml:space="preserve">                     </w:t>
      </w:r>
    </w:p>
    <w:p w:rsidR="00C935FA" w:rsidRDefault="00264AA4">
      <w:pPr>
        <w:spacing w:beforeLines="50" w:before="301" w:line="348" w:lineRule="auto"/>
        <w:ind w:firstLineChars="350" w:firstLine="11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湘阴县应急管理局</w:t>
      </w:r>
      <w:r>
        <w:rPr>
          <w:rFonts w:eastAsia="仿宋_GB2312" w:hint="eastAsia"/>
          <w:sz w:val="32"/>
          <w:u w:val="single"/>
        </w:rPr>
        <w:t xml:space="preserve">                     </w:t>
      </w:r>
    </w:p>
    <w:p w:rsidR="00C935FA" w:rsidRDefault="00264AA4">
      <w:pPr>
        <w:spacing w:beforeLines="50" w:before="301" w:line="348" w:lineRule="auto"/>
        <w:ind w:firstLineChars="350" w:firstLine="110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                              </w:t>
      </w:r>
    </w:p>
    <w:p w:rsidR="00C935FA" w:rsidRDefault="00264AA4">
      <w:pPr>
        <w:spacing w:beforeLines="50" w:before="301" w:line="348" w:lineRule="auto"/>
        <w:ind w:firstLineChars="350" w:firstLine="11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C935FA" w:rsidRDefault="00264AA4">
      <w:pPr>
        <w:spacing w:beforeLines="50" w:before="301" w:line="348" w:lineRule="auto"/>
        <w:ind w:firstLineChars="350" w:firstLine="11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C935FA" w:rsidRDefault="00C935FA">
      <w:pPr>
        <w:spacing w:beforeLines="50" w:before="301" w:line="348" w:lineRule="auto"/>
        <w:ind w:firstLineChars="150" w:firstLine="412"/>
        <w:rPr>
          <w:rFonts w:eastAsia="仿宋_GB2312"/>
          <w:sz w:val="28"/>
          <w:szCs w:val="28"/>
        </w:rPr>
      </w:pPr>
    </w:p>
    <w:p w:rsidR="00C935FA" w:rsidRDefault="00264AA4">
      <w:pPr>
        <w:spacing w:line="348" w:lineRule="auto"/>
        <w:ind w:firstLineChars="690" w:firstLine="216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</w:t>
      </w:r>
    </w:p>
    <w:p w:rsidR="00C935FA" w:rsidRDefault="00C935FA">
      <w:pPr>
        <w:spacing w:line="348" w:lineRule="auto"/>
        <w:ind w:firstLineChars="1189" w:firstLine="3738"/>
        <w:rPr>
          <w:rFonts w:eastAsia="仿宋_GB2312"/>
          <w:sz w:val="32"/>
        </w:rPr>
      </w:pPr>
    </w:p>
    <w:p w:rsidR="00C935FA" w:rsidRDefault="00264AA4">
      <w:pPr>
        <w:spacing w:line="348" w:lineRule="auto"/>
        <w:ind w:firstLineChars="1189" w:firstLine="3738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202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30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C935FA" w:rsidRDefault="00264AA4">
      <w:pPr>
        <w:spacing w:line="348" w:lineRule="auto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   </w:t>
      </w:r>
      <w:r>
        <w:rPr>
          <w:rFonts w:eastAsia="仿宋_GB2312" w:hint="eastAsia"/>
          <w:sz w:val="32"/>
        </w:rPr>
        <w:t>湘阴县财政局（制）</w:t>
      </w:r>
    </w:p>
    <w:tbl>
      <w:tblPr>
        <w:tblW w:w="1008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583"/>
        <w:gridCol w:w="433"/>
        <w:gridCol w:w="151"/>
        <w:gridCol w:w="98"/>
        <w:gridCol w:w="134"/>
        <w:gridCol w:w="984"/>
        <w:gridCol w:w="277"/>
        <w:gridCol w:w="359"/>
        <w:gridCol w:w="332"/>
        <w:gridCol w:w="389"/>
        <w:gridCol w:w="215"/>
        <w:gridCol w:w="227"/>
        <w:gridCol w:w="818"/>
        <w:gridCol w:w="111"/>
        <w:gridCol w:w="222"/>
        <w:gridCol w:w="170"/>
        <w:gridCol w:w="286"/>
        <w:gridCol w:w="6"/>
        <w:gridCol w:w="632"/>
        <w:gridCol w:w="1704"/>
        <w:gridCol w:w="876"/>
      </w:tblGrid>
      <w:tr w:rsidR="00C935FA">
        <w:trPr>
          <w:trHeight w:val="680"/>
        </w:trPr>
        <w:tc>
          <w:tcPr>
            <w:tcW w:w="10080" w:type="dxa"/>
            <w:gridSpan w:val="22"/>
            <w:vAlign w:val="center"/>
          </w:tcPr>
          <w:p w:rsidR="00C935FA" w:rsidRDefault="00264A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C935FA"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项目负责人</w:t>
            </w:r>
          </w:p>
        </w:tc>
        <w:tc>
          <w:tcPr>
            <w:tcW w:w="3157" w:type="dxa"/>
            <w:gridSpan w:val="9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江世峰</w:t>
            </w:r>
          </w:p>
        </w:tc>
        <w:tc>
          <w:tcPr>
            <w:tcW w:w="126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4007" w:type="dxa"/>
            <w:gridSpan w:val="8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152</w:t>
            </w:r>
            <w:r w:rsidR="008E7DE1">
              <w:rPr>
                <w:rFonts w:eastAsia="仿宋_GB2312" w:hint="eastAsia"/>
                <w:szCs w:val="21"/>
              </w:rPr>
              <w:t>xxxxxxxx</w:t>
            </w:r>
            <w:bookmarkStart w:id="0" w:name="_GoBack"/>
            <w:bookmarkEnd w:id="0"/>
          </w:p>
        </w:tc>
      </w:tr>
      <w:tr w:rsidR="00C935FA"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项目地址</w:t>
            </w:r>
          </w:p>
        </w:tc>
        <w:tc>
          <w:tcPr>
            <w:tcW w:w="3157" w:type="dxa"/>
            <w:gridSpan w:val="9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4007" w:type="dxa"/>
            <w:gridSpan w:val="8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val="795"/>
        </w:trPr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项目起止时间</w:t>
            </w:r>
          </w:p>
        </w:tc>
        <w:tc>
          <w:tcPr>
            <w:tcW w:w="8424" w:type="dxa"/>
            <w:gridSpan w:val="20"/>
            <w:vAlign w:val="center"/>
          </w:tcPr>
          <w:p w:rsidR="00C935FA" w:rsidRDefault="00264AA4">
            <w:pPr>
              <w:ind w:firstLineChars="496" w:firstLine="1014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1 </w:t>
            </w:r>
            <w:r>
              <w:rPr>
                <w:rFonts w:eastAsia="仿宋_GB2312" w:hint="eastAsia"/>
                <w:szCs w:val="21"/>
              </w:rPr>
              <w:t>月起至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20201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12 </w:t>
            </w:r>
            <w:r>
              <w:rPr>
                <w:rFonts w:eastAsia="仿宋_GB2312" w:hint="eastAsia"/>
                <w:szCs w:val="21"/>
              </w:rPr>
              <w:t>月止</w:t>
            </w:r>
          </w:p>
        </w:tc>
      </w:tr>
      <w:tr w:rsidR="00C935FA">
        <w:trPr>
          <w:trHeight w:val="834"/>
        </w:trPr>
        <w:tc>
          <w:tcPr>
            <w:tcW w:w="1656" w:type="dxa"/>
            <w:gridSpan w:val="2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计划安排资金</w:t>
            </w:r>
          </w:p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816" w:type="dxa"/>
            <w:gridSpan w:val="4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1620" w:type="dxa"/>
            <w:gridSpan w:val="3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实际到位资金</w:t>
            </w:r>
          </w:p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936" w:type="dxa"/>
            <w:gridSpan w:val="3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1548" w:type="dxa"/>
            <w:gridSpan w:val="5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实际支出</w:t>
            </w:r>
          </w:p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924" w:type="dxa"/>
            <w:gridSpan w:val="3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1704" w:type="dxa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结余（万元）</w:t>
            </w:r>
          </w:p>
        </w:tc>
        <w:tc>
          <w:tcPr>
            <w:tcW w:w="876" w:type="dxa"/>
            <w:vAlign w:val="center"/>
          </w:tcPr>
          <w:p w:rsidR="00C935FA" w:rsidRDefault="00C935F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val="642"/>
        </w:trPr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816" w:type="dxa"/>
            <w:gridSpan w:val="4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936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924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876" w:type="dxa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16" w:type="dxa"/>
            <w:gridSpan w:val="4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936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924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76" w:type="dxa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16" w:type="dxa"/>
            <w:gridSpan w:val="4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936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924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76" w:type="dxa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16" w:type="dxa"/>
            <w:gridSpan w:val="4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162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936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1548" w:type="dxa"/>
            <w:gridSpan w:val="5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924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1704" w:type="dxa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76" w:type="dxa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c>
          <w:tcPr>
            <w:tcW w:w="1656" w:type="dxa"/>
            <w:gridSpan w:val="2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16" w:type="dxa"/>
            <w:gridSpan w:val="4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936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924" w:type="dxa"/>
            <w:gridSpan w:val="3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76" w:type="dxa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val="680"/>
        </w:trPr>
        <w:tc>
          <w:tcPr>
            <w:tcW w:w="10080" w:type="dxa"/>
            <w:gridSpan w:val="22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C935FA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支出内容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会计凭证号</w:t>
            </w: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C935FA">
        <w:trPr>
          <w:trHeight w:hRule="exact" w:val="173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商品和服务支出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号，</w:t>
            </w:r>
          </w:p>
          <w:p w:rsidR="00C935FA" w:rsidRDefault="00264AA4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17</w:t>
            </w:r>
            <w:r>
              <w:rPr>
                <w:rFonts w:eastAsia="仿宋_GB2312" w:hint="eastAsia"/>
                <w:szCs w:val="21"/>
              </w:rPr>
              <w:t>，</w:t>
            </w:r>
          </w:p>
          <w:p w:rsidR="00C935FA" w:rsidRDefault="00264AA4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30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42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52-53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57</w:t>
            </w:r>
            <w:r>
              <w:rPr>
                <w:rFonts w:eastAsia="仿宋_GB2312" w:hint="eastAsia"/>
                <w:szCs w:val="21"/>
              </w:rPr>
              <w:t>，</w:t>
            </w:r>
          </w:p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－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号，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－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号</w:t>
            </w:r>
          </w:p>
          <w:p w:rsidR="00C935FA" w:rsidRDefault="00C935FA">
            <w:pPr>
              <w:rPr>
                <w:rFonts w:eastAsia="仿宋_GB2312"/>
                <w:szCs w:val="21"/>
              </w:rPr>
            </w:pPr>
          </w:p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Cs w:val="21"/>
              </w:rPr>
              <w:t>支出合计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14.7</w:t>
            </w:r>
          </w:p>
        </w:tc>
        <w:tc>
          <w:tcPr>
            <w:tcW w:w="3135" w:type="dxa"/>
            <w:gridSpan w:val="11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12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935FA">
        <w:trPr>
          <w:trHeight w:hRule="exact" w:val="544"/>
        </w:trPr>
        <w:tc>
          <w:tcPr>
            <w:tcW w:w="10080" w:type="dxa"/>
            <w:gridSpan w:val="22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C935FA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C935FA">
        <w:trPr>
          <w:trHeight w:val="2726"/>
        </w:trPr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高效、有序地开展地震应急处置工作，最大限度减轻地震事件造成的人员伤亡，经济损失和社会影响。</w:t>
            </w: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确保经济社会稳定和群众正常生活秩序</w:t>
            </w:r>
          </w:p>
        </w:tc>
      </w:tr>
      <w:tr w:rsidR="00C935FA">
        <w:trPr>
          <w:trHeight w:hRule="exact" w:val="730"/>
        </w:trPr>
        <w:tc>
          <w:tcPr>
            <w:tcW w:w="1073" w:type="dxa"/>
            <w:vMerge w:val="restart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vAlign w:val="center"/>
          </w:tcPr>
          <w:p w:rsidR="00C935FA" w:rsidRDefault="00264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项目产出指标</w:t>
            </w: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hd w:val="clear" w:color="auto" w:fill="FFFFFF"/>
              </w:rPr>
              <w:t>监测站视频监控系统、四个地震台站监控系统联网工程</w:t>
            </w:r>
          </w:p>
          <w:p w:rsidR="00C935FA" w:rsidRDefault="00C935F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微软雅黑" w:hAnsi="微软雅黑"/>
                <w:color w:val="666666"/>
                <w:szCs w:val="21"/>
              </w:rPr>
              <w:t>100%</w:t>
            </w:r>
            <w:r>
              <w:rPr>
                <w:rFonts w:ascii="微软雅黑" w:hAnsi="微软雅黑"/>
                <w:color w:val="666666"/>
                <w:szCs w:val="21"/>
              </w:rPr>
              <w:t>完成</w:t>
            </w: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hd w:val="clear" w:color="auto" w:fill="FFFFFF"/>
              </w:rPr>
              <w:t>确保地震仪器高的运行率和资料的连续率</w:t>
            </w:r>
          </w:p>
        </w:tc>
        <w:tc>
          <w:tcPr>
            <w:tcW w:w="1151" w:type="dxa"/>
            <w:gridSpan w:val="3"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月－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151" w:type="dxa"/>
            <w:gridSpan w:val="3"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szCs w:val="21"/>
              </w:rPr>
              <w:t>2021</w:t>
            </w:r>
            <w:r>
              <w:rPr>
                <w:rFonts w:ascii="宋体" w:hAnsi="宋体" w:cs="宋体" w:hint="eastAsia"/>
                <w:color w:val="666666"/>
                <w:szCs w:val="21"/>
              </w:rPr>
              <w:t>年</w:t>
            </w:r>
            <w:r>
              <w:rPr>
                <w:rFonts w:ascii="宋体" w:hAnsi="宋体" w:cs="宋体" w:hint="eastAsia"/>
                <w:color w:val="666666"/>
                <w:szCs w:val="21"/>
              </w:rPr>
              <w:t>12</w:t>
            </w:r>
            <w:r>
              <w:rPr>
                <w:rFonts w:ascii="宋体" w:hAnsi="宋体" w:cs="宋体" w:hint="eastAsia"/>
                <w:color w:val="666666"/>
                <w:szCs w:val="21"/>
              </w:rPr>
              <w:t>月</w:t>
            </w:r>
            <w:r>
              <w:rPr>
                <w:rFonts w:ascii="宋体" w:hAnsi="宋体" w:cs="宋体" w:hint="eastAsia"/>
                <w:color w:val="666666"/>
                <w:szCs w:val="21"/>
              </w:rPr>
              <w:t>31</w:t>
            </w:r>
            <w:r>
              <w:rPr>
                <w:rFonts w:ascii="宋体" w:hAnsi="宋体" w:cs="宋体" w:hint="eastAsia"/>
                <w:color w:val="666666"/>
                <w:szCs w:val="21"/>
              </w:rPr>
              <w:t>日前</w:t>
            </w: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264AA4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严格控制预算成本</w:t>
            </w:r>
          </w:p>
        </w:tc>
        <w:tc>
          <w:tcPr>
            <w:tcW w:w="1151" w:type="dxa"/>
            <w:gridSpan w:val="3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sz w:val="18"/>
                <w:szCs w:val="18"/>
              </w:rPr>
              <w:t>14.7</w:t>
            </w:r>
            <w:r>
              <w:rPr>
                <w:rFonts w:ascii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14.7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项目效益指标</w:t>
            </w: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经济效益</w:t>
            </w:r>
          </w:p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C935F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社会效益</w:t>
            </w:r>
          </w:p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hd w:val="clear" w:color="auto" w:fill="FFFFFF"/>
              </w:rPr>
              <w:t>保护人民生命和财产安全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hd w:val="clear" w:color="auto" w:fill="FFFFFF"/>
              </w:rPr>
              <w:t>发展保驾护航</w:t>
            </w:r>
          </w:p>
          <w:p w:rsidR="00C935FA" w:rsidRDefault="00C935F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</w:tr>
      <w:tr w:rsidR="00C935FA">
        <w:trPr>
          <w:trHeight w:hRule="exact" w:val="613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生态效益</w:t>
            </w:r>
          </w:p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C935F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1038"/>
        </w:trPr>
        <w:tc>
          <w:tcPr>
            <w:tcW w:w="1073" w:type="dxa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C935FA" w:rsidRDefault="00C935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服务对象满意度</w:t>
            </w:r>
          </w:p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vAlign w:val="center"/>
          </w:tcPr>
          <w:p w:rsidR="00C935FA" w:rsidRDefault="00264AA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社会公众比较满意</w:t>
            </w:r>
          </w:p>
        </w:tc>
        <w:tc>
          <w:tcPr>
            <w:tcW w:w="1151" w:type="dxa"/>
            <w:gridSpan w:val="3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95%</w:t>
            </w:r>
          </w:p>
        </w:tc>
        <w:tc>
          <w:tcPr>
            <w:tcW w:w="3674" w:type="dxa"/>
            <w:gridSpan w:val="6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98%</w:t>
            </w:r>
          </w:p>
        </w:tc>
      </w:tr>
      <w:tr w:rsidR="00C935FA">
        <w:trPr>
          <w:trHeight w:hRule="exact" w:val="567"/>
        </w:trPr>
        <w:tc>
          <w:tcPr>
            <w:tcW w:w="2240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绩效自评综合得分</w:t>
            </w:r>
          </w:p>
        </w:tc>
        <w:tc>
          <w:tcPr>
            <w:tcW w:w="7840" w:type="dxa"/>
            <w:gridSpan w:val="18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98%</w:t>
            </w:r>
          </w:p>
        </w:tc>
      </w:tr>
      <w:tr w:rsidR="00C935FA">
        <w:trPr>
          <w:trHeight w:hRule="exact" w:val="567"/>
        </w:trPr>
        <w:tc>
          <w:tcPr>
            <w:tcW w:w="2240" w:type="dxa"/>
            <w:gridSpan w:val="4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lastRenderedPageBreak/>
              <w:t>评价等次</w:t>
            </w:r>
          </w:p>
        </w:tc>
        <w:tc>
          <w:tcPr>
            <w:tcW w:w="7840" w:type="dxa"/>
            <w:gridSpan w:val="18"/>
            <w:tcBorders>
              <w:bottom w:val="single" w:sz="4" w:space="0" w:color="auto"/>
            </w:tcBorders>
            <w:vAlign w:val="center"/>
          </w:tcPr>
          <w:p w:rsidR="00C935FA" w:rsidRDefault="00264AA4">
            <w:pPr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C935FA">
        <w:trPr>
          <w:trHeight w:hRule="exact" w:val="680"/>
        </w:trPr>
        <w:tc>
          <w:tcPr>
            <w:tcW w:w="10080" w:type="dxa"/>
            <w:gridSpan w:val="22"/>
            <w:vAlign w:val="center"/>
          </w:tcPr>
          <w:p w:rsidR="00C935FA" w:rsidRDefault="00264A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C935FA">
        <w:trPr>
          <w:trHeight w:hRule="exact" w:val="567"/>
        </w:trPr>
        <w:tc>
          <w:tcPr>
            <w:tcW w:w="2089" w:type="dxa"/>
            <w:gridSpan w:val="3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2335" w:type="dxa"/>
            <w:gridSpan w:val="7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职称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职务</w:t>
            </w:r>
          </w:p>
        </w:tc>
        <w:tc>
          <w:tcPr>
            <w:tcW w:w="1760" w:type="dxa"/>
            <w:gridSpan w:val="5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3896" w:type="dxa"/>
            <w:gridSpan w:val="7"/>
            <w:vAlign w:val="center"/>
          </w:tcPr>
          <w:p w:rsidR="00C935FA" w:rsidRDefault="00264A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</w:t>
            </w:r>
          </w:p>
        </w:tc>
      </w:tr>
      <w:tr w:rsidR="00C935FA">
        <w:trPr>
          <w:trHeight w:hRule="exact" w:val="567"/>
        </w:trPr>
        <w:tc>
          <w:tcPr>
            <w:tcW w:w="2089" w:type="dxa"/>
            <w:gridSpan w:val="3"/>
            <w:vAlign w:val="center"/>
          </w:tcPr>
          <w:p w:rsidR="00C935FA" w:rsidRDefault="00264AA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易志红</w:t>
            </w:r>
          </w:p>
        </w:tc>
        <w:tc>
          <w:tcPr>
            <w:tcW w:w="2335" w:type="dxa"/>
            <w:gridSpan w:val="7"/>
            <w:vAlign w:val="center"/>
          </w:tcPr>
          <w:p w:rsidR="00C935FA" w:rsidRDefault="00264AA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副局长</w:t>
            </w:r>
          </w:p>
        </w:tc>
        <w:tc>
          <w:tcPr>
            <w:tcW w:w="1760" w:type="dxa"/>
            <w:gridSpan w:val="5"/>
            <w:vAlign w:val="center"/>
          </w:tcPr>
          <w:p w:rsidR="00C935FA" w:rsidRDefault="00264AA4">
            <w:pPr>
              <w:autoSpaceDN w:val="0"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湘阴县应急管理局</w:t>
            </w:r>
          </w:p>
        </w:tc>
        <w:tc>
          <w:tcPr>
            <w:tcW w:w="3896" w:type="dxa"/>
            <w:gridSpan w:val="7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567"/>
        </w:trPr>
        <w:tc>
          <w:tcPr>
            <w:tcW w:w="2089" w:type="dxa"/>
            <w:gridSpan w:val="3"/>
            <w:vAlign w:val="center"/>
          </w:tcPr>
          <w:p w:rsidR="00C935FA" w:rsidRDefault="00264AA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szCs w:val="21"/>
              </w:rPr>
              <w:t>江世峰</w:t>
            </w:r>
          </w:p>
        </w:tc>
        <w:tc>
          <w:tcPr>
            <w:tcW w:w="2335" w:type="dxa"/>
            <w:gridSpan w:val="7"/>
            <w:vAlign w:val="center"/>
          </w:tcPr>
          <w:p w:rsidR="00C935FA" w:rsidRDefault="00264AA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主任</w:t>
            </w:r>
          </w:p>
        </w:tc>
        <w:tc>
          <w:tcPr>
            <w:tcW w:w="1760" w:type="dxa"/>
            <w:gridSpan w:val="5"/>
            <w:vAlign w:val="center"/>
          </w:tcPr>
          <w:p w:rsidR="00C935FA" w:rsidRDefault="00264AA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湘阴县应急管理局</w:t>
            </w:r>
          </w:p>
        </w:tc>
        <w:tc>
          <w:tcPr>
            <w:tcW w:w="3896" w:type="dxa"/>
            <w:gridSpan w:val="7"/>
            <w:vAlign w:val="center"/>
          </w:tcPr>
          <w:p w:rsidR="00C935FA" w:rsidRDefault="00C935FA">
            <w:pPr>
              <w:rPr>
                <w:rFonts w:eastAsia="仿宋_GB2312"/>
                <w:szCs w:val="21"/>
              </w:rPr>
            </w:pPr>
          </w:p>
        </w:tc>
      </w:tr>
      <w:tr w:rsidR="00C935FA">
        <w:trPr>
          <w:trHeight w:hRule="exact" w:val="575"/>
        </w:trPr>
        <w:tc>
          <w:tcPr>
            <w:tcW w:w="10080" w:type="dxa"/>
            <w:gridSpan w:val="22"/>
            <w:vAlign w:val="center"/>
          </w:tcPr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评价组组长（签字）：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C935FA">
        <w:trPr>
          <w:trHeight w:val="1830"/>
        </w:trPr>
        <w:tc>
          <w:tcPr>
            <w:tcW w:w="10080" w:type="dxa"/>
            <w:gridSpan w:val="22"/>
            <w:tcBorders>
              <w:bottom w:val="single" w:sz="4" w:space="0" w:color="auto"/>
            </w:tcBorders>
          </w:tcPr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项目单位意见：</w:t>
            </w: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>
              <w:rPr>
                <w:rFonts w:eastAsia="仿宋_GB2312" w:hint="eastAsia"/>
                <w:szCs w:val="21"/>
              </w:rPr>
              <w:t>项目单位负责人（签章）：</w:t>
            </w:r>
          </w:p>
          <w:p w:rsidR="00C935FA" w:rsidRDefault="00264AA4">
            <w:pPr>
              <w:spacing w:line="440" w:lineRule="exact"/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C935FA">
        <w:trPr>
          <w:trHeight w:val="2400"/>
        </w:trPr>
        <w:tc>
          <w:tcPr>
            <w:tcW w:w="10080" w:type="dxa"/>
            <w:gridSpan w:val="22"/>
          </w:tcPr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主管部门意见：</w:t>
            </w: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</w:t>
            </w:r>
            <w:r>
              <w:rPr>
                <w:rFonts w:eastAsia="仿宋_GB2312" w:hint="eastAsia"/>
                <w:szCs w:val="21"/>
              </w:rPr>
              <w:t xml:space="preserve">                               </w:t>
            </w:r>
            <w:r>
              <w:rPr>
                <w:rFonts w:eastAsia="仿宋_GB2312" w:hint="eastAsia"/>
                <w:szCs w:val="21"/>
              </w:rPr>
              <w:t>主管部门负责人（签章）：</w:t>
            </w:r>
          </w:p>
          <w:p w:rsidR="00C935FA" w:rsidRDefault="00264AA4">
            <w:pPr>
              <w:spacing w:line="440" w:lineRule="exact"/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C935FA">
        <w:trPr>
          <w:trHeight w:val="3010"/>
        </w:trPr>
        <w:tc>
          <w:tcPr>
            <w:tcW w:w="10080" w:type="dxa"/>
            <w:gridSpan w:val="22"/>
          </w:tcPr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财政部门归口业务科室意见：</w:t>
            </w: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C935FA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</w:t>
            </w:r>
            <w:r>
              <w:rPr>
                <w:rFonts w:eastAsia="仿宋_GB2312" w:hint="eastAsia"/>
                <w:szCs w:val="21"/>
              </w:rPr>
              <w:t>财政部门归口业务科室负责人（签章）：</w:t>
            </w:r>
          </w:p>
          <w:p w:rsidR="00C935FA" w:rsidRDefault="00264AA4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C935FA" w:rsidRDefault="00264AA4">
      <w:pPr>
        <w:ind w:firstLineChars="100" w:firstLine="274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6"/>
      </w:tblGrid>
      <w:tr w:rsidR="00C935FA">
        <w:trPr>
          <w:trHeight w:val="12638"/>
        </w:trPr>
        <w:tc>
          <w:tcPr>
            <w:tcW w:w="10056" w:type="dxa"/>
          </w:tcPr>
          <w:p w:rsidR="00C935FA" w:rsidRDefault="00264AA4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C935FA" w:rsidRDefault="00C935FA">
            <w:pPr>
              <w:spacing w:line="440" w:lineRule="exact"/>
              <w:ind w:firstLineChars="200" w:firstLine="629"/>
              <w:rPr>
                <w:rFonts w:eastAsia="仿宋_GB2312"/>
                <w:sz w:val="32"/>
                <w:szCs w:val="32"/>
              </w:rPr>
            </w:pPr>
          </w:p>
          <w:p w:rsidR="00C935FA" w:rsidRDefault="00C935FA">
            <w:pPr>
              <w:rPr>
                <w:rFonts w:eastAsia="仿宋_GB2312"/>
                <w:sz w:val="30"/>
                <w:szCs w:val="30"/>
              </w:rPr>
            </w:pPr>
          </w:p>
          <w:p w:rsidR="00C935FA" w:rsidRDefault="00264AA4">
            <w:pPr>
              <w:ind w:firstLineChars="100" w:firstLine="204"/>
            </w:pPr>
            <w:r>
              <w:rPr>
                <w:rFonts w:hint="eastAsia"/>
              </w:rPr>
              <w:t xml:space="preserve">　</w:t>
            </w:r>
          </w:p>
          <w:p w:rsidR="00C935FA" w:rsidRDefault="00264AA4">
            <w:pPr>
              <w:pStyle w:val="a3"/>
              <w:widowControl/>
              <w:shd w:val="clear" w:color="auto" w:fill="FFFFFF"/>
              <w:spacing w:beforeAutospacing="0" w:afterAutospacing="0"/>
            </w:pPr>
            <w:r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  <w:t>项目概况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项目单位基本情况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   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湘阴县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地震监测中心，我单位为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副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科级单位，共有人员编制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人，其中：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副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科级领导职务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人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事业人员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人。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     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其主要职责：承担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湘阴县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地震监测工作，制定短期与临震预报方案，建立和执行震情跟踪制度。承担本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地震活动与地震前兆的信息检测、传递、分析、处理和对可能发生地震的地点、时间和震级的预测；建立、维护和管理我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的地震监测台网。建立和执行各项地震观测项目的日常维护运行工作制度；及时报送地震监测信息，保证地震监测信息的安全和质量。负责地震宏观异常的落实和异常调查报告的编写与上报备案工作。破坏性地震发生后，及时将震情及其发展趋势等信息报告上一级人民政府；负责现场地震监测预报工作。负责形成震后地震趋势判定意见，向省级地震机构报告。负责对普遍有感地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震的震后地震趋势判定和破坏性地震的震后地震趋势判定，向本级人民政府报告。承担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湘阴县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的震情值班工作，指导各区的地震监测工作。承担上级主管部门交办的其他工作。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（二）项目基本性质、用途和主要内容、涉及范围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  <w:ind w:firstLine="468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地震监测台网由前兆和测震两大学科观测台网组成，于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2007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年起建立数据地震观测台，开展了我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的地震监测预报实践和地震监测台网建设的探索，特别是经过“九五”和“十五”期间的建设与发展。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湘阴县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地震数据接收中心的建成，实现了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湘阴县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地震速报信息的共享，进一步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lastRenderedPageBreak/>
              <w:t>提高我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地震监测水平和地震应急能力，对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湘阴县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以及周边地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区地震事件精确定位和地震速报有着重要作用。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（三）跨年度项目的预期总目标及阶段性目标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项目为经常性项目，无跨年度项目的预期总目标及阶段性目标。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二、项目资金使用及管理情况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（一）项目资金到位情况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项目预算资金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14.7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万元，全部为财政资金，已列入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我单位部门预算。项目资金年初预算批复后已下达，资金全部到位。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（二）项目资金使用情况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截止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31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日，项目资金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14.7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万元已支出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14.7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万元，主要用于项目使用过程中地震台站、仪器设备及其辅助设施的维修维护所发生的维护和维修费等支出。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（三）项目资金管理情况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项目资金专款专用，使用过程严格执行国家财政、财经纪律，使用规范，会计核算真实、准确，接受财政部门监督和审计部门审计。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三、项目组织实施情况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（一）项目组织情况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该项目属于经常性项目，没有达到招投标权限，由本单位自行组织实施。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（二）项目管理情况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加强地震台站建设，保障各项工作顺利开展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  <w:ind w:firstLine="468"/>
              <w:rPr>
                <w:rFonts w:ascii="微软雅黑" w:eastAsia="微软雅黑" w:hAnsi="微软雅黑" w:cs="微软雅黑"/>
                <w:color w:val="000000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，完成了监测站视频监控系统、四个地震台站监控系统联网工程和台站零星修复工程建设，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DFEFF"/>
              </w:rPr>
              <w:t>确保各项工作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顺利进行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  <w:ind w:firstLine="468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lastRenderedPageBreak/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加强监督检查，狠抓工作落实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一是执行日检查制度。对地震观测台等执行日检查制度，做到及时发现问题及时解决，确保地震监测工作连续、可靠、准确运行。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二是随机抽查和到地震台站现场检查，保障台站运行正常。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、完善中心财务管理制度，严格执行财务会计制度。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四、项目绩效情况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（一）项目绩效目标完成情况分析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项目的经济性分析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）项目成本（预算）控制情况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项目预算支出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14.7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万元，全部用于地震台站的管理、监测和预测工作中。为了确保地震仪器高的运行率和资料的连续率，我们监测中心全体员工执行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24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小时准值班制度，一旦接到仪器设备故障报告或者宏微观异常报告，必须立即赶到现场排除故障或者核实异常。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中心工作人员每天监视台网运行情况，定时现场巡检地震台站仪器设备运行情况，及时排除仪器设备设备故障，确保仪器设备运行率及资料连续率达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98%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以上。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DFEFF"/>
              </w:rPr>
              <w:t>圆满完成各项地震监测工作：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DFEFF"/>
              </w:rPr>
              <w:t>①、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完成了综合观测台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强震台、等地震观测台观测资料的接收、处理、分析、上报和归档工作。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②、完成了各地震观测台站仪器设备的维护、维修工作，保证地震监测预报第一手资料的连续、可靠、准确及时。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③、完成了组织核实宏观异常的工作。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）项目成本（预算）节约情况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  <w:ind w:firstLineChars="200" w:firstLine="469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lastRenderedPageBreak/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该项目预算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14.7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万元，实际支出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14.7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万元，通过合理控制成本，没有超出预算。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项目的效率性分析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）项目的实施进度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项目根据工作需求逐步进行，到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年底，已全部完成工作目标。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）项目完成质量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项目通过精心组织及细化任务，各项目标按计划顺利完成。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项目的效益性分析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）项目预期目标完成程度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，我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地震监测台网仪器设备运率行和资料连续率保持在较高的水平，观测资料参加全省评比，水位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94.61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分，水温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96.33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分，项目预期目标全部完成。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）项目实施对经济和社会的影响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①、经济效益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     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地震监测预报项目其本身并不会产生直接的经济效益，但是，其所具有的有效监测本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县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地震活动的目标、实现数据接收、实时数据处理、监测与速报，可以起到防震减灾的作用，能将地震灾害所带来的人员伤亡和财产损失减少到最低程度，因而具有相当可观的间接经济效益。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②、社会效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益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该项目的建设与实施，能有效监测本地区地震活动和开展地震前兆异常观测，以致于发现异常情况时能及时组织开展异常核实和调查，并准确地将异常信息报送上级地震工作主管部门，是发挥政府职能、强化社会管理和公共服务的重要基础，可以为防御和减轻地震灾害，保护人民生命和财产安全，促进经济可持续发展保驾护航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（二）项目绩效目标未完成原因分析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lastRenderedPageBreak/>
              <w:t xml:space="preserve">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项目绩效目标全部完成。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五、综合评价情况及评价结论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本项目目标明确，所有项目工作目标和任务都进行层层分解，明确责任目标、责任单位和责任人以及完成目标和考核督查标准；项目决策符合社会经济发展及部门年度工作计划；资金到位及时，使用得当；资金分配符合相关管理规定，分配结果合理；项目实施分工明确，管理制度完善，执行严格；项目产出超额完成绩效目标，项目成本严格控制；项目经济效益、社会效益明显，环境效益符合预期，服务对象满意。经评价小组综合分析并进行评分，项目平均分为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98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>分，评价等次为优。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六、存在的主要问题和建议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　（一）项目支出进度不均衡，有待于优化。</w:t>
            </w:r>
          </w:p>
          <w:p w:rsidR="00C935FA" w:rsidRDefault="00264AA4">
            <w:pPr>
              <w:pStyle w:val="a3"/>
              <w:widowControl/>
              <w:wordWrap w:val="0"/>
              <w:spacing w:beforeAutospacing="0" w:afterAutospacing="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</w:t>
            </w:r>
            <w:r>
              <w:rPr>
                <w:rFonts w:ascii="微软雅黑" w:eastAsia="微软雅黑" w:hAnsi="微软雅黑" w:cs="微软雅黑" w:hint="eastAsia"/>
                <w:color w:val="000000"/>
                <w:shd w:val="clear" w:color="auto" w:fill="FFFFFF"/>
              </w:rPr>
              <w:t xml:space="preserve">　（二）需要加强对各地震台站的管理，强化督办措施，确保工作落到实处。以服务政府社会为己任，以满足公众需求为最高标准，依靠科技，提升素质，不断提高地震预报的能力和水平。</w:t>
            </w:r>
          </w:p>
        </w:tc>
      </w:tr>
    </w:tbl>
    <w:p w:rsidR="00C935FA" w:rsidRDefault="00C935FA"/>
    <w:p w:rsidR="00C935FA" w:rsidRDefault="00C935FA"/>
    <w:sectPr w:rsidR="00C935FA">
      <w:footerReference w:type="default" r:id="rId7"/>
      <w:pgSz w:w="11906" w:h="16838"/>
      <w:pgMar w:top="1928" w:right="1531" w:bottom="1814" w:left="1587" w:header="851" w:footer="850" w:gutter="0"/>
      <w:pgNumType w:fmt="numberInDash" w:start="8"/>
      <w:cols w:space="0"/>
      <w:docGrid w:type="linesAndChars" w:linePitch="602" w:charSpace="-11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A4" w:rsidRDefault="00264AA4">
      <w:r>
        <w:separator/>
      </w:r>
    </w:p>
  </w:endnote>
  <w:endnote w:type="continuationSeparator" w:id="0">
    <w:p w:rsidR="00264AA4" w:rsidRDefault="0026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FA" w:rsidRDefault="00C93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A4" w:rsidRDefault="00264AA4">
      <w:r>
        <w:separator/>
      </w:r>
    </w:p>
  </w:footnote>
  <w:footnote w:type="continuationSeparator" w:id="0">
    <w:p w:rsidR="00264AA4" w:rsidRDefault="0026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50"/>
    <w:rsid w:val="00264AA4"/>
    <w:rsid w:val="008E7DE1"/>
    <w:rsid w:val="00C935FA"/>
    <w:rsid w:val="00CE4F50"/>
    <w:rsid w:val="06BD72CA"/>
    <w:rsid w:val="087626A5"/>
    <w:rsid w:val="10FC434F"/>
    <w:rsid w:val="1695103A"/>
    <w:rsid w:val="1F133EC0"/>
    <w:rsid w:val="1FEE22B8"/>
    <w:rsid w:val="23A6117E"/>
    <w:rsid w:val="346A3766"/>
    <w:rsid w:val="35906984"/>
    <w:rsid w:val="451D7F69"/>
    <w:rsid w:val="468123D5"/>
    <w:rsid w:val="4F246147"/>
    <w:rsid w:val="5730310B"/>
    <w:rsid w:val="610668BF"/>
    <w:rsid w:val="645475E2"/>
    <w:rsid w:val="66630AA1"/>
    <w:rsid w:val="680B252A"/>
    <w:rsid w:val="6DE13612"/>
    <w:rsid w:val="729D2A51"/>
    <w:rsid w:val="734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1B3B35-C023-47AD-8615-F2F0FE8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656</Words>
  <Characters>3741</Characters>
  <Application>Microsoft Office Word</Application>
  <DocSecurity>0</DocSecurity>
  <Lines>31</Lines>
  <Paragraphs>8</Paragraphs>
  <ScaleCrop>false</ScaleCrop>
  <Company>MS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2022-04-07T07:39:00Z</cp:lastPrinted>
  <dcterms:created xsi:type="dcterms:W3CDTF">2021-05-24T01:59:00Z</dcterms:created>
  <dcterms:modified xsi:type="dcterms:W3CDTF">2023-04-13T00:33:00Z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2D9E57ECFAFD4FD794ECAF36BBD7680A</vt:lpwstr>
  </property>
</Properties>
</file>