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36"/>
          <w:szCs w:val="36"/>
        </w:rPr>
      </w:pPr>
    </w:p>
    <w:p>
      <w:pPr>
        <w:spacing w:line="360" w:lineRule="auto"/>
        <w:jc w:val="center"/>
        <w:rPr>
          <w:rFonts w:hint="default" w:ascii="Times New Roman" w:hAnsi="Times New Roman" w:eastAsia="宋体" w:cs="Times New Roman"/>
          <w:b/>
          <w:bCs/>
          <w:sz w:val="36"/>
          <w:szCs w:val="36"/>
        </w:rPr>
      </w:pPr>
    </w:p>
    <w:p>
      <w:pPr>
        <w:spacing w:line="240" w:lineRule="auto"/>
        <w:jc w:val="center"/>
        <w:rPr>
          <w:rFonts w:hint="eastAsia" w:ascii="仿宋_GB2312" w:hAnsi="Times New Roman" w:eastAsia="仿宋_GB2312" w:cs="Times New Roman"/>
          <w:kern w:val="0"/>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p>
    <w:p>
      <w:pPr>
        <w:spacing w:line="240" w:lineRule="auto"/>
        <w:jc w:val="center"/>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xml:space="preserve">                               </w:t>
      </w:r>
      <w:bookmarkStart w:id="0" w:name="_GoBack"/>
      <w:bookmarkEnd w:id="0"/>
      <w:r>
        <w:rPr>
          <w:rFonts w:hint="eastAsia" w:ascii="仿宋_GB2312" w:hAnsi="Times New Roman" w:eastAsia="仿宋_GB2312" w:cs="Times New Roman"/>
          <w:kern w:val="0"/>
          <w:sz w:val="32"/>
          <w:szCs w:val="32"/>
          <w:lang w:val="en-US" w:eastAsia="zh-CN" w:bidi="ar-SA"/>
        </w:rPr>
        <w:t xml:space="preserve"> 岳湘阴环评</w:t>
      </w:r>
      <w:r>
        <w:rPr>
          <w:rFonts w:hint="default" w:ascii="仿宋_GB2312" w:hAnsi="Times New Roman" w:eastAsia="仿宋_GB2312" w:cs="Times New Roman"/>
          <w:kern w:val="0"/>
          <w:sz w:val="32"/>
          <w:szCs w:val="32"/>
          <w:lang w:val="en-US" w:eastAsia="zh-CN" w:bidi="ar-SA"/>
        </w:rPr>
        <w:t>〔2023〕0</w:t>
      </w:r>
      <w:r>
        <w:rPr>
          <w:rFonts w:hint="eastAsia" w:ascii="仿宋_GB2312" w:hAnsi="Times New Roman" w:eastAsia="仿宋_GB2312" w:cs="Times New Roman"/>
          <w:kern w:val="0"/>
          <w:sz w:val="32"/>
          <w:szCs w:val="32"/>
          <w:lang w:val="en-US" w:eastAsia="zh-CN" w:bidi="ar-SA"/>
        </w:rPr>
        <w:t>6</w:t>
      </w:r>
      <w:r>
        <w:rPr>
          <w:rFonts w:hint="default" w:ascii="仿宋_GB2312" w:hAnsi="Times New Roman" w:eastAsia="仿宋_GB2312" w:cs="Times New Roman"/>
          <w:kern w:val="0"/>
          <w:sz w:val="32"/>
          <w:szCs w:val="32"/>
          <w:lang w:val="en-US" w:eastAsia="zh-CN" w:bidi="ar-SA"/>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关于湘阴恒泰贸易有限公司年生产25万吨水稳料和15万吨沥青混合料搅拌站项目环境影响</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spacing w:line="480" w:lineRule="auto"/>
        <w:jc w:val="left"/>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湘阴恒泰贸易有限公司：</w:t>
      </w:r>
    </w:p>
    <w:p>
      <w:p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 xml:space="preserve">你公司《关于申请“湘阴恒泰贸易有限公司年生产25万吨水稳料和15万吨沥青混合料搅拌站项目”批复的报告》及有关附件已收悉。根据国家环境保护有关法律、法规、政策和项目所在地环境功能区划的要求，经研究，现批复如下：                      </w:t>
      </w:r>
    </w:p>
    <w:p>
      <w:pPr>
        <w:numPr>
          <w:ilvl w:val="0"/>
          <w:numId w:val="1"/>
        </w:num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 xml:space="preserve">原则同意该项目建设。湘阴恒泰贸易有限公司拟建于 </w:t>
      </w:r>
      <w:r>
        <w:rPr>
          <w:rFonts w:hint="eastAsia" w:ascii="仿宋_GB2312" w:hAnsi="新宋体" w:eastAsia="仿宋_GB2312"/>
          <w:sz w:val="32"/>
          <w:lang w:val="en-US" w:eastAsia="zh-CN"/>
        </w:rPr>
        <w:t>湖南省岳阳市</w:t>
      </w:r>
      <w:r>
        <w:rPr>
          <w:rFonts w:hint="eastAsia" w:ascii="仿宋_GB2312" w:hAnsi="新宋体" w:eastAsia="仿宋_GB2312"/>
          <w:sz w:val="32"/>
        </w:rPr>
        <w:t>湘阴县高新技术产业开发区（工业大道西侧，金惠粮油北），其地理坐标为(东经112°5</w:t>
      </w:r>
      <w:r>
        <w:rPr>
          <w:rFonts w:hint="eastAsia" w:ascii="仿宋_GB2312" w:hAnsi="新宋体" w:eastAsia="仿宋_GB2312"/>
          <w:sz w:val="32"/>
          <w:lang w:val="en-US" w:eastAsia="zh-CN"/>
        </w:rPr>
        <w:t>4</w:t>
      </w:r>
      <w:r>
        <w:rPr>
          <w:rFonts w:hint="eastAsia" w:ascii="仿宋_GB2312" w:hAnsi="新宋体" w:eastAsia="仿宋_GB2312"/>
          <w:sz w:val="32"/>
        </w:rPr>
        <w:t>′6.826″，北纬28°3</w:t>
      </w:r>
      <w:r>
        <w:rPr>
          <w:rFonts w:hint="eastAsia" w:ascii="仿宋_GB2312" w:hAnsi="新宋体" w:eastAsia="仿宋_GB2312"/>
          <w:sz w:val="32"/>
          <w:lang w:val="en-US" w:eastAsia="zh-CN"/>
        </w:rPr>
        <w:t>8</w:t>
      </w:r>
      <w:r>
        <w:rPr>
          <w:rFonts w:hint="eastAsia" w:ascii="仿宋_GB2312" w:hAnsi="新宋体" w:eastAsia="仿宋_GB2312"/>
          <w:sz w:val="32"/>
        </w:rPr>
        <w:t>′13.226″)，公司拟投资9950.32万元（其中环保投资</w:t>
      </w:r>
      <w:r>
        <w:rPr>
          <w:rFonts w:hint="eastAsia" w:ascii="仿宋_GB2312" w:hAnsi="新宋体" w:eastAsia="仿宋_GB2312"/>
          <w:sz w:val="32"/>
          <w:lang w:val="en-US" w:eastAsia="zh-CN"/>
        </w:rPr>
        <w:t>449</w:t>
      </w:r>
      <w:r>
        <w:rPr>
          <w:rFonts w:hint="eastAsia" w:ascii="仿宋_GB2312" w:hAnsi="新宋体" w:eastAsia="仿宋_GB2312"/>
          <w:sz w:val="32"/>
        </w:rPr>
        <w:t>万元），项目总用地29266.81m</w:t>
      </w:r>
      <w:r>
        <w:rPr>
          <w:rFonts w:hint="eastAsia" w:ascii="仿宋_GB2312" w:hAnsi="新宋体" w:eastAsia="仿宋_GB2312"/>
          <w:sz w:val="32"/>
          <w:vertAlign w:val="superscript"/>
        </w:rPr>
        <w:t>2</w:t>
      </w:r>
      <w:r>
        <w:rPr>
          <w:rFonts w:hint="eastAsia" w:ascii="仿宋_GB2312" w:hAnsi="新宋体" w:eastAsia="仿宋_GB2312"/>
          <w:sz w:val="32"/>
        </w:rPr>
        <w:t>。项目</w:t>
      </w:r>
      <w:r>
        <w:rPr>
          <w:rFonts w:hint="eastAsia" w:ascii="仿宋_GB2312" w:hAnsi="新宋体" w:eastAsia="仿宋_GB2312"/>
          <w:sz w:val="32"/>
          <w:lang w:val="en-US" w:eastAsia="zh-CN"/>
        </w:rPr>
        <w:t>利用沥青、砂子、碎石、再生料、水泥等为原辅材料，</w:t>
      </w:r>
      <w:r>
        <w:rPr>
          <w:rFonts w:hint="eastAsia" w:ascii="仿宋_GB2312" w:hAnsi="新宋体" w:eastAsia="仿宋_GB2312"/>
          <w:sz w:val="32"/>
        </w:rPr>
        <w:t>建设一条年</w:t>
      </w:r>
      <w:r>
        <w:rPr>
          <w:rFonts w:hint="eastAsia" w:ascii="仿宋_GB2312" w:hAnsi="新宋体" w:eastAsia="仿宋_GB2312"/>
          <w:sz w:val="32"/>
          <w:lang w:val="en-US" w:eastAsia="zh-CN"/>
        </w:rPr>
        <w:t>生</w:t>
      </w:r>
      <w:r>
        <w:rPr>
          <w:rFonts w:hint="eastAsia" w:ascii="仿宋_GB2312" w:hAnsi="新宋体" w:eastAsia="仿宋_GB2312"/>
          <w:sz w:val="32"/>
        </w:rPr>
        <w:t>产25万吨600型水稳料生产线和一条</w:t>
      </w:r>
      <w:r>
        <w:rPr>
          <w:rFonts w:hint="eastAsia" w:ascii="仿宋_GB2312" w:hAnsi="新宋体" w:eastAsia="仿宋_GB2312"/>
          <w:sz w:val="32"/>
          <w:lang w:val="en-US" w:eastAsia="zh-CN"/>
        </w:rPr>
        <w:t>年生产</w:t>
      </w:r>
      <w:r>
        <w:rPr>
          <w:rFonts w:hint="eastAsia" w:ascii="仿宋_GB2312" w:hAnsi="新宋体" w:eastAsia="仿宋_GB2312"/>
          <w:sz w:val="32"/>
        </w:rPr>
        <w:t>15万吨4000型沥青混合料生产线。主要建设内容为：沥青混合料搅拌站主楼、水稳料混合搅拌站主楼、骨料仓、粉料筒仓、皮带输送机、沥青储罐，并配套建设辅助工程、储运工程、环保工程、给排水、绿化、环卫、供配电、道路等设施。</w:t>
      </w:r>
      <w:r>
        <w:rPr>
          <w:rFonts w:hint="default" w:ascii="仿宋_GB2312" w:hAnsi="新宋体" w:eastAsia="仿宋_GB2312" w:cs="Times New Roman"/>
          <w:bCs/>
          <w:sz w:val="32"/>
          <w:szCs w:val="32"/>
          <w:lang w:val="en-US" w:eastAsia="zh-CN"/>
        </w:rPr>
        <w:t>（详见该建设项目环境影响报告表）</w:t>
      </w:r>
    </w:p>
    <w:p>
      <w:pPr>
        <w:numPr>
          <w:ilvl w:val="0"/>
          <w:numId w:val="0"/>
        </w:num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该项目符合国家产业政策，符合湖南湘阴高新技术产业开发区总体规划要求。根据湘阴县</w:t>
      </w:r>
      <w:r>
        <w:rPr>
          <w:rFonts w:hint="eastAsia" w:ascii="仿宋_GB2312" w:hAnsi="新宋体" w:eastAsia="仿宋_GB2312"/>
          <w:sz w:val="32"/>
          <w:lang w:val="en-US" w:eastAsia="zh-CN"/>
        </w:rPr>
        <w:t>发展和改革局</w:t>
      </w:r>
      <w:r>
        <w:rPr>
          <w:rFonts w:hint="eastAsia" w:ascii="仿宋_GB2312" w:hAnsi="新宋体" w:eastAsia="仿宋_GB2312"/>
          <w:sz w:val="32"/>
        </w:rPr>
        <w:t>《关于水稳料和1沥青混合料</w:t>
      </w:r>
      <w:r>
        <w:rPr>
          <w:rFonts w:hint="eastAsia" w:ascii="仿宋_GB2312" w:hAnsi="新宋体" w:eastAsia="仿宋_GB2312"/>
          <w:sz w:val="32"/>
          <w:lang w:val="en-US" w:eastAsia="zh-CN"/>
        </w:rPr>
        <w:t>搅拌站建设项目备案的证明</w:t>
      </w:r>
      <w:r>
        <w:rPr>
          <w:rFonts w:hint="eastAsia" w:ascii="仿宋_GB2312" w:hAnsi="新宋体" w:eastAsia="仿宋_GB2312"/>
          <w:sz w:val="32"/>
        </w:rPr>
        <w:t>》（湘阴</w:t>
      </w:r>
      <w:r>
        <w:rPr>
          <w:rFonts w:hint="eastAsia" w:ascii="仿宋_GB2312" w:hAnsi="新宋体" w:eastAsia="仿宋_GB2312"/>
          <w:sz w:val="32"/>
          <w:lang w:val="en-US" w:eastAsia="zh-CN"/>
        </w:rPr>
        <w:t>发改</w:t>
      </w:r>
      <w:r>
        <w:rPr>
          <w:rFonts w:hint="eastAsia" w:ascii="仿宋_GB2312" w:hAnsi="新宋体" w:eastAsia="仿宋_GB2312"/>
          <w:sz w:val="32"/>
        </w:rPr>
        <w:t>审[202</w:t>
      </w:r>
      <w:r>
        <w:rPr>
          <w:rFonts w:hint="eastAsia" w:ascii="仿宋_GB2312" w:hAnsi="新宋体" w:eastAsia="仿宋_GB2312"/>
          <w:sz w:val="32"/>
          <w:lang w:val="en-US" w:eastAsia="zh-CN"/>
        </w:rPr>
        <w:t>2</w:t>
      </w:r>
      <w:r>
        <w:rPr>
          <w:rFonts w:hint="eastAsia" w:ascii="仿宋_GB2312" w:hAnsi="新宋体" w:eastAsia="仿宋_GB2312"/>
          <w:sz w:val="32"/>
        </w:rPr>
        <w:t>]</w:t>
      </w:r>
      <w:r>
        <w:rPr>
          <w:rFonts w:hint="eastAsia" w:ascii="仿宋_GB2312" w:hAnsi="新宋体" w:eastAsia="仿宋_GB2312"/>
          <w:sz w:val="32"/>
          <w:lang w:val="en-US" w:eastAsia="zh-CN"/>
        </w:rPr>
        <w:t>268</w:t>
      </w:r>
      <w:r>
        <w:rPr>
          <w:rFonts w:hint="eastAsia" w:ascii="仿宋_GB2312" w:hAnsi="新宋体" w:eastAsia="仿宋_GB2312"/>
          <w:sz w:val="32"/>
        </w:rPr>
        <w:t>号）、湘阴县预拌</w:t>
      </w:r>
      <w:r>
        <w:rPr>
          <w:rFonts w:hint="eastAsia" w:ascii="仿宋_GB2312" w:hAnsi="新宋体" w:eastAsia="仿宋_GB2312"/>
          <w:sz w:val="32"/>
          <w:lang w:val="en-US" w:eastAsia="zh-CN"/>
        </w:rPr>
        <w:t>水稳料沥青</w:t>
      </w:r>
      <w:r>
        <w:rPr>
          <w:rFonts w:hint="eastAsia" w:ascii="仿宋_GB2312" w:hAnsi="新宋体" w:eastAsia="仿宋_GB2312"/>
          <w:sz w:val="32"/>
        </w:rPr>
        <w:t>混凝土</w:t>
      </w:r>
      <w:r>
        <w:rPr>
          <w:rFonts w:hint="eastAsia" w:ascii="仿宋_GB2312" w:hAnsi="新宋体" w:eastAsia="仿宋_GB2312"/>
          <w:sz w:val="32"/>
          <w:lang w:val="en-US" w:eastAsia="zh-CN"/>
        </w:rPr>
        <w:t>生产企业联审意见</w:t>
      </w:r>
      <w:r>
        <w:rPr>
          <w:rFonts w:hint="eastAsia" w:ascii="仿宋_GB2312" w:hAnsi="新宋体" w:eastAsia="仿宋_GB2312"/>
          <w:sz w:val="32"/>
        </w:rPr>
        <w:t>以及湖南</w:t>
      </w:r>
      <w:r>
        <w:rPr>
          <w:rFonts w:hint="eastAsia" w:ascii="仿宋_GB2312" w:hAnsi="新宋体" w:eastAsia="仿宋_GB2312"/>
          <w:sz w:val="32"/>
          <w:lang w:val="en-US" w:eastAsia="zh-CN"/>
        </w:rPr>
        <w:t>鼎康环保</w:t>
      </w:r>
      <w:r>
        <w:rPr>
          <w:rFonts w:hint="eastAsia" w:ascii="仿宋_GB2312" w:hAnsi="新宋体" w:eastAsia="仿宋_GB2312"/>
          <w:sz w:val="32"/>
        </w:rPr>
        <w:t>科技有限公司编制的该项目环境影响报告表基本内容、评价结论及专家评审意见，从环保角度考虑，我局原则同意环境影响报告表所列的建设项目地点、性质、规模、工艺和环境保护对策。</w:t>
      </w:r>
    </w:p>
    <w:p>
      <w:p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二、加强污染防治工作。项目建设和营运过程中须全面落实环境影响报告表提出的各项保护措施，并着重做好以下环保工作：</w:t>
      </w:r>
    </w:p>
    <w:p>
      <w:p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(一)做好施工期环境保护工作</w:t>
      </w:r>
    </w:p>
    <w:p>
      <w:p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加强施工期环境管理，明确有关环保责任。制定好扬尘控制方案，严格按照《防治城市扬尘污染技术规范》以及《岳阳市扬尘污染防治条例》（2019年第3号）要求落实扬尘污染控制措施；施工机械尽量选用低噪声设备，合理安排高噪声设备的作业时间，降低噪声污染；严禁建筑垃圾乱堆乱倒，做到日产日清，及时转运，施工结束后应同步做好垃圾清理及周边道路绿化工作。</w:t>
      </w:r>
    </w:p>
    <w:p>
      <w:p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(二)做好营运期环境保护工作</w:t>
      </w:r>
    </w:p>
    <w:p>
      <w:pPr>
        <w:spacing w:beforeLines="0" w:afterLines="0" w:line="600" w:lineRule="exact"/>
        <w:ind w:firstLine="640" w:firstLineChars="200"/>
        <w:rPr>
          <w:rFonts w:hint="eastAsia" w:ascii="仿宋_GB2312" w:hAnsi="新宋体" w:eastAsia="仿宋_GB2312"/>
          <w:sz w:val="32"/>
          <w:lang w:eastAsia="zh-CN"/>
        </w:rPr>
      </w:pPr>
      <w:r>
        <w:rPr>
          <w:rFonts w:hint="eastAsia" w:ascii="仿宋_GB2312" w:hAnsi="新宋体" w:eastAsia="仿宋_GB2312"/>
          <w:sz w:val="32"/>
        </w:rPr>
        <w:t>1.废水污染防治工作。建设好雨污分流系统。地面、设备及车辆冲洗废水</w:t>
      </w:r>
      <w:r>
        <w:rPr>
          <w:rFonts w:hint="eastAsia" w:ascii="仿宋_GB2312" w:hAnsi="新宋体" w:eastAsia="仿宋_GB2312"/>
          <w:sz w:val="32"/>
          <w:lang w:val="en-US" w:eastAsia="zh-CN"/>
        </w:rPr>
        <w:t>经</w:t>
      </w:r>
      <w:r>
        <w:rPr>
          <w:rFonts w:hint="eastAsia" w:ascii="仿宋_GB2312" w:hAnsi="新宋体" w:eastAsia="仿宋_GB2312"/>
          <w:sz w:val="32"/>
        </w:rPr>
        <w:t>三级沉淀池</w:t>
      </w:r>
      <w:r>
        <w:rPr>
          <w:rFonts w:hint="eastAsia" w:ascii="仿宋_GB2312" w:hAnsi="新宋体" w:eastAsia="仿宋_GB2312"/>
          <w:sz w:val="32"/>
          <w:lang w:val="en-US" w:eastAsia="zh-CN"/>
        </w:rPr>
        <w:t>沉淀后</w:t>
      </w:r>
      <w:r>
        <w:rPr>
          <w:rFonts w:hint="eastAsia" w:ascii="仿宋_GB2312" w:hAnsi="新宋体" w:eastAsia="仿宋_GB2312"/>
          <w:sz w:val="32"/>
        </w:rPr>
        <w:t>回用</w:t>
      </w:r>
      <w:r>
        <w:rPr>
          <w:rFonts w:hint="eastAsia" w:ascii="仿宋_GB2312" w:hAnsi="新宋体" w:eastAsia="仿宋_GB2312"/>
          <w:sz w:val="32"/>
          <w:lang w:val="en-US" w:eastAsia="zh-CN"/>
        </w:rPr>
        <w:t>不外排</w:t>
      </w:r>
      <w:r>
        <w:rPr>
          <w:rFonts w:hint="eastAsia" w:ascii="仿宋_GB2312" w:hAnsi="新宋体" w:eastAsia="仿宋_GB2312"/>
          <w:sz w:val="32"/>
          <w:lang w:eastAsia="zh-CN"/>
        </w:rPr>
        <w:t>；用于冷凝沥青废气的冷凝水循环使用，不外排；</w:t>
      </w:r>
      <w:r>
        <w:rPr>
          <w:rFonts w:hint="eastAsia" w:ascii="仿宋_GB2312" w:hAnsi="新宋体" w:eastAsia="仿宋_GB2312"/>
          <w:sz w:val="32"/>
        </w:rPr>
        <w:t>初期雨水</w:t>
      </w:r>
      <w:r>
        <w:rPr>
          <w:rFonts w:hint="eastAsia" w:ascii="仿宋_GB2312" w:hAnsi="新宋体" w:eastAsia="仿宋_GB2312"/>
          <w:sz w:val="32"/>
          <w:lang w:val="en-US" w:eastAsia="zh-CN"/>
        </w:rPr>
        <w:t>经</w:t>
      </w:r>
      <w:r>
        <w:rPr>
          <w:rFonts w:hint="eastAsia" w:ascii="仿宋_GB2312" w:hAnsi="新宋体" w:eastAsia="仿宋_GB2312"/>
          <w:sz w:val="32"/>
        </w:rPr>
        <w:t>收集后回用于生产</w:t>
      </w:r>
      <w:r>
        <w:rPr>
          <w:rFonts w:hint="eastAsia" w:ascii="仿宋_GB2312" w:hAnsi="新宋体" w:eastAsia="仿宋_GB2312"/>
          <w:sz w:val="32"/>
          <w:lang w:eastAsia="zh-CN"/>
        </w:rPr>
        <w:t>；</w:t>
      </w:r>
      <w:r>
        <w:rPr>
          <w:rFonts w:hint="eastAsia" w:ascii="仿宋_GB2312" w:hAnsi="新宋体" w:eastAsia="仿宋_GB2312"/>
          <w:sz w:val="32"/>
        </w:rPr>
        <w:t>生活污水</w:t>
      </w:r>
      <w:r>
        <w:rPr>
          <w:rFonts w:hint="default" w:ascii="仿宋_GB2312" w:hAnsi="新宋体" w:eastAsia="仿宋_GB2312" w:cs="Times New Roman"/>
          <w:bCs/>
          <w:sz w:val="32"/>
          <w:szCs w:val="32"/>
        </w:rPr>
        <w:t>经化粪池处理后达《污水综合排放标准》（GB 8978-1996）三级标准和湘阴县第二污水处理厂管线接纳标准后</w:t>
      </w:r>
      <w:r>
        <w:rPr>
          <w:rFonts w:hint="eastAsia" w:ascii="仿宋_GB2312" w:hAnsi="新宋体" w:eastAsia="仿宋_GB2312" w:cs="Times New Roman"/>
          <w:bCs/>
          <w:sz w:val="32"/>
          <w:szCs w:val="32"/>
          <w:lang w:val="en-US" w:eastAsia="zh-CN"/>
        </w:rPr>
        <w:t>排入园区污水管网进入</w:t>
      </w:r>
      <w:r>
        <w:rPr>
          <w:rFonts w:hint="default" w:ascii="仿宋_GB2312" w:hAnsi="新宋体" w:eastAsia="仿宋_GB2312" w:cs="Times New Roman"/>
          <w:bCs/>
          <w:sz w:val="32"/>
          <w:szCs w:val="32"/>
          <w:lang w:val="en-US" w:eastAsia="zh-CN"/>
        </w:rPr>
        <w:t>湘阴县第二污水处理厂处理达到《城镇污水处理厂污染物排放标准》（GB18918-2002）一级A类标准后排入湘江</w:t>
      </w:r>
      <w:r>
        <w:rPr>
          <w:rFonts w:hint="eastAsia" w:ascii="仿宋_GB2312" w:hAnsi="新宋体" w:eastAsia="仿宋_GB2312" w:cs="Times New Roman"/>
          <w:bCs/>
          <w:sz w:val="32"/>
          <w:szCs w:val="32"/>
          <w:lang w:val="en-US" w:eastAsia="zh-CN"/>
        </w:rPr>
        <w:t>。</w:t>
      </w:r>
    </w:p>
    <w:p>
      <w:p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2.废气污染防治工作。应当采取密封、围挡、遮盖、清扫、洒水、喷水雾等措施，减少内部物料在堆存、传输、装卸等环节中产生的粉尘污染；生产线</w:t>
      </w:r>
      <w:r>
        <w:rPr>
          <w:rFonts w:hint="eastAsia" w:ascii="仿宋_GB2312" w:hAnsi="新宋体" w:eastAsia="仿宋_GB2312"/>
          <w:sz w:val="32"/>
          <w:lang w:eastAsia="zh-CN"/>
        </w:rPr>
        <w:t>、</w:t>
      </w:r>
      <w:r>
        <w:rPr>
          <w:rFonts w:hint="eastAsia" w:ascii="仿宋_GB2312" w:hAnsi="新宋体" w:eastAsia="仿宋_GB2312"/>
          <w:sz w:val="32"/>
        </w:rPr>
        <w:t>原料堆场须建设在全封闭结构厂房内，厂房内部上方按照一定比例设置喷嘴，定期喷水雾，减少粉尘的逸散；卸车堆场、运输车辆等产生的无组织粉尘，采取洒水抑制、厂内道路硬化、及时清扫路面等措施处理，粉料筒仓呼吸产生的粉尘各自经仓顶自带滤芯除尘器净化后</w:t>
      </w:r>
      <w:r>
        <w:rPr>
          <w:rFonts w:hint="eastAsia" w:ascii="仿宋_GB2312" w:hAnsi="新宋体" w:eastAsia="仿宋_GB2312"/>
          <w:sz w:val="32"/>
          <w:lang w:val="en-US" w:eastAsia="zh-CN"/>
        </w:rPr>
        <w:t>无组织</w:t>
      </w:r>
      <w:r>
        <w:rPr>
          <w:rFonts w:hint="eastAsia" w:ascii="仿宋_GB2312" w:hAnsi="新宋体" w:eastAsia="仿宋_GB2312"/>
          <w:sz w:val="32"/>
        </w:rPr>
        <w:t>排放，确保厂界无组织排放的颗粒物满足《大气污染物综合排放标准》GB16297-1996表2中</w:t>
      </w:r>
      <w:r>
        <w:rPr>
          <w:rFonts w:hint="eastAsia" w:ascii="仿宋_GB2312" w:hAnsi="新宋体" w:eastAsia="仿宋_GB2312" w:cs="Times New Roman"/>
          <w:bCs/>
          <w:sz w:val="32"/>
          <w:szCs w:val="32"/>
          <w:lang w:val="en-US" w:eastAsia="zh-CN"/>
        </w:rPr>
        <w:t>无组织排放监控浓度限值要求</w:t>
      </w:r>
      <w:r>
        <w:rPr>
          <w:rFonts w:hint="eastAsia" w:ascii="仿宋_GB2312" w:hAnsi="新宋体" w:eastAsia="仿宋_GB2312"/>
          <w:sz w:val="32"/>
        </w:rPr>
        <w:t>；沥青混合料</w:t>
      </w:r>
      <w:r>
        <w:rPr>
          <w:rFonts w:hint="eastAsia" w:ascii="仿宋_GB2312" w:hAnsi="新宋体" w:eastAsia="仿宋_GB2312"/>
          <w:sz w:val="32"/>
          <w:lang w:val="en-US" w:eastAsia="zh-CN"/>
        </w:rPr>
        <w:t>生产线中的骨料、</w:t>
      </w:r>
      <w:r>
        <w:rPr>
          <w:rFonts w:hint="eastAsia" w:ascii="仿宋_GB2312" w:hAnsi="新宋体" w:eastAsia="仿宋_GB2312"/>
          <w:sz w:val="32"/>
        </w:rPr>
        <w:t>再生料及水稳料</w:t>
      </w:r>
      <w:r>
        <w:rPr>
          <w:rFonts w:hint="eastAsia" w:ascii="仿宋_GB2312" w:hAnsi="新宋体" w:eastAsia="仿宋_GB2312"/>
          <w:sz w:val="32"/>
          <w:lang w:val="en-US" w:eastAsia="zh-CN"/>
        </w:rPr>
        <w:t>生产线中</w:t>
      </w:r>
      <w:r>
        <w:rPr>
          <w:rFonts w:hint="eastAsia" w:ascii="仿宋_GB2312" w:hAnsi="新宋体" w:eastAsia="仿宋_GB2312"/>
          <w:sz w:val="32"/>
        </w:rPr>
        <w:t>骨料</w:t>
      </w:r>
      <w:r>
        <w:rPr>
          <w:rFonts w:hint="eastAsia" w:ascii="仿宋_GB2312" w:hAnsi="新宋体" w:eastAsia="仿宋_GB2312"/>
          <w:sz w:val="32"/>
          <w:lang w:val="en-US" w:eastAsia="zh-CN"/>
        </w:rPr>
        <w:t>的</w:t>
      </w:r>
      <w:r>
        <w:rPr>
          <w:rFonts w:hint="eastAsia" w:ascii="仿宋_GB2312" w:hAnsi="新宋体" w:eastAsia="仿宋_GB2312"/>
          <w:sz w:val="32"/>
        </w:rPr>
        <w:t>配料、输送、上料过程产生的颗粒物经生产线密闭、负压收集及布袋除尘器处理达到《大气污染物综合排放标准》GB16297-1996表2二级标准</w:t>
      </w:r>
      <w:r>
        <w:rPr>
          <w:rFonts w:hint="eastAsia" w:ascii="仿宋_GB2312" w:hAnsi="新宋体" w:eastAsia="仿宋_GB2312"/>
          <w:sz w:val="32"/>
          <w:lang w:val="en-US" w:eastAsia="zh-CN"/>
        </w:rPr>
        <w:t>排放</w:t>
      </w:r>
      <w:r>
        <w:rPr>
          <w:rFonts w:hint="eastAsia" w:ascii="仿宋_GB2312" w:hAnsi="新宋体" w:eastAsia="仿宋_GB2312"/>
          <w:sz w:val="32"/>
        </w:rPr>
        <w:t>限值要求后</w:t>
      </w:r>
      <w:r>
        <w:rPr>
          <w:rFonts w:hint="eastAsia" w:ascii="仿宋_GB2312" w:hAnsi="新宋体" w:eastAsia="仿宋_GB2312"/>
          <w:sz w:val="32"/>
          <w:lang w:val="en-US" w:eastAsia="zh-CN"/>
        </w:rPr>
        <w:t>分别通过</w:t>
      </w:r>
      <w:r>
        <w:rPr>
          <w:rFonts w:hint="eastAsia" w:ascii="仿宋_GB2312" w:hAnsi="新宋体" w:eastAsia="仿宋_GB2312"/>
          <w:sz w:val="32"/>
        </w:rPr>
        <w:t>15m</w:t>
      </w:r>
      <w:r>
        <w:rPr>
          <w:rFonts w:hint="eastAsia" w:ascii="仿宋_GB2312" w:hAnsi="新宋体" w:eastAsia="仿宋_GB2312"/>
          <w:sz w:val="32"/>
          <w:lang w:val="en-US" w:eastAsia="zh-CN"/>
        </w:rPr>
        <w:t>高（1#、5#）</w:t>
      </w:r>
      <w:r>
        <w:rPr>
          <w:rFonts w:hint="eastAsia" w:ascii="仿宋_GB2312" w:hAnsi="新宋体" w:eastAsia="仿宋_GB2312"/>
          <w:sz w:val="32"/>
        </w:rPr>
        <w:t>排气筒高空排放；沥青混合料生产中燃烧器、干燥滚筒、筛分</w:t>
      </w:r>
      <w:r>
        <w:rPr>
          <w:rFonts w:hint="eastAsia" w:ascii="仿宋_GB2312" w:hAnsi="新宋体" w:eastAsia="仿宋_GB2312"/>
          <w:sz w:val="32"/>
          <w:lang w:eastAsia="zh-CN"/>
        </w:rPr>
        <w:t>、</w:t>
      </w:r>
      <w:r>
        <w:rPr>
          <w:rFonts w:hint="eastAsia" w:ascii="仿宋_GB2312" w:hAnsi="新宋体" w:eastAsia="仿宋_GB2312"/>
          <w:sz w:val="32"/>
        </w:rPr>
        <w:t>沥青拌合</w:t>
      </w:r>
      <w:r>
        <w:rPr>
          <w:rFonts w:hint="eastAsia" w:ascii="仿宋_GB2312" w:hAnsi="新宋体" w:eastAsia="仿宋_GB2312"/>
          <w:sz w:val="32"/>
          <w:lang w:eastAsia="zh-CN"/>
        </w:rPr>
        <w:t>、</w:t>
      </w:r>
      <w:r>
        <w:rPr>
          <w:rFonts w:hint="eastAsia" w:ascii="仿宋_GB2312" w:hAnsi="新宋体" w:eastAsia="仿宋_GB2312"/>
          <w:sz w:val="32"/>
        </w:rPr>
        <w:t>成品卸料产生的</w:t>
      </w:r>
      <w:r>
        <w:rPr>
          <w:rFonts w:hint="eastAsia" w:ascii="仿宋_GB2312" w:hAnsi="新宋体" w:eastAsia="仿宋_GB2312"/>
          <w:sz w:val="32"/>
          <w:lang w:val="en-US" w:eastAsia="zh-CN"/>
        </w:rPr>
        <w:t>废气收集后</w:t>
      </w:r>
      <w:r>
        <w:rPr>
          <w:rFonts w:hint="eastAsia" w:ascii="仿宋_GB2312" w:hAnsi="新宋体" w:eastAsia="仿宋_GB2312"/>
          <w:sz w:val="32"/>
        </w:rPr>
        <w:t>经燃烧器高温燃烧</w:t>
      </w:r>
      <w:r>
        <w:rPr>
          <w:rFonts w:hint="eastAsia" w:ascii="仿宋_GB2312" w:hAnsi="新宋体" w:eastAsia="仿宋_GB2312"/>
          <w:sz w:val="32"/>
          <w:lang w:val="en-US" w:eastAsia="zh-CN"/>
        </w:rPr>
        <w:t>+</w:t>
      </w:r>
      <w:r>
        <w:rPr>
          <w:rFonts w:hint="eastAsia" w:ascii="仿宋_GB2312" w:hAnsi="新宋体" w:eastAsia="仿宋_GB2312"/>
          <w:sz w:val="32"/>
        </w:rPr>
        <w:t>重力除尘器</w:t>
      </w:r>
      <w:r>
        <w:rPr>
          <w:rFonts w:hint="eastAsia" w:ascii="仿宋_GB2312" w:hAnsi="新宋体" w:eastAsia="仿宋_GB2312"/>
          <w:sz w:val="32"/>
          <w:lang w:val="en-US" w:eastAsia="zh-CN"/>
        </w:rPr>
        <w:t>+</w:t>
      </w:r>
      <w:r>
        <w:rPr>
          <w:rFonts w:hint="eastAsia" w:ascii="仿宋_GB2312" w:hAnsi="新宋体" w:eastAsia="仿宋_GB2312"/>
          <w:sz w:val="32"/>
        </w:rPr>
        <w:t>布袋除尘器处理</w:t>
      </w:r>
      <w:r>
        <w:rPr>
          <w:rFonts w:hint="eastAsia" w:ascii="仿宋_GB2312" w:hAnsi="新宋体" w:eastAsia="仿宋_GB2312"/>
          <w:sz w:val="32"/>
          <w:lang w:eastAsia="zh-CN"/>
        </w:rPr>
        <w:t>，</w:t>
      </w:r>
      <w:r>
        <w:rPr>
          <w:rFonts w:hint="eastAsia" w:ascii="仿宋_GB2312" w:hAnsi="新宋体" w:eastAsia="仿宋_GB2312"/>
          <w:sz w:val="32"/>
          <w:lang w:val="en-US" w:eastAsia="zh-CN"/>
        </w:rPr>
        <w:t>其中</w:t>
      </w:r>
      <w:r>
        <w:rPr>
          <w:rFonts w:hint="eastAsia" w:ascii="仿宋_GB2312" w:hAnsi="新宋体" w:eastAsia="仿宋_GB2312"/>
          <w:sz w:val="32"/>
        </w:rPr>
        <w:t>二氧化硫、氮氧化物、颗粒物</w:t>
      </w:r>
      <w:r>
        <w:rPr>
          <w:rFonts w:hint="eastAsia" w:ascii="仿宋_GB2312" w:hAnsi="新宋体" w:eastAsia="仿宋_GB2312"/>
          <w:sz w:val="32"/>
          <w:lang w:val="en-US" w:eastAsia="zh-CN"/>
        </w:rPr>
        <w:t>须达到《湖南省工业炉窑大气污染综合治理实施方案》（湘环发〔2020〕6号）中排放限值要求；</w:t>
      </w:r>
      <w:r>
        <w:rPr>
          <w:rFonts w:hint="eastAsia" w:ascii="仿宋_GB2312" w:hAnsi="新宋体" w:eastAsia="仿宋_GB2312"/>
          <w:sz w:val="32"/>
        </w:rPr>
        <w:t>沥青烟、非甲烷总烃、苯并[a]芘</w:t>
      </w:r>
      <w:r>
        <w:rPr>
          <w:rFonts w:hint="eastAsia" w:ascii="仿宋_GB2312" w:hAnsi="新宋体" w:eastAsia="仿宋_GB2312"/>
          <w:sz w:val="32"/>
          <w:lang w:val="en-US" w:eastAsia="zh-CN"/>
        </w:rPr>
        <w:t>须达到</w:t>
      </w:r>
      <w:r>
        <w:rPr>
          <w:rFonts w:hint="eastAsia" w:ascii="仿宋_GB2312" w:hAnsi="新宋体" w:eastAsia="仿宋_GB2312"/>
          <w:sz w:val="32"/>
        </w:rPr>
        <w:t>《大气污染物综合排放标准》GB16297-1996表2 二级标准限值要求后通过</w:t>
      </w:r>
      <w:r>
        <w:rPr>
          <w:rFonts w:hint="eastAsia" w:ascii="仿宋_GB2312" w:hAnsi="新宋体" w:eastAsia="仿宋_GB2312"/>
          <w:sz w:val="32"/>
          <w:lang w:val="en-US" w:eastAsia="zh-CN"/>
        </w:rPr>
        <w:t>1根</w:t>
      </w:r>
      <w:r>
        <w:rPr>
          <w:rFonts w:hint="eastAsia" w:ascii="仿宋_GB2312" w:hAnsi="新宋体" w:eastAsia="仿宋_GB2312"/>
          <w:sz w:val="32"/>
        </w:rPr>
        <w:t>15m</w:t>
      </w:r>
      <w:r>
        <w:rPr>
          <w:rFonts w:hint="eastAsia" w:ascii="仿宋_GB2312" w:hAnsi="新宋体" w:eastAsia="仿宋_GB2312"/>
          <w:sz w:val="32"/>
          <w:lang w:val="en-US" w:eastAsia="zh-CN"/>
        </w:rPr>
        <w:t>高（2#）</w:t>
      </w:r>
      <w:r>
        <w:rPr>
          <w:rFonts w:hint="eastAsia" w:ascii="仿宋_GB2312" w:hAnsi="新宋体" w:eastAsia="仿宋_GB2312"/>
          <w:sz w:val="32"/>
        </w:rPr>
        <w:t>排气筒高空排放</w:t>
      </w:r>
      <w:r>
        <w:rPr>
          <w:rFonts w:hint="eastAsia" w:ascii="仿宋_GB2312" w:hAnsi="新宋体" w:eastAsia="仿宋_GB2312"/>
          <w:sz w:val="32"/>
          <w:lang w:eastAsia="zh-CN"/>
        </w:rPr>
        <w:t>。</w:t>
      </w:r>
      <w:r>
        <w:rPr>
          <w:rFonts w:hint="eastAsia" w:ascii="仿宋_GB2312" w:hAnsi="新宋体" w:eastAsia="仿宋_GB2312"/>
          <w:sz w:val="32"/>
        </w:rPr>
        <w:t>导热油炉以天然气为燃料，安装低氮燃烧器，燃烧烟气须达到《锅炉大气污染物排放标准》(GB 13271-2014)表3大气污染物特别排放限值（燃气锅炉）限值要求后通过</w:t>
      </w:r>
      <w:r>
        <w:rPr>
          <w:rFonts w:hint="eastAsia" w:ascii="仿宋_GB2312" w:hAnsi="新宋体" w:eastAsia="仿宋_GB2312"/>
          <w:sz w:val="32"/>
          <w:lang w:val="en-US" w:eastAsia="zh-CN"/>
        </w:rPr>
        <w:t>1根15</w:t>
      </w:r>
      <w:r>
        <w:rPr>
          <w:rFonts w:hint="eastAsia" w:ascii="仿宋_GB2312" w:hAnsi="新宋体" w:eastAsia="仿宋_GB2312"/>
          <w:sz w:val="32"/>
        </w:rPr>
        <w:t>m</w:t>
      </w:r>
      <w:r>
        <w:rPr>
          <w:rFonts w:hint="eastAsia" w:ascii="仿宋_GB2312" w:hAnsi="新宋体" w:eastAsia="仿宋_GB2312"/>
          <w:sz w:val="32"/>
          <w:lang w:val="en-US" w:eastAsia="zh-CN"/>
        </w:rPr>
        <w:t>高（3#）</w:t>
      </w:r>
      <w:r>
        <w:rPr>
          <w:rFonts w:hint="eastAsia" w:ascii="仿宋_GB2312" w:hAnsi="新宋体" w:eastAsia="仿宋_GB2312"/>
          <w:sz w:val="32"/>
        </w:rPr>
        <w:t>排气筒高空排放；沥青储罐废气经间接水冷凝后通过活性炭吸附处理达到《大气污染物综合排放标准》GB16297-1996表2二级标准</w:t>
      </w:r>
      <w:r>
        <w:rPr>
          <w:rFonts w:hint="eastAsia" w:ascii="仿宋_GB2312" w:hAnsi="新宋体" w:eastAsia="仿宋_GB2312"/>
          <w:sz w:val="32"/>
          <w:lang w:val="en-US" w:eastAsia="zh-CN"/>
        </w:rPr>
        <w:t>排放</w:t>
      </w:r>
      <w:r>
        <w:rPr>
          <w:rFonts w:hint="eastAsia" w:ascii="仿宋_GB2312" w:hAnsi="新宋体" w:eastAsia="仿宋_GB2312"/>
          <w:sz w:val="32"/>
        </w:rPr>
        <w:t>限值要求后</w:t>
      </w:r>
      <w:r>
        <w:rPr>
          <w:rFonts w:hint="eastAsia" w:ascii="仿宋_GB2312" w:hAnsi="新宋体" w:eastAsia="仿宋_GB2312"/>
          <w:sz w:val="32"/>
          <w:lang w:val="en-US" w:eastAsia="zh-CN"/>
        </w:rPr>
        <w:t>通过1根</w:t>
      </w:r>
      <w:r>
        <w:rPr>
          <w:rFonts w:hint="eastAsia" w:ascii="仿宋_GB2312" w:hAnsi="新宋体" w:eastAsia="仿宋_GB2312"/>
          <w:sz w:val="32"/>
        </w:rPr>
        <w:t>15m</w:t>
      </w:r>
      <w:r>
        <w:rPr>
          <w:rFonts w:hint="eastAsia" w:ascii="仿宋_GB2312" w:hAnsi="新宋体" w:eastAsia="仿宋_GB2312"/>
          <w:sz w:val="32"/>
          <w:lang w:val="en-US" w:eastAsia="zh-CN"/>
        </w:rPr>
        <w:t>高（4#）</w:t>
      </w:r>
      <w:r>
        <w:rPr>
          <w:rFonts w:hint="eastAsia" w:ascii="仿宋_GB2312" w:hAnsi="新宋体" w:eastAsia="仿宋_GB2312"/>
          <w:sz w:val="32"/>
        </w:rPr>
        <w:t>排气筒高空排放；食堂油烟废气须通过油烟净化器有效收集处理达到《饮食业油烟排放标准》（GB18483-2001）中要求后由专用管道引至室外排放。</w:t>
      </w:r>
    </w:p>
    <w:p>
      <w:p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3.噪声污染防治工作。选用低噪声机械设备，加强日常养护并做好基础减振、隔音、降噪、屏障等防治措施，合理安排设备作业时间，严禁在夜间（22:00-次日6:00）和中午（12：00至14:00）使用产生高噪声污染的设备作业，厂界噪声须达到《工业企业厂界环境噪声排放标准》（GB12348-2008）中2类标准要求。</w:t>
      </w:r>
    </w:p>
    <w:p>
      <w:p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4.固体废物污染防治工作。强化日常环境管理，按“资源化、减量化、无害化”原则和《一般工业固体废物贮存和填埋污染控制标准》（GB 18599-2020）、《危险废物贮存污染控制标准》（GB18597-2001）及2013年修改单要求，规范建设好固体废物贮存场所和危险废物暂存间，做好“防风、防雨、防晒、防渗漏”四防措施。其中布袋除尘器收集的粉尘回用于生产；废导热油、废润滑油、废活性炭及含油棉纱、手套暂存于危险废物暂存间内，交由有危险废物处置资质的单位处理；生活垃圾经收集后交由当地环卫部门进行处理。</w:t>
      </w:r>
    </w:p>
    <w:p>
      <w:p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5、提高风险防范意识，加强储存及生产各工序环节的安全管理，实行安全生产，建立健全污染防治设施运行管理台帐，设专门的环保机构，配备专人负责环保工作，确保各项污染防治设施正常运行，各类污染物稳定达标排放。严格按照《突发环境事件应急预案管理暂行办法》要求制定环境事故应急预案，杜绝环境风险事故发生。</w:t>
      </w:r>
    </w:p>
    <w:p>
      <w:pPr>
        <w:spacing w:beforeLines="0" w:afterLines="0" w:line="600" w:lineRule="exact"/>
        <w:ind w:firstLine="640" w:firstLineChars="200"/>
        <w:rPr>
          <w:rFonts w:hint="eastAsia" w:ascii="仿宋_GB2312" w:hAnsi="新宋体" w:eastAsia="仿宋_GB2312"/>
          <w:sz w:val="32"/>
        </w:rPr>
      </w:pPr>
      <w:r>
        <w:rPr>
          <w:rFonts w:hint="eastAsia" w:ascii="仿宋_GB2312" w:hAnsi="新宋体" w:eastAsia="仿宋_GB2312"/>
          <w:sz w:val="32"/>
        </w:rPr>
        <w:t>6、该项目污染物排放总量控制指标为：SO</w:t>
      </w:r>
      <w:r>
        <w:rPr>
          <w:rFonts w:hint="eastAsia" w:ascii="仿宋_GB2312" w:hAnsi="新宋体" w:eastAsia="仿宋_GB2312"/>
          <w:sz w:val="32"/>
          <w:vertAlign w:val="subscript"/>
        </w:rPr>
        <w:t>2</w:t>
      </w:r>
      <w:r>
        <w:rPr>
          <w:rFonts w:hint="eastAsia" w:ascii="仿宋_GB2312" w:hAnsi="新宋体" w:eastAsia="仿宋_GB2312"/>
          <w:sz w:val="32"/>
        </w:rPr>
        <w:t>≤</w:t>
      </w:r>
      <w:r>
        <w:rPr>
          <w:rFonts w:hint="eastAsia" w:ascii="仿宋_GB2312" w:hAnsi="新宋体" w:eastAsia="仿宋_GB2312"/>
          <w:sz w:val="32"/>
          <w:lang w:val="en-US" w:eastAsia="zh-CN"/>
        </w:rPr>
        <w:t>0.2</w:t>
      </w:r>
      <w:r>
        <w:rPr>
          <w:rFonts w:hint="eastAsia" w:ascii="仿宋_GB2312" w:hAnsi="新宋体" w:eastAsia="仿宋_GB2312"/>
          <w:sz w:val="32"/>
        </w:rPr>
        <w:t>t/a，NO</w:t>
      </w:r>
      <w:r>
        <w:rPr>
          <w:rFonts w:hint="eastAsia" w:ascii="仿宋_GB2312" w:hAnsi="新宋体" w:eastAsia="仿宋_GB2312"/>
          <w:sz w:val="32"/>
          <w:vertAlign w:val="subscript"/>
        </w:rPr>
        <w:t>X</w:t>
      </w:r>
      <w:r>
        <w:rPr>
          <w:rFonts w:hint="eastAsia" w:ascii="仿宋_GB2312" w:hAnsi="新宋体" w:eastAsia="仿宋_GB2312"/>
          <w:sz w:val="32"/>
        </w:rPr>
        <w:t>≤</w:t>
      </w:r>
      <w:r>
        <w:rPr>
          <w:rFonts w:hint="eastAsia" w:ascii="仿宋_GB2312" w:hAnsi="新宋体" w:eastAsia="仿宋_GB2312"/>
          <w:sz w:val="32"/>
          <w:lang w:val="en-US" w:eastAsia="zh-CN"/>
        </w:rPr>
        <w:t>1.7</w:t>
      </w:r>
      <w:r>
        <w:rPr>
          <w:rFonts w:hint="eastAsia" w:ascii="仿宋_GB2312" w:hAnsi="新宋体" w:eastAsia="仿宋_GB2312"/>
          <w:sz w:val="32"/>
        </w:rPr>
        <w:t>t/a，VOCs：0.</w:t>
      </w:r>
      <w:r>
        <w:rPr>
          <w:rFonts w:hint="eastAsia" w:ascii="仿宋_GB2312" w:hAnsi="新宋体" w:eastAsia="仿宋_GB2312"/>
          <w:sz w:val="32"/>
          <w:lang w:val="en-US" w:eastAsia="zh-CN"/>
        </w:rPr>
        <w:t>1</w:t>
      </w:r>
      <w:r>
        <w:rPr>
          <w:rFonts w:hint="eastAsia" w:ascii="仿宋_GB2312" w:hAnsi="新宋体" w:eastAsia="仿宋_GB2312"/>
          <w:sz w:val="32"/>
        </w:rPr>
        <w:t>t/a。</w:t>
      </w:r>
    </w:p>
    <w:p>
      <w:pPr>
        <w:pStyle w:val="2"/>
        <w:ind w:firstLine="640" w:firstLineChars="200"/>
        <w:rPr>
          <w:rFonts w:hint="default" w:ascii="仿宋_GB2312" w:hAnsi="新宋体" w:eastAsia="仿宋_GB2312" w:cstheme="minorBidi"/>
          <w:kern w:val="2"/>
          <w:sz w:val="32"/>
          <w:szCs w:val="24"/>
          <w:lang w:val="en-US" w:eastAsia="zh-CN" w:bidi="ar-SA"/>
        </w:rPr>
      </w:pPr>
      <w:r>
        <w:rPr>
          <w:rFonts w:hint="default" w:ascii="仿宋_GB2312" w:hAnsi="新宋体" w:eastAsia="仿宋_GB2312" w:cstheme="minorBidi"/>
          <w:kern w:val="2"/>
          <w:sz w:val="32"/>
          <w:szCs w:val="24"/>
          <w:lang w:val="en-US" w:eastAsia="zh-CN" w:bidi="ar-SA"/>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pStyle w:val="2"/>
        <w:ind w:firstLine="640" w:firstLineChars="200"/>
        <w:rPr>
          <w:rFonts w:hint="eastAsia" w:ascii="仿宋_GB2312" w:hAnsi="新宋体" w:eastAsia="仿宋_GB2312"/>
          <w:sz w:val="32"/>
        </w:rPr>
      </w:pPr>
      <w:r>
        <w:rPr>
          <w:rFonts w:hint="eastAsia" w:ascii="仿宋_GB2312" w:hAnsi="新宋体" w:eastAsia="仿宋_GB2312"/>
          <w:sz w:val="32"/>
          <w:lang w:val="en-US" w:eastAsia="zh-CN"/>
        </w:rPr>
        <w:t>四</w:t>
      </w:r>
      <w:r>
        <w:rPr>
          <w:rFonts w:hint="eastAsia" w:ascii="仿宋_GB2312" w:hAnsi="新宋体" w:eastAsia="仿宋_GB2312"/>
          <w:sz w:val="32"/>
        </w:rPr>
        <w:t>、该项目在启动生产设施或者发生实际排污之前须按《固定污染源排污许可分类管理名录》申请取得排污许可证或者填报排污登记表。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sz w:val="32"/>
          <w:lang w:val="en-US" w:eastAsia="zh-CN"/>
        </w:rPr>
        <w:t>五</w:t>
      </w:r>
      <w:r>
        <w:rPr>
          <w:rFonts w:hint="eastAsia" w:ascii="仿宋_GB2312" w:hAnsi="新宋体" w:eastAsia="仿宋_GB2312"/>
          <w:sz w:val="32"/>
        </w:rPr>
        <w:t xml:space="preserve">、加强环境监管。由岳阳市湘阴县生态环境保护综合行政执法大队负责该项目环境监管。你公司应在收到本批复后7个工作日内，将批复及批准的环评报告文本送至湖南湘阴高新技术产业开发区管理委员会、岳阳市湘阴县生态环境保护综合行政执法大队、湖南鼎康环保科技有限公司。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default" w:ascii="仿宋_GB2312" w:hAnsi="新宋体" w:eastAsia="仿宋_GB2312" w:cs="Times New Roman"/>
          <w:bCs/>
          <w:sz w:val="32"/>
          <w:szCs w:val="32"/>
          <w:lang w:val="en-US" w:eastAsia="zh-CN"/>
        </w:rPr>
      </w:pPr>
    </w:p>
    <w:p>
      <w:pPr>
        <w:spacing w:line="480" w:lineRule="auto"/>
        <w:ind w:firstLine="5440" w:firstLineChars="1700"/>
        <w:jc w:val="left"/>
        <w:rPr>
          <w:rFonts w:hint="default" w:ascii="仿宋" w:hAnsi="仿宋" w:eastAsia="仿宋" w:cs="仿宋"/>
          <w:sz w:val="32"/>
          <w:szCs w:val="32"/>
          <w:highlight w:val="none"/>
          <w:u w:val="none"/>
          <w:lang w:val="en-US" w:eastAsia="zh-CN"/>
        </w:rPr>
      </w:pPr>
    </w:p>
    <w:p>
      <w:pPr>
        <w:spacing w:line="480" w:lineRule="auto"/>
        <w:ind w:firstLine="5440" w:firstLineChars="1700"/>
        <w:jc w:val="left"/>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岳阳市生态环境局</w:t>
      </w:r>
    </w:p>
    <w:p>
      <w:pPr>
        <w:spacing w:line="480" w:lineRule="auto"/>
        <w:ind w:firstLine="5440" w:firstLineChars="1700"/>
        <w:jc w:val="left"/>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2023年</w:t>
      </w:r>
      <w:r>
        <w:rPr>
          <w:rFonts w:hint="eastAsia" w:ascii="仿宋" w:hAnsi="仿宋" w:eastAsia="仿宋" w:cs="仿宋"/>
          <w:sz w:val="32"/>
          <w:szCs w:val="32"/>
          <w:highlight w:val="none"/>
          <w:u w:val="none"/>
          <w:lang w:val="en-US" w:eastAsia="zh-CN"/>
        </w:rPr>
        <w:t>3</w:t>
      </w:r>
      <w:r>
        <w:rPr>
          <w:rFonts w:hint="default" w:ascii="仿宋" w:hAnsi="仿宋" w:eastAsia="仿宋" w:cs="仿宋"/>
          <w:sz w:val="32"/>
          <w:szCs w:val="32"/>
          <w:highlight w:val="none"/>
          <w:u w:val="none"/>
          <w:lang w:val="en-US" w:eastAsia="zh-CN"/>
        </w:rPr>
        <w:t>月</w:t>
      </w:r>
      <w:r>
        <w:rPr>
          <w:rFonts w:hint="eastAsia" w:ascii="仿宋" w:hAnsi="仿宋" w:eastAsia="仿宋" w:cs="仿宋"/>
          <w:sz w:val="32"/>
          <w:szCs w:val="32"/>
          <w:highlight w:val="none"/>
          <w:u w:val="none"/>
          <w:lang w:val="en-US" w:eastAsia="zh-CN"/>
        </w:rPr>
        <w:t>14</w:t>
      </w:r>
      <w:r>
        <w:rPr>
          <w:rFonts w:hint="default" w:ascii="仿宋" w:hAnsi="仿宋" w:eastAsia="仿宋" w:cs="仿宋"/>
          <w:sz w:val="32"/>
          <w:szCs w:val="32"/>
          <w:highlight w:val="none"/>
          <w:u w:val="none"/>
          <w:lang w:val="en-US" w:eastAsia="zh-CN"/>
        </w:rPr>
        <w:t>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00"/>
    <w:family w:val="auto"/>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270A6"/>
    <w:multiLevelType w:val="singleLevel"/>
    <w:tmpl w:val="384270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00172A27"/>
    <w:rsid w:val="01570AF2"/>
    <w:rsid w:val="01CC279C"/>
    <w:rsid w:val="0DC8196D"/>
    <w:rsid w:val="0E6D02AF"/>
    <w:rsid w:val="10390CD7"/>
    <w:rsid w:val="113A7D9A"/>
    <w:rsid w:val="119F4370"/>
    <w:rsid w:val="1230248E"/>
    <w:rsid w:val="158C6090"/>
    <w:rsid w:val="163C2D9F"/>
    <w:rsid w:val="19765953"/>
    <w:rsid w:val="1CDD5F36"/>
    <w:rsid w:val="20D50D82"/>
    <w:rsid w:val="2324091F"/>
    <w:rsid w:val="234958AA"/>
    <w:rsid w:val="2A252C04"/>
    <w:rsid w:val="2C7A76E0"/>
    <w:rsid w:val="2E605E28"/>
    <w:rsid w:val="31501751"/>
    <w:rsid w:val="32EB1275"/>
    <w:rsid w:val="373E40BA"/>
    <w:rsid w:val="394919AB"/>
    <w:rsid w:val="39871127"/>
    <w:rsid w:val="3A54159A"/>
    <w:rsid w:val="3A9B40F9"/>
    <w:rsid w:val="44150F23"/>
    <w:rsid w:val="481B23A6"/>
    <w:rsid w:val="4AE02A94"/>
    <w:rsid w:val="4B8D02AC"/>
    <w:rsid w:val="4C5F5EB6"/>
    <w:rsid w:val="4D7F146E"/>
    <w:rsid w:val="4D8D406E"/>
    <w:rsid w:val="4F9D72CF"/>
    <w:rsid w:val="5335771C"/>
    <w:rsid w:val="633E0294"/>
    <w:rsid w:val="635F0597"/>
    <w:rsid w:val="64F47D8B"/>
    <w:rsid w:val="6C84132B"/>
    <w:rsid w:val="6E9106F4"/>
    <w:rsid w:val="7D327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unhideWhenUsed/>
    <w:qFormat/>
    <w:uiPriority w:val="0"/>
    <w:pPr>
      <w:tabs>
        <w:tab w:val="center" w:pos="4153"/>
        <w:tab w:val="right" w:pos="8306"/>
      </w:tabs>
      <w:snapToGrid w:val="0"/>
      <w:spacing w:beforeLines="0" w:afterLines="0"/>
      <w:jc w:val="left"/>
    </w:pPr>
    <w:rPr>
      <w:rFonts w:hint="eastAsia"/>
      <w:sz w:val="18"/>
    </w:rPr>
  </w:style>
  <w:style w:type="paragraph" w:styleId="5">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eastAsia"/>
      <w:sz w:val="18"/>
    </w:rPr>
  </w:style>
  <w:style w:type="character" w:styleId="8">
    <w:name w:val="annotation reference"/>
    <w:semiHidden/>
    <w:qFormat/>
    <w:uiPriority w:val="0"/>
    <w:rPr>
      <w:sz w:val="21"/>
    </w:rPr>
  </w:style>
  <w:style w:type="paragraph" w:customStyle="1" w:styleId="9">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2528</Words>
  <Characters>2769</Characters>
  <Lines>0</Lines>
  <Paragraphs>0</Paragraphs>
  <TotalTime>12</TotalTime>
  <ScaleCrop>false</ScaleCrop>
  <LinksUpToDate>false</LinksUpToDate>
  <CharactersWithSpaces>2837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2023-03-17T08:04:47Z</cp:lastPrinted>
  <dcterms:modified xsi:type="dcterms:W3CDTF">2023-03-17T08:05:32Z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B87288957A414359A0D80525CA71EA59</vt:lpwstr>
  </property>
</Properties>
</file>